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980" w:right="3480" w:hanging="540"/>
        <w:spacing w:after="0" w:line="196" w:lineRule="auto"/>
        <w:tabs>
          <w:tab w:leader="none" w:pos="19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February 3, 2017</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980" w:right="3140" w:hanging="540"/>
        <w:spacing w:after="0" w:line="196" w:lineRule="auto"/>
        <w:tabs>
          <w:tab w:leader="none" w:pos="19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1780" w:type="dxa"/>
        <w:tblCellMar>
          <w:top w:w="0" w:type="dxa"/>
          <w:left w:w="0" w:type="dxa"/>
          <w:bottom w:w="0" w:type="dxa"/>
          <w:right w:w="0" w:type="dxa"/>
        </w:tblCellMar>
      </w:tblPr>
      <w:tr>
        <w:trPr>
          <w:trHeight w:val="184"/>
        </w:trPr>
        <w:tc>
          <w:tcPr>
            <w:tcW w:w="4480" w:type="dxa"/>
            <w:vAlign w:val="bottom"/>
          </w:tcPr>
          <w:p>
            <w:pPr>
              <w:ind w:left="2360"/>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r>
      <w:tr>
        <w:trPr>
          <w:trHeight w:val="312"/>
        </w:trPr>
        <w:tc>
          <w:tcPr>
            <w:tcW w:w="7440" w:type="dxa"/>
            <w:vAlign w:val="bottom"/>
            <w:gridSpan w:val="5"/>
          </w:tcPr>
          <w:p>
            <w:pPr>
              <w:jc w:val="center"/>
              <w:ind w:left="331"/>
              <w:spacing w:after="0"/>
              <w:rPr>
                <w:sz w:val="20"/>
                <w:szCs w:val="20"/>
                <w:color w:val="auto"/>
              </w:rPr>
            </w:pPr>
            <w:r>
              <w:rPr>
                <w:rFonts w:ascii="Arial" w:cs="Arial" w:eastAsia="Arial" w:hAnsi="Arial"/>
                <w:sz w:val="16"/>
                <w:szCs w:val="16"/>
                <w:b w:val="1"/>
                <w:bCs w:val="1"/>
                <w:color w:val="auto"/>
                <w:w w:val="91"/>
              </w:rPr>
              <w:t>Commission file number: 001-37867</w:t>
            </w:r>
          </w:p>
        </w:tc>
      </w:tr>
      <w:tr>
        <w:trPr>
          <w:trHeight w:val="403"/>
        </w:trPr>
        <w:tc>
          <w:tcPr>
            <w:tcW w:w="7440" w:type="dxa"/>
            <w:vAlign w:val="bottom"/>
            <w:gridSpan w:val="5"/>
          </w:tcPr>
          <w:p>
            <w:pPr>
              <w:jc w:val="center"/>
              <w:ind w:left="351"/>
              <w:spacing w:after="0"/>
              <w:rPr>
                <w:sz w:val="20"/>
                <w:szCs w:val="20"/>
                <w:color w:val="auto"/>
              </w:rPr>
            </w:pPr>
            <w:r>
              <w:rPr>
                <w:rFonts w:ascii="Arial" w:cs="Arial" w:eastAsia="Arial" w:hAnsi="Arial"/>
                <w:sz w:val="29"/>
                <w:szCs w:val="29"/>
                <w:b w:val="1"/>
                <w:bCs w:val="1"/>
                <w:color w:val="auto"/>
                <w:w w:val="87"/>
              </w:rPr>
              <w:t>Dell Technologies Inc.</w:t>
            </w:r>
          </w:p>
        </w:tc>
      </w:tr>
      <w:tr>
        <w:trPr>
          <w:trHeight w:val="321"/>
        </w:trPr>
        <w:tc>
          <w:tcPr>
            <w:tcW w:w="7440" w:type="dxa"/>
            <w:vAlign w:val="bottom"/>
            <w:gridSpan w:val="5"/>
          </w:tcPr>
          <w:p>
            <w:pPr>
              <w:jc w:val="center"/>
              <w:ind w:left="331"/>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654"/>
        </w:trPr>
        <w:tc>
          <w:tcPr>
            <w:tcW w:w="4480" w:type="dxa"/>
            <w:vAlign w:val="bottom"/>
          </w:tcPr>
          <w:p>
            <w:pPr>
              <w:jc w:val="center"/>
              <w:ind w:right="2451"/>
              <w:spacing w:after="0"/>
              <w:rPr>
                <w:sz w:val="20"/>
                <w:szCs w:val="20"/>
                <w:color w:val="auto"/>
              </w:rPr>
            </w:pPr>
            <w:r>
              <w:rPr>
                <w:rFonts w:ascii="Arial" w:cs="Arial" w:eastAsia="Arial" w:hAnsi="Arial"/>
                <w:sz w:val="16"/>
                <w:szCs w:val="16"/>
                <w:b w:val="1"/>
                <w:bCs w:val="1"/>
                <w:color w:val="auto"/>
                <w:w w:val="93"/>
              </w:rPr>
              <w:t>Delaware</w:t>
            </w:r>
          </w:p>
        </w:tc>
        <w:tc>
          <w:tcPr>
            <w:tcW w:w="2960" w:type="dxa"/>
            <w:vAlign w:val="bottom"/>
            <w:gridSpan w:val="4"/>
          </w:tcPr>
          <w:p>
            <w:pPr>
              <w:jc w:val="center"/>
              <w:ind w:left="1699"/>
              <w:spacing w:after="0"/>
              <w:rPr>
                <w:sz w:val="20"/>
                <w:szCs w:val="20"/>
                <w:color w:val="auto"/>
              </w:rPr>
            </w:pPr>
            <w:r>
              <w:rPr>
                <w:rFonts w:ascii="Arial" w:cs="Arial" w:eastAsia="Arial" w:hAnsi="Arial"/>
                <w:sz w:val="16"/>
                <w:szCs w:val="16"/>
                <w:b w:val="1"/>
                <w:bCs w:val="1"/>
                <w:color w:val="auto"/>
                <w:w w:val="91"/>
              </w:rPr>
              <w:t>80-0890963</w:t>
            </w:r>
          </w:p>
        </w:tc>
      </w:tr>
      <w:tr>
        <w:trPr>
          <w:trHeight w:val="253"/>
        </w:trPr>
        <w:tc>
          <w:tcPr>
            <w:tcW w:w="4480" w:type="dxa"/>
            <w:vAlign w:val="bottom"/>
          </w:tcPr>
          <w:p>
            <w:pPr>
              <w:jc w:val="center"/>
              <w:ind w:right="2451"/>
              <w:spacing w:after="0"/>
              <w:rPr>
                <w:sz w:val="20"/>
                <w:szCs w:val="20"/>
                <w:color w:val="auto"/>
              </w:rPr>
            </w:pPr>
            <w:r>
              <w:rPr>
                <w:rFonts w:ascii="Arial" w:cs="Arial" w:eastAsia="Arial" w:hAnsi="Arial"/>
                <w:sz w:val="16"/>
                <w:szCs w:val="16"/>
                <w:color w:val="auto"/>
                <w:w w:val="94"/>
              </w:rPr>
              <w:t>(State or other jurisdiction of</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center"/>
              <w:ind w:left="659"/>
              <w:spacing w:after="0"/>
              <w:rPr>
                <w:sz w:val="20"/>
                <w:szCs w:val="20"/>
                <w:color w:val="auto"/>
              </w:rPr>
            </w:pPr>
            <w:r>
              <w:rPr>
                <w:rFonts w:ascii="Arial" w:cs="Arial" w:eastAsia="Arial" w:hAnsi="Arial"/>
                <w:sz w:val="16"/>
                <w:szCs w:val="16"/>
                <w:color w:val="auto"/>
                <w:w w:val="93"/>
              </w:rPr>
              <w:t>(I.R.S. Employer</w:t>
            </w:r>
          </w:p>
        </w:tc>
      </w:tr>
      <w:tr>
        <w:trPr>
          <w:trHeight w:val="206"/>
        </w:trPr>
        <w:tc>
          <w:tcPr>
            <w:tcW w:w="4480" w:type="dxa"/>
            <w:vAlign w:val="bottom"/>
          </w:tcPr>
          <w:p>
            <w:pPr>
              <w:jc w:val="center"/>
              <w:ind w:right="2451"/>
              <w:spacing w:after="0"/>
              <w:rPr>
                <w:sz w:val="20"/>
                <w:szCs w:val="20"/>
                <w:color w:val="auto"/>
              </w:rPr>
            </w:pPr>
            <w:r>
              <w:rPr>
                <w:rFonts w:ascii="Arial" w:cs="Arial" w:eastAsia="Arial" w:hAnsi="Arial"/>
                <w:sz w:val="16"/>
                <w:szCs w:val="16"/>
                <w:color w:val="auto"/>
                <w:w w:val="93"/>
              </w:rPr>
              <w:t>incorporation or organization)</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tcPr>
          <w:p>
            <w:pPr>
              <w:jc w:val="center"/>
              <w:ind w:left="639"/>
              <w:spacing w:after="0"/>
              <w:rPr>
                <w:sz w:val="20"/>
                <w:szCs w:val="20"/>
                <w:color w:val="auto"/>
              </w:rPr>
            </w:pPr>
            <w:r>
              <w:rPr>
                <w:rFonts w:ascii="Arial" w:cs="Arial" w:eastAsia="Arial" w:hAnsi="Arial"/>
                <w:sz w:val="16"/>
                <w:szCs w:val="16"/>
                <w:color w:val="auto"/>
                <w:w w:val="96"/>
              </w:rPr>
              <w:t>Identification No.)</w:t>
            </w:r>
          </w:p>
        </w:tc>
      </w:tr>
    </w:tbl>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One Dell Way, Round Rock, Texas 78682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1-800-289-3355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4"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4820" w:type="dxa"/>
            <w:vAlign w:val="bottom"/>
            <w:gridSpan w:val="2"/>
          </w:tcPr>
          <w:p>
            <w:pPr>
              <w:jc w:val="center"/>
              <w:ind w:right="3580"/>
              <w:spacing w:after="0"/>
              <w:rPr>
                <w:sz w:val="20"/>
                <w:szCs w:val="20"/>
                <w:color w:val="auto"/>
              </w:rPr>
            </w:pPr>
            <w:r>
              <w:rPr>
                <w:rFonts w:ascii="Arial" w:cs="Arial" w:eastAsia="Arial" w:hAnsi="Arial"/>
                <w:sz w:val="17"/>
                <w:szCs w:val="17"/>
                <w:color w:val="auto"/>
                <w:w w:val="91"/>
              </w:rPr>
              <w:t>Title of each class</w:t>
            </w:r>
          </w:p>
        </w:tc>
        <w:tc>
          <w:tcPr>
            <w:tcW w:w="302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3"/>
        </w:trPr>
        <w:tc>
          <w:tcPr>
            <w:tcW w:w="6020" w:type="dxa"/>
            <w:vAlign w:val="bottom"/>
            <w:gridSpan w:val="3"/>
          </w:tcPr>
          <w:p>
            <w:pPr>
              <w:jc w:val="center"/>
              <w:ind w:right="2360"/>
              <w:spacing w:after="0"/>
              <w:rPr>
                <w:sz w:val="20"/>
                <w:szCs w:val="20"/>
                <w:color w:val="auto"/>
              </w:rPr>
            </w:pPr>
            <w:r>
              <w:rPr>
                <w:rFonts w:ascii="Arial" w:cs="Arial" w:eastAsia="Arial" w:hAnsi="Arial"/>
                <w:sz w:val="17"/>
                <w:szCs w:val="17"/>
                <w:b w:val="1"/>
                <w:bCs w:val="1"/>
                <w:color w:val="auto"/>
                <w:w w:val="90"/>
              </w:rPr>
              <w:t>Class V Common Stock, par value $0.01 per share</w:t>
            </w:r>
          </w:p>
        </w:tc>
        <w:tc>
          <w:tcPr>
            <w:tcW w:w="3020" w:type="dxa"/>
            <w:vAlign w:val="bottom"/>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71"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205 of the Securities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22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4"/>
          <w:szCs w:val="24"/>
          <w:color w:val="auto"/>
        </w:rPr>
      </w:pPr>
    </w:p>
    <w:p>
      <w:pPr>
        <w:ind w:left="40"/>
        <w:spacing w:after="0" w:line="184" w:lineRule="exact"/>
        <w:tabs>
          <w:tab w:leader="none" w:pos="76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ind w:left="40"/>
        <w:spacing w:after="0" w:line="184" w:lineRule="exact"/>
        <w:tabs>
          <w:tab w:leader="none" w:pos="768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100"/>
        <w:spacing w:after="0" w:line="261" w:lineRule="auto"/>
        <w:rPr>
          <w:sz w:val="20"/>
          <w:szCs w:val="20"/>
          <w:color w:val="auto"/>
        </w:rPr>
      </w:pPr>
      <w:r>
        <w:rPr>
          <w:rFonts w:ascii="Arial" w:cs="Arial" w:eastAsia="Arial" w:hAnsi="Arial"/>
          <w:sz w:val="16"/>
          <w:szCs w:val="16"/>
          <w:color w:val="auto"/>
        </w:rPr>
        <w:t>On July 29, 2016, the last business day of the registrant's most recently completed second fiscal quarter, the Class V Common Stock of the registrant, which began trading on the New York Stock Exchange on September 7, 2016, was not listed on any securities exchange or traded in the over-the-counter market. Accordingly, the registrant is unable to state as of such date the aggregate market value of its voting and non-voting common equity held by non-affiliates.</w:t>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As of March 27, 2017, there were 776,362,146 shares of the registrant's common stock outstanding, consisting of 207,717,938 outstanding shares of Class V Common Stock, 409,684,385 outstanding shares of Class A Common Stock, 136,986,858 outstanding shares of Class B Common Stock, and 21,972,965 outstanding shares of Class C Common Stock.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by reference from the registrant's proxy statement relating to the annual meeting of stockholders in 2017. Such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report contains </w:t>
      </w:r>
      <w:r>
        <w:rPr>
          <w:rFonts w:ascii="Arial" w:cs="Arial" w:eastAsia="Arial" w:hAnsi="Arial"/>
          <w:sz w:val="15"/>
          <w:szCs w:val="15"/>
          <w:color w:val="auto"/>
        </w:rPr>
        <w:t>"</w:t>
      </w:r>
      <w:r>
        <w:rPr>
          <w:rFonts w:ascii="Arial" w:cs="Arial" w:eastAsia="Arial" w:hAnsi="Arial"/>
          <w:sz w:val="17"/>
          <w:szCs w:val="17"/>
          <w:color w:val="auto"/>
        </w:rPr>
        <w:t>forward-looking statements</w:t>
      </w:r>
      <w:r>
        <w:rPr>
          <w:rFonts w:ascii="Arial" w:cs="Arial" w:eastAsia="Arial" w:hAnsi="Arial"/>
          <w:sz w:val="15"/>
          <w:szCs w:val="15"/>
          <w:color w:val="auto"/>
        </w:rPr>
        <w:t>"</w:t>
      </w:r>
      <w:r>
        <w:rPr>
          <w:rFonts w:ascii="Arial" w:cs="Arial" w:eastAsia="Arial" w:hAnsi="Arial"/>
          <w:sz w:val="17"/>
          <w:szCs w:val="17"/>
          <w:color w:val="auto"/>
        </w:rPr>
        <w:t xml:space="preserve"> within the meaning of Section 27A of the Securities Act of 1933 and Section 21E of the Securities Exchange Act of 1934. The words </w:t>
      </w:r>
      <w:r>
        <w:rPr>
          <w:rFonts w:ascii="Arial" w:cs="Arial" w:eastAsia="Arial" w:hAnsi="Arial"/>
          <w:sz w:val="15"/>
          <w:szCs w:val="15"/>
          <w:color w:val="auto"/>
        </w:rPr>
        <w:t>"</w:t>
      </w:r>
      <w:r>
        <w:rPr>
          <w:rFonts w:ascii="Arial" w:cs="Arial" w:eastAsia="Arial" w:hAnsi="Arial"/>
          <w:sz w:val="17"/>
          <w:szCs w:val="17"/>
          <w:color w:val="auto"/>
        </w:rPr>
        <w:t>may,</w:t>
      </w:r>
      <w:r>
        <w:rPr>
          <w:rFonts w:ascii="Arial" w:cs="Arial" w:eastAsia="Arial" w:hAnsi="Arial"/>
          <w:sz w:val="15"/>
          <w:szCs w:val="15"/>
          <w:color w:val="auto"/>
        </w:rPr>
        <w:t>" "</w:t>
      </w:r>
      <w:r>
        <w:rPr>
          <w:rFonts w:ascii="Arial" w:cs="Arial" w:eastAsia="Arial" w:hAnsi="Arial"/>
          <w:sz w:val="17"/>
          <w:szCs w:val="17"/>
          <w:color w:val="auto"/>
        </w:rPr>
        <w:t>will,</w:t>
      </w:r>
      <w:r>
        <w:rPr>
          <w:rFonts w:ascii="Arial" w:cs="Arial" w:eastAsia="Arial" w:hAnsi="Arial"/>
          <w:sz w:val="15"/>
          <w:szCs w:val="15"/>
          <w:color w:val="auto"/>
        </w:rPr>
        <w:t>" "</w:t>
      </w:r>
      <w:r>
        <w:rPr>
          <w:rFonts w:ascii="Arial" w:cs="Arial" w:eastAsia="Arial" w:hAnsi="Arial"/>
          <w:sz w:val="17"/>
          <w:szCs w:val="17"/>
          <w:color w:val="auto"/>
        </w:rPr>
        <w:t>anticipate,</w:t>
      </w:r>
      <w:r>
        <w:rPr>
          <w:rFonts w:ascii="Arial" w:cs="Arial" w:eastAsia="Arial" w:hAnsi="Arial"/>
          <w:sz w:val="15"/>
          <w:szCs w:val="15"/>
          <w:color w:val="auto"/>
        </w:rPr>
        <w:t>" "</w:t>
      </w:r>
      <w:r>
        <w:rPr>
          <w:rFonts w:ascii="Arial" w:cs="Arial" w:eastAsia="Arial" w:hAnsi="Arial"/>
          <w:sz w:val="17"/>
          <w:szCs w:val="17"/>
          <w:color w:val="auto"/>
        </w:rPr>
        <w:t>estimate,</w:t>
      </w:r>
      <w:r>
        <w:rPr>
          <w:rFonts w:ascii="Arial" w:cs="Arial" w:eastAsia="Arial" w:hAnsi="Arial"/>
          <w:sz w:val="15"/>
          <w:szCs w:val="15"/>
          <w:color w:val="auto"/>
        </w:rPr>
        <w:t>" "</w:t>
      </w:r>
      <w:r>
        <w:rPr>
          <w:rFonts w:ascii="Arial" w:cs="Arial" w:eastAsia="Arial" w:hAnsi="Arial"/>
          <w:sz w:val="17"/>
          <w:szCs w:val="17"/>
          <w:color w:val="auto"/>
        </w:rPr>
        <w:t>expect,</w:t>
      </w:r>
      <w:r>
        <w:rPr>
          <w:rFonts w:ascii="Arial" w:cs="Arial" w:eastAsia="Arial" w:hAnsi="Arial"/>
          <w:sz w:val="15"/>
          <w:szCs w:val="15"/>
          <w:color w:val="auto"/>
        </w:rPr>
        <w:t>" "</w:t>
      </w:r>
      <w:r>
        <w:rPr>
          <w:rFonts w:ascii="Arial" w:cs="Arial" w:eastAsia="Arial" w:hAnsi="Arial"/>
          <w:sz w:val="17"/>
          <w:szCs w:val="17"/>
          <w:color w:val="auto"/>
        </w:rPr>
        <w:t>intend,</w:t>
      </w:r>
      <w:r>
        <w:rPr>
          <w:rFonts w:ascii="Arial" w:cs="Arial" w:eastAsia="Arial" w:hAnsi="Arial"/>
          <w:sz w:val="15"/>
          <w:szCs w:val="15"/>
          <w:color w:val="auto"/>
        </w:rPr>
        <w:t>" "</w:t>
      </w:r>
      <w:r>
        <w:rPr>
          <w:rFonts w:ascii="Arial" w:cs="Arial" w:eastAsia="Arial" w:hAnsi="Arial"/>
          <w:sz w:val="17"/>
          <w:szCs w:val="17"/>
          <w:color w:val="auto"/>
        </w:rPr>
        <w:t>plan,</w:t>
      </w:r>
      <w:r>
        <w:rPr>
          <w:rFonts w:ascii="Arial" w:cs="Arial" w:eastAsia="Arial" w:hAnsi="Arial"/>
          <w:sz w:val="15"/>
          <w:szCs w:val="15"/>
          <w:color w:val="auto"/>
        </w:rPr>
        <w:t>" "</w:t>
      </w:r>
      <w:r>
        <w:rPr>
          <w:rFonts w:ascii="Arial" w:cs="Arial" w:eastAsia="Arial" w:hAnsi="Arial"/>
          <w:sz w:val="17"/>
          <w:szCs w:val="17"/>
          <w:color w:val="auto"/>
        </w:rPr>
        <w:t>aim,</w:t>
      </w:r>
      <w:r>
        <w:rPr>
          <w:rFonts w:ascii="Arial" w:cs="Arial" w:eastAsia="Arial" w:hAnsi="Arial"/>
          <w:sz w:val="15"/>
          <w:szCs w:val="15"/>
          <w:color w:val="auto"/>
        </w:rPr>
        <w:t>" "</w:t>
      </w:r>
      <w:r>
        <w:rPr>
          <w:rFonts w:ascii="Arial" w:cs="Arial" w:eastAsia="Arial" w:hAnsi="Arial"/>
          <w:sz w:val="17"/>
          <w:szCs w:val="17"/>
          <w:color w:val="auto"/>
        </w:rPr>
        <w:t>seek,</w:t>
      </w:r>
      <w:r>
        <w:rPr>
          <w:rFonts w:ascii="Arial" w:cs="Arial" w:eastAsia="Arial" w:hAnsi="Arial"/>
          <w:sz w:val="15"/>
          <w:szCs w:val="15"/>
          <w:color w:val="auto"/>
        </w:rPr>
        <w:t>"</w:t>
      </w:r>
      <w:r>
        <w:rPr>
          <w:rFonts w:ascii="Arial" w:cs="Arial" w:eastAsia="Arial" w:hAnsi="Arial"/>
          <w:sz w:val="17"/>
          <w:szCs w:val="17"/>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"Part I — Item 1A — Risk Factors" and in our other periodic and current reports filed with the Securities and Exchange Commission.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40" w:type="dxa"/>
            <w:vAlign w:val="bottom"/>
            <w:gridSpan w:val="8"/>
          </w:tcPr>
          <w:p>
            <w:pPr>
              <w:ind w:left="18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gridSpan w:val="4"/>
          </w:tcPr>
          <w:p>
            <w:pPr>
              <w:ind w:left="5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184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1"/>
                <w:szCs w:val="21"/>
                <w:color w:val="auto"/>
              </w:rPr>
            </w:pPr>
          </w:p>
        </w:tc>
        <w:tc>
          <w:tcPr>
            <w:tcW w:w="1260" w:type="dxa"/>
            <w:vAlign w:val="bottom"/>
            <w:gridSpan w:val="8"/>
          </w:tcPr>
          <w:p>
            <w:pPr>
              <w:spacing w:after="0"/>
              <w:rPr>
                <w:sz w:val="21"/>
                <w:szCs w:val="21"/>
                <w:color w:val="auto"/>
              </w:rPr>
            </w:pPr>
          </w:p>
        </w:tc>
        <w:tc>
          <w:tcPr>
            <w:tcW w:w="640" w:type="dxa"/>
            <w:vAlign w:val="bottom"/>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920" w:type="dxa"/>
            <w:vAlign w:val="bottom"/>
            <w:gridSpan w:val="18"/>
          </w:tcPr>
          <w:p>
            <w:pPr>
              <w:spacing w:after="0"/>
              <w:rPr>
                <w:sz w:val="21"/>
                <w:szCs w:val="21"/>
                <w:color w:val="auto"/>
              </w:rPr>
            </w:pPr>
          </w:p>
        </w:tc>
        <w:tc>
          <w:tcPr>
            <w:tcW w:w="740" w:type="dxa"/>
            <w:vAlign w:val="bottom"/>
            <w:gridSpan w:val="2"/>
          </w:tcPr>
          <w:p>
            <w:pPr>
              <w:jc w:val="center"/>
              <w:ind w:left="57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1200" w:type="dxa"/>
            <w:vAlign w:val="bottom"/>
            <w:gridSpan w:val="6"/>
          </w:tcPr>
          <w:p>
            <w:pPr>
              <w:spacing w:after="0"/>
              <w:rPr>
                <w:sz w:val="21"/>
                <w:szCs w:val="21"/>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66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18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1B.</w:t>
              </w:r>
            </w:hyperlink>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21"/>
                <w:szCs w:val="21"/>
                <w:color w:val="auto"/>
              </w:rPr>
            </w:pPr>
          </w:p>
        </w:tc>
        <w:tc>
          <w:tcPr>
            <w:tcW w:w="1240" w:type="dxa"/>
            <w:vAlign w:val="bottom"/>
            <w:gridSpan w:val="7"/>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520" w:type="dxa"/>
            <w:vAlign w:val="bottom"/>
            <w:gridSpan w:val="11"/>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3.</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4.</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118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5.</w:t>
              </w:r>
            </w:hyperlink>
          </w:p>
        </w:tc>
        <w:tc>
          <w:tcPr>
            <w:tcW w:w="1340" w:type="dxa"/>
            <w:vAlign w:val="bottom"/>
            <w:gridSpan w:val="9"/>
          </w:tcPr>
          <w:p>
            <w:pPr>
              <w:spacing w:after="0"/>
              <w:rPr>
                <w:sz w:val="21"/>
                <w:szCs w:val="21"/>
                <w:color w:val="auto"/>
              </w:rPr>
            </w:pPr>
          </w:p>
        </w:tc>
        <w:tc>
          <w:tcPr>
            <w:tcW w:w="80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Registrant's Common Equity, Related Stockholder Matters and Issuer Purchases of Equity Securities</w:t>
              </w:r>
            </w:hyperlink>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41">
              <w:r>
                <w:rPr>
                  <w:rFonts w:ascii="Arial" w:cs="Arial" w:eastAsia="Arial" w:hAnsi="Arial"/>
                  <w:sz w:val="18"/>
                  <w:szCs w:val="18"/>
                  <w:color w:val="0000EE"/>
                  <w:w w:val="83"/>
                </w:rPr>
                <w:t>Item 6.</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4">
              <w:r>
                <w:rPr>
                  <w:rFonts w:ascii="Arial" w:cs="Arial" w:eastAsia="Arial" w:hAnsi="Arial"/>
                  <w:sz w:val="18"/>
                  <w:szCs w:val="18"/>
                  <w:color w:val="0000EE"/>
                  <w:w w:val="83"/>
                </w:rPr>
                <w:t>Item 7.</w:t>
              </w:r>
            </w:hyperlink>
          </w:p>
        </w:tc>
        <w:tc>
          <w:tcPr>
            <w:tcW w:w="1340" w:type="dxa"/>
            <w:vAlign w:val="bottom"/>
            <w:gridSpan w:val="9"/>
          </w:tcPr>
          <w:p>
            <w:pPr>
              <w:spacing w:after="0"/>
              <w:rPr>
                <w:sz w:val="21"/>
                <w:szCs w:val="21"/>
                <w:color w:val="auto"/>
              </w:rPr>
            </w:pP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44</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Item 7A.</w:t>
              </w:r>
            </w:hyperlink>
          </w:p>
        </w:tc>
        <w:tc>
          <w:tcPr>
            <w:tcW w:w="1200" w:type="dxa"/>
            <w:vAlign w:val="bottom"/>
            <w:gridSpan w:val="6"/>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Quantitative and Qualitative Disclosures About Market Risk</w:t>
              </w:r>
            </w:hyperlink>
          </w:p>
        </w:tc>
        <w:tc>
          <w:tcPr>
            <w:tcW w:w="4200" w:type="dxa"/>
            <w:vAlign w:val="bottom"/>
            <w:gridSpan w:val="6"/>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78">
              <w:r>
                <w:rPr>
                  <w:rFonts w:ascii="Arial" w:cs="Arial" w:eastAsia="Arial" w:hAnsi="Arial"/>
                  <w:sz w:val="18"/>
                  <w:szCs w:val="18"/>
                  <w:color w:val="0000EE"/>
                  <w:w w:val="83"/>
                </w:rPr>
                <w:t>Item 8.</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Financial Statements and Supplementary Data</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169">
              <w:r>
                <w:rPr>
                  <w:rFonts w:ascii="Arial" w:cs="Arial" w:eastAsia="Arial" w:hAnsi="Arial"/>
                  <w:sz w:val="18"/>
                  <w:szCs w:val="18"/>
                  <w:color w:val="0000EE"/>
                  <w:w w:val="83"/>
                </w:rPr>
                <w:t>Item 9.</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Changes in and Disagreements With Accountants on Accounting and Financial Disclosure</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169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92"/>
              </w:rPr>
            </w:pPr>
            <w:hyperlink w:anchor="page169">
              <w:r>
                <w:rPr>
                  <w:rFonts w:ascii="Arial" w:cs="Arial" w:eastAsia="Arial" w:hAnsi="Arial"/>
                  <w:sz w:val="18"/>
                  <w:szCs w:val="18"/>
                  <w:color w:val="0000EE"/>
                  <w:w w:val="92"/>
                </w:rPr>
                <w:t>Item 9A.</w:t>
              </w:r>
            </w:hyperlink>
          </w:p>
        </w:tc>
        <w:tc>
          <w:tcPr>
            <w:tcW w:w="1200" w:type="dxa"/>
            <w:vAlign w:val="bottom"/>
            <w:gridSpan w:val="6"/>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Controls and Procedures</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169</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92"/>
              </w:rPr>
            </w:pPr>
            <w:hyperlink w:anchor="page169">
              <w:r>
                <w:rPr>
                  <w:rFonts w:ascii="Arial" w:cs="Arial" w:eastAsia="Arial" w:hAnsi="Arial"/>
                  <w:sz w:val="18"/>
                  <w:szCs w:val="18"/>
                  <w:color w:val="0000EE"/>
                  <w:w w:val="92"/>
                </w:rPr>
                <w:t>Item 9B.</w:t>
              </w:r>
            </w:hyperlink>
          </w:p>
        </w:tc>
        <w:tc>
          <w:tcPr>
            <w:tcW w:w="1200" w:type="dxa"/>
            <w:vAlign w:val="bottom"/>
            <w:gridSpan w:val="6"/>
          </w:tcPr>
          <w:p>
            <w:pPr>
              <w:spacing w:after="0"/>
              <w:rPr>
                <w:sz w:val="21"/>
                <w:szCs w:val="21"/>
                <w:color w:val="auto"/>
              </w:rPr>
            </w:pP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Other Information</w:t>
              </w:r>
            </w:hyperlink>
          </w:p>
        </w:tc>
        <w:tc>
          <w:tcPr>
            <w:tcW w:w="686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69">
              <w:r>
                <w:rPr>
                  <w:rFonts w:ascii="Arial" w:cs="Arial" w:eastAsia="Arial" w:hAnsi="Arial"/>
                  <w:sz w:val="15"/>
                  <w:szCs w:val="15"/>
                  <w:color w:val="0000EE"/>
                  <w:w w:val="71"/>
                </w:rPr>
                <w:t>169</w:t>
              </w:r>
            </w:hyperlink>
          </w:p>
        </w:tc>
        <w:tc>
          <w:tcPr>
            <w:tcW w:w="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PART III</w:t>
              </w:r>
            </w:hyperlink>
          </w:p>
        </w:tc>
        <w:tc>
          <w:tcPr>
            <w:tcW w:w="110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Item 10.</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Directors, Executive Officers and Corporate Governance</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170</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Item 11.</w:t>
              </w:r>
            </w:hyperlink>
          </w:p>
        </w:tc>
        <w:tc>
          <w:tcPr>
            <w:tcW w:w="1240" w:type="dxa"/>
            <w:vAlign w:val="bottom"/>
            <w:gridSpan w:val="7"/>
          </w:tcPr>
          <w:p>
            <w:pPr>
              <w:spacing w:after="0"/>
              <w:rPr>
                <w:sz w:val="21"/>
                <w:szCs w:val="21"/>
                <w:color w:val="auto"/>
              </w:rPr>
            </w:pPr>
          </w:p>
        </w:tc>
        <w:tc>
          <w:tcPr>
            <w:tcW w:w="4080" w:type="dxa"/>
            <w:vAlign w:val="bottom"/>
            <w:tcBorders>
              <w:top w:val="single" w:sz="8" w:color="0000EE"/>
            </w:tcBorders>
            <w:gridSpan w:val="12"/>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Executive Compensation</w:t>
              </w:r>
            </w:hyperlink>
          </w:p>
        </w:tc>
        <w:tc>
          <w:tcPr>
            <w:tcW w:w="4480" w:type="dxa"/>
            <w:vAlign w:val="bottom"/>
            <w:gridSpan w:val="7"/>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0">
              <w:r>
                <w:rPr>
                  <w:rFonts w:ascii="Arial" w:cs="Arial" w:eastAsia="Arial" w:hAnsi="Arial"/>
                  <w:sz w:val="15"/>
                  <w:szCs w:val="15"/>
                  <w:color w:val="0000EE"/>
                  <w:w w:val="71"/>
                </w:rPr>
                <w:t>170</w:t>
              </w:r>
            </w:hyperlink>
          </w:p>
        </w:tc>
        <w:tc>
          <w:tcPr>
            <w:tcW w:w="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Item 12.</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Security Ownership of Certain Beneficial Owners and Management and Related Stockholder Matters</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170</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Item 13.</w:t>
              </w:r>
            </w:hyperlink>
          </w:p>
        </w:tc>
        <w:tc>
          <w:tcPr>
            <w:tcW w:w="1240" w:type="dxa"/>
            <w:vAlign w:val="bottom"/>
            <w:gridSpan w:val="7"/>
          </w:tcPr>
          <w:p>
            <w:pPr>
              <w:spacing w:after="0"/>
              <w:rPr>
                <w:sz w:val="21"/>
                <w:szCs w:val="21"/>
                <w:color w:val="auto"/>
              </w:rPr>
            </w:pP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Certain Relationships and Related Transactions, and Director Independence</w:t>
              </w:r>
            </w:hyperlink>
          </w:p>
        </w:tc>
        <w:tc>
          <w:tcPr>
            <w:tcW w:w="12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0">
              <w:r>
                <w:rPr>
                  <w:rFonts w:ascii="Arial" w:cs="Arial" w:eastAsia="Arial" w:hAnsi="Arial"/>
                  <w:sz w:val="15"/>
                  <w:szCs w:val="15"/>
                  <w:color w:val="0000EE"/>
                  <w:w w:val="71"/>
                </w:rPr>
                <w:t>170</w:t>
              </w:r>
            </w:hyperlink>
          </w:p>
        </w:tc>
        <w:tc>
          <w:tcPr>
            <w:tcW w:w="40" w:type="dxa"/>
            <w:vAlign w:val="bottom"/>
          </w:tcPr>
          <w:p>
            <w:pPr>
              <w:spacing w:after="0"/>
              <w:rPr>
                <w:sz w:val="21"/>
                <w:szCs w:val="2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Item 14.</w:t>
              </w:r>
            </w:hyperlink>
          </w:p>
        </w:tc>
        <w:tc>
          <w:tcPr>
            <w:tcW w:w="1240" w:type="dxa"/>
            <w:vAlign w:val="bottom"/>
            <w:gridSpan w:val="7"/>
          </w:tcPr>
          <w:p>
            <w:pPr>
              <w:spacing w:after="0"/>
              <w:rPr>
                <w:sz w:val="21"/>
                <w:szCs w:val="21"/>
                <w:color w:val="auto"/>
              </w:rPr>
            </w:pP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Principal Accounting Fees and Services</w:t>
              </w:r>
            </w:hyperlink>
          </w:p>
        </w:tc>
        <w:tc>
          <w:tcPr>
            <w:tcW w:w="3120" w:type="dxa"/>
            <w:vAlign w:val="bottom"/>
            <w:gridSpan w:val="5"/>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0">
              <w:r>
                <w:rPr>
                  <w:rFonts w:ascii="Arial" w:cs="Arial" w:eastAsia="Arial" w:hAnsi="Arial"/>
                  <w:sz w:val="15"/>
                  <w:szCs w:val="15"/>
                  <w:color w:val="0000EE"/>
                  <w:w w:val="71"/>
                </w:rPr>
                <w:t>170</w:t>
              </w:r>
            </w:hyperlink>
          </w:p>
        </w:tc>
        <w:tc>
          <w:tcPr>
            <w:tcW w:w="40" w:type="dxa"/>
            <w:vAlign w:val="bottom"/>
          </w:tcPr>
          <w:p>
            <w:pPr>
              <w:spacing w:after="0"/>
              <w:rPr>
                <w:sz w:val="21"/>
                <w:szCs w:val="2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71">
              <w:r>
                <w:rPr>
                  <w:rFonts w:ascii="Arial" w:cs="Arial" w:eastAsia="Arial" w:hAnsi="Arial"/>
                  <w:sz w:val="18"/>
                  <w:szCs w:val="18"/>
                  <w:b w:val="1"/>
                  <w:bCs w:val="1"/>
                  <w:color w:val="0000EE"/>
                  <w:w w:val="98"/>
                </w:rPr>
                <w:t>PART IV</w:t>
              </w:r>
            </w:hyperlink>
          </w:p>
        </w:tc>
        <w:tc>
          <w:tcPr>
            <w:tcW w:w="112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Item 15.</w:t>
              </w:r>
            </w:hyperlink>
          </w:p>
        </w:tc>
        <w:tc>
          <w:tcPr>
            <w:tcW w:w="1240" w:type="dxa"/>
            <w:vAlign w:val="bottom"/>
            <w:gridSpan w:val="7"/>
          </w:tcPr>
          <w:p>
            <w:pPr>
              <w:spacing w:after="0"/>
              <w:rPr>
                <w:sz w:val="21"/>
                <w:szCs w:val="21"/>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71">
              <w:r>
                <w:rPr>
                  <w:rFonts w:ascii="Arial" w:cs="Arial" w:eastAsia="Arial" w:hAnsi="Arial"/>
                  <w:sz w:val="18"/>
                  <w:szCs w:val="18"/>
                  <w:color w:val="0000EE"/>
                  <w:w w:val="89"/>
                </w:rPr>
                <w:t>Exhibits, Financial Statement Schedules</w:t>
              </w:r>
            </w:hyperlink>
          </w:p>
        </w:tc>
        <w:tc>
          <w:tcPr>
            <w:tcW w:w="5660" w:type="dxa"/>
            <w:vAlign w:val="bottom"/>
            <w:gridSpan w:val="9"/>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71">
              <w:r>
                <w:rPr>
                  <w:rFonts w:ascii="Arial" w:cs="Arial" w:eastAsia="Arial" w:hAnsi="Arial"/>
                  <w:sz w:val="15"/>
                  <w:szCs w:val="15"/>
                  <w:color w:val="0000EE"/>
                  <w:w w:val="71"/>
                </w:rPr>
                <w:t>171</w:t>
              </w:r>
            </w:hyperlink>
          </w:p>
        </w:tc>
        <w:tc>
          <w:tcPr>
            <w:tcW w:w="40" w:type="dxa"/>
            <w:vAlign w:val="bottom"/>
          </w:tcPr>
          <w:p>
            <w:pPr>
              <w:spacing w:after="0"/>
              <w:rPr>
                <w:sz w:val="21"/>
                <w:szCs w:val="2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Item 16.</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Form 10-K Summary</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171</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172">
              <w:r>
                <w:rPr>
                  <w:rFonts w:ascii="Arial" w:cs="Arial" w:eastAsia="Arial" w:hAnsi="Arial"/>
                  <w:sz w:val="18"/>
                  <w:szCs w:val="18"/>
                  <w:color w:val="0000EE"/>
                  <w:w w:val="85"/>
                </w:rPr>
                <w:t>Signatures</w:t>
              </w:r>
            </w:hyperlink>
          </w:p>
        </w:tc>
        <w:tc>
          <w:tcPr>
            <w:tcW w:w="10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72">
              <w:r>
                <w:rPr>
                  <w:rFonts w:ascii="Arial" w:cs="Arial" w:eastAsia="Arial" w:hAnsi="Arial"/>
                  <w:sz w:val="15"/>
                  <w:szCs w:val="15"/>
                  <w:color w:val="0000EE"/>
                  <w:w w:val="71"/>
                </w:rPr>
                <w:t>172</w:t>
              </w:r>
            </w:hyperlink>
          </w:p>
        </w:tc>
        <w:tc>
          <w:tcPr>
            <w:tcW w:w="40" w:type="dxa"/>
            <w:vAlign w:val="bottom"/>
          </w:tcPr>
          <w:p>
            <w:pPr>
              <w:spacing w:after="0"/>
              <w:rPr>
                <w:sz w:val="21"/>
                <w:szCs w:val="21"/>
                <w:color w:val="auto"/>
              </w:rPr>
            </w:pPr>
          </w:p>
        </w:tc>
      </w:tr>
      <w:tr>
        <w:trPr>
          <w:trHeight w:val="250"/>
        </w:trPr>
        <w:tc>
          <w:tcPr>
            <w:tcW w:w="12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74">
              <w:r>
                <w:rPr>
                  <w:rFonts w:ascii="Arial" w:cs="Arial" w:eastAsia="Arial" w:hAnsi="Arial"/>
                  <w:sz w:val="18"/>
                  <w:szCs w:val="18"/>
                  <w:color w:val="0000EE"/>
                  <w:w w:val="92"/>
                </w:rPr>
                <w:t>Index to Exhibits</w:t>
              </w:r>
            </w:hyperlink>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74">
              <w:r>
                <w:rPr>
                  <w:rFonts w:ascii="Arial" w:cs="Arial" w:eastAsia="Arial" w:hAnsi="Arial"/>
                  <w:sz w:val="15"/>
                  <w:szCs w:val="15"/>
                  <w:color w:val="0000EE"/>
                  <w:w w:val="71"/>
                </w:rPr>
                <w:t>173</w:t>
              </w:r>
            </w:hyperlink>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3, 2017, January 29, 2016, and January 30, 2015 as "Fiscal 2017," "Fiscal 2016," and "Fiscal 2015," respectively. Fiscal 2016 and Fiscal 2015 included 52 weeks. Fiscal 2017 included 53 weeks, with the extra week included in the fourth quarter of Fiscal 2017.</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Significant Developments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September 7, 2016, we completed our acquisition by merger of EMC Corporation ("EMC"). To finance the EMC merger transaction, we issued $45.9 billion in new debt and $4.4 billion of privately placed common stock. See Note 3, Note 5, and Note 8 of the Notes to the Consolidated Financial Statements included in this report for additional information regarding the EMC merger transaction and the related financing transactions.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Subsequently in Fiscal 2017, we closed our divestitures of Dell Services, Dell Software Group, and the Dell EMC Enterprise Content Division. We received total cash consideration of approximately $7.0 billion from the divestitures and recorded a gain on sale, net of tax, of approximately $1.9 billion. For additional information regarding our divestitures, see Note 4 of the Notes to the Consolidated Financial Statements included in this report.</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proceeds from the divestitures and cash on hand, we repaid a total of approximately $7.0 billion principal amount of debt incurred in connection with the EMC merger transaction. These repayments primarily consisted of our repayment of approximately $2.2 billion principal amount of our Asset Sale Bridge Facility, approximately $3.1 billion principal amount of our Term Loan A-1 Facility, and approximately $1.6 billion principal amount of our Revolving Credit Facility. See Note 8 to the Notes to the Consolidated Financial Statements included in this report for additional information regarding our outstanding debt.</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Also noteworthy during Fiscal 2017, SecureWorks Corp. ("SecureWorks"), a subsidiary of Dell Technologies, completed a registered underwritten initial public offering ("IPO") of its Class A common stock on April 27, 2016. SecureWorks (NASDAQ: SCWX) is a leading global provider of intelligence-driven information security solutions singularly focused on protecting its clients from cyber attacks. SecureWorks' solutions leverage proprietary technologies, processes and extensive expertise in the information security industry. Dell Technologies Inc. held approximately 87.5% of the outstanding equity interest in SecureWorks as of February 3,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Dell Technologies is a strategically aligned family of businesses that brings together the entire infrastructure from hardware to software to services — from the edge to the data center to the cloud. Dell Technologies is a leader in the traditional technology of today and a leader in the cloud-native infrastructure of tomorrow. We are a leading provider of scalable information technology ("IT") solutions enabling customers to be more efficient, mobile, informed, and secure. Through our recent combination with EMC, Dell Technologies now encompasses the businesses of Dell, which includes our Client Solutions Group, Dell EMC, which includes our Infrastructure Solutions Group, VMware, Inc. (NYSE: VMW), Pivotal Software, Inc. ("Pivotal"), RSA Information Security ("RSA"), and SecureWorks. We are focused on providing technology solutions and services that accelerate digital transformation, which is the enablement of organizations to maximize their potential through modernizing IT infrastructure, enabling efficient use of IT resources, providing the means to leverage data to make business decisions, refining processes, keeping data secure, and empowering individuals. We believe technology exists to drive human progress on a global scale — to create new markets, reshape industries, and improve lives. We are positioned to help customers of any size build the essential infrastructure to modernize IT and enable digital business, and are differentiated by our practical innovation and efficient, simple, and affordable solutions.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Dell Technologies is committed to our customers. We believe our products, solutions, and services will help power digital transformation. As we innovate to make our customers' existing IT increasingly productive, we help them reinvest their savings into the next generation of technologies that they need to succeed in the digital economy. Our next-generation solutions which enable digital transformation include software-defined data centers, all flash arrays, hybrid cloud, converged and hyper-converged infrastructure, cloud-native application development tools, mobile, and security solutions. In addition, our extended warranty and delivery offerings, and software and peripherals, which are closely tied to the sale of our hardware products, are important value differentiators that we are able to offer our customers.</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the combined strength of Dell and EMC will benefit our customers through complementary product portfolios, sales teams, and research and development strategies. During this period of transition and integration, we remain focused on supporting our customers with leading solutions, products, and services. We will continue our focus on building superior customer relationships through our direct model and our network of channel partners, which includes value-added resellers, system integrators, distributors, and retailers. We also will continue investing in strategic solutions and enhancing our go-to-market sales and marketing capabilities as we seek to create a leading global technology company poised for long-term sustainable growth and innovation.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Client Solutions Group; Infrastructure Solutions Group; and VMware.</w:t>
      </w:r>
    </w:p>
    <w:p>
      <w:pPr>
        <w:spacing w:after="0" w:line="170" w:lineRule="exact"/>
        <w:rPr>
          <w:sz w:val="20"/>
          <w:szCs w:val="20"/>
          <w:color w:val="auto"/>
        </w:rPr>
      </w:pPr>
    </w:p>
    <w:p>
      <w:pPr>
        <w:ind w:left="660" w:right="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Offerings by CSG (formerly referred to as Client Solutions) include branded hardware, such as desktop PCs,</w:t>
      </w:r>
      <w:r>
        <w:rPr>
          <w:rFonts w:ascii="Arial" w:cs="Arial" w:eastAsia="Arial" w:hAnsi="Arial"/>
          <w:sz w:val="18"/>
          <w:szCs w:val="18"/>
          <w:i w:val="1"/>
          <w:iCs w:val="1"/>
          <w:color w:val="auto"/>
        </w:rPr>
        <w:t xml:space="preserve"> </w:t>
      </w:r>
      <w:r>
        <w:rPr>
          <w:rFonts w:ascii="Arial" w:cs="Arial" w:eastAsia="Arial" w:hAnsi="Arial"/>
          <w:sz w:val="18"/>
          <w:szCs w:val="18"/>
          <w:color w:val="auto"/>
        </w:rPr>
        <w:t>notebooks and tablets, and branded peripherals, such as monitors, printers, and projectors, as well as third-party software, and peripherals. Our computing devices are designed with our commercial and consumer customers' needs in mind, and we seek to optimize performance, reliability, manageability, design, and security. In addition to our traditional personal computer ("PC") business, we also have a portfolio of thin client offerings that is well-positioned to benefit from the growth trends in cloud computing. CSG hardware and services also provide the architecture to enable the Internet of Things and connected ecosystems to securely and efficiently capture massive amounts of data for analytics and actionable insights for commercial customers. CSG also offers attached software, peripherals, and services, including support and deployment, configuration, and extended warranty services.</w:t>
      </w:r>
    </w:p>
    <w:p>
      <w:pPr>
        <w:spacing w:after="0" w:line="192"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Approximately 50% of CSG revenue is generated by sales to customers in the Americas, with the remaining portion derived from sales to customers in Europe, the Middle East and Africa ("EMEA") and in Asia Pacific and Japan ("APJ").</w:t>
      </w:r>
    </w:p>
    <w:p>
      <w:pPr>
        <w:spacing w:after="0" w:line="170" w:lineRule="exact"/>
        <w:rPr>
          <w:sz w:val="20"/>
          <w:szCs w:val="20"/>
          <w:color w:val="auto"/>
        </w:rPr>
      </w:pPr>
    </w:p>
    <w:p>
      <w:pPr>
        <w:ind w:left="660" w:right="100" w:hanging="328"/>
        <w:spacing w:after="0" w:line="270"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Infrastructure Solutions Group (ISG)</w:t>
      </w:r>
      <w:r>
        <w:rPr>
          <w:rFonts w:ascii="Arial" w:cs="Arial" w:eastAsia="Arial" w:hAnsi="Arial"/>
          <w:sz w:val="17"/>
          <w:szCs w:val="17"/>
          <w:i w:val="1"/>
          <w:iCs w:val="1"/>
          <w:color w:val="auto"/>
        </w:rPr>
        <w:t xml:space="preserve"> </w:t>
      </w:r>
      <w:r>
        <w:rPr>
          <w:rFonts w:ascii="Arial" w:cs="Arial" w:eastAsia="Arial" w:hAnsi="Arial"/>
          <w:sz w:val="17"/>
          <w:szCs w:val="17"/>
          <w:color w:val="auto"/>
        </w:rPr>
        <w:t>— EMC's Information Storage segment and our existing Enterprise Solutions Group were combined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create the Infrastructure Solutions Group, or ISG. ISG enables the digital transformation of our enterprise customers through our trusted cloud and big data solutions, which are built upon a modern data center infrastructure. The comprehensive portfolio of advanced storage solutions includes traditional storage solutions as well as next-generation storage solutions (including all flash arrays, scale-out file, object platforms, and software-defined solutions). The server portfolio includes high-performance rack, blade, tower, and hyperscale servers. The networking portfolio helps our business customers transform and modernize their infrastructure, mobilize and enrich end-user experiences, and accelerate business applications and processes. Strengths in core server and storage solutions enables us to offer leading converged and hyper-converged solutions, which allow our customers to accelerate their IT transformation by acquiring scalable integrated IT solutions instead of building and assembling their own IT platforms. Similar to CSG, ISG also offers attached software, peripherals, and services, including support and deployment, configuration, and extended warranty services.</w:t>
      </w:r>
    </w:p>
    <w:p>
      <w:pPr>
        <w:spacing w:after="0" w:line="178"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color w:val="auto"/>
        </w:rPr>
        <w:t>ISG includes Virtustream product and service offerings. Virtustream's cloud software and infrastructure-as-a-service solutions enable customers to migrate, run, and manage mission-critical applications in cloud-based IT environments, and represent a key element of our strategy to help customers support their applications in a variety of cloud native environments.</w:t>
      </w:r>
    </w:p>
    <w:p>
      <w:pPr>
        <w:spacing w:after="0" w:line="181"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Approximately 50% of ISG revenue is generated by sales to customers in the Americas, with the remaining portion derived from sales to customers in EMEA and APJ.</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3" w:lineRule="exact"/>
        <w:rPr>
          <w:rFonts w:ascii="Arial" w:cs="Arial" w:eastAsia="Arial" w:hAnsi="Arial"/>
          <w:sz w:val="16"/>
          <w:szCs w:val="16"/>
          <w:i w:val="1"/>
          <w:iCs w:val="1"/>
          <w:color w:val="auto"/>
        </w:rPr>
      </w:pPr>
    </w:p>
    <w:p>
      <w:pPr>
        <w:ind w:left="660" w:right="20"/>
        <w:spacing w:after="0" w:line="286" w:lineRule="auto"/>
        <w:rPr>
          <w:rFonts w:ascii="Arial" w:cs="Arial" w:eastAsia="Arial" w:hAnsi="Arial"/>
          <w:sz w:val="16"/>
          <w:szCs w:val="16"/>
          <w:i w:val="1"/>
          <w:iCs w:val="1"/>
          <w:color w:val="auto"/>
        </w:rPr>
      </w:pPr>
      <w:r>
        <w:rPr>
          <w:rFonts w:ascii="Arial" w:cs="Arial" w:eastAsia="Arial" w:hAnsi="Arial"/>
          <w:sz w:val="16"/>
          <w:szCs w:val="16"/>
          <w:color w:val="auto"/>
        </w:rPr>
        <w:t>VMware is a leader in virtualization and cloud infrastructure solutions, which enable organizations to manage IT resources across complex multi-cloud, multi-device environments. VMware has expanded beyond its core business of compute virtualization to offer a broad portfolio of virtualization technologies across three main product groups: software-defined data center; hybrid cloud computing; and end-user computing. VMware's software-defined data center includes the fundamental compute layer for the data center (vSphere); storage and availability to offer cost-effective holistic data storage and protection options (vSAN); network and security (VMware NSX); and management and automation (vRealize) products. VMware currently enables its customers to utilize off-premises vSphere-based hybrid cloud computing capacity through two offerings: VMware vCloud Air Network and vCloud Air. vCloud Air is a public cloud operated by VMware that includes infrastructure and disaster recovery. VMware vCloud Air Network is a global ecosystem of over 4,300 cloud providers such as IBM, OVH, and Rackspace that provide VMware-based cloud services. In addition, through a strategic alliance with Amazon Web Services ("AWS"), VMware plans to release an integrated hybrid offering, VMware Cloud on AWS, during Fiscal 2018. VMware Cloud on AWS will enable customers to run applications across vSphere-based private, public, and hybrid cloud environments. VMware's end-user computing offerings (such as AirWatch mobile solutions and Horizon application and desktop virtualization solutions) enable IT organizations to efficiently deliver more secure access to applications, data, and devices for their end users by leveraging VMware's software-defined data center solutions to extend the value of virtualization from data centers to devices.</w:t>
      </w:r>
    </w:p>
    <w:p>
      <w:pPr>
        <w:spacing w:after="0" w:line="174"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Approximately 50% of VMware revenue is generated by sales to customers in the United States.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other businesses, described below, consist of product and service offerings of RSA, SecureWorks, Pivotal, and Boomi, Inc. ("Boomi"). These businesses are not classified as reportable segments, either individually or collectively, as the results of the businesses are not material to our overall results and the businesses do not meet the criteria for reportable segments.</w:t>
      </w:r>
    </w:p>
    <w:p>
      <w:pPr>
        <w:spacing w:after="0" w:line="181" w:lineRule="exact"/>
        <w:rPr>
          <w:sz w:val="20"/>
          <w:szCs w:val="20"/>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w:t>
      </w:r>
      <w:r>
        <w:rPr>
          <w:rFonts w:ascii="Arial" w:cs="Arial" w:eastAsia="Arial" w:hAnsi="Arial"/>
          <w:sz w:val="18"/>
          <w:szCs w:val="18"/>
          <w:color w:val="auto"/>
        </w:rPr>
        <w:t>provides essential cybersecurity solutions engineered to enable organizations to detect, investigate, and respond to advanced attacks, confirm</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w:t>
      </w:r>
    </w:p>
    <w:p>
      <w:pPr>
        <w:spacing w:after="0" w:line="170" w:lineRule="exact"/>
        <w:rPr>
          <w:rFonts w:ascii="Arial" w:cs="Arial" w:eastAsia="Arial" w:hAnsi="Arial"/>
          <w:sz w:val="18"/>
          <w:szCs w:val="18"/>
          <w:color w:val="auto"/>
        </w:rPr>
      </w:pPr>
    </w:p>
    <w:p>
      <w:pPr>
        <w:jc w:val="both"/>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Pivotal </w:t>
      </w:r>
      <w:r>
        <w:rPr>
          <w:rFonts w:ascii="Arial" w:cs="Arial" w:eastAsia="Arial" w:hAnsi="Arial"/>
          <w:sz w:val="16"/>
          <w:szCs w:val="16"/>
          <w:color w:val="auto"/>
        </w:rPr>
        <w:t>is a leading provider of application and data infrastructure software, agile development services, and data science consulting. Pivotal's cloud-native platform enables leading companies to transform their operations with an approach that is focused on building software, rather than buying it.</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22 of the Notes to the Consolidated Financial Statements included in this report for more information about our other businesses.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further discussion regarding our current reportable segments, see "Part II — Item 7 —Management's Discussion and Analysis of Financial Condition and Results of Operations — Results of Operations — Business Unit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offer or arrange various financing options and services for our commercial and consumer customers in the United States, Canada, Europe, and Mexico through Dell Financial Services ("DFS") and its affiliates. DFS services include originating, collecting, and servicing customer receivables primarily related to the purchase of Dell Technologies products. The results of these operations are allocated to our segments based on the underlying product or service financed. For additional information about our financing arrangements, see Note 7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focus on developing scalable technology solutions that incorporate highly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We manage our research and development ("R&amp;D") spending by targeting those innovations and products that we believe are most valuable to our customers and by relying on the capabilities of our strategic relationships. Through this collaborative, customer-focused approach, we strive to deliver new and relevant products to the market quickly and efficiently. Additionally, from time to time, we make strategic investments in publicly-traded and privately-held companies that develop software, hardware, and other technologies or provide services supporting our technologies.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significant portion of our R&amp;D activities are associated with VMware, which has assembled an experienced group of developers with system level, systems management, desktop, mobile devices, security, application development, collaborative applications, networking, storage, and open source software expertise. VMware also has strong ties to leading academic institutions around the world, and invests in joint research with those institutions. Product development efforts are prioritized through a combination of engineering-driven innovation and customer- and market-driven feedback.</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February 3, 2017, we operated 14 global research and development centers, including the Dell Silicon Valley Research and Development Center. Our total R&amp;D expenses were $2.6 billion, $1.1 billion, and $0.9 billion for Fiscal 2017, Fiscal 2016, and Fiscal 2015, respectively. These investments reflect our commitment to R&amp;D activities that ultimately support our mission: to help our customers build their digital future and to transform 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Materials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building a world-class supply chain.</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1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quality management system is maintained through the testing of components, sub-assemblies,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available. We also have implemented Lean Six Sigma methodologies to ensure that the quality of our designs, manufacturing, test processes, and supplier relationships are continually improved.</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maintain a robust Supplier Code of Conduct, actively manage recycling processes for our returned products, and are certified by the Environmental Protection Agency as a Smartway Transport Partner.</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purchase materials, supplies, product components, and products from a large number of qualified suppliers. In some cases, where multiple sources of supply are not available, we rely on single-source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 Factors Relating to Our Business — Reliance on vendors for products and components, many of which are single-source or limited-source suppliers,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could harm Dell Technologies' business by adversely affecting product availability, delivery, reliability, and cost" for information about the risks associated with Dell Technologies' use of single- or limited-source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percentages of revenue we generated from our operations outside of the United States, see Note 22 of the Notes to the Consolidated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VMware competes with large and small vendors in different segments of the cloud computing, end-user computing, and virtualization industries, and expects that new entrants will continue to enter these industries and develop technologies that, if commercialized, may compete with VMware's products and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sell products and services directly to customers and through other sales distribution channels, such as retailers, third-party solutions providers, system integrators, and third-party resellers. During Fiscal 2017, our other sales distribution channels contributed approximately 50% of our net revenue. Our customers include large global and national corporate businesses, public institutions that include government, education, healthcare organizations, and law enforcement agencies, small and medium-sized businesses, and consumers. Our sales efforts are organized around the evolving needs of our customers, and our marketing initiatives reflect this focus. We believe that our unified global sales and marketing team creates a sales organization that is more customer-focused, collaborative, and innovative. Our go-to-market strategy includes a direct business model, as well as channel distribution. Our direct business model emphasizes direct communication with customers, thereby allowing us to refine our products and marketing programs for specific customers groups, and we continue to rely on this strategy. In addition to its direct business model, we rely on a network of channel partners to sell our products and services, enabling us to efficiently serve a greater number of customers.</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Designed in collaboration with partners and drawing from the best aspects of the former Dell and EMC partner programs, the Dell EMC Partner Program was launched in February 2017. The Dell EMC Partner Program will provide expanded business opportunity for partners and reaffirms Dell EMC's strong commitment to selling products and services through sales distribution channels. The strength of our program is based on a broad product portfolio, along with a program that rewards partners who are trained to effectively position, sell, and service Dell EMC products and go-to-market innovations.</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We market our products and services to small and medium-sized businesses and consumers through various advertising media. To react quickly to our customers' needs, we track our Net Promoter Score, a customer loyalty metric that is widely used across various industries. Increasingly, we also engage with customers through our social media communities on </w:t>
      </w:r>
      <w:r>
        <w:rPr>
          <w:rFonts w:ascii="Arial" w:cs="Arial" w:eastAsia="Arial" w:hAnsi="Arial"/>
          <w:sz w:val="17"/>
          <w:szCs w:val="17"/>
          <w:u w:val="single" w:color="auto"/>
          <w:color w:val="auto"/>
        </w:rPr>
        <w:t>www.delltechnologies.com</w:t>
      </w:r>
      <w:r>
        <w:rPr>
          <w:rFonts w:ascii="Arial" w:cs="Arial" w:eastAsia="Arial" w:hAnsi="Arial"/>
          <w:sz w:val="17"/>
          <w:szCs w:val="17"/>
          <w:color w:val="auto"/>
        </w:rPr>
        <w:t xml:space="preserve"> and in external social media channels.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large business and institutional customers, we maintain a field sales force throughout the world. Dedicated account teams, which include technical sales specialists, form long-term relationships to provide our largest customers with a single source of assistance, develop tailored solutions for these customers, positioning the capabilities of Dell Technologies, and provide us with customer feedback. For these customers, we offer several programs designed to provide single points of contact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February 3, 2017, we held a worldwide portfolio of 13,289 patents and had an additional 8,657 patent applications pending. Of those amounts, 1,605 patents and 2,426 patent applications pending were owned by VMware. We also hold licenses to use numerous third-party patents. To replace expiring patents, we obtain new patents through our ongoing research and development activities. The inventions claimed in our patents and patent applications cover aspects of our current and possible future computer system products, manufacturing processes, and related technologies. Our product, business method, and manufacturing process patents may establish barriers to entry in many product lines. Although we use our patented inventions and also license them to others, we are not substantially dependent on any single patent or group of related patents. We have entered into a variety of intellectual property licensing and cross-licensing agreements and software licensing agreements with other companies. We anticipate that our worldwide patent portfolio will be of value in negotiating intellectual property rights with others in the industry.</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obtained U.S. federal trademark registration for the Dell word mark and logo mark and the VMware word and logo mark. We have pending applications to register the Dell EMC word and logo marks. As of February 3, 2017, we owned registrations for 335 of our other trademarks in the United States and had pending applications for registration of 61 other trademarks. We believe that the DELL, Dell EMC, and VMware word marks and logo marks in the United States are material to our operations. As of February 3, 2017, we also had applied for, or obtained registration of, the DELL word mark and several other marks in approximately 183 other countries.</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From time to time, other companies and individuals assert exclusive patent, copyright, trademark, or other intellectual property rights to technologies or marks that are alleged to be relevant to the technology industry or our business. We evaluate each claim relating to our products and, if appropriate, seek a license to use the protected technology. The licensing agreements generally do not require the licensor to assist us in duplicating the licensor's patented technology, nor do the agreements protect us from trade secret, copyright, or other violations by us or our suppliers in developing or selling the licensed products.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noted, trademarks appearing in this report are owned by us. We disclaim proprietary interest in the marks and names of others. Net Promoter Score is a trademark of Satmetrix Systems, Inc., Bain &amp; Company, Inc., and Fred Reichheld.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Sustainability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Government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Our business is subject to regulation by various U.S. federal and state governmental agencies and other governmental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We were not assessed any material environmental fines, nor did we have any material environmental remediation or other environmental costs, during Fiscal 2017.</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Our Philosophy on Sustainability: Building a Legacy of Good</w:t>
      </w:r>
      <w:r>
        <w:rPr>
          <w:rFonts w:ascii="Arial" w:cs="Arial" w:eastAsia="Arial" w:hAnsi="Arial"/>
          <w:sz w:val="18"/>
          <w:szCs w:val="18"/>
          <w:i w:val="1"/>
          <w:iCs w:val="1"/>
          <w:color w:val="auto"/>
        </w:rPr>
        <w:t xml:space="preserve"> </w:t>
      </w:r>
      <w:r>
        <w:rPr>
          <w:rFonts w:ascii="Arial" w:cs="Arial" w:eastAsia="Arial" w:hAnsi="Arial"/>
          <w:sz w:val="18"/>
          <w:szCs w:val="18"/>
          <w:color w:val="auto"/>
        </w:rPr>
        <w:t>— One of the core tenets of Dell Technologies is the belief that technology should drive human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Our newly combined company draws on the strengths of the legacy Dell and EMC organizations, and we remain committed to putting our technology and expertise to work where it can do the most good for people and our planet.</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commitment is intimately tied to our business goals of driving growth, helping mitigate risk, and ensuring business opportunities by building our brand. Based on the idea that we all win when we create shared value, we created the Legacy of Good plan to build on the strengths throughout our value chain to create social, environmental, and economic value by uniting our purpose with our business objectives. The plan features 21 bold goals for the year 2020 across the material areas of our business, ultimately setting the agenda for building a better future where everyone can reach their full potential while sharing in and supporting the common good.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As we work towards a consolidated sustainability approach for our newly combined company, we have identified the following key areas of focus:</w:t>
      </w:r>
    </w:p>
    <w:p>
      <w:pPr>
        <w:spacing w:after="0" w:line="237"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i w:val="1"/>
          <w:iCs w:val="1"/>
          <w:color w:val="auto"/>
        </w:rPr>
        <w:t xml:space="preserve">Creating Net Positive Outcomes </w:t>
      </w:r>
      <w:r>
        <w:rPr>
          <w:rFonts w:ascii="Arial" w:cs="Arial" w:eastAsia="Arial" w:hAnsi="Arial"/>
          <w:sz w:val="16"/>
          <w:szCs w:val="16"/>
          <w:color w:val="auto"/>
        </w:rPr>
        <w:t>— Creating net positive outcomes means putting back more into society, the environment, and the global economy than</w:t>
      </w:r>
      <w:r>
        <w:rPr>
          <w:rFonts w:ascii="Arial" w:cs="Arial" w:eastAsia="Arial" w:hAnsi="Arial"/>
          <w:sz w:val="16"/>
          <w:szCs w:val="16"/>
          <w:i w:val="1"/>
          <w:iCs w:val="1"/>
          <w:color w:val="auto"/>
        </w:rPr>
        <w:t xml:space="preserve"> </w:t>
      </w:r>
      <w:r>
        <w:rPr>
          <w:rFonts w:ascii="Arial" w:cs="Arial" w:eastAsia="Arial" w:hAnsi="Arial"/>
          <w:sz w:val="16"/>
          <w:szCs w:val="16"/>
          <w:color w:val="auto"/>
        </w:rPr>
        <w:t>we take out. In particular, we focus on helping customers harness the power of technology to deliver better social and environmental outcomes.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Energy Efficiency </w:t>
      </w:r>
      <w:r>
        <w:rPr>
          <w:rFonts w:ascii="Arial" w:cs="Arial" w:eastAsia="Arial" w:hAnsi="Arial"/>
          <w:sz w:val="18"/>
          <w:szCs w:val="18"/>
          <w:color w:val="auto"/>
        </w:rPr>
        <w:t>— We have set a goal to reduce the energy intensity of our entire product portfolio by 80% by 2020.</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 xml:space="preserve">Technology Take-back, Reuse, and Recycling </w:t>
      </w:r>
      <w:r>
        <w:rPr>
          <w:rFonts w:ascii="Arial" w:cs="Arial" w:eastAsia="Arial" w:hAnsi="Arial"/>
          <w:sz w:val="18"/>
          <w:szCs w:val="18"/>
          <w:color w:val="auto"/>
        </w:rPr>
        <w:t>— We begin thinking about recycling at the design phase, asking our product engineers to work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recyclers to understand how to make products easy to repair or disassemble for recycling. When our products reach the end of their life cycles, we make it easy for customers to recycle their obsolete electronic equipment.</w:t>
      </w:r>
    </w:p>
    <w:p>
      <w:pPr>
        <w:spacing w:after="0" w:line="18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i w:val="1"/>
          <w:iCs w:val="1"/>
          <w:color w:val="auto"/>
        </w:rPr>
        <w:t xml:space="preserve">Circular Economy and Design for the Environment </w:t>
      </w:r>
      <w:r>
        <w:rPr>
          <w:rFonts w:ascii="Arial" w:cs="Arial" w:eastAsia="Arial" w:hAnsi="Arial"/>
          <w:sz w:val="18"/>
          <w:szCs w:val="18"/>
          <w:color w:val="auto"/>
        </w:rPr>
        <w:t>— Recycling, reuse, and closed-loop manufacturing form the bedrock of the circular economy,</w:t>
      </w:r>
      <w:r>
        <w:rPr>
          <w:rFonts w:ascii="Arial" w:cs="Arial" w:eastAsia="Arial" w:hAnsi="Arial"/>
          <w:sz w:val="18"/>
          <w:szCs w:val="18"/>
          <w:i w:val="1"/>
          <w:iCs w:val="1"/>
          <w:color w:val="auto"/>
        </w:rPr>
        <w:t xml:space="preserve"> </w:t>
      </w:r>
      <w:r>
        <w:rPr>
          <w:rFonts w:ascii="Arial" w:cs="Arial" w:eastAsia="Arial" w:hAnsi="Arial"/>
          <w:sz w:val="18"/>
          <w:szCs w:val="18"/>
          <w:color w:val="auto"/>
        </w:rPr>
        <w:t>ensuring that materials already in circulation stay in the economy instead of exiting as waste. Within our own operations, we look at how materials can be used, or reused, in ways that extend their value.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 xml:space="preserve">Reducing Our Footprint, Caring for Our Planet </w:t>
      </w:r>
      <w:r>
        <w:rPr>
          <w:rFonts w:ascii="Arial" w:cs="Arial" w:eastAsia="Arial" w:hAnsi="Arial"/>
          <w:sz w:val="18"/>
          <w:szCs w:val="18"/>
          <w:color w:val="auto"/>
        </w:rPr>
        <w:t>— We are focused on reducing the impact of our operations on the environment, and our teams examine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processes in our own facilities to identify opportunities for greater efficiency. Many of our locations purchase some or all of their electricity from renewable sources and many of our manufacturing facilities are approaching zero waste to landfill.</w:t>
      </w:r>
    </w:p>
    <w:p>
      <w:pPr>
        <w:spacing w:after="0" w:line="1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Social and Environmental Responsibility ("SER") in the Supply Chain </w:t>
      </w:r>
      <w:r>
        <w:rPr>
          <w:rFonts w:ascii="Arial" w:cs="Arial" w:eastAsia="Arial" w:hAnsi="Arial"/>
          <w:sz w:val="17"/>
          <w:szCs w:val="17"/>
          <w:color w:val="auto"/>
        </w:rPr>
        <w:t>— We are committed to responsible business practices and hold ourselves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to a high standard of excellence. We work in partnership with our suppliers to reduce risks that could lead to harm of workers, production suspensions, factory shut-downs, or environmental damage. All of our suppliers must agree to our global supplier principles and accept the Electronic Industry Citizenship Coalition Code of Conduct. Additionally, we are committed to a conflict-free mineral supply chain.</w:t>
      </w:r>
    </w:p>
    <w:p>
      <w:pPr>
        <w:spacing w:after="0" w:line="171" w:lineRule="exact"/>
        <w:rPr>
          <w:sz w:val="20"/>
          <w:szCs w:val="20"/>
          <w:color w:val="auto"/>
        </w:rPr>
      </w:pPr>
    </w:p>
    <w:p>
      <w:pPr>
        <w:ind w:right="640" w:firstLine="405"/>
        <w:spacing w:after="0" w:line="264" w:lineRule="auto"/>
        <w:rPr>
          <w:sz w:val="20"/>
          <w:szCs w:val="20"/>
          <w:color w:val="auto"/>
        </w:rPr>
      </w:pPr>
      <w:r>
        <w:rPr>
          <w:rFonts w:ascii="Arial" w:cs="Arial" w:eastAsia="Arial" w:hAnsi="Arial"/>
          <w:sz w:val="18"/>
          <w:szCs w:val="18"/>
          <w:i w:val="1"/>
          <w:iCs w:val="1"/>
          <w:color w:val="auto"/>
        </w:rPr>
        <w:t xml:space="preserve">Youth Learning </w:t>
      </w:r>
      <w:r>
        <w:rPr>
          <w:rFonts w:ascii="Arial" w:cs="Arial" w:eastAsia="Arial" w:hAnsi="Arial"/>
          <w:sz w:val="18"/>
          <w:szCs w:val="18"/>
          <w:color w:val="auto"/>
        </w:rPr>
        <w:t>— Technology skills are critical to continued innovation and can have a profound effect on our businesses, communities,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We have a strong commitment to Science, Technology, Engineering, and Math ("STEM") and other youth learning activities, providing funding, volunteer time, and technology to underserved populations.</w:t>
      </w:r>
    </w:p>
    <w:p>
      <w:pPr>
        <w:spacing w:after="0" w:line="181"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i w:val="1"/>
          <w:iCs w:val="1"/>
          <w:color w:val="auto"/>
        </w:rPr>
        <w:t xml:space="preserve">Partnering with TGen on Technology for Good </w:t>
      </w:r>
      <w:r>
        <w:rPr>
          <w:rFonts w:ascii="Arial" w:cs="Arial" w:eastAsia="Arial" w:hAnsi="Arial"/>
          <w:sz w:val="18"/>
          <w:szCs w:val="18"/>
          <w:color w:val="auto"/>
        </w:rPr>
        <w:t>— Together with TGen (the Translational Genomics Research Institute), we are changing the paradigm</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treatment of childhood cancers. We developed the Genomic Data Analysis Platform — a complete high-performance computing infrastructure solution uniquely designed to meet the needs of genomic data collection and analysis. This powerful, efficient technology has reduced the time it takes to analyze the 90 billion data points of sequenced genomes from weeks to approximately eight hours.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 sustainability report for Dell Technologies is expected to be available in June 2017. The Dell Inc. 2016 Corporate Social Responsibility Report is available at </w:t>
      </w:r>
      <w:r>
        <w:rPr>
          <w:rFonts w:ascii="Arial" w:cs="Arial" w:eastAsia="Arial" w:hAnsi="Arial"/>
          <w:sz w:val="18"/>
          <w:szCs w:val="18"/>
          <w:u w:val="single" w:color="auto"/>
          <w:color w:val="auto"/>
        </w:rPr>
        <w:t>www.dell.com/crreport</w:t>
      </w:r>
      <w:r>
        <w:rPr>
          <w:rFonts w:ascii="Arial" w:cs="Arial" w:eastAsia="Arial" w:hAnsi="Arial"/>
          <w:sz w:val="18"/>
          <w:szCs w:val="18"/>
          <w:color w:val="auto"/>
        </w:rPr>
        <w:t xml:space="preserve">. EMC's latest Sustainability Report, "Redefine the Future," is available at </w:t>
      </w:r>
      <w:r>
        <w:rPr>
          <w:rFonts w:ascii="Arial" w:cs="Arial" w:eastAsia="Arial" w:hAnsi="Arial"/>
          <w:sz w:val="18"/>
          <w:szCs w:val="18"/>
          <w:u w:val="single" w:color="auto"/>
          <w:color w:val="auto"/>
        </w:rPr>
        <w:t>www.emc.com/corporate/sustainability/sustainability-reports.htm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Backlog</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believe that product backlog is not a meaningful indicator of net revenue that can be expected for any period. Our business model generally gives us flexibility to manage product backlog at any point in time by expediting shipping or prioritizing customer orders toward products that have shorter lead times, thereby reducing product backlog and increasing current period revenue. Moreover, product backlog at any point in time may not result in the generation of any predictable amount of net revenue in any subsequent period, as unfilled orders can generally be canceled at any time by the customer.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the end of Fiscal 2017, we had approximately 138,000 total full-time employees, approximately 20,000 of which were employees of VMware. In comparison, we had approximately 102,000 total full-time employees at the end of Fiscal 2016. The significant increase in the number of full-time employees was due to our acquisition of EMC, the effect of which was partially offset by employee reductions resulting from our divestitures. At the end of Fiscal 2017, approximately 40% of our full-time employees were located in the United States and approximately 60% were located in other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 holding company that conducts our operations through subsidiaries.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were incorporated in the state of Delaware on January 31, 2013 under the name of Denali Holding Inc. in connection with Dell's going private transaction, which was completed in October 2013. We changed our name to Dell Technologies Inc. on August 25, 2016. The mailing address of our principal executive offices is One Dell Way, Round Rock, Texas 78682. Our telephone number is 1-800-289-3355.</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www.delltechnologies.com</w:t>
      </w:r>
      <w:r>
        <w:rPr>
          <w:rFonts w:ascii="Arial" w:cs="Arial" w:eastAsia="Arial" w:hAnsi="Arial"/>
          <w:sz w:val="16"/>
          <w:szCs w:val="16"/>
          <w:color w:val="auto"/>
        </w:rPr>
        <w:t>. We make available free of charge through our website our annual reports on Form 10-K, quarterly reports on Form 10-Q, and current reports on Form 8-K, and all amendments to those reports, as soon as reasonably practicable after we electronically file or furnish reports with the Securities and Exchange Commission ("SEC"). The contents of our website are not a part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DHI Group and Class V Group</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Dell Technologies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its retained interest in the Class V Group equal to approximately 38% of Dell Technologies' economic interest in the Class V Group as of February 3, 2017. The Class V Common Stock is intended to track the economic performance of approximately 62% of Dell Technologies' economic interest in the Class V Group as of such date. As of February 3, 2017, the Class V Group consisted of approximately 338 million shares of Class A common stock of VMware held by Dell Technologies. See Note 18 of the Notes to the Consolidated Financial Statements included in this report and Exhibit 99.1 filed with this report for more information regarding the allocation of earnings from Dell Technologies' interest in VMware between the DHI Group and the Class V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Dell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March 31, 2017, information about our executive officers, who are appointed by our board of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S. Dell</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Jeremy Burton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Corporate EVP, Marketing &amp; Corporate Development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W. Clarke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Chairman, Operations and President, Client Solutions</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Howard D. Elias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President, Global Services &amp; IT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I. Goulden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Infrastructure Solutions Group</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Marius Haas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H. Price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Karen H. Quintos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Chief Customer Officer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Rory Read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Integration Officer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Richard J. Rothberg</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W. Sweet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89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Michael S. Dell </w:t>
      </w:r>
      <w:r>
        <w:rPr>
          <w:rFonts w:ascii="Arial" w:cs="Arial" w:eastAsia="Arial" w:hAnsi="Arial"/>
          <w:sz w:val="16"/>
          <w:szCs w:val="16"/>
          <w:color w:val="auto"/>
        </w:rPr>
        <w:t>— Mr. Dell serves as Chairman of the Board and Chief Executive Officer of Dell Technologies. Mr. Dell has held the title of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Dell Inc. since he founded the company in 1984. Mr. Dell also served as Chief Executive Officer of Dell Inc. from 1984 until July 2004 and resumed that role in January 2007. In 1998, Mr. Dell formed MSD Capital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U.S. Business Council and the Business Roundtable. He also serves on the governing board of the Indian School of Business in Hyderabad, India, and is a board member of Catalyst, Inc., a non-profit organization that promotes inclusive workplaces for women. In June 2014, Mr. Dell was named the United Nations foundation's first Global Advocate for Entrepreneurship.</w:t>
      </w:r>
    </w:p>
    <w:p>
      <w:pPr>
        <w:spacing w:after="0" w:line="1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Jeremy Burton </w:t>
      </w:r>
      <w:r>
        <w:rPr>
          <w:rFonts w:ascii="Arial" w:cs="Arial" w:eastAsia="Arial" w:hAnsi="Arial"/>
          <w:sz w:val="17"/>
          <w:szCs w:val="17"/>
          <w:color w:val="auto"/>
        </w:rPr>
        <w:t>— Mr. Burton serves as the Chief Marketing Officer of Dell Technologies, directly responsible for the global marketing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all aspects of the company's enterprise marketing efforts, including brand, communications, digital, and field and channel marketing. In addition to his marketing responsibilities, Mr. Burton leads Corporate Development, with responsibility for mergers and acquisitions and venture capital investment activity. Mr. Burton served as EMC's President, Products and Marketing from March 2014 until EMC's acquisition by Dell Technologies. He was EMC's Executive Vice President, Product Operations and Marketing from July 2012 to March 2014. In these roles, Mr. Burton was responsible for product divisions within EMC's Information Infrastructure business, including product strategy, research and development, operations, CTO office, global alliances, and global marketing. Mr. Burton joined EMC in March 2010 as Executive Vice President and Chief Marketing Officer. Prior to joining EMC, Mr. Burton held several senior leadership roles, including serving as President and Chief Executive Officer of Serena Software, Inc., a global independent software company, and as Group President of the Security and Data Management Business Unit of Symantec Corporation, a provider of security, storage, and systems management solutions. Prior to joining Semantec, he served as Executive Vice President of the Data Management Group and as Chief Marketing Officer at VERITAS Software Corporation (now a part of Symantec). Earlier in his career, Mr. Burton spent nearly a decade at Oracle Corporation, a large enterprise software company, ultimately in the role of Senior Vice President of Product and Services Marketing.</w:t>
      </w:r>
    </w:p>
    <w:p>
      <w:pPr>
        <w:spacing w:after="0" w:line="180"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i w:val="1"/>
          <w:iCs w:val="1"/>
          <w:color w:val="auto"/>
        </w:rPr>
        <w:t xml:space="preserve">Jeffrey W. Clarke </w:t>
      </w:r>
      <w:r>
        <w:rPr>
          <w:rFonts w:ascii="Arial" w:cs="Arial" w:eastAsia="Arial" w:hAnsi="Arial"/>
          <w:sz w:val="17"/>
          <w:szCs w:val="17"/>
          <w:color w:val="auto"/>
        </w:rPr>
        <w:t>— Mr. Clarke serves as Vice Chairman and President, Operations and Client Solutions of Dell Technologies, leading the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supply chain and client solutions organizations. Mr. Clarke has served in this role since January 2009, in which he has been responsible for global manufacturing, procurement, and supply chain activities worldwide, as well as the engineering, design, and development of desktop PCs, notebooks, and workstations for customers ranging from consumers and small and medium-sized businesses to large corporate enterprises. In addition, Mr. Clarke currently leads customer support, sales operations, commerce services functions, and IT planning and governance globally for Dell.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w:t>
      </w:r>
    </w:p>
    <w:p>
      <w:pPr>
        <w:spacing w:after="0" w:line="1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i w:val="1"/>
          <w:iCs w:val="1"/>
          <w:color w:val="auto"/>
        </w:rPr>
        <w:t xml:space="preserve">Howard D. Elias </w:t>
      </w:r>
      <w:r>
        <w:rPr>
          <w:rFonts w:ascii="Arial" w:cs="Arial" w:eastAsia="Arial" w:hAnsi="Arial"/>
          <w:sz w:val="17"/>
          <w:szCs w:val="17"/>
          <w:color w:val="auto"/>
        </w:rPr>
        <w:t>— Mr. Elias serves as President, Global Services and IT of Dell Technologies, supporting customers across the Client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Solutions Groups. Mr. Elias oversees technology and deployment services, consulting services, global support services, education services, global Centers of Excellence, and the IT organization. Mr. Elias previously served as President and Chief Operating Officer, EMC Global Enterprise Services from January 2013 until EMC's acquisition by Dell Technologies,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("VCE") Company, now part of Dell Technologies' converged platform division. Prior to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is a director of TEGNA Inc., a media and digital business company.</w:t>
      </w:r>
    </w:p>
    <w:p>
      <w:pPr>
        <w:spacing w:after="0" w:line="18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i w:val="1"/>
          <w:iCs w:val="1"/>
          <w:color w:val="auto"/>
        </w:rPr>
        <w:t xml:space="preserve">David I. Goulden </w:t>
      </w:r>
      <w:r>
        <w:rPr>
          <w:rFonts w:ascii="Arial" w:cs="Arial" w:eastAsia="Arial" w:hAnsi="Arial"/>
          <w:sz w:val="18"/>
          <w:szCs w:val="18"/>
          <w:color w:val="auto"/>
        </w:rPr>
        <w:t>— Mr. Goulden serves as President, Infrastructure Solutions Group of Dell Technologies, responsible for the global organization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essential infrastructure for customers to build and transform their IT. Mr. Goulden oversees all aspects of the Infrastructure Solutions Group, which is focused on modernizing the data center, leveraging the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cloud, empowering a mobile workforce, and protecting organizations and their data. From January 2014 until EMC's acquisition by Dell Technologies, Mr. Goulden was Chief Executive Officer of the EMC Information Infrastructure business, EMC's largest business by revenue and employees. Prior to his service in that role, he was President and Chief Operating Officer, responsible for overseeing engineering and product development, sales and customer operations, services, marketing, and G&amp;A functions, since July 2012. Mr. Goulden previously served as Executive Vice President and Chief Financial Officer at EMC from August 2006 to July 2012, responsible for financial operations of EMC's consolidated businesses. Earlier in his career at EMC, Mr. Goulden led the company's Sales and Customer Operations worldwide, including global sales in all theaters as well as global channels, alliances, and partners, and prior to that service he oversaw Marketing and New Business Development at EMC. Prior to joining EMC in 2002, Mr. Goulden served in various capacities at Getronics N.V., an information technology services company, most recently as a member of the Board of Management and President and Chief Operating Officer for the Americas and Asia Pacific.</w:t>
      </w:r>
    </w:p>
    <w:p>
      <w:pPr>
        <w:spacing w:after="0" w:line="18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Marius Haas </w:t>
      </w:r>
      <w:r>
        <w:rPr>
          <w:rFonts w:ascii="Arial" w:cs="Arial" w:eastAsia="Arial" w:hAnsi="Arial"/>
          <w:sz w:val="17"/>
          <w:szCs w:val="17"/>
          <w:color w:val="auto"/>
        </w:rPr>
        <w:t>— Mr. Haas serves as President and Chief Commercial Officer of Dell Technologies, responsible for the global go-to-market 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delivering innovative and practical solutions to commercial customers. In this role, Mr. Haas also has responsibility for Dell channel partners, as well as for public and federal customers worldwide. Mr. Haas previously served as Chief Commercial Officer and President, Enterprise Solutions from 2012 to September 2016, where he was responsible for strategy, development, and deployment of all data center and cloud solutions globally. Mr. Haas came to Dell in 2012 from Kohlberg Kravis Roberts &amp; Co. L.P, a global investment firm, where he was responsible for identifying and pursuing new investments, while supporting existing portfolio companies with operational expertise. Before his service in that role, Mr. Haas served at Hewlett-Packard's Networking Division as Senior Vice President and Worldwide General Manager from 2008 to 2011 and as Chief of Staff to the CEO and Senior Vice President of Strategy and Corporate Development from 2003 to 2008. He has previously served as a member of McKinsey &amp; Company CSO Council, the Ernst &amp; Young Corporate Development Leadership Network, the board of directors for Airtight Networks, and the board of directors of the Association of Strategic Alliance Professionals. Mr. Haas currently serves on the board of directors of the US-China Business Council.</w:t>
      </w:r>
    </w:p>
    <w:p>
      <w:pPr>
        <w:spacing w:after="0" w:line="17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Steven H. Price </w:t>
      </w:r>
      <w:r>
        <w:rPr>
          <w:rFonts w:ascii="Arial" w:cs="Arial" w:eastAsia="Arial" w:hAnsi="Arial"/>
          <w:sz w:val="16"/>
          <w:szCs w:val="16"/>
          <w:color w:val="auto"/>
        </w:rPr>
        <w:t>— Mr. Price serves as Dell Technologies' Chief Human Resources Officer, leading both human resources and global facilities functions.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role, Mr. Price is responsible for overall human resources strategy in support of the purpose, values, and business initiatives of Dell Technologies. He is also responsible for addressing the culture, leadership, talent, and performance challenges of the company. Mr. Price previously served as Dell's Senior Vice President, Human Resources from June 2010 to September 2016. Mr. Price joined Dell in February 1997 and has served in many key leadership roles throughout the HR organization, including Vice President of HR Operations, Global Talent Management, Vice President of HR for the global Consumer business, Vice President of HR Americas, and Vice President of HR EMEA. Prior to joining Dell in 1997, Mr. Price spent 13 years with SC Johnson Wax, a producer of consumer products based in Racine, Wisconsin. Having started his career there in sales, he later moved into human resources, where he held a variety of senior positions. Mr. Price also is the executive sponsor for the Slack Employee Resource Group at Dell Technologies.</w:t>
      </w:r>
    </w:p>
    <w:p>
      <w:pPr>
        <w:spacing w:after="0" w:line="16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Karen H. Quintos </w:t>
      </w:r>
      <w:r>
        <w:rPr>
          <w:rFonts w:ascii="Arial" w:cs="Arial" w:eastAsia="Arial" w:hAnsi="Arial"/>
          <w:sz w:val="16"/>
          <w:szCs w:val="16"/>
          <w:color w:val="auto"/>
        </w:rPr>
        <w:t>— Ms. Quintos serves as Chief Customer Officer of Dell Technologies, where she leads a global organization solely devoted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advocacy, and is responsible for setting and executing a total customer experience strategy. Ms. Quintos also leads the Diversity and Inclusion and Corporate Responsibility business imperatives, which encompass social responsibility, entrepreneurship, and diversity. Ms. Quintos previously served as Senior Vice President and Chief Marketing Officer (CMO) for Dell from September 2010 to September 2016, where she led marketing for Dell's global commercial business, brand strategy, global communications, social media, corporate responsibility, customer insights, marketing talent development, and agency management. Before becoming CMO, Ms. Quintos served as Vice President of Dell's global public business, from January 2008 to September 2010, and she also held various executive roles in marketing and in Dell's Services and Supply Chain Management teams since joining Dell in 2000. Ms. Quintos came to Dell from Citigroup, Inc., an investment banking and financial services company, where she served as Vice President of Global Operations and Technology. She also spent 12 years with Merck &amp; Co., a manufacturer and distributor of pharmaceuticals, where she held a variety of marketing, operations, and supply chain leadership positions. She has served on multiple boards of directors and currently serves on the boards of Lennox International, the Susan G. Komen for the Cure, and Penn State's Smeal Business School. Ms. Quintos also is founder and executive sponsor of Dell's Wise employee resource group.</w:t>
      </w:r>
    </w:p>
    <w:p>
      <w:pPr>
        <w:spacing w:after="0" w:line="1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 xml:space="preserve">Rory Read </w:t>
      </w:r>
      <w:r>
        <w:rPr>
          <w:rFonts w:ascii="Arial" w:cs="Arial" w:eastAsia="Arial" w:hAnsi="Arial"/>
          <w:sz w:val="17"/>
          <w:szCs w:val="17"/>
          <w:color w:val="auto"/>
        </w:rPr>
        <w:t>— Mr. Read serves as Dell Technologies' Chief Integration Officer. Mr. Read has served in his present role since October 2015, and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leading the integration of the Dell and EMC businesses. From March 2015 to October 2015, Mr. Read served as Chief Operating Officer and President of Worldwide Commercial Sales for Dell, where he was responsible for cross-business unit and country-level operational planning, building and leading Dell's best-in-class sales engine, and overseeing the strategy for the company's global channel team, system integrator partners, and direct sales force. Prior to joining Dell in March 2015, Mr. Read served as President and Chief Executive Officer at Advanced Micro Devices, Inc., a technology company, from August 2011 to October 2014, where he also served as a member of the board of directors.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that service, he spent over five years as President and Chief Operating Officer at Lenovo Group Ltd., a computer technology company, where he was responsible for driving growth, execution, profitability, and performance across an enterprise encompassing more than 160 countries. Mr. Read also spent 23 years at International Business Machines Corporation (IBM), a technology and consulting company, serving in various leadership roles in the Asia-Pacific region and globally.</w:t>
      </w:r>
    </w:p>
    <w:p>
      <w:pPr>
        <w:spacing w:after="0" w:line="18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Richard J. Rothberg </w:t>
      </w:r>
      <w:r>
        <w:rPr>
          <w:rFonts w:ascii="Arial" w:cs="Arial" w:eastAsia="Arial" w:hAnsi="Arial"/>
          <w:sz w:val="17"/>
          <w:szCs w:val="17"/>
          <w:color w:val="auto"/>
        </w:rPr>
        <w:t>— Mr. Rothberg serves as General Counsel and Secretary for Dell Technologies. In this role, in which he has served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Prior to joining Dell, Mr. Rothberg spent nearly eight years in senior legal roles at Caterpillar Inc., an equipment manufacturing company, in senior legal roles in Nashville, Tennessee and Geneva, Switzerland. Mr. Rothberg was also an attorney for IBM Credit Corporation and at Rogers &amp; Wells, a law firm.</w:t>
      </w:r>
    </w:p>
    <w:p>
      <w:pPr>
        <w:spacing w:after="0" w:line="182"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 xml:space="preserve">Thomas W. Sweet </w:t>
      </w:r>
      <w:r>
        <w:rPr>
          <w:rFonts w:ascii="Arial" w:cs="Arial" w:eastAsia="Arial" w:hAnsi="Arial"/>
          <w:sz w:val="16"/>
          <w:szCs w:val="16"/>
          <w:color w:val="auto"/>
        </w:rPr>
        <w:t>— Mr. Sweet serves as Chief Financial Officer of Dell Technologies. In this role, in which he has served since January 2014,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all aspects of the company's finance function, including accounting, financial planning and analysis, tax, treasury, investor relations, and corporate strategy.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his service in those roles, Mr. Sweet served in a variety of finance leadership positions, including as Vice President responsible for overall finance activities within the corporate business, education, government, and healthcare business units of Dell. Mr. Sweet also has served as Vice President of internal audit and in a number of sales leadership roles in education and corporate business units since joining Dell in 1997.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may adversely affect Dell Technologies' industry unit share position, revenue, and profitability.</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Dell Technologies operates in an industry in which there are rapid technological advances in hardware, software, and service offerings. As a result, Dell Technologies faces aggressive product and price competition from both branded and generic competitors. Dell Technologies competes based on its ability to offer to its customer's competitive integrated solutions that provide the most current and desired product and services features. There is a risk that Dell Technologies' competitors may provide products that are less costly, perform better or include additional features that are not available with Dell Technologies' products. There also is a risk that Dell Technologies' product portfolios may quickly become outdated or that Dell Technologies' market share may quickly erode. Further, efforts to balance the mix of products and services in order to optimize profitability, liquidity, and growth may put pressure on Dell Technologies' industry position.</w:t>
      </w:r>
    </w:p>
    <w:p>
      <w:pPr>
        <w:spacing w:after="0" w:line="189"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As the technology industry continues to expand globally, there may be new and increased competition in different geographic regions. The generally low barriers to entry in the technology industry increase the potential for challenges from new industry competitors. There also may be increased competition from new types of products as the options for mobile and cloud computing solutions increase. In addition, companies with which Dell Technologies has strategic alliances may become competitors in other product areas or current competitors may enter into new strategic relationships with new or existing competitors, all of which may further increase the competitive pressures on Dell Technologies.</w:t>
      </w:r>
    </w:p>
    <w:p>
      <w:pPr>
        <w:spacing w:after="0" w:line="16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Reliance on vendors for products and components, many of which are single-source or limited-source suppliers, could harm Dell Technologies' business by adversely affecting product availability, delivery, reliability, and cost.</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Dell Technologies maintains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Dell Technologies may not be able to replace the functionality provided by third-party software currently offered with its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Dell Technologies' operating results.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Dell Technologies obtains many of its products and all of its components from third-party vendors, many of which are located outside of the United States. In addition, significant portions of Dell Technologies' products are assembled by contract manufacturers, primarily in various locations in Asia. A significant concentration of such outsourced manufacturing is currently performed by only a few of Dell Technologies' contract manufacturers, often in single locations. Dell Technologies sells components to these contract manufacturers and generates large non-trade accounts receivables, an arrangement that would present a risk of uncollectibility if the financial condition of a contract manufacturer should deteriorate.</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these relationships generate cost efficiencies, they limit Dell Technologies' direct control over production. The increasing reliance on vendors subjects Dell Technologies to a greater risk of shortages and reduced control over delivery schedules of components and products, as well as a greater risk of increases in product and component costs. Because Dell Technologies maintains minimal levels of component and product inventories, a disruption in component or product availability could harm Dell Technologies' ability to satisfy customer needs. In addition, defective parts and products from these vendors could reduce product reliability and harm Dell Technologies' reputation.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Dell Technologies fails to achieve favorable pricing from vendors, its profitability could be adversely affected.</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Dell Technologies' profitability is affected by its ability to achieve favorable pricing from vendors and contract manufacturers, including through negotiations for vendor rebates, marketing funds, and other vendor funding received in the normal course of business. Because these supplier negotiations are continuous and reflect the evolving competitive environment, the variability in timing and amount of incremental vendor discounts and rebates can affect Dell Technologies' profitability. The vendor programs may change periodically, potentially resulting in adverse profitability trends if Dell Technologies cannot adjust pricing or variable costs. An inability to establish a cost and product advantage, or determine alternative means to deliver value to customers, may adversely affect Dell Technologies' revenue and profitability.</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Adverse global economic conditions and instability in financial markets may harm Dell Technologies' business and result in reduced net revenue and profitability.</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 global company with customers operating in a broad range of businesses and industries, Dell Technologies' performance is affected by global economic conditions. Adverse economic conditions may negatively affect customer demand for Dell Technologies' products and services. Such economic conditions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global economic conditions also could harm Dell Technologies' business by contributing to product shortages or delays, insolvency of key suppliers, customer and counterparty insolvencies, and increased challenges in managing Dell Technologies' treasury operations. Any such effects could have a negative impact on Dell Technologies' net revenue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results of operations may be adversely affected if it fails to successfully execute its growth strategy.</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Dell Technologies' growth strategy involves reaching more customers through new distribution channels, expanding relationships with resellers and augmenting select business areas through targeted acquisitions and other commercial arrangements. As more customers are reached through new distribution channels and expanded reseller relationships, Dell Technologies may fail to manage effectively the increasingly difficult tasks of inventory management and demand forecasting. The ability to implement this growth strategy depends on a successful transitioning of sales capabilities, the successful addition to the breadth of Dell Technologies' solutions capabilities through selective acquisitions of other businesses, and the effective management of the consequences of these strategic initiatives. If Dell Technologies is unable to meet these challenges, its results of operations could be adversely affected.</w:t>
      </w:r>
    </w:p>
    <w:p>
      <w:pPr>
        <w:spacing w:after="0" w:line="1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Dell Technologies faces risks and challenges in connection with its transformation to an essential infrastructure solutions provider and its business strategy.</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Dell Technologies expects its strategic transformation to an essential infrastructure solutions provider to take more time and investment, and the investments it must make are likely to result in lower gross margins and raise its operating expenses and capital expenditures.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Fiscal 2017, Dell Technologies' Client Solutions business generated approximately 60% of Dell Technologies' net revenue, and largely relied on PC sales. Moreover, revenue from Client Solutions absorbs Dell Technologies' significant overhead costs and allows for scaled procurement. As a result, Client Solutions remains an important component in Dell Technologies' broad transformation strategy. While Dell Technologies continues to rely on Client Solutions as a critical element of its business, Dell Technologies also anticipates an increasingly challenging demand environment in Client Solutions and intensifying market competition. Current challenges in Client Solutions stem from fundamental changes in the PC market, including a decline in worldwide revenues for desktop and laptop PCs, and lower shipment forecasts for PC products due to a general lengthening of the replacement cycle for PC products and increasing interest in alternative mobile solutions. PC shipments worldwide declined 5.7% during calendar year 2016, and further deterioration in the PC market may occur. Other challenges include declining margins as demand for PC products shifts from higher-margin premium products to lower-cost and lower-margin products, particularly in emerging markets, and significant and increasing competition from efficient and low-cost manufacturers and from manufacturers of innovative and higher-margin PC products. For example, the built-to-order model that Dell Technologies historically has used is losing competitiveness in an environment where profit pools are moving toward lower-margin segments primarily based on a build-to-stock model. Dell Technologies also lacks a strong offering in tablets.</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challenges Dell Technologies faces in its transformation include low operating margins for the Infrastructure Solutions Group, referred to as ISG, and, although Client Solutions drives pull-through revenue and cross-selling of ISG solutions,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potential for further margin erosion remains due to intense competition, including emerging competitive pressure from cloud services. Improving the integration of Dell Technologies' product and service offerings as well as its ability to cross-sell remain a work in progress, as Dell Technologies is in the early stages of integrating its products into solutions and thus far has limited overlap in the base of large customers for the Client Solutions business and the ISG business. In addition, returns from Dell Technologies' prior acquisitions have been mixed and will require additional investments to reposition the business for growth, while cross-selling synergies have not been achieved as anticipated. As a result of the foregoing challenges, Dell Technologies' business, financial condition, and results of operations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Dell Technologies may not successfully implement its acquisition strategy, which could result in unforeseen operating difficulties and increased costs.</w:t>
      </w:r>
    </w:p>
    <w:p>
      <w:pPr>
        <w:spacing w:after="0" w:line="2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Dell Technologies makes strategic acquisitions of other companies as part of its growth strategy. Dell Technologies could experience unforeseen operating difficulties in assimilating or integrating the businesses, technologies, services, products, personnel, or operations of acquired companies, especially if Dell Technologies is unable to retain the key personnel of an acquired company. Further, future acquisitions may result in a delay or reduction of client sales for both Dell Technologies and the acquired company because of client uncertainty about the continuity and effectiveness of solutions offered by either company and may disrupt Dell Technologies' existing business by diverting resources and significant management attention that otherwise would be focused on development of the existing business. Acquisitions also may negatively affect Dell Technologies' relationships with strategic partners if the acquisitions are seen as bringing Dell Technologies into competition with such partners.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complete an acquisition, Dell Technologies may be required to use substantial amounts of cash, engage in equity or debt financings, or enter into credit agreements to secure additional funds. Such debt financings could involve restrictive covenants that could limit Dell Technologies' capital-raising activities and operating flexibility. Further, an acquisition may negatively affect Dell Technologies' results of operations because it may expose Dell Technologies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Dell Technologies periodically divests businesses, including businesses that are no longer a part of its strategic plan. These divestitures similarly require significant investment of time and resources, may disrupt Dell Technologies'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Dell Technologies'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its cost efficiency measures are not successful, Dell Technologies may become less competitive.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Dell Technologies continues to focus on minimizing operating expenses through cost improvements and simplification of Dell Technologies' structure. Certain factors may prevent the achievement of these goals, which may negatively affect Dell Technologies' competitive position. For example, Dell Technologies may experience delays or unanticipated costs in implementing its cost efficiency plans, which could prevent the timely or full achievement of expected cost efficiencies.</w:t>
      </w:r>
    </w:p>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Dell Technologies' inability to manage solutions and product and services transitions in an effective manner could reduce the demand for Dell Technologies' solutions, products, and services, and the profitability of Dell Technologies' operations.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Continuing improvements in technology result in the frequent introduction of new solutions, products, and services, improvements in product performance characteristics and short product life cycles. If Dell Technologies fails to manage in an effective manner transitions to new solutions and offerings, the products and services associated with such offerings and customer demand for Dell Technologies' solutions, products, and services could diminish, and Dell Technologies' profitability could suffer.</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Dell Technologies is increasingly sourcing new products and transitioning existing products through its contract manufacturers and manufacturing outsourcing relationships in order to generate cost efficiencies and better serve its customers. The success of product transitions depends on a number of factors, including the availability of sufficient quantities of components at attractive costs. Product transitions also present execution challenges and risks, including the risk that new or upgraded products may have quality issues or other defects.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deliver high-quality products and services could lead to loss of customers and diminished profitability.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Dell Technologies must identify and address quality issues associated with its products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Dell Technologies'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ability to generate substantial non-U.S. net revenue is subject to additional risks and uncertainties.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Sales outside the United States accounted for approximately </w:t>
      </w:r>
      <w:r>
        <w:rPr>
          <w:rFonts w:ascii="Arial" w:cs="Arial" w:eastAsia="Arial" w:hAnsi="Arial"/>
          <w:sz w:val="14"/>
          <w:szCs w:val="14"/>
          <w:color w:val="auto"/>
        </w:rPr>
        <w:t>50</w:t>
      </w:r>
      <w:r>
        <w:rPr>
          <w:rFonts w:ascii="Arial" w:cs="Arial" w:eastAsia="Arial" w:hAnsi="Arial"/>
          <w:sz w:val="16"/>
          <w:szCs w:val="16"/>
          <w:color w:val="auto"/>
        </w:rPr>
        <w:t>% of Dell Technologies' consolidated net revenue for Fiscal 2017. Dell Technologies' future growth rates and success are substantially dependent on the continued growth of Dell Technologies' business outside the United States. Dell Technologies' international operations face many risks and uncertainties, including varied local economic and labor conditions, political instability, changes in the U.S. and international regulatory environments, and the impacts of trade protection measures, tax laws (including U.S. taxes on foreign operations), copyright levies, and foreign currency exchange rates. Any of these factors could negatively affect Dell Technologies' international business results and prospects for growth.</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Dell Technologies' profitability may be adversely affected by product, customer, and geographic sales mix, and seasonal sales trends.</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Dell Technologies' overall profitability for any period may be adversely affected by changes in the mix of products, customers, and geographic markets reflected in sales for that period, and by seasonal trends. Profit margins vary among products, services, customers, and geographic markets. For instance, services offerings generally have a higher profit margin than consumer products. In addition, parts of Dell Technologies' business are subject to seasonal sales trends. Among the trends with the most significant impact on Dell Technologies' operating results, sales to government customers (particularly the U.S. federal government) are typically stronger in Dell Technologies' third fiscal quarter, sales in Europe, the Middle East, and Africa are often weaker in Dell Technologies' third fiscal quarter, and sales to consumers are typically strongest during Dell Technologies' fourth fiscal quarter.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may lose revenue opportunities and experience gross margin pressure if sales channel participants fail to perform as expected.</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Dell Technologies relies on third-party distributors, retailers, systems integrators, value-added resellers, and other sales channels to complement its direct sales organization in order to reach more end-users globally. Future operating results increasingly will depend on the performance of sales channel participants and on Dell Technologies'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Dell Technologies' products causes channel participants to reduce their orders for Dell Technologies' products. Further, some channel participants may consider the expansion of Dell Technologies' direct sales initiatives to conflict with their business interests as distributors or resellers of Dell Technologies' products, which could lead them to reduce their investment in the distribution and sale of Dell Technologies' products, or to cease all sales of Dell Technologies' products.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financial performance could suffer from reduced access to the capital markets by Dell Technologies or some of its customers.</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Dell Technologies may access debt and capital sources to provide financing for customers and to obtain funds for general corporate purposes, including working capital, acquisitions, capital expenditures, and funding of customer receivables. In addition, Dell Technologies maintains customer financing relationships with some companies that rely on access to the debt and capital markets to meet significant funding needs. Any inability of these companies to access such markets could compel Dell Technologies to self-fund transactions with such companies or to forgo customer financing opportunities, which could harm Dell Technologies' financial performance. The debt and capital markets may experience extreme volatility and disruption from time to time in the future, which could result in higher credit spreads in such markets and higher funding costs for Dell Technologies. Deterioration in Dell Technologies' business performance, a credit rating downgrade, volatility in the securitization markets, changes in financial services regulation, or adverse changes in the economy could lead to reductions in the availability of debt financing. In addition, these events could limit Dell Technologies' ability to continue asset securitizations or other forms of financing from debt or capital sources, reduce the amount of financing receivables that Dell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Technologies originates, or negatively affect the costs or terms on which Dell Technologies may be able to obtain capital. Any of these developments could adversely affect Dell Technologies' net revenue, profitability,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and additional regulation could harm Dell Technologies' financial services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Dell Technologies' financial services activities are negatively affected by adverse economic conditions that contribute to loan delinquencies and defaults. An increase in loan delinquencies and defaults would result in greater net credit losses, which may require Dell Technologies to increase its reserves for customer receivables. In addition, the implementation of new financial services regulation, or the application of existing financial services regulation in new countries where Dell Technologies expands its financial services and related supporting activities, could unfavorably affect the profitability and cash flows of Dell Technologies' consumer financing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is subject to counterparty default risks.</w:t>
      </w:r>
    </w:p>
    <w:p>
      <w:pPr>
        <w:spacing w:after="0" w:line="2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Dell Technologies has numerous arrangements with financial institutions that include cash and investment deposits, interest rate swap contracts, foreign currency option contracts, and forward contracts. As a result, Dell Technologies is subject to the risk that the counterparty to one or more of these arrangements will default, either voluntarily or involuntarily, on its performance under the terms of the arrangement. In times of market distress, a counterparty may default rapidly and without notice, and Dell Technologies may be unable to take action to cover its exposure, either because of lack of contractual ability to do so or because market conditions make it difficult to take effective action. If one of Dell Technologies' counterparties becomes insolvent or files for bankruptcy, Dell Technologies' ability eventually to recover any losses suffered as a result of that counterparty's default may be limited by the liquidity of the counterparty or the applicable legal regime governing the bankruptcy proceeding. In the event of such a default, Dell Technologies could incur significant losses, which could harm Dell Technologies' business and adversely affect its results of operations and financial condition.</w:t>
      </w:r>
    </w:p>
    <w:p>
      <w:pPr>
        <w:spacing w:after="0" w:line="162"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The exercise by customers of certain rights under their services contracts with Dell Technologies, or Dell Technologies' failure to perform as it anticipates at the time it enters into services contracts, could adversely affect Dell Technologies' revenue and profitability.</w:t>
      </w:r>
    </w:p>
    <w:p>
      <w:pPr>
        <w:spacing w:after="0" w:line="12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Many of Dell Technologies' services contracts allow customers to take actions that may adversely affect Dell Technologies' revenue and profitability. These actions include terminating a contract if Dell Technologies' performance does not meet specified service levels, requesting rate reductions or contract termination, reducing the use of Dell Technologies' services, or terminating a contract early upon payment of agreed fees. In addition, Dell Technologies estimates the costs of delivering the services at the outset of the contract. If Dell Technologies fails to estimate such costs accurately and actual costs significantly exceed estimates, Dell Technologies may incur losses on the services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government contracts could harm Dell Technologies' business.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Contracts with the U.S. federal, state and local governments, and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Dell Technologies' products and services. In addition, if Dell Technologies violates legal or regulatory requirements, the applicable government could suspend or disbar Dell Technologies as a contractor, which would unfavorably affect Dell Technologies' net revenue and profitability.</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Dell Technologies' business could suffer if Dell Technologies does not develop and protect its proprietary intellectual property or obtain or protect licenses to intellectual property developed by others on commercially reasonable and competitive terms.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Dell Technologies or Dell Technologies' suppliers are unable to develop or protect desirable technology or technology licenses, Dell Technologies may be prevented from marketing products, may have to market products without desirable features, or may incur substantial costs to redesign products. Dell Technologies also may have to defend or enforce legal actions or pay damages if Dell Technologies is found to have violated the intellectual property of other parties. Although Dell Technologies' suppliers might be contractually obligated to obtain or protect such licenses and indemnify Dell Technologies against related expenses, those suppliers could be unable to meet their obligations. Although Dell Technologies invests in research and development and obtains additional intellectual property through acquisitions, those activities do not guarantee that Dell Technologies will develop or obtain intellectual property necessary for profitable operations. Costs involved in developing and protecting rights in intellectual property may have a negative impact on Dell Technologies' business. In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 Dell Technologies' operating costs could increase because of copyright levies or similar fees by rights holders and collection agencies in European and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disruptions could harm Dell Technologies' business.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Dell Technologies depends on its information technology and manufacturing infrastructure to achieve its business objectives. Natural disasters, manufacturing failures, telecommunications system failures, or defective or improperly installed new or upgraded business management systems could lead to disruptions in this infrastructure. Portions of Dell Technologies' IT infrastructure also may experience interruptions, delays or cessations of service, or produce errors in connection with systems integration or migration work. Such disruptions may adversely affect Dell Technologies' ability to receive or process orders, manufacture, and ship products in a timely manner or otherwise conduct business in the normal course. Further, portions of Dell Technologies' services business involve the processing, storage, and transmission of data, which also would be negatively affected by such an event. Disruptions in Dell Technologies' infrastructure could lead to loss of customers and revenue, particularly during a period of heavy demand for Dell Technologies' products and services. Dell Technologies also could incur significant expense in repairing system damage and taking other remedial measures.</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Cyber attacks or other data security breaches that disrupt Dell Technologies' operations or result in the dissemination of proprietary or confidential information about Dell Technologies, Dell Technologies' customers or other third parties could disrupt Dell Technologies' business, harm its reputation, cause Dell Technologies to lose clients, and expose Dell Technologies to costly litigation.</w:t>
      </w:r>
    </w:p>
    <w:p>
      <w:pPr>
        <w:spacing w:after="0" w:line="16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Dell Technologies manages and stores various proprietary information and sensitive or confidential data relating to its operations. In addition, Dell Technologies' cloud computing businesses routinely process, store, and transmit large amounts of data for Dell Technologies' customers, including sensitive and personally identifiable information. Dell Technologies may be subject to breaches of the information technology systems it uses for these purposes. Experienced computer programmers and hackers may be able to penetrate Dell Technologies' network security and misappropriate or compromise Dell Technologies' confidential information or that of third parties, create system disruptions or cause shutdowns. Further, sophisticated hardware and operating system software and applications that Dell Technologies produces or procures from third parties may contain defects in design or manufacture, including "bugs" and other problems that could unexpectedly interfere with the operation of such systems.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costs to eliminate or address the foregoing security problems and security vulnerabilities before or after a cyber incident could be significant. Remediation efforts may not be successful and could result in interruptions, delays, or cessation of service, and loss of existing or potential customers that may impede Dell Technologies' sales, manufacturing, distribution, or other critical functions. Dell Technologies could lose existing or potential customers for outsourcing services or other information technology solutions in connection with any actual or perceived security vulnerabilities in Dell Technologies' products. In addition, breaches of Dell Technologies' security measures and the unapproved dissemination of proprietary information or sensitive or confidential data about Dell Technologies or its customers or other third parties could expose Dell Technologies, its customers, or other third parties affected to a risk of loss or misuse of this information, result in litigation and potential liability for Dell Technologies, damage Dell Technologies' brand and reputation, or otherwise harm Dell Technologies' business. Further, Dell Technologies relies in certain limited capacities on third-party data management providers whose possible security problems and security vulnerabilities may have similar effects on Dell Technologies.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Dell Technologies is subject to laws, rules, and regulations in the United States and other countries relating to the collection, use, and security of user data. Dell Technologies' ability to execute transactions and to possess and use personal information and data in conducting its business subjects it to legislative and regulatory burdens that may require Dell Technologies to notify customers or employees of a data security breach. Dell Technologies has incurred, and will continue to incur, significant expenses to comply with mandatory privacy and security standards and protocols imposed by law, regulation, industry standards, or contractual obligations.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to hedge effectively Dell Technologies' exposure to fluctuations in foreign currency exchange rates and interest rates could adversely affect Dell Technologies' financial condition and results of operations.</w:t>
      </w:r>
    </w:p>
    <w:p>
      <w:pPr>
        <w:spacing w:after="0" w:line="16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Dell Technologies utilizes derivative instruments to hedge its exposure to fluctuations in foreign currency exchange rates and interest rates. Some of these instruments and contracts may involve elements of market and credit risk in excess of the amounts recognized in Dell Technologies' financial statements. If Dell Technologies is not successful in monitoring its foreign exchange exposures and conducting an effective hedging program, Dell Technologies' foreign currency hedging activities may not offset the impact of fluctuations in currency exchange rates on its future results of operations and financial position.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360"/>
        <w:spacing w:after="0" w:line="347" w:lineRule="auto"/>
        <w:rPr>
          <w:sz w:val="20"/>
          <w:szCs w:val="20"/>
          <w:color w:val="auto"/>
        </w:rPr>
      </w:pPr>
      <w:r>
        <w:rPr>
          <w:rFonts w:ascii="Arial" w:cs="Arial" w:eastAsia="Arial" w:hAnsi="Arial"/>
          <w:sz w:val="16"/>
          <w:szCs w:val="16"/>
          <w:b w:val="1"/>
          <w:bCs w:val="1"/>
          <w:color w:val="auto"/>
        </w:rPr>
        <w:t>The expiration of tax holidays or favorable tax rate structures, unfavorable outcomes in tax audits and other tax compliance matters, or adverse legislative or regulatory tax changes could result in an increase in Dell Technologies' tax expense or Dell Technologies' effective income tax rate.</w:t>
      </w:r>
    </w:p>
    <w:p>
      <w:pPr>
        <w:spacing w:after="0" w:line="12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Portions of Dell Technologies'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Dell Technologies fails to satisfy the conditions of the reduced tax rate, its effective tax rate would increase in the future. Dell Technologies' effective tax rate also could increase if Dell Technologies' geographic sales mix changes. In addition, any actions by Dell Technologies to repatriate non-U.S. earnings for which it has not previously provided for U.S. taxes may affect the effective tax rate.</w:t>
      </w:r>
    </w:p>
    <w:p>
      <w:pPr>
        <w:spacing w:after="0" w:line="17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application of tax laws to Dell Technologies' operations and past transactions involves some inherent uncertainty. Dell Technologies is continually under audit in various tax jurisdictions. Although Dell Technologies believes its tax positions are appropriate, Dell Technologies may not be successful in resolving potential tax claims that arise from these audits. An unfavorable outcome in certain of these matters could result in a substantial increase in Dell Technologies' tax expense. In addition, Dell Technologies' provision for income taxes could be affected by changes in the valuation of deferred tax assets.</w:t>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Further, changes in tax laws (including laws relating to U.S. taxes on foreign operations) could adversely affect Dell Technologies' operations and profitability. In recent years, numerous legislative, judicial, and administrative changes have been made to tax laws applicable to Dell Technologies and companies similar to Dell Technologies. Additional changes to tax laws are likely to occur, and such changes may adversely affect Dell Technologies'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profitability could suffer from any impairment of its portfolio investments.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invests a significant portion of its available funds in a portfolio consisting primarily of debt securities of various types and maturities pending the deployment of these funds in Dell Technologies' business. Dell Technologies' earnings performance could suffer from any impairment of its investments. Dell Technologies' portfolio securities generally are classified as available-for-sale and are recorded in Dell Technologies' financial statements at fair value. If any such investments experience declines in market price and it is determined that such declines are other than temporary, Dell Technologies may have to recognize in earnings the decline in the fair market value of such investments below their cost or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legal proceedings could harm Dell Technologies' business and result in substantial costs.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Dell Technologies is involved in various claims, suits, investigations, and legal proceedings that arise from time to time in the ordinary course of business, as well as those that arose in connection with Dell's going-private transaction and the EMC merger transaction, including those described elsewhere in this report. Additional legal claims or regulatory matters may arise in the future and could involve stockholder, consumer, regulatory, compliance, intellectual property, antitrust, tax, and other issues on a global basis. Litigation is inherently unpredictable. Regardless of the merits of the claims, litigation may be both time-consuming and disruptive to Dell Technologies' business. Dell Technologies could incur judgments or enter into settlements of claims that could adversely affect its operating results or cash flows in a particular period. In addition, Dell Technologies' business, operating results, and financial condition could be adversely affected if any infringement or other intellectual property claim made against it by any third party is successful, or if Dell Technologies fails to develop non-infringing technology or license the proprietary rights on commercially reasonable terms and conditions.</w:t>
      </w:r>
    </w:p>
    <w:p>
      <w:pPr>
        <w:spacing w:after="0" w:line="16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Dell Technologies is incurring increased costs and is subject to additional regulations and requirements as a result of becoming a public company, and Dell Technologies' management is required to devote substantial time to new compliance matters, which could lower Dell Technologies' profits or make it more difficult to run its business.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newly public company, Dell Technologies is incurring significant legal, accounting, and other expenses that it has not incurred as a private company, including costs associated with public company reporting requirements and costs of recruiting and retaining non-executive directors. Dell Technologies also is incurring costs associated with the Sarbanes-Oxley Act of 2002 and related rules implemented by the SEC and the NYSE. The expenses incurred by public companies generally for reporting and corporate governance purposes have been increasing. Dell Technologies expects these rules and regulations to increase its legal and financial compliance costs and to make some activities more time-consuming and costly, although it is currently unable to estimate these costs with any degree of certainty. Dell Technologies' management will need to devote a substantial amount of time to ensure that it complies with all of these requirements. These laws and regulations also could make it more difficult for Dell Technologies to attract and retain qualified persons to serve on its board of directors or its board committees or as its executive officers. Further, if Dell Technologies is unable to satisfy its obligations as a public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Class V Common Stock could be subject to delisting and Dell Technologies could be subject to fines, sanctions, and other regulatory action and potentially civil litigation.</w:t>
      </w:r>
    </w:p>
    <w:p>
      <w:pPr>
        <w:spacing w:after="0" w:line="166"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Dell Technologies is obligated to develop and maintain proper and effective internal control over financial reporting and any failure to do so may adversely affect investor confidence in Dell Technologies and, as a result, the value of the Class V Common Stock.</w:t>
      </w:r>
    </w:p>
    <w:p>
      <w:pPr>
        <w:spacing w:after="0" w:line="14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Fiscal 2018, following a transition period afforded to companies that were not previously SEC reporting companies, Dell Technologies will be required by Section 404 of the Sarbanes-Oxley Act of 2002 to furnish a report by management on, among other matters, its assessment of the effectiveness of its internal control over financial reporting. The assessment will need to include disclosure of any material weaknesses identified by Dell Technologies' management in Dell Technologies' internal control over financial reporting. Dell Technologies also will be required to disclose significant changes made in its internal control procedures on a quarterly basis. In addition, Dell Technologies' independent registered public accounting firm is required to express an opinion as to the effectiveness of Dell Technologies' internal control over financial reporting beginning with its second annual report on Form 10-K. The process of designing, implementing, and testing internal controls over financial reporting is time-consuming, costly, and complicated.</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the evaluation and testing process of its internal controls, if Dell Technologies identifies one or more material weaknesses in its internal control over financial reporting, Dell Technologies will be unable to assert that its internal control over financial reporting is effective. Dell Technologies may experience material weaknesses or significant deficiencies in its internal control over financial reporting in the future. Any failure to maintain internal control over financial reporting could severely inhibit Dell Technologies' ability to issue accurate reports of its financial condition or results of operations. If Dell Technologies is unable to conclude that its internal control over financial reporting is effective, or if Dell Technologies' independent registered public accounting firm determines that Dell Technologies has a material weakness or significant deficiency in its internal control over financial reporting, investors could lose confidence in the accuracy and completeness of its financial reports, the market price of the Class V Common Stock could decline, and Dell Technologies could be subject to sanctions or investigations by the SEC or other regulatory authorities. Failure to remedy any material weakness in its internal control over financial reporting, or to implement or maintain other effective control systems required of public companies, also could restrict future access to the capital markets by Dell Technologies or its subsidiaries.</w:t>
      </w:r>
    </w:p>
    <w:p>
      <w:pPr>
        <w:spacing w:after="0" w:line="17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Compliance requirements of current or future environmental and safety laws, or other regulatory laws, may increase costs, expose Dell Technologies to potential liability and otherwise harm Dell Technologies' business.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Dell Technologies' operations are subject to environmental and safety regulations in all areas in which Dell Technologies conducts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Dell Technologies fails to comply with applicable rules and regulations regarding the transportation, source, use, and sale of such regulated substances, Dell Technologies could be subject to liability. The costs and timing of costs under environmental and safety laws are difficult to predict, but could have an adverse impact on Dell Technologies' business.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Dell Technologies and its subsidiaries are subject to various anti-corruption laws that prohibit improper payments or offers of payments to foreign governments and their officials for the purpose of obtaining or retaining business and are also subject to export controls, customs, and economic sanctions laws and embargoes imposed by the U.S. government. Violations of the Foreign Corrupt Practices Act or other anti-corruption laws or export control, customs or economic sanctions laws may result in severe criminal or civil sanctions and penalties, and Dell Technologies and its subsidiaries may be subject to other liabilities which could have a material adverse effect on their business, results of operations, and financial condition.</w:t>
      </w:r>
    </w:p>
    <w:p>
      <w:pPr>
        <w:spacing w:after="0" w:line="15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Dell Technologies also is subject to provisions of the Dodd-Frank Wall Street Reform and Consumer Protection Act intended to improve transparency and accountability concerning the supply of minerals originating from the conflict zones of the Democratic Republic of Congo or adjoining countries. Dell Technologies will incur costs to comply with the disclosure requirements of this law and may realize other costs relating to the sourcing and availability of minerals used in Dell Technologies' products. Further, Dell Technologies may face reputational harm if Dell Technologies' customers or other Dell Technologies stakeholders conclude that Dell Technologies is unable to sufficiently verify the origins of the minerals used in Dell Technologies' products.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Armed hostilities, terrorism, natural disasters, or public health issues could harm Dell Technologies'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Armed hostilities, terrorism, natural disasters, or public health issues, whether in the United States or abroad, could cause damage or disruption to Dell Technologies or Dell Technologies' suppliers and customers, or could create political or economic instability, any of which could harm Dell Technologies' business. For example, the earthquake and tsunami in Japan and severe flooding in Thailand which occurred during fiscal year 2012 caused damage to infrastructure and factories that disrupted the supply chain for a variety of components used in Dell's products. Any such future events could cause a decrease in demand for Dell Technologies' products, make it difficult or impossible to deliver products or for suppliers to deliver components and could create delays and inefficiencies in Dell Technologies' supply chain.</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Dell Technologies is highly dependent on the services of Michael S. Dell, its Chief Executive Officer, and its success depends on the ability to attract, retain, and motivate key employees.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is highly dependent on the services of Michael S. Dell, its Chief Executive Officer and largest stockholder. If Dell Technologies loses the services of Mr. Dell, Dell Technologies may not be able to locate a suitable or qualified replacement, and Dell Technologies may incur additional expenses to recruit a replacement, which could severely disrupt Dell Technologies' business and growth. Further, Dell Technologies relies on key personnel, including other members of its executive leadership team, to support its business and increasingly complex product and services offerings. Dell Technologies may not be able to attract, retain, and motivate the key professional, technical, marketing, and staff resources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substantial level of indebtedness could adversely affect its financial condition.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Dell Technologies and its subsidiaries have a substantial amount of indebtedness, which will require significant interest payments. As of February 3, 2017, Dell Technologies and its subsidiaries had approximately $49.4 billion of short-term and long-term indebtedness. As of the same date, Dell Technologies and its subsidiaries also had an additional $2.7 billion available for borrowing under its senior secured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substantial level of indebtedness could have important consequences, including the following:</w:t>
      </w:r>
    </w:p>
    <w:p>
      <w:pPr>
        <w:spacing w:after="0" w:line="225" w:lineRule="exact"/>
        <w:rPr>
          <w:sz w:val="20"/>
          <w:szCs w:val="20"/>
          <w:color w:val="auto"/>
        </w:rPr>
      </w:pPr>
    </w:p>
    <w:p>
      <w:pPr>
        <w:ind w:left="660" w:right="4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Dell Technologies must use a substantial portion of its cash flow from operations to pay interest and principal on its senior credit facilities, its senior secured notes and senior unsecured notes (the "notes"), and its other indebtedness, which will reduce funds available to Dell Technologies for other purposes such as working capital, capital expenditures, other general corporate purposes, and potential acquisitions;</w:t>
      </w:r>
    </w:p>
    <w:p>
      <w:pPr>
        <w:spacing w:after="0" w:line="165"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Technologies' ability to refinance such indebtedness or to obtain additional financing for working capital, capital expenditures, acquisitions, or other general corporate purposes may be impaired;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Dell Technologies is exposed to fluctuations in interest rates because Dell Technologies' senior credit facilities have variable rates of interest;</w:t>
      </w:r>
    </w:p>
    <w:p>
      <w:pPr>
        <w:spacing w:after="0" w:line="23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Dell Technologies' leverage may be greater than that of some of its competitors, which may put Dell Technologies at a competitive disadvantage and reduce Dell Technologies' flexibility in responding to current and changing industry and financial market conditions; and</w:t>
      </w:r>
    </w:p>
    <w:p>
      <w:pPr>
        <w:spacing w:after="0" w:line="146"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Technologies may be unable to comply with financial and other restrictive covenants in its senior credit facilities, the notes, and other indebtedness that limit Dell Technologies' ability to incur additional debt, make investments, and sell assets, which could result in an event of default that, if not cured or waived, would have an adverse effect on Dell Technologies' business and prospects and could force it into bankruptcy or liquidation.</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Dell Technologies and its subsidiaries may be able to incur substantial additional indebtedness in the future, subject to the restrictions contained in Dell Technologies' and its subsidiaries' credit facilities and the indentures that govern the notes. If new indebtedness is added to the debt levels of Dell Technologies and its subsidiaries, the related risks that Dell Technologies now faces could intensify. Dell Technologies' ability to access additional funding under its revolving credit facility and ABS facility will depend upon, among other factors, the absence of a default under either such facility, including any default arising from a failure to comply with the related covenants. If Dell Technologies is unable to comply with its covenants under its revolving credit facility or ABS facility, Dell Technologies' liquidity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From time to time, when it believes it is advantageous to do so, Dell Technologies may seek to reduce its leverage by repaying certain of its indebtedness before the maturity dates of such indebtedness. Dell Technologies may be unable to generate operating cash flows and other cash necessary to achieve a level of debt reduction that will significantly enhance the company’s credit quality and reduce the risks associated with its substantial indebtedness.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February 3, 2017, approximately $15.6 billion of Dell Technologies' debt is variable-rate debt and a 100 basis point increase in interest rates would have resulted in an increase of approximately $156 million in annual interest expense on such debt. Dell Technologies' ability to meet expenses, to remain in compliance with its covenants under its debt instruments and to make future principal and interest payments in respect of its debt depends on, among other factors, Dell Technologies' operating performance, competitive developments, and financial market conditions, all of which are significantly affected by financial, business, economic, and other factors. Dell Technologies is not able to control many of these factors. Given current industry and economic conditions, Dell Technologies' cash flow may not be sufficient to allow Dell Technologies to pay principal and interest on its debt and meet its other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continues to incur substantial costs related to and the integration of the EMC business with that of Dell.</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Dell Technologies continues to incur substantial cost in connection with the integration of the EMC business with that of Dell. There is a large number of processes, policies, procedures, operations, technologies, and systems that must be integrated, including purchasing, accounting and finance, sales, payroll, pricing, revenue management, marketing, and benefits. In addition, the businesses of Dell and EMC continue to maintain a presence in Texas and Massachusetts, respectively. The substantial majority of the integration costs are non-recurring expenses related to facilities and systems consolidation. Dell Technologies may incur additional costs to maintain employee morale and to retain key employees. These costs in total may exceed the savings Dell Technologies expects to achieve from the elimination of duplicative costs and the realization of other efficiencies related to the integration of the Dell and EMC businesses, particularly in the near term and in the event there are material unanticipated costs. Dell Technologies cannot identify the timing, nature, and amount of all such costs as of the date of this report. Any such costs, however, could affect Dell Technologies' results of operations and cash flows from operations in the period in which such charges are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may not realize the anticipated synergies from the EMC merger transaction.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Although Dell Technologies expects to achieve synergies as a result of the EMC merger transaction, including with respect to VMware, it may not succeed in doing so. Dell Technologies' ability to realize the anticipated synergies will depend on the successful integration of EMC's business with that of Dell. Even if Dell Technologies successfully integrates the Dell and EMC businesses, the integration may not result in the realization of the full benefits of the anticipated synergies or the realization of these benefits within the expected periods. For example, the elimination of duplicative costs may not be possible or may take longer than anticipated, or benefits from the EMC merger transaction may be offset by costs incurred in integrating the Dell and EMC businesses.</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Failure to integrate EMC's technology, solutions, products, and services with those of Dell in an effective manner could reduce Dell Technologies' profitability and delay or prevent realization of many of the potential benefits of the EMC merger transaction.</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To obtain the benefits of the EMC merger transaction, Dell Technologies must integrate EMC's technology, solutions, products, and services with those of Dell in an effective manner. Dell Technologies may not be able to accomplish this integration quickly and efficiently. Dell Technologies may be required to spend additional time and money on operating compatibility that otherwise would be spent on developing and selling solutions, products and services. Dell Technologies' business, financial condition, and results of operations could be harmed if it does not integrate operations effectively or uses too many resources on integration efforts.</w:t>
      </w:r>
    </w:p>
    <w:p>
      <w:pPr>
        <w:spacing w:after="0" w:line="18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time and effort required to be dedicated to the integration of Dell and EMC could divert the attention of Dell Technologies' management from other business concerns or otherwise harm Dell Technologies' business.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integration process could result in the diversion of Dell Technologies management's attention from other business concerns, in the disruption or interruption of, or the loss of momentum in, Dell Technologies' business, or in inconsistencies in standards, controls, procedures, and policies. Any of these impacts could adversely affect Dell Technologies' ability to maintain relationships with its customers and employees or achieve the anticipated benefits of the EMC merger, or could reduce Dell Technologies' earnings or otherwise adversely affect its business and financial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performance of Dell Technologies is affected by the financial performance of VMware.</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Because Dell Technologies consolidates the financial results of VMware in its results of operations, its financial performance is affected by the financial performance of VMware. VMware's financial performance may be affected by a number of factors, including, but not limited to:</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demand, adoption rates, sales cycles (which have been increasing in length), and pricing levels for VMware's products and services;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customers' budgets for information technology purchases and in the timing of its purchasing decisions;</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recognizing revenues in any given quarter, which can be affected by a number of factors, including product announcements, beta programs, and product promotions that can cause revenue recognition of certain orders to be deferred until future products to which customers are entitled become available;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announcements or releases of new or upgraded products and services by VMware or by its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size of business realignment plans and restructuring charges;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VMware's ability to maintain scalable internal systems for reporting, order processing, license fulfillment, product delivery, purchasing, billing, and general accounting, among other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VMware's ability to control costs, including its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risks of VMware's distributors, who account for a significant portion of VMware's product revenues and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VMware's ability to process sales at the end of the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seasonal factors, such as the end of fiscal period budget expenditures by VMware's customers and the timing of holiday and vacation periods;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renewal rates and the amounts of the renewals for enterprise agreements, as the original terms of such agreements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software development costs that may be capitalized;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unplanned events that could affect market perception of the quality or cost-effectiveness of VMware's products and solutions;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VMware's ability to predict accurately the degree to which customers will elect to purchase its subscription-based offerings in place of licenses to its on-premises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pension plan assets are subject to market volatility.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Through the EMC merger transaction, Dell Technologies assumed a noncontributory defined pension plan, which was originally part of the EMC legacy acquisition of Data General. The plan's assets are invested in common stocks, bonds, and cash. The expected long-term rate of return on the plan's assets was 6.5%. This rate represents the average of the expected long-term rates of return weighted by the plan's assets as of February 3, 2017. As market conditions permit, Dell Technologies expects to continue to shift the asset allocation to lower the percentage of investments in equities and increase the percentage of investments in long-duration fixed-income securities. The effect of such a change could result in a reduction in the long-term rate of return on plan assets and an increase in future pension expense. As of February 3, 2017, the ten-year historical rate of return on plan assets was 5.98%, and the inception-to-date return on plan assets was 9.59%. Should Dell Technologies not achieve the expected rate of return on the plan's assets or if the plan experiences a decline in the fair value of its assets, Dell Technologies may be required to contribute assets to the plan, which could materially adversely affect its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Ownership of Dell Technologies</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have the ability to elect all of the directors of Dell Technologies, and such stockholders' interests may differ from the interests of the holders of Class V Common Stock.</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reason of their ownership of substantially all of Dell Technologies' Class A Common Stock, Michael S. Dell and a separate property trust for the benefit of his wife (the "MD stockholders") and investment funds affiliated with MSD Partners, L.P. (the "MSD Partners stockholders") have the ability to elect all of the Group I Directors, who have an aggregate of 3 of the 13 total votes on the Dell Technologies board of directors, and all of the Group II Directors, who have an aggregate of 7 of the 13 total votes on the Dell Technologies board of directors. By reason of their ownership of all of the Class B Common Stock, investment funds affiliated with Silver Lake Partners (the "SLP stockholders") have the ability to elect all of the Group III Directors, who have an aggregate of 3 of the 13 total votes on the Dell Technologies board of directors. Michael S. Dell is the sole Group II Director and therefore is entitled to cast a majority of the votes entitled to be cast by all Dell Technologies directors and thereby approve any matter submitted to the Dell Technologies board of directors other than any matter that also requires the separate approval of the Capital Stock Committee or the audit committee. Egon Durban and Simon Patterson are the sole Group III Directors. Dell Technologies' directors owe fiduciary duties to Dell Technologies as a whole and all of Dell Technologies' stockholders and not just to holders of a particular class of shares.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Dell Technologies is controlled by the MD stockholders, the MSD Partners stockholders, and the SLP stockholders, whose interests may differ from the interests of the holders of Class V Common Stock.</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By reason of their ownership of Class A Common Stock possessing a majority of the aggregate votes entitled to be cast by holders of Dell Technologies' Class A Common Stock, Class B Common Stock, Class C Common Stock, and Class V Common Stock, voting together as a single class, the MD stockholders and the MSD Partners stockholders have the ability to approve any matter submitted to the vote of all of the outstanding shares of Dell Technologies common stock voting together as a single class.</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Through their control of Dell Technologies, subject to certain special voting rights of the Class V Common Stock related to actions that affect the Class V Common Stock and certain consent rights of the SLP stockholders, the MD stockholders and the MSD Partners stockholders are able to control actions to be taken by Dell Technologies, including the election of directors of Dell Technologies' subsidiaries (including VMware and its subsidiaries), amendments to Dell Technologies' organizational documents and the approval of significant corporate transactions, including mergers, sales of substantially all of Dell Technologies' assets, distributions of Dell Technologies' assets, the incurrence of indebtedness, and any incurrence of liens on Dell Technologies' assets.</w:t>
      </w:r>
    </w:p>
    <w:p>
      <w:pPr>
        <w:spacing w:after="0" w:line="154"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The Dell Technologies board of directors has formed an executive committee of the board consisting entirely of directors designated by the MD stockholders and the SLP stockholders, and has delegated a substantial portion of the power and authority of the Dell Technologies board of directors to the executive committee.</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Dell Technologies board of directors has formed an executive committee of the board consisting entirely of Group II Directors and Group III Directors (none of whom are independent directors), and has delegated a substantial portion of the power and authority of the Dell Technologies board of directors to the executive committee. Among other matters, the executive committee has been delegated the board's power and authority, subject to specified limits, to review and approve, with respect to Dell Technologies and its subsidiaries, acquisitions and dispositions, the annual budget and business plan, the incurrence of indebtedness, entry into material commercial agreements, joint ventures and strategic alliances, and the commencement and settlement of material litigation. In addition, the executive committee acts as the compensation committee of Dell Technologies' board of directors. The interests of the MD stockholders and the SLP stockholders may differ materially from the interests of the holders of Class V Common Stock and Dell Technologies' other stakeholders.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The MD stockholders and the SLP stockholders will be able to continue to strongly influence or effectively control decisions made by the Dell Technologies board of directors even if they own less than 50% of Dell Technologies' combined voting power.</w:t>
      </w:r>
    </w:p>
    <w:p>
      <w:pPr>
        <w:spacing w:after="0" w:line="14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So long as the MD stockholders and the SLP stockholders continue to own a significant amount of Dell Technologies' combined voting power, even if such amount is less than 50%, they will continue to be able to strongly influence or effectively control decisions made by the Dell Technologies board of directors. For example, before an initial public offering of DHI Group Common Stock, so long as the MD stockholders and the SLP stockholders each continue to beneficially own an aggregate number of shares of DHI Group Common Stock equal to 9,818,182 or more shares of DHI Group Common Stock, as adjusted for any stock split, stock dividend, reverse stock split, or similar event, they will be jointly entitled to nominate for election as directors up to three Group I Directors, the MD stockholders will be entitled to nominate for election as directors up to three Group II Directors and the SLP stockholders will be entitled to nominate for election as directors up to three Group III Directors. Following an initial public offering of DHI Group Common Stock, so long as each of the MD stockholders and the SLP stockholders beneficially own at least 5% of all outstanding shares of Dell Technologies stock entitled to vote generally in the election of directors, each of the MD stockholders and the SLP stockholders will be entitled to nominate at least one individual for election to the board, with each of the MD stockholders and the SLP stockholders having the right to nominate a number of directors equal to the percentage of the total voting power for the regular election of directors of Dell Technologies beneficially owned by the MD stockholders or by the SLP stockholders, as the case may be, multiplied by the number of directors then on the Dell Technologies board.</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and their respective affiliates may have interests that conflict with your interests or those of Dell Technologies.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ordinary course of their business activities, the MD stockholders, the MSD Partners stockholders, and the SLP stockholders and their respective affiliates may engage in activities where their interests conflict with interests of other stockholders or those of the company. The Dell Technologies certificate of incorporation provides that none of the MD stockholders, the MSD Partners stockholders, and the SLP stockholders, any of their respective affiliates or any director who is not employed by Dell Technologies (including any non-employee director who serves as one of Dell Technologies' officers in both his director and officer capacities) or his or her affiliates have any duty to refrain from engaging, directly or indirectly, in the same business activities or similar business activities or lines of business in which Dell Technologies operates. The MD stockholders, the MSD Partners stockholders, and the SLP stockholders also may pursue acquisition opportunities that may be complementary to Dell Technologies' business and, as a result, those acquisition opportunities may not be available to Dell Technologies.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16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Dell Technologies is a "controlled company" within the meaning of NYSE rules and, as a result, qualifies for, and relies on, exemptions from certain corporate governance requirements, as a result of which holders of Class V Common Stock do not have the same protections afforded to stockholders of companies that are subject to such requirements.</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February 3, 2017, for any matter submitted to a vote of the holders of Dell Technologies common stock voting together as a single class, the number of votes to which:</w:t>
      </w:r>
    </w:p>
    <w:p>
      <w:pPr>
        <w:spacing w:after="0" w:line="170"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holders of Class A Common Stock are entitled represent approximately 72% of the total number of votes to which all holders of Dell Technologies common stock are entitled;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holders of Class B Common Stock are entitled represent approximately 24% of the total number of votes to which all holders of Dell Technologies common stock are entitled;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holders of Class C Common Stock are entitled represent less than 1% of the total number of votes to which all holders of Dell Technologies common stock are entitled;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holders of Class V Common Stock are entitled represent approximately 4% of the total number of votes to which all holders of Dell Technologies common stock are entitled.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Accordingly, the MD stockholders, the MSD Partners stockholders, and the SLP stockholders control a majority of the combined voting power of all classes of Dell Technologies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Dell Technologies is a "controlled company" within the meaning of NYSE rules.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within one year of the date of the listing of the Class V Common Stock:</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board that is composed of a majority of "independent directors," as defined under the rules of the NYSE;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compensation committee that is composed entirely of independent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corporate governance and nominating committee that is composed entirely of independent directors.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Dell Technologies is utilizing these exemptions. As a result, a majority of the directors on the Dell Technologies board of directors are not independent and none of the committees of the Dell Technologies board of directors consists entirely of independent directors, other than the audit committee and the Capital Stock Committee. Accordingly, holders of Class V Common Stock do not have the same protections afforded to stockholders of companies that are subject to all of the corporate governance requirements of the NYSE.</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Dell Technologies certificate of incorporation designates a state court of the State of Delaware or the federal district court for the District of Delaware as the sole and exclusive forum for certain types of actions and proceedings that may be initiated by Dell Technologies' stockholders, which could limit the ability of the holders of Class V Common Stock to obtain a favorable judicial forum for disputes with Dell Technologies or with directors, officers, or the controlling stockholders of Dell Technologies.</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Under the Dell Technologies certificate of incorporation, unless Dell Technologies consents in writing to the selection of an alternative forum, the sole and exclusive forum for (1) any derivative action or proceeding brought on behalf of Dell Technologies, (2) any action asserting a claim of breach of a fiduciary duty owed by any director or officer or stockholder of Dell Technologies to Dell Technologies or Dell Technologies' stockholders, (3) any action asserting a claim against Dell Technologies or any director or officer or stockholder of Dell Technologies arising pursuant to any provision of the Delaware General Corporation Law or Dell Technologies' certificate of incorporation or bylaws, or (4) any action asserting a claim against Dell Technologies or any director or officer or stockholder of Dell Technologies governed by the internal affairs doctrine, will be a state court located within the State of Delaware (or, if no state court located within the State of Delaware has jurisdiction, the federal district court for the District of Delaware). These provisions of the Dell Technologies certificate of incorporation could limit the ability of the holders of the Class V Common Stock to obtain a favorable judicial forum for disputes with Dell Technologies or with directors, officers or the controlling stockholders of Dell Technologies, which may discourage such lawsuits against Dell Technologies and its directors, officers, and stockholders. Alternatively, if a court were to find these provisions of its constituent documents inapplicable to, or unenforceable in respect of, one or more of the specified types of actions or proceedings, Dell Technologies may incur additional costs associated with resolving such matters in other jurisdictions, which could adversely affect its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Class V Common Stock</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Holders of Class V Common Stock are common stockholders of Dell Technologies and, therefore, are subject to risks associated with an investment in Dell Technologies as a whole.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Even though Dell Technologies attributes, for financial reporting purposes, all of Dell Technologies' consolidated assets, liabilities, revenue, and expenses to either the DHI Group or the Class V Group in order to determine the DHI Group and Class V Common Stock earnings and earnings per share and to prepare the unaudited financial information for the Class V Group, Dell Technologies retains legal title to all of Dell Technologies' assets, and Dell Technologies' tracking stock capitalization does not limit Dell Technologies' legal responsibility, or that of Dell Technologies' subsidiaries, for their debts and liabilities. The DHI Group generally refers to the direct and indirect interest of Dell Technologies in all of Dell Technologies' business, assets, properties, liabilities, and preferred stock other than those attributable to the Class V Group, as well as its retained interest in the Class V Group equal to approximately 38% of Dell Technologies' economic interest in the Class V Group as of February 3, 2017. The Class V Common Stock is intended to track the economic performance of approximately 62% of Dell Technologies' economic interest in the Class V Group as of February 3, 2017. As of February 3, 2017, the Class V Group consisted of approximately 338 million shares of Class A common stock of VMware held by Dell Technologies. Although Dell Technologies' tracking stock policy provides that reallocations of assets between groups may result in the creation of inter-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group debt or an increase or decrease of the DHI Group's inter-group interest in the Class V Group or in an offsetting reallocation of cash or other assets, Dell Technologies' creditors are not limited by Dell Technologies' tracking stock capitalization from proceeding against any assets against which they could have proceeded if Dell Technologies did not have a tracking stock capitalization. The DHI Group and the Class V Group are not separate legal entities and cannot own assets, and, as a result, holders of Class V Common Stock do not have special legal rights related to specific assets attributed to the Class V Group and, in any liquidation, holders of DHI Group Common Stock and holders of Class V Common Stock will be entitled to their proportionate interests in assets of Dell Technologies after payment or provision for payment of the debts and liabilities of Dell Technologies and payment or provision for payment of any preferential amount due to the holders of any other class or series of stock based on their respective numbers of liquidation units.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Dell Technologies board of directors may not reallocate assets and liabilities between the DHI Group and the Class V Group without the approval of the Capital Stock Committee, which currently consists solely of independent directors, but any such reallocation of assets and liabilities may make it difficult to assess the future prospects of either group based on its past performance.</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Dell Technologies board of directors may not allocate or reallocate assets and liabilities to one group or the other without the approval of the Capital Stock Committee, which must consist of a majority of independent directors and currently consists solely of independent directors. Any such allocation or reallocation may be made without the approval of any of Dell Technologies' stockholders in accordance with the Dell Technologies tracking stock policy and the Dell Technologies certificate of incorporation. Any such reallocation made by the Dell Technologies board of directors, as well as the existence of the right in and of itself to effect a reallocation, may affect the ability of investors to assess the future prospects of either group, including its liquidity and capital resource needs, based on its past performance. Stockholders also may have difficulty evaluating the liquidity and capital resources of each group based on past performance, as the Dell Technologies board of directors may use one group's liquidity to fund the other group's liquidity and capital expenditure requirements through the use of inter-group loans or other inter-group arrangements.</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allocation or reallocation of assets and liabilities to one group or the other that results in the Class V Common Stock ceasing to track the performance of the Class A common stock of VMware could result in the delisting of the Class V Common Stock from the NYSE, as discussed below, which would materially adversely affect the liquidity and value of the Class V Common Stock.</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listing standards of the NYSE include certain requirements to maintain the listing of an Equity Investment Tracking Stock, and if the Class V Common Stock were delisted because of the failure to meet any of such requirements, the liquidity and value of the Class V Common Stock would be materially adversely affected.</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NYSE has listing standards for a tracking stock, which the NYSE refers to as an "Equity Investment Tracking Stock," that tracks the performance of an investment by the issuer in the common equity of another company listed on the NYSE, such as VMware. The listing standards of the NYSE provide that the Class V Common Stock could be delisted from the NYSE if:</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A common stock of VMware ceases to be listed on the NYSE;</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Dell Technologies ceases to own, directly or indirectly, at least 50% of either the economic interest or the voting power of all of the outstanding classes of common equity of VMware;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V Common Stock ceases to track the performance of the Class A common stock of VMware.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any of the foregoing conditions were no longer met at any time, the NYSE would determine whether the Class V Common Stock could meet any other applicable initial listing standard in place at that time. If the Class V Common Stock did not qualify for initial listing at that time under another applicable listing standard, the NYSE would commence delisting proceedings. Further, if trading in the Class A common stock of VMware were suspended or delisting proceedings were commenced with respect to such Class A common stock, trading in the Class V Common Stock would be suspended or delisting proceedings would be commenced with respect to the Class V Common Stock at the same time. Any delisting of the Class V Common Stock would materially adversely affect the liquidity and value of the Class V Common Stock.</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Class V Common Stock may not reflect the performance of the Class V Group as Dell Technologies intends.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Dell Technologies cannot make any assurance that the market price of the Class V Common Stock will, in fact, reflect the performance of Dell Technologies' interest in VMware and any other businesses, assets, and liabilities that may be attributed to the Class V Group at any time. Holders of Class V Common Stock will be common stockholders of Dell Technologies as a whole and, as such, will be subject to all risks associated with an investment in Dell Technologies and all of Dell Technologies' businesses, assets, and liabilities, including the approximately $49.4 billion of short-term and long-term indebtedness that Dell Technologies has outstanding as of February 3, 2017. In addition, investors may discount the value of the Class V Common Stock because it is part of a common enterprise rather than of a stand-alone entity. As a result of the characteristics of tracking stocks, tracking stocks often trade at a discount to the estimated value of the assets or businesses they are intended to track.</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market price of Class V Common Stock may be volatile, could fluctuate substantially, and could be affected by factors that do not affect traditional common stock.</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Market reaction to the establishment of tracking stocks is unpredictable. The market price of Class V Common Stock may be materially affected by, among other factors:</w:t>
      </w:r>
    </w:p>
    <w:p>
      <w:pPr>
        <w:spacing w:after="0" w:line="170" w:lineRule="exact"/>
        <w:rPr>
          <w:sz w:val="20"/>
          <w:szCs w:val="20"/>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VMware's operating results or in the operating results of any other businesses attributable to the Class V Group from time to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acquisition activity by Dell Technologies or the companies in which Dell Technologies invests;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the credit rating or credit quality of Dell Technologies and its subsidiaries;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issuances of additional debt or equity securities to raise capital by Dell Technologies or the companies in which Dell Technologies invests and the manner in which that debt or the proceeds of an equity issuance are attributed to each of the groups;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Class V Common Stock or the companies attributable to either of Dell Technologies' groups;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other companies engaged in similar lines of business;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the Class V Common Stock, as well as concerns regarding the possible effect of certain of those terms on an investment in Dell Technologies'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market price of Class V Common Stock may fluctuate significantly as a result of these and other factors. The market price of the Class V Common Stock may decline from time to time and you may not be able to sell your shares of Class V Common Stock at an attractive price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may not pay dividends equally or at all on the Class V Common Stock.</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VMware does not currently pay dividends on its common stock, and any decisions regarding dividends on the VMware common stock would be a decision of VMware's board of directors. Dell Technologies does not presently intend to pay cash dividends on the Class V Common Stock. If VMware were to pay a dividend on the VMware common stock owned by Dell Technologies that is attributable to the Class V Group, Dell Technologies could, but would not be required to, distribute some or all of that amount to the holders of Class V Common Stock. Dell Technologies will have the right to pay dividends on the shares of common stock of each group in equal or unequal amounts, and Dell Technologies may pay dividends on the shares of common stock of one group and not pay dividends on shares of common stock of the other group. In addition, any dividends or distributions on, or repurchases of, shares relating to either group will reduce Dell Technologies' assets legally available to be paid as dividends on the shares relating to the other group.</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Dell Technologies' operations are conducted almost entirely through its subsidiaries and its ability to generate cash to make future dividend payments, if any, is highly dependent on the cash flows and the receipt of funds from its subsidiaries via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dividends or intercompany loans. To the extent that Dell Technologies determines in the future to pay dividends on the DHI Group Common Stock or the Class V Common Stock, the terms of certain agreements governing Dell Technologies' or its subsidiaries' indebtedness, including the credit agreement governing the revolving credit facility and any credit facilities of VMware, may significantly restrict the ability of Dell Technologies' subsidiaries to pay dividends or otherwise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15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Dell Technologies' tracking stock capital structure could create conflicts of interest, and the Dell Technologies board of directors might make decisions that could adversely affect only some holders of Dell Technologies' common stock.</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Dell Technologies' tracking stock capital structure could give rise to circumstances in which the interests of holders of stock of one group might diverge or appear to diverge from the interests of holders of stock of the other group. In addition, given the nature of their businesses, there may be inherent conflicts of interests between the DHI Group and the Class V Group. Dell Technologies' groups are not separate entities and thus holders of DHI Group Common Stock and Class V Common Stock will not have the right to elect separate boards of directors. As a result, Dell Technologies' officers and directors owe fiduciary duties to Dell Technologies as a whole and all of Dell Technologies' stockholders as opposed to only holders of a particular group. Decisions deemed to be in the best interest of Dell Technologies and all of Dell Technologies' stockholders may not be in the best interest of a particular group when considered independently, such as:</w:t>
      </w:r>
    </w:p>
    <w:p>
      <w:pPr>
        <w:spacing w:after="0" w:line="189" w:lineRule="exact"/>
        <w:rPr>
          <w:sz w:val="20"/>
          <w:szCs w:val="20"/>
          <w:color w:val="auto"/>
        </w:rPr>
      </w:pPr>
    </w:p>
    <w:p>
      <w:pPr>
        <w:ind w:left="660" w:right="5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DHI Group and the Class V Group or the terms of any reallocations of assets between the groups;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conversion of Class V Common Stock into Class C Common Stock, which the Dell Technologies board of directors may make in its sole discretion, so long as the Class C Common Stock is then traded on a U.S. securities exchange;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decisions regarding the increase or decrease of the inter-group interest that the DHI Group may own in the Class V Group from time to time;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Dell Technologies'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Dell Technologies' groups;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Dell Technologies' groups.</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Ownership of DHI Group Common Stock and Class V Common Stock by Dell Technologies' directors or officers may create or appear to create conflicts of interest.</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With the exception of the three independent directors who serve as Group I Directors (whose equity compensation by Dell Technologies must be approximately half in the form of Class V Common Stock or options to acquire Class V Common Stock based on value at the time of grant), it is expected that all or substantially all of the direct and indirect equity ownership in Dell Technologies of Dell Technologies' directors and officers will consist of DHI Group Common Stock. Such ownership of DHI Group Common Stock by Dell Technologies' directors and officers could create or appear to create conflicts of interest when they are faced with decisions that could have different implications for the holders of DHI Group Common Stock or Class V Common Stock.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The Dell Technologies board of directors may not change the Dell Technologies tracking stock policy without the approval of the Capital Stock Committee, which currently consists solely of independent directors, but any such change may be made to the detriment of either group without stockholder approval.</w:t>
      </w:r>
    </w:p>
    <w:p>
      <w:pPr>
        <w:spacing w:after="0" w:line="180"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Dell Technologies board of directors has adopted the Dell Technologies tracking stock policy described in this report to serve as guidelines in making decisions regarding the relationships between the DHI Group and the Class V Group with respect to matters such as tax liabilities and benefits, inter-group debt, inter-group interests, allocation and reallocation of assets, financing alternatives, corporate opportunities, payment of dividends, and similar items.</w:t>
      </w:r>
    </w:p>
    <w:p>
      <w:pPr>
        <w:ind w:right="120"/>
        <w:spacing w:after="0" w:line="252" w:lineRule="auto"/>
        <w:rPr>
          <w:sz w:val="20"/>
          <w:szCs w:val="20"/>
          <w:color w:val="auto"/>
        </w:rPr>
      </w:pPr>
      <w:r>
        <w:rPr>
          <w:rFonts w:ascii="Arial" w:cs="Arial" w:eastAsia="Arial" w:hAnsi="Arial"/>
          <w:sz w:val="18"/>
          <w:szCs w:val="18"/>
          <w:color w:val="auto"/>
        </w:rPr>
        <w:t>These policies also set forth the initial allocation of Dell Technologies' businesses, assets, and liabilities between them. These policies are not included in the Dell Technologies certificate of incorporation. The Dell Technologies board of directors may not change or make exceptions to these policies without the approval of the Capital Stock Committee, which must consist of a majority of independent directors and which currently consists solely of independent directors. Because these policies relate to matters concerning the day-to-day management of Dell Technologies as opposed to significant corporate actions, such as a merger involving Dell Technologies or a sale of substantially all of Dell Technologies' assets, no stockholder approval is required with respect to their adoption or amendment. A decision to change, or make exceptions to, these policies or adopt additional policies could disadvantage one group while advantaging the other.</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Holders of shares of stock relating to a particular group may not have any remedies if any action by Dell Technologies' directors or officers has an adverse effect on only that stock.</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Principles of Delaware law and the provisions of the Dell Technologies certificate of incorporation may protect decisions of the Dell Technologies board of directors that have a disparate impact upon holders of shares of stock relating to a particular group. Under Delaware law, the Dell Technologies board of directors has a duty to act with due care and in the best interests of all stockholders. Principles of Delaware law established in cases involving differing treatment of multiple classes or series of stock provide that, subject to any applicable provisions of the corporation's certificate of incorporation, a board of directors owes an equal duty to all stockholders and does not have separate or additional duties to holders of any class or series of stock. Judicial opinions in Delaware involving tracking stocks have established that decisions by directors or officers involving differing treatment of holders of tracking stocks may be judged under the business judgment rule. In some circumstances, Dell Technologies' directors or officers may be required to make a decision that is viewed as adverse to the holders of shares relating to a particular group. Under the principles of Delaware law and the business judgment rule referred to above, Dell Technologies stockholders may not be able to successfully challenge decisions they believe have a disparate impact upon the stockholders of one of Dell Technologies' groups if a majority of the Dell Technologies board of directors is disinterested and independent with respect to the action taken, is adequately informed with respect to the action taken and acts in good faith and in the honest belief that the Dell Technologies board of directors is acting in the best interest of Dell Technologies and all of Dell Technologies'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may dispose of assets of the Class V Group without the approval of holders of the Class V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Delaware law requires stockholder approval only for a sale or other disposition of all or substantially all of the assets of Dell Technologies taken as a whole, and the Dell Technologies certificate of incorporation does not require a separate class vote in the case of a sale of a significant amount of assets attributed to any of Dell Technologies' groups. As long as the assets attributed to the Class V Group proposed to be disposed of represent less than substantially all of Dell Technologies' assets, Dell Technologies may approve sales and other dispositions of any amount of the assets attributed to such group without any stockholder approval.</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Dell Technologies disposes of all or substantially all of the assets attributed to the Class V Group (which means, for this purpose, assets representing 80% of the fair value of the total assets of the Class V Group as of such date, as determined by the Dell Technologies board of directors), Dell Technologies would be required, if the disposition is not an excluded transaction under the terms of the Dell Technologies certificate of incorporation, to choose one or more of the following three alternatives:</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declare and pay a dividend on the Class V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redeem shares of the Class V Common Stock in exchange for cash, securities or other property; or</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 long as the Class C Common Stock is then traded on a U.S. securities exchange, convert all or a portion of the outstanding Class V Common Stock into Class C Common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this type of a transaction, holders of the Class V Common Stock may receive less value than the value that a third-party buyer might pay for all or substantially all of the assets of the Class V Group.</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Dell Technologies board of directors will decide, in its sole discretion, how to proceed and is not required to select the option that would result in the highest value to holders of any group of Dell Technologies' common stock.</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Holders of Class V Common Stock may receive less consideration upon a sale of the assets attributed to the Class V Group than if such group were a separate company.</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Class V Group were a separate, independent company and its shares were acquired by another person, certain costs of that sale, including corporate level taxes, might not be payable in connection with that acquisition. As a result, stockholders of a separate, independent company with the same assets might receive a greater amount of proceeds than the holders of Class V Common Stock would receive upon a sale of all or substantially all of the assets of the Class V Group. In addition, in the event of such a sale, the per share consideration to be paid to holders of Class V Common Stock may not be equal to or more than the per share value before or after the announcement of a sale of all or substantially all of the assets of the Class V Group. Further, there is no requirement that the consideration paid be tax-free to the holders of Class V Common Stock. Accordingly, if Dell Technologies sells all or substantially all of the assets attributed to the Class V Group, the value of Dell Technologies' stockholders' investment in Dell Technologies could decrease.</w:t>
      </w:r>
    </w:p>
    <w:p>
      <w:pPr>
        <w:spacing w:after="0" w:line="16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 the event of a liquidation of Dell Technologies, holders of Class V Common Stock will not have a priority with respect to the assets attributed to the Class V Group remaining for distribution to stockholders.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Under the Dell Technologies certificate of incorporation, upon Dell Technologies' liquidation, dissolution, or winding-up, holders of the Class V Common Stock will be entitled to receive, in respect of their shares of such stock, their proportionate interest in all of Dell Technologies' assets, if any, remaining for distribution to holders of common stock in proportion to their respective number of "liquidation units" per share. Relative liquidation units will be based on the volume-weighted average price of the Class V Common Stock over the period of ten trading days commencing shortly after the initial filing of the Dell Technologies certificate of incorporation and the determination of the Dell Technologies board of directors of the value of the DHI Group Common Stock at such time. Hence, the assets to be distributed to a holder of Class V Common Stock upon a liquidation, dissolution, or winding-up of Dell Technologies will not be linked to the relative value of the assets attributed to the Class V Group at that time or to changes in the relative value of the DHI Group Common Stock and the Class V Common Stock over time.</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Dell Technologies board of directors in its sole discretion may elect to convert the Class V Common Stock into Class C Common Stock, thereby changing the nature of the investment.</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Dell Technologies certificate of incorporation permits the Dell Technologies board of directors, in its sole discretion, to convert all of the outstanding shares of Class V Common Stock into Class C Common Stock at such time as the Class C Common Stock is already traded on a U.S. securities exchange and the shares are converted at a ratio that provides the stockholders of the Class V Common Stock with the applicable conversion premium to which they are entitled. A conversion would preclude the holders of Class V Common Stock from retaining their investment in a security that is intended to reflect separately the performance of the Class V Group. Dell Technologies cannot predict the impact on the market value of Dell Technologies' stock of (1) the Dell Technologies board of directors' ability to effect any such conversion or (2) the exercise of this conversion right by Dell Technologies.</w:t>
      </w:r>
    </w:p>
    <w:p>
      <w:pPr>
        <w:spacing w:after="0" w:line="16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If Dell Technologies exercises its option to convert all outstanding shares of Class V Common Stock into shares of Class C Common Stock, such conversion would effectively eliminate Dell Technologies' tracking stock structure because, upon conversion, the holders of Class V Common Stock would hold one of four series of DHI Group Common Stock, none of which, after such conversion, would be intended to track the performance of any distinct tracking groups.</w:t>
      </w:r>
    </w:p>
    <w:p>
      <w:pPr>
        <w:ind w:right="40"/>
        <w:spacing w:after="0" w:line="261" w:lineRule="auto"/>
        <w:rPr>
          <w:sz w:val="20"/>
          <w:szCs w:val="20"/>
          <w:color w:val="auto"/>
        </w:rPr>
      </w:pPr>
      <w:r>
        <w:rPr>
          <w:rFonts w:ascii="Arial" w:cs="Arial" w:eastAsia="Arial" w:hAnsi="Arial"/>
          <w:sz w:val="18"/>
          <w:szCs w:val="18"/>
          <w:color w:val="auto"/>
        </w:rPr>
        <w:t>Upon any such conversion, for example, holders would no longer have special class voting rights or be subject to certain redemption or conversion provisions related to the Class V Group. In addition, there would no longer be a Capital Stock Committee or a tracking stock policy.</w:t>
      </w:r>
    </w:p>
    <w:p>
      <w:pPr>
        <w:spacing w:after="0" w:line="18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Holders of DHI Group Common Stock and Class V Common Stock generally vote together and holders of Class V Common Stock have limited separate voting rights.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Holders of DHI Group Common Stock and Class V Common Stock vote together as a single class, except in certain limited circumstances prescribed by the Dell Technologies certificate of incorporation and under Delaware law. Each share of Class V</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Stock and Class C Common Stock has one vote per share. Each share of Class A Common Stock and Class B Common Stock has ten votes per share. Holders of Class D Common Stock do not vote on any matters except to the extent required under Delaware law. In addition, the Group II Directors are elected solely by the holders of Class A Common Stock voting as a separate class and the Group III Directors are elected solely by the holders of Class B Common Stock voting as a separate class.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February 3, 2017, the number of votes to which holders of Class V Common Stock are entitled represent approximately 4% of the total number of votes to which all holders of Dell Technologies common stock are entitled, the number of votes to which holders of Class A Common Stock are entitled represent approximately 72% of the total number of votes to which all holders of Dell Technologies common stock are entitled, the number of votes to which holders of Class B Common Stock are entitled represent approximately 24% of the total number of votes to which all holders of Dell Technologies common stock are entitled, and the number of votes to which holders of Class C Common Stock are entitled represent less than 1% of the total number of votes to which all holders of Dell Technologies common stock are entitled. As a result, when holders of DHI Group Common Stock and Class V Common Stock vote together as a single class, holders of DHI Group Common Stock will be in a position to control the outcome of the vote even if the matter involves a conflict of interest among Dell Technologies' stockholders or has a greater impact on one group than the other.</w:t>
      </w:r>
    </w:p>
    <w:p>
      <w:pPr>
        <w:spacing w:after="0" w:line="175"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Certain restrictions provided in the Dell Technologies certificate of incorporation will lapse on the two-year anniversary of the closing of the EMC merger transaction, which would allow Dell Technologies to cause VMware Class A common stock to cease to be publicly listed and would prevent investors who may view the market price of VMware Class A common stock as relevant to a valuation of the VMware business from accessing sale information.</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restrictions in the Dell Technologies certificate of incorporation prohibit Dell Technologies from acquiring shares of VMware common stock for two years in circumstances in which the VMware Class A common stock would cease to be listed on a U.S. national securities exchange, subject to certain exceptions related to tax consolidation. While investors may view the market price of VMware Class A common stock as relevant to a valuation of the VMware business, the Class V Common Stock and the VMware Class A common stock have different characteristics, which Dell Technologies believes may affect their respective market prices in distinct ways. If Dell Technologies determined to take such actions following the expiration of such restrictions in the Dell Technologies certificate of incorporation and the VMware Class A common stock ceased to trade publicly, such action could cause the Class V Common Stock to be delisted from the NYSE, as discussed above, which would materially adversely affect the liquidity and value of the Class V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Class V Common Stock may not benefit from any potential premiums paid to the public holders of VMware Class A common stock.</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Dell Technologies or other persons may choose to purchase shares of VMware Class A common stock at a premium, and holders of Class V Common Stock would not be entitled to a similar premium for their shares of Class V Common Stock in such circumstances.</w:t>
      </w:r>
    </w:p>
    <w:p>
      <w:pPr>
        <w:spacing w:after="0" w:line="166"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Dell Technologies' capital structure, as well as the fact that the Class V Group is not an independent company, may inhibit or prevent acquisition bids for the Class V Group and may make it difficult for a third party to acquire Dell Technologies, even if doing so may be beneficial to Dell Technologies' stockholders.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the Class V Group were a separate, independent company, any person interested in acquiring the Class V Group without negotiating with management could seek control of the group by obtaining control of its outstanding voting stock by means of a tender offer or a proxy contest. Although Dell Technologies intends the Class V Common Stock to reflect the separate economic performance of the Class V Group, the group is not a separate entity and a person interested in acquiring only the Class V Group without negotiation with Dell Technologies' management could obtain control of the group only by obtaining control of a majority in voting power of all of the outstanding shares of common stock of Dell Technologies. Even if the MD stockholders, the MSD Partners stockholders, and the SLP stockholders approved such an acquisition, the existence of shares of common stock relating to different groups could present complexities and in certain circumstances pose obstacles, financial and otherwise, to an acquiring person that are not present in companies that do not have capital structures similar to the Dell Technologies capital structure.</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Certain provisions of the Dell Technologies certificate of incorporation and the Dell Technologies bylaws may discourage, delay or prevent a change in control of Dell Technologies that a stockholder may consider favorable. These provisions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the Dell Technologies board of directors; and</w:t>
      </w:r>
    </w:p>
    <w:p>
      <w:pPr>
        <w:spacing w:after="0" w:line="225"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the Dell Technologies board of directors without approval of the holders of Dell Technologies common stock to persons friendly to Dell Technologies' then-current management, thereby protecting the continuity of Dell Technologies' management, or which could be used to dilute the stock ownership of persons seeking to obtain control of Dell Technologies.</w:t>
      </w:r>
    </w:p>
    <w:p>
      <w:pPr>
        <w:spacing w:after="0" w:line="187" w:lineRule="exact"/>
        <w:rPr>
          <w:sz w:val="20"/>
          <w:szCs w:val="20"/>
          <w:color w:val="auto"/>
        </w:rPr>
      </w:pPr>
    </w:p>
    <w:p>
      <w:pPr>
        <w:ind w:right="100" w:firstLine="45"/>
        <w:spacing w:after="0" w:line="297" w:lineRule="auto"/>
        <w:rPr>
          <w:sz w:val="20"/>
          <w:szCs w:val="20"/>
          <w:color w:val="auto"/>
        </w:rPr>
      </w:pPr>
      <w:r>
        <w:rPr>
          <w:rFonts w:ascii="Arial" w:cs="Arial" w:eastAsia="Arial" w:hAnsi="Arial"/>
          <w:sz w:val="16"/>
          <w:szCs w:val="16"/>
          <w:color w:val="auto"/>
        </w:rPr>
        <w:t>Further, as a Delaware corporation, Dell Technologies is subject to provisions of Delaware law that may deter a takeover attempt that its stockholders may find beneficial. These anti-takeover provisions and other provisions under Delaware law could discourage, delay, or prevent a transaction involving a change in control of Dell Technologies, including actions that its stockholders may deem advantageous, or negatively affect the trading price of its common stock, including the Class V Common Stock. These provisions also could discourage proxy contests and make it more difficult for Dell Technologies' stockholders to elect directors of their choosing and to cause Dell Technologies to take other corporate actions that may be desired by its stockholders.</w:t>
      </w:r>
    </w:p>
    <w:p>
      <w:pPr>
        <w:spacing w:after="0" w:line="15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Dell Technologies board of directors is authorized to issue and designate shares of preferred stock in additional series without stockholder approval.</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Dell Technologies certificate of incorporation authorizes the Dell Technologies board of directors, without the approval of its stockholders, to issue 1 million shares of preferred stock, subject to limitations prescribed by applicable law, rules, and regulations, and the provisions of the Dell Technologies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Dell Technologies' classes of common stock, including the Class V Common Stock, which may reduce the value of the Class V Common Stock.</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Future sales, or the perception of future sales, by Dell Technologies or holders of Class V Common Stock in the public market could cause the market price for the Class V Common Stock to decline.</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sale of substantial amounts of shares of the Class V Common Stock in the public market, or the perception that such sales could occur, could harm the prevailing market price of shares of the Class V Common Stock. These sales, or the possibility that these sales may occur, also might make it more difficult for Dell Technologies to sell equity securities in the future at a time and at a price that it deems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February 3, 2017, we owned or leased a total of approximately 32.6 million square feet of office, manufacturing, and warehouse space worldwide, approximately 16.8 million square feet of which is located in the United States. Approximately 45% of this space was owned, and the remaining 55% was leased. These amounts include in these amounts are approximately 2.3 million square feet of space that was either vacant or sublet.</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February 3, 2017, our business centers, which include facilities that contain operations for sales, technical support, administrative, and support functions, occupy approximately 16.6 million square feet of space, of which we owned approximately 30%. At the same date, our manufacturing operations occupied approximately 4.3 million square feet of manufacturing space, of which Dell Technologies owned approximately 95%. In addition, as of February 3, 2017, our research and development centers were housed in approximately 9.4 million square feet of space, of which we owned approximately 47%.</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Dell Technologies believes that its existing properties are suitable and adequate for its current needs and that it can readily meet its requirements for additional space at competitive rates by extending expiring leases or by finding alternative space.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approximately 4.4 million square feet of space that houses executive and administrative offices, research and development, sales and marketing functions, and data centers are used solely by our VMware segment.</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we continue the integration of the EMC acquired businesses, we will seek to maximize the efficiency of our operations and the utilization of our properties.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set forth under the caption "Legal Matters" in Note 13 of the Notes to the Consolidated Financial Statements included in "Part II — Item 8 —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5"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Class V Common Stock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Class V Common Stock is listed on the New York Stock Exchange ("NYSE") under the ticker symbol DVMT. The following table sets forth information regarding the high and low sales prices of shares of our Class V Common Stock for the period from September 7, 2016, the date on which our Class V Common Stock began trading on the NYSE, through February 3,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Class V Common Stock</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79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Fiscal year ended February 3, 2017</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5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Third quarter (from September 7, 2016)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45.02</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r>
      <w:tr>
        <w:trPr>
          <w:trHeight w:val="27"/>
        </w:trPr>
        <w:tc>
          <w:tcPr>
            <w:tcW w:w="4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is no public market for our Class A Common Stock, our Class B Common Stock, or our Class C Common Stock. No shares of our Class D Common Stock were outstanding as of February 3,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As of March 27, 2017, there were 4,183 holders of record of our Class V Common Stock, 41 holders of record of our Class A Common Stock, five holders of record of our Class B Common Stock, and 42 holders of record of our Class C Common Stock. The number of record holders does not include individuals or entities that beneficially own shares of any class of our common stock, but whose shares are held of record by a broker, bank, or other nominee.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Subsequent to the listing of our Class V Common Stock on the NYSE on September 7, 2016, we have not paid or declared cash dividends on our common stock. We do not currently intend to pay cash dividends on our common stock in the foreseeable future. Any future determination to declare cash dividends will be made at the discretion of our board of directors and will depend upon our results of operations, financial condition and business prospects, limitations on the payment of dividends under our certificate of incorporation, the terms of our indebtedness and applicable law, and such other factors as our board of directors may deem relevant. For information about restrictions on our ability to pay cash dividends on the common stock, see "Part I — Item 1A — Risk Factors — Risk Factors Relating to the Class V Common Stock — Dell Technologies may not pay dividends equally or at all on the Class V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October 29, 2016 through February 3, 2017, we issued to certain employees a total of 100,830 shares of our Class C Common Stock for an aggregate purchase price of approximately $1 million pursuant to exercises of stock options granted under the Dell Technologies Inc. 2013 Stock Incentive Plan, which was adopted on September 7, 2016 as an amendment and restatement of the Denali Holding Inc. 2013 Stock Incentive Plan, the Dell Technologies Inc. 2012 Long-Term Incentive Plan, which was adopted on September 7, 2016 as an amendment and restatement of the Dell Inc. 2012 Long-Term Incentive Plan, and the Dell Inc. Amended and Restated 2002 Long-Term Plan. During the same period, we also issued 33,393 shares of our Class A Common Stock with an aggregate value of approximately $1 million upon the vesting of restricted stock units granted pursuant to awards under the Dell Technologies Inc. 2012 Long-Term Incentive Plan. The foregoing transactions were effected in reliance on the exemption from registration under the Securities Act of 1933 (the "Securities Act") afforded by Rule 701 thereunder as transactions pursuant to compensatory benefit plans or contracts relating to compensation as provided under such rule.</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November, 2016, we issued to certain existing stockholders of Dell Technologies a total of 636,262 shares of our Class A Common Stock for an aggregate purchase price of approximately $17 million. The shares were issued in a non-public offering in reliance on the exemption from registration under the Securities Act afforded by Section 4(a)(2) of the Securities Act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Regulation D thereunder. Each investor represented to us that such investor was an "accredited investor" as defined in Rule 501(a) under the Securities Act, was not acquiring our Class A Common Stock with a view to or for sale in connection with any distribution thereof within the meaning of the Securities Act, and received and had access to adequate information about our company. The shares issued in this non-public offering are subject to restrictions on transfer.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7, 2016, our board of directors approved a stock repurchase program (the "DHI Group Repurchase Program") that authorizes us to use assets of the DHI Group to repurchase up to $1.0 billion of shares of our Class V Common Stock over a two-year period beginning on September 7, 2016. On December 13, 2016, our board of directors approved the suspension of the DHI Group Repurchase Program until such time as the board of directors authorizes the reinstatement of that program. On the same date, our board of directors approved a stock repurchase program (the "Class V Group Repurchase Program") that authorizes us to use assets of the Class V Group to repurchase up to $500 million of shares of our Class V Common Stock over a period of six months. We may repurchase shares under the two programs through open market purchases, block trades, or accelerated or other structured share repurchase programs. The following table sets forth information regarding our repurchases of shares of Class V Common Stock during the fourth quarter of Fiscal 2017 and the remaining authorized amount of future repurchases under the programs.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 Number of Shares</w:t>
            </w: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Weighted Average Price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1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34"/>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right"/>
              <w:ind w:right="610"/>
              <w:spacing w:after="0"/>
              <w:rPr>
                <w:sz w:val="20"/>
                <w:szCs w:val="20"/>
                <w:color w:val="auto"/>
              </w:rPr>
            </w:pPr>
            <w:r>
              <w:rPr>
                <w:rFonts w:ascii="Arial" w:cs="Arial" w:eastAsia="Arial" w:hAnsi="Arial"/>
                <w:sz w:val="18"/>
                <w:szCs w:val="18"/>
                <w:b w:val="1"/>
                <w:bCs w:val="1"/>
                <w:color w:val="auto"/>
              </w:rPr>
              <w:t>Purchased</w:t>
            </w:r>
          </w:p>
        </w:tc>
        <w:tc>
          <w:tcPr>
            <w:tcW w:w="28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Paid per 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gridSpan w:val="2"/>
          </w:tcPr>
          <w:p>
            <w:pPr>
              <w:jc w:val="right"/>
              <w:ind w:right="250"/>
              <w:spacing w:after="0"/>
              <w:rPr>
                <w:sz w:val="20"/>
                <w:szCs w:val="20"/>
                <w:color w:val="auto"/>
              </w:rPr>
            </w:pPr>
            <w:r>
              <w:rPr>
                <w:rFonts w:ascii="Arial" w:cs="Arial" w:eastAsia="Arial" w:hAnsi="Arial"/>
                <w:sz w:val="18"/>
                <w:szCs w:val="18"/>
                <w:color w:val="auto"/>
                <w:w w:val="91"/>
              </w:rPr>
              <w:t>(in millions, except average price paid per share)</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Repurchases from October 29, 2016</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 November 25, 2016</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49.61</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Repurchases from November 26,</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2016 to December 30, 2016 (a) (b)</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56.10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Repurchases from December 31,</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to February 3, 2017</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59.06</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55.76</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00" w:hanging="332"/>
        <w:spacing w:after="0" w:line="264"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described above, on December 13, 2016, our board of directors approved suspension of the previously authorized DHI Group Repurchase Program announced on September 7, 2016, under which we are authorized to repurchase up to $1.0 billion shares of Class V Common Stock over a period of two years using assets of the DHI Group. At the time of this program's suspension, $324 million of our Class V Common Stock had been repurchased and $676 million of our Class V Common Stock remained authorized for repurchase under the program.</w:t>
      </w:r>
    </w:p>
    <w:p>
      <w:pPr>
        <w:spacing w:after="0" w:line="2" w:lineRule="exact"/>
        <w:rPr>
          <w:rFonts w:ascii="Arial" w:cs="Arial" w:eastAsia="Arial" w:hAnsi="Arial"/>
          <w:sz w:val="17"/>
          <w:szCs w:val="17"/>
          <w:color w:val="auto"/>
        </w:rPr>
      </w:pPr>
    </w:p>
    <w:p>
      <w:pPr>
        <w:ind w:left="340" w:right="160" w:hanging="332"/>
        <w:spacing w:after="0" w:line="25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described above, on December 13, 2016, our board of directors approved the Class V Group Repurchase Program, under which we are authorized to repurchase up to $500 million shares of Class V Common Stock over a period of six months using assets of the Class V Group. As of February 3, 2017, $418 million of our Class V Common Stock had been repurchased and $82 million of our Class V Common Stock remained authorized for repurchase under the program.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graph compares the cumulative total return on our Class V Common Stock for the period of September 7, 2016, the date on which our Class V Common Stock began trading on the NYSE, through February 3, 2017 with the total return over the same period on the S&amp;P 500 Index and the S&amp;P Systems Software Index. The graph assumes that $100 was invested on September 7, 2016 in the Class V Common Stock and in each of the foregoing indices and assumes reinvestment of dividends, if any. The comparisons in the graph are based on historical data and are not necessarily indicative of the future price performance of the 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266065</wp:posOffset>
            </wp:positionV>
            <wp:extent cx="4742180" cy="3404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218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Base Period</w:t>
            </w: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7, 2016</w:t>
            </w:r>
          </w:p>
        </w:tc>
        <w:tc>
          <w:tcPr>
            <w:tcW w:w="26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28, 2016</w:t>
            </w:r>
          </w:p>
        </w:tc>
        <w:tc>
          <w:tcPr>
            <w:tcW w:w="26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February 3, 2017</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V Common Stock</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105.94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Systems Software Index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108.32</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preceding stock performance graph shall not be deemed to be incorporated by reference by means of any general statement incorporating by reference this annual report on Form 10-K into any filing under the Securities Act or the Securities Exchange Act of 1934, except to the extent that Dell Technologies specifically incorporates such information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selected consolidated financial data for our company should be read in conjunction with "Part II — Item 7 — Management's Discussion and Analysis of Financial Condition and Results of Operations" and "Part II — Item 8 — Financial Statements and Supplementary Data." Consolidated results of operations and cash flow data for the fiscal years ended February 3, 2017, January 29, 2016, and January 30, 3015 and balance sheet data as of February 3, 2017 and January 29, 2016 have been derived from our audited consolidated financial statements included in "Part II — Item 8 — Financial Statements and Supplementary Data." Consolidated results of operations and cash flow data for the period from October 29, 2013 to January 31, 2014 and the period from February 2, 2013 to October 28, 2013 and balance sheet data as of January 30, 2015 have been derived from our audited consolidated financial statements included in the proxy statement/prospectus dated June 6, 2016, forming part of our registration statement on Form S-4 (Registration No. 333-208524) filed with the SEC, which are not included or incorporated by reference herein. The consolidated balance sheet data as of January 31, 2014 have been derived from our audited consolidated financial statements for the fiscal year then ended, which are not included or incorporated by reference herein. The consolidated balance sheet data as of February 1, 2013 and the results of operations and cash flow data for the fiscal year ended February 1, 2013 have been derived from Dell Inc.'s audited consolidated financial statements included in Dell Inc.'s annual report on Form 10-K for the fiscal year ended February 1, 2013 filed with the SEC, which are not included or incorporated by reference herein. As discussed further below, for all periods preceding the fiscal year ended January 30, 2015 ("Fiscal 2015"), the financial results are not reflective of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DHI Group and Class V Group</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Dell Technologies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its retained interest in the Class V Group equal to approximately 38% of Dell Technologies' economic interest in the Class V Group as of February 3, 2017. The Class V Common Stock is intended to track the economic performance of approximately 62% of Dell Technologies' economic interest in the Class V Group as of such date. As of February 3, 2017, the Class V Group consisted of approximately 338 million shares of Class A common stock of VMware held by Dell Technologies. See Note 18 of the Notes to the Consolidated Financial Statements included in this report and Exhibit 99.1 filed with this report for more information regarding the allocation of earnings from Dell Technologies' interest in VMware between the DHI Group and the Class V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 On March 27, 2016, Dell entered into a definitive agreement with NTT Data International L.L.C. to divest substantially all of Dell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2, 2016, the parties closed substantially all of the transaction. On June 19, 2016, Dell entered into a definitive agreement with Francisco Partners and Elliot Management Corporation to divest substantially all of Dell Software Group ("DSG"). On October 31, 2016, the parties closed the transaction. On September 12, 2016, EMC entered into a definitive agreement with OpenText Corporation to divest the Dell EMC Enterprise Content Division ("ECD"). On January 23, 2017, the parties closed the transaction. In accordance with applicable accounting guidance, the results of Dell Services, DSG, and ECD, as well as the related gains or losses on sale, are presented as discontinued operations in the Condensed Consolidated Statements of Income (Loss) for the fiscal years ended February 3, 2017, January 29, 2016, and January 30, 2015 and, as such, have been excluded from continuing operations in the selected financial data presented below for those periods, except as otherwise indicated. Dell Technologies believes presenting Dell Services and the Dell Software Group as discontinued operations for periods preceding the fiscal year ended January 30, 2015 ("Fiscal 2015") is not material to understanding the results of operations and trends of Dell Technologies and is not relevant to the holders of the Class V Common Stock, which is intended to track the performance of a portion of Dell Technologies' economic interest in VMware, a majority-owned consolidated subsidiary of EMC, subsequent to the closing of the EMC merger transaction. In this regard, the performance of the Class V Common Stock is not affected by the operations of Dell Technologies prior to the consummation of the EMC merger transaction, as Dell Technologies did not acquire EMC's investment in VMware until the completion of the EMC merger transaction on September 7, 2016. See Note 4 of the Notes to the Consolidated Financial Statements included in this report for additional information on divestitures.</w:t>
      </w:r>
    </w:p>
    <w:p>
      <w:pPr>
        <w:spacing w:after="0" w:line="1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Going Private Transaction </w:t>
      </w:r>
      <w:r>
        <w:rPr>
          <w:rFonts w:ascii="Arial" w:cs="Arial" w:eastAsia="Arial" w:hAnsi="Arial"/>
          <w:sz w:val="18"/>
          <w:szCs w:val="18"/>
          <w:color w:val="auto"/>
        </w:rPr>
        <w:t>— On October 29, 2013, Dell Technologies acquired Dell in a transaction referred to as the going-private transaction.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the consolidated financial data included in this report, periods prior to October 29, 2013 reflect the financial position, results of operations, and changes in financial position of Dell and its consolidated subsidiaries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going-private transaction, referred to as the Predecessor, and periods beginning on or after October 29, 2013 reflect the financial position, results of operations, and changes in financial position of Dell Technologies Inc. and its consolidated subsidiaries as a result of the going-private transaction, referred to as the Successor. As a result of the going-private transaction, the results of operations and financial position of the Predecessor and Successor are not directly comparable.</w:t>
      </w:r>
    </w:p>
    <w:p>
      <w:pPr>
        <w:spacing w:after="0" w:line="363"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February 3, 2017 (a)</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4"/>
              </w:rPr>
              <w:t>January 29, 2016</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January 30, 2015</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w w:val="90"/>
              </w:rPr>
              <w:t>(in millions, except per share data)</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Results of Operations and Cash Flow Data: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50,911</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54,142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12,959</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8,387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8,896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(3,252)</w:t>
            </w:r>
          </w:p>
        </w:tc>
        <w:tc>
          <w:tcPr>
            <w:tcW w:w="300" w:type="dxa"/>
            <w:vAlign w:val="bottom"/>
            <w:tcBorders>
              <w:left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(514)</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8"/>
              <w:spacing w:after="0"/>
              <w:rPr>
                <w:sz w:val="20"/>
                <w:szCs w:val="20"/>
                <w:color w:val="auto"/>
              </w:rPr>
            </w:pPr>
            <w:r>
              <w:rPr>
                <w:rFonts w:ascii="Arial" w:cs="Arial" w:eastAsia="Arial" w:hAnsi="Arial"/>
                <w:sz w:val="16"/>
                <w:szCs w:val="16"/>
                <w:color w:val="auto"/>
              </w:rPr>
              <w:t>(5,356)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(1,286)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(3,737)</w:t>
            </w:r>
          </w:p>
        </w:tc>
        <w:tc>
          <w:tcPr>
            <w:tcW w:w="300" w:type="dxa"/>
            <w:vAlign w:val="bottom"/>
            <w:tcBorders>
              <w:left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(1,168)</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Earnings (loss) per share attributable to Dell Technologies Inc.: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 - Class V Common Stock - basic</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Continuing operations - DHI Group - basic</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8"/>
              <w:spacing w:after="0"/>
              <w:rPr>
                <w:sz w:val="20"/>
                <w:szCs w:val="20"/>
                <w:color w:val="auto"/>
              </w:rPr>
            </w:pPr>
            <w:r>
              <w:rPr>
                <w:rFonts w:ascii="Arial" w:cs="Arial" w:eastAsia="Arial" w:hAnsi="Arial"/>
                <w:sz w:val="16"/>
                <w:szCs w:val="16"/>
                <w:color w:val="auto"/>
              </w:rPr>
              <w:t>(8.52)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(2.88)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 - Class V Common Stock - diluted</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Continuing operations - DHI Group - diluted</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8"/>
              <w:spacing w:after="0"/>
              <w:rPr>
                <w:sz w:val="20"/>
                <w:szCs w:val="20"/>
                <w:color w:val="auto"/>
              </w:rPr>
            </w:pPr>
            <w:r>
              <w:rPr>
                <w:rFonts w:ascii="Arial" w:cs="Arial" w:eastAsia="Arial" w:hAnsi="Arial"/>
                <w:sz w:val="16"/>
                <w:szCs w:val="16"/>
                <w:color w:val="auto"/>
              </w:rPr>
              <w:t>(8.52)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(2.88)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weighted-average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Class V Common Stock - basic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DHI Group - basic</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405</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Class V Common Stock - diluted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DHI Group - diluted</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405</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2,162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6"/>
                <w:szCs w:val="16"/>
                <w:color w:val="auto"/>
              </w:rPr>
              <w:t>____________________</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(a)  The fiscal year ended February 3, 2017 included 53 weeks.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restart"/>
          </w:tcPr>
          <w:p>
            <w:pPr>
              <w:jc w:val="center"/>
              <w:ind w:right="288"/>
              <w:spacing w:after="0"/>
              <w:rPr>
                <w:sz w:val="20"/>
                <w:szCs w:val="20"/>
                <w:color w:val="auto"/>
              </w:rPr>
            </w:pPr>
            <w:r>
              <w:rPr>
                <w:rFonts w:ascii="Arial" w:cs="Arial" w:eastAsia="Arial" w:hAnsi="Arial"/>
                <w:sz w:val="16"/>
                <w:szCs w:val="16"/>
                <w:b w:val="1"/>
                <w:bCs w:val="1"/>
                <w:color w:val="auto"/>
                <w:w w:val="83"/>
              </w:rPr>
              <w:t>Successor</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vMerge w:val="restart"/>
          </w:tcPr>
          <w:p>
            <w:pPr>
              <w:jc w:val="right"/>
              <w:ind w:right="124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88"/>
              <w:spacing w:after="0" w:line="147" w:lineRule="exact"/>
              <w:rPr>
                <w:sz w:val="20"/>
                <w:szCs w:val="20"/>
                <w:color w:val="auto"/>
              </w:rPr>
            </w:pPr>
            <w:r>
              <w:rPr>
                <w:rFonts w:ascii="Arial" w:cs="Arial" w:eastAsia="Arial" w:hAnsi="Arial"/>
                <w:sz w:val="14"/>
                <w:szCs w:val="14"/>
                <w:b w:val="1"/>
                <w:bCs w:val="1"/>
                <w:color w:val="auto"/>
                <w:w w:val="92"/>
              </w:rPr>
              <w:t>October 29, 2013 to</w:t>
            </w:r>
          </w:p>
        </w:tc>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February 2, 2013 to</w:t>
            </w:r>
          </w:p>
        </w:tc>
        <w:tc>
          <w:tcPr>
            <w:tcW w:w="160" w:type="dxa"/>
            <w:vAlign w:val="bottom"/>
          </w:tcPr>
          <w:p>
            <w:pPr>
              <w:spacing w:after="0"/>
              <w:rPr>
                <w:sz w:val="12"/>
                <w:szCs w:val="12"/>
                <w:color w:val="auto"/>
              </w:rPr>
            </w:pPr>
          </w:p>
        </w:tc>
        <w:tc>
          <w:tcPr>
            <w:tcW w:w="150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w w:val="94"/>
              </w:rPr>
              <w:t>January 31, 2014</w:t>
            </w:r>
          </w:p>
        </w:tc>
        <w:tc>
          <w:tcPr>
            <w:tcW w:w="14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October 28, 2013</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February 1, 2013</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color w:val="auto"/>
                <w:w w:val="93"/>
              </w:rPr>
              <w:t>(in millions, except per share data)</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Results of Operations and Cash Flow Data (a):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42,302</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56,940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20"/>
                <w:szCs w:val="20"/>
                <w:color w:val="auto"/>
              </w:rPr>
            </w:pPr>
          </w:p>
        </w:tc>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7,991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12,186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518</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320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Earnings (loss) per common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(0.05)</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(0.05)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weighted-average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1,755</w:t>
            </w:r>
          </w:p>
        </w:tc>
        <w:tc>
          <w:tcPr>
            <w:tcW w:w="16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1,755</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3"/>
                <w:szCs w:val="23"/>
                <w:color w:val="auto"/>
              </w:rPr>
            </w:pPr>
          </w:p>
        </w:tc>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60"/>
              <w:spacing w:after="0"/>
              <w:rPr>
                <w:sz w:val="20"/>
                <w:szCs w:val="20"/>
                <w:color w:val="auto"/>
              </w:rPr>
            </w:pPr>
            <w:r>
              <w:rPr>
                <w:rFonts w:ascii="Arial" w:cs="Arial" w:eastAsia="Arial" w:hAnsi="Arial"/>
                <w:sz w:val="16"/>
                <w:szCs w:val="16"/>
                <w:color w:val="auto"/>
              </w:rPr>
              <w:t>1,604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193"/>
        </w:trPr>
        <w:tc>
          <w:tcPr>
            <w:tcW w:w="5960" w:type="dxa"/>
            <w:vAlign w:val="bottom"/>
          </w:tcPr>
          <w:p>
            <w:pPr>
              <w:spacing w:after="0"/>
              <w:rPr>
                <w:sz w:val="20"/>
                <w:szCs w:val="20"/>
                <w:color w:val="auto"/>
              </w:rPr>
            </w:pPr>
            <w:r>
              <w:rPr>
                <w:rFonts w:ascii="Arial" w:cs="Arial" w:eastAsia="Arial" w:hAnsi="Arial"/>
                <w:sz w:val="16"/>
                <w:szCs w:val="16"/>
                <w:color w:val="auto"/>
              </w:rPr>
              <w:t>____________________</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 Results of operations for the periods presented in the table above have not been reclassified to present the divested businesses as discontinued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Successor</w:t>
            </w:r>
          </w:p>
        </w:tc>
        <w:tc>
          <w:tcPr>
            <w:tcW w:w="10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2"/>
              </w:rPr>
              <w:t>Predecessor</w:t>
            </w:r>
          </w:p>
        </w:tc>
      </w:tr>
      <w:tr>
        <w:trPr>
          <w:trHeight w:val="264"/>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7"/>
              </w:rPr>
              <w:t>February 3, 2017</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2"/>
              </w:rPr>
              <w:t>January 29, 2016</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January 30, 2015</w:t>
            </w:r>
          </w:p>
        </w:tc>
        <w:tc>
          <w:tcPr>
            <w:tcW w:w="13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January 31, 2014</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February 1, 2013</w:t>
            </w:r>
          </w:p>
        </w:tc>
      </w:tr>
      <w:tr>
        <w:trPr>
          <w:trHeight w:val="244"/>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6,322</w:t>
            </w:r>
          </w:p>
        </w:tc>
        <w:tc>
          <w:tcPr>
            <w:tcW w:w="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5,398</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12,569</w:t>
            </w: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118,206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45,122</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48,029</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51,153</w:t>
            </w:r>
          </w:p>
        </w:tc>
        <w:tc>
          <w:tcPr>
            <w:tcW w:w="14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47,540</w:t>
            </w: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debt</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2,981</w:t>
            </w:r>
          </w:p>
        </w:tc>
        <w:tc>
          <w:tcPr>
            <w:tcW w:w="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2,920</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3,843</w:t>
            </w: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43,061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10,650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11,071</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14,352</w:t>
            </w:r>
          </w:p>
        </w:tc>
        <w:tc>
          <w:tcPr>
            <w:tcW w:w="14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5,242</w:t>
            </w: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Dell Technologies Inc. stockholders' equity (b)</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1,466</w:t>
            </w:r>
          </w:p>
        </w:tc>
        <w:tc>
          <w:tcPr>
            <w:tcW w:w="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2,904</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10,680</w:t>
            </w:r>
          </w:p>
        </w:tc>
      </w:tr>
      <w:tr>
        <w:trPr>
          <w:trHeight w:val="193"/>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____________________</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ind w:left="340" w:right="60" w:hanging="332"/>
        <w:spacing w:after="0" w:line="246"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and cash equivalents as of January 31, 2014 and February 1, 2013 has not been adjusted to present the cash and cash equivalents of the divested businesses as held for sale.</w:t>
      </w: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Dell Technologies Inc. stockholders' equity as of February 1, 2013 represents the total stockholders' equity of Dell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440"/>
        <w:spacing w:after="0" w:line="28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This management's discussion and analysis should be read in conjunction with the Consolidated Financial Statements and accompanying Notes included in this annual report on Form 10-K. 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3, 2017, January 29, 2016, and January 30, 2015 as "Fiscal 2017," "Fiscal 2016," and "Fiscal 2015," respectively. Fiscal 2016 and Fiscal 2015 included 52 weeks. Fiscal 2017 included 53 weeks, with the extra week included in the fourth quarter of Fiscal 2017.</w:t>
      </w:r>
    </w:p>
    <w:p>
      <w:pPr>
        <w:spacing w:after="0" w:line="181"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On September 7, 2016, we completed our acquisition by merger of EMC Corporation. The consolidated results of EMC are included in Dell Technologies' consolidated results for the Fiscal 2017 periods presented. Revenues of approximately $9.2 billion and net loss of approximately $2.1 billion attributable to EMC were included in the Consolidated Statements of Income (Loss) for the period from September 7, 2016 through February 3, 2017.</w:t>
      </w:r>
    </w:p>
    <w:p>
      <w:pPr>
        <w:spacing w:after="0" w:line="13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During Fiscal 2017, we closed the Dell Services, DSG, and ECD divestiture transactions. We received total cash consideration of approximately $7.0 billion from the divestitures and recorded a gain on sale, net of tax, of approximately $1.9 billion. Accordingly, the results of operations of Dell Services, DSG, and ECD, as well as the related gains or losses on sale, have been excluded from the results of continuing operations in the periods presented in this management's discussion and analysis, except as otherwise indicated.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Dell Technologies is a strategically aligned family of businesses that brings together the entire infrastructure from hardware to software to services — from the edge to the data center to the cloud. Dell Technologies is a leader in the traditional technology of today and a leader in the cloud-native infrastructure of tomorrow. We are a leading provider of scalable IT solutions enabling customers to be more efficient, mobile, informed, and secure. Through our recent combination with EMC, Dell Technologies now encompasses the businesses of Dell, which includes our Client Solutions Group, Dell EMC, which includes our Infrastructure Solutions Group, VMware, Pivotal, RSA, and SecureWorks. We are focused on providing technology solutions and services that accelerate digital transformation. We believe technology exists to drive human progress on a global scale — to create new markets, reshape industries, and improve lives. We are positioned to help customers of any size build the essential infrastructure to modernize IT and enable digital business, and are differentiated by our practical innovation and efficient, simple, and affordable solutions.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Dell Technologies is committed to our customers. We believe our products, solutions, and services will help power digital transformation. As we innovate to make our customers' existing IT increasingly productive, we help them reinvest their savings into the next generation of technologies that they need to succeed in the digital economy. Our next-generation solutions which enable digital transformation include software-defined data centers, all flash arrays, hybrid cloud, converged and hyper-converged infrastructure, mobile, and security solutions. In addition, our extended warranty and delivery offerings, and software and peripherals, which are closely tied to the sale of our hardware products, are important value differentiators that we are able to offer our customers.</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believe the combined strength of Dell and EMC will benefit our customers through complementary product portfolios, sales teams, and research and development strategies. We are actively working on the integration of EMC acquired businesses, including developing a combined go-to-market strategy. During this period of transition and integration, we remain focused on supporting our customers with outstanding solutions, products, and services. We will continue our focus on building superior customer relationships through our direct model and our network of channel partners, which includes value-added resellers,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system integrators, distributors, and retailers. We also will continue investing in strategic solutions and enhancing our go-to-market sales and marketing capabilities as we seek to create a leading global technology company poised for long-term sustainable growth and innovation.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we stay focused on our customers, we will pursue the following strategic initiatives: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extend our market leading position through our Client and Infrastructure Solutions Groups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grow our strong position in IT infrastructure for cloud-native workloads, both on- and off-premises</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innovate with winning technology that spans and unites on- and off-premises applications and infrastructure and that enables workforce transformation required by our customers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this strategy, we may supplement organic growth with strategic investments and disciplined acquisitions targeting businesses that will complement our existing portfolio of solutions.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operate a diversified business model with the majority of our net revenue and operating income derived from commercial clients that consist of large enterprises, small and medium-sized businesses, and public sector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Client Solutions Group; Infrastructure Solutions Group; and VMware. Due to our divestitures of Dell Services, Dell Software Group, and Dell EMC Enterprise Content Division, the results of these businesses, as well as the related gains or losses on sale, have been excluded from this management's discussion and analysis for all periods presented, except as otherwise indicated. See "Divestitures" below for more information regarding the sale of Dell Services, Dell Software Group, and ECD.</w:t>
      </w:r>
    </w:p>
    <w:p>
      <w:pPr>
        <w:spacing w:after="0" w:line="188" w:lineRule="exact"/>
        <w:rPr>
          <w:sz w:val="20"/>
          <w:szCs w:val="20"/>
          <w:color w:val="auto"/>
        </w:rPr>
      </w:pPr>
    </w:p>
    <w:p>
      <w:pPr>
        <w:jc w:val="both"/>
        <w:ind w:left="660" w:right="44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Offerings by CSG (formerly referred to as Client Solutions) include branded hardware, such as desktop PCs,</w:t>
      </w:r>
      <w:r>
        <w:rPr>
          <w:rFonts w:ascii="Arial" w:cs="Arial" w:eastAsia="Arial" w:hAnsi="Arial"/>
          <w:sz w:val="18"/>
          <w:szCs w:val="18"/>
          <w:i w:val="1"/>
          <w:iCs w:val="1"/>
          <w:color w:val="auto"/>
        </w:rPr>
        <w:t xml:space="preserve"> </w:t>
      </w:r>
      <w:r>
        <w:rPr>
          <w:rFonts w:ascii="Arial" w:cs="Arial" w:eastAsia="Arial" w:hAnsi="Arial"/>
          <w:sz w:val="18"/>
          <w:szCs w:val="18"/>
          <w:color w:val="auto"/>
        </w:rPr>
        <w:t>notebooks, and tablets, and branded peripherals, such as monitors, printers, and projectors. CSG also offers attached software, peripherals and services, including support and deployment, configuration, and extended warranty services.</w:t>
      </w:r>
    </w:p>
    <w:p>
      <w:pPr>
        <w:spacing w:after="0" w:line="181"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Approximately 50% of CSG revenue is generated by sales to customers in the Americas, with the remaining portion derived from sales to customers in EMEA and APJ.</w:t>
      </w:r>
    </w:p>
    <w:p>
      <w:pPr>
        <w:spacing w:after="0" w:line="170" w:lineRule="exact"/>
        <w:rPr>
          <w:sz w:val="20"/>
          <w:szCs w:val="20"/>
          <w:color w:val="auto"/>
        </w:rPr>
      </w:pPr>
    </w:p>
    <w:p>
      <w:pPr>
        <w:ind w:left="660" w:hanging="328"/>
        <w:spacing w:after="0" w:line="293" w:lineRule="auto"/>
        <w:tabs>
          <w:tab w:leader="none" w:pos="660" w:val="left"/>
        </w:tabs>
        <w:numPr>
          <w:ilvl w:val="0"/>
          <w:numId w:val="20"/>
        </w:numPr>
        <w:rPr>
          <w:rFonts w:ascii="Arial" w:cs="Arial" w:eastAsia="Arial" w:hAnsi="Arial"/>
          <w:sz w:val="16"/>
          <w:szCs w:val="16"/>
          <w:i w:val="1"/>
          <w:iCs w:val="1"/>
          <w:color w:val="0000FF"/>
        </w:rPr>
      </w:pPr>
      <w:r>
        <w:rPr>
          <w:rFonts w:ascii="Arial" w:cs="Arial" w:eastAsia="Arial" w:hAnsi="Arial"/>
          <w:sz w:val="16"/>
          <w:szCs w:val="16"/>
          <w:i w:val="1"/>
          <w:iCs w:val="1"/>
          <w:u w:val="single" w:color="auto"/>
          <w:color w:val="auto"/>
        </w:rPr>
        <w:t>Infrastructure Solutions Group (ISG)</w:t>
      </w:r>
      <w:r>
        <w:rPr>
          <w:rFonts w:ascii="Arial" w:cs="Arial" w:eastAsia="Arial" w:hAnsi="Arial"/>
          <w:sz w:val="16"/>
          <w:szCs w:val="16"/>
          <w:i w:val="1"/>
          <w:iCs w:val="1"/>
          <w:color w:val="auto"/>
        </w:rPr>
        <w:t xml:space="preserve"> </w:t>
      </w:r>
      <w:r>
        <w:rPr>
          <w:rFonts w:ascii="Arial" w:cs="Arial" w:eastAsia="Arial" w:hAnsi="Arial"/>
          <w:sz w:val="16"/>
          <w:szCs w:val="16"/>
          <w:color w:val="auto"/>
        </w:rPr>
        <w:t>— EMC's Information Storage segment and our existing Enterprise Solutions Group were merged to create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Solutions Group, or ISG. The comprehensive portfolio of advanced storage solutions includes traditional storage solutions as well as next-generation storage solutions (including all flash arrays, scale-out file and object platforms). The server portfolio includes high-performance rack, blade, tower, and hyperscale servers. The networking portfolio will help our business customers transform and modernize their infrastructure, mobilize and enrich end-user experiences, and accelerate business applications and processes. Similar to CSG, ISG also offers attached software, peripherals, and services, including support and deployment, configuration, and extended warranty services.</w:t>
      </w:r>
    </w:p>
    <w:p>
      <w:pPr>
        <w:spacing w:after="0" w:line="16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Approximately 50% of ISG revenue is generated by sales to customers in the Americas, with the remaining portion derived from sales to customers in EMEA and APJ.</w:t>
      </w:r>
    </w:p>
    <w:p>
      <w:pPr>
        <w:spacing w:after="0" w:line="170" w:lineRule="exact"/>
        <w:rPr>
          <w:sz w:val="20"/>
          <w:szCs w:val="20"/>
          <w:color w:val="auto"/>
        </w:rPr>
      </w:pPr>
    </w:p>
    <w:p>
      <w:pPr>
        <w:ind w:left="660" w:right="200" w:hanging="328"/>
        <w:spacing w:after="0" w:line="342"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3" w:lineRule="exact"/>
        <w:rPr>
          <w:rFonts w:ascii="Arial" w:cs="Arial" w:eastAsia="Arial" w:hAnsi="Arial"/>
          <w:sz w:val="16"/>
          <w:szCs w:val="16"/>
          <w:i w:val="1"/>
          <w:iCs w:val="1"/>
          <w:color w:val="auto"/>
        </w:rPr>
      </w:pPr>
    </w:p>
    <w:p>
      <w:pPr>
        <w:ind w:left="660" w:right="22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VMware is a leader in virtualization and cloud infrastructure solutions, which enable organizations to manage IT resources across complex multi-cloud, multi-device environments. VMware offers a broad portfolio of virtualization technologies across three main product groups: software-defined data center; hybrid cloud computing; and end-user computing.</w:t>
      </w:r>
    </w:p>
    <w:p>
      <w:pPr>
        <w:spacing w:after="0" w:line="181"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Approximately half of VMware revenue is generated by sales to customers in the United States.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other businesses, described below, consist of product and service offerings of RSA Information Security, SecureWorks, Pivotal, and Boomi. These businesses are not classified as reportable segments, either individually or collectively, as the results of the businesses are not material to our overall results and the businesses do not meet the criteria for reportable segments.</w:t>
      </w:r>
    </w:p>
    <w:p>
      <w:pPr>
        <w:spacing w:after="0" w:line="181" w:lineRule="exact"/>
        <w:rPr>
          <w:sz w:val="20"/>
          <w:szCs w:val="20"/>
          <w:color w:val="auto"/>
        </w:rPr>
      </w:pPr>
    </w:p>
    <w:p>
      <w:pPr>
        <w:ind w:left="660" w:right="62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Information Security </w:t>
      </w:r>
      <w:r>
        <w:rPr>
          <w:rFonts w:ascii="Arial" w:cs="Arial" w:eastAsia="Arial" w:hAnsi="Arial"/>
          <w:sz w:val="18"/>
          <w:szCs w:val="18"/>
          <w:color w:val="auto"/>
        </w:rPr>
        <w:t>provides essential cybersecurity solutions engineered to enable organizations to detect, investigate, and respond 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attacks, confirm 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w:t>
      </w:r>
    </w:p>
    <w:p>
      <w:pPr>
        <w:spacing w:after="0" w:line="170" w:lineRule="exact"/>
        <w:rPr>
          <w:rFonts w:ascii="Arial" w:cs="Arial" w:eastAsia="Arial" w:hAnsi="Arial"/>
          <w:sz w:val="18"/>
          <w:szCs w:val="18"/>
          <w:color w:val="auto"/>
        </w:rPr>
      </w:pPr>
    </w:p>
    <w:p>
      <w:pPr>
        <w:jc w:val="both"/>
        <w:ind w:left="660" w:right="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Pivotal </w:t>
      </w:r>
      <w:r>
        <w:rPr>
          <w:rFonts w:ascii="Arial" w:cs="Arial" w:eastAsia="Arial" w:hAnsi="Arial"/>
          <w:sz w:val="16"/>
          <w:szCs w:val="16"/>
          <w:color w:val="auto"/>
        </w:rPr>
        <w:t>is a leading provider of application and data infrastructure software, agile development services, and data science consulting. Pivotal's cloud-native platform enables leading companies to transform their operations with an approach that is focused on building software, rather than buying it.</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22 of the Notes to the Consolidated Financial Statements included in this report for more information about our other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our current reportable segments, see "Results of Operations — Business Unit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offer or arrange various financing options and services for our commercial and consumer customers in the United States, Canada, Europe, and Mexico through Dell Financial Services ("DFS") and its affiliates. DFS services include originating, collecting, and servicing customer receivables primarily related to the purchase of Dell Technologies products. The results of these operations are allocated to our segments based on the underlying product or service financed. For additional information about our financing arrangements, see Note 7 of the Notes to the Consolidated Financial Statements included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seeing an unprecedented rate of change in the IT industry. Organizations of all kinds are embracing digital technology to achieve their business objectives. Our vision is to be the essential infrastructure company and leader in end-user computing, data center infrastructure solutions, virtualization, and cloud software that our customers continue to trust and rely on for their IT solutions. We accelerate results for our customers by enabling them to be more efficient, mobile, informed, and secure. We continue to invest in R&amp;D, sales, and other key areas of our business to deliver superior products and solutions capabilities and to drive execution of long-term profitable growth. We believe that our results will benefit from an integrated go-to-market strategy and the result of our differentiated products and solutions capabilities. We intend to continue to execute on our business model and seek to balance liquidity, profitability, and growth to position our company for long-term success.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able to leverage our traditional strength in the PC market to offer solutions and services that provide higher value recurring revenue streams. Given the macroeconomic environment and computing trends, we expect that the demand environment will continue to be uneven and cyclical and that market competition in our Client Solutions Group business will intensify. However, we are committed to a long-term growth strategy that we believe will benefit from the consolidation trends that are occurring in our markets. Our Client Solutions Group offerings remain an important element of our strategy, generating strong cash flow and opportunities for cross-selling of complementary solutions.</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expect that our Infrastructure Solutions Group will continue to be adversely affected by declines in the traditional storage and server markets. Cloud-native applications are expected to continue as a primary growth driver in the infrastructure market as IT organizations increasingly become multi-cloud environments. We believe the complementary cloud solutions across our business, created through our combination with EMC, strongly position us to meet these demands for our customers who are increasingly looking to leverage cloud-based computing. Further, we will be able to provide new and more robust storage and data center solutions to meet the evolving needs of our customers. We also continue to be impacted by the emerging trends of enterprises deploying software-defined storage, hyper-converged, and modular solutions based on server-centric architectures.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leading solutions in these categories through our Dell EMC and VMware data center offerings. In addition, through our research and development efforts, we expect to develop new solutions in this rapidly changing industry that we believe will enable us to continue to provide superior solutions to our customers.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50% of our revenue by sales to customers outside of the United States during Fiscal 2017 and Fiscal 2016. Our revenues, therefore, can be impacted by fluctuations in foreign currency exchange rates. We utilize a comprehensive hedging strategy intended to mitigate the impact of foreign currency volatility over time, and we adjust pricing when possible to further minimize foreign currency impacts. The percentage of our revenues generated in regions outside of the United States did not change substantially as a result of the EMC merger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EMC Merger Transaction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described in Note 1 and Note 3 of the Notes to the Consolidated Financial Statements included in this report, on September 7, 2016, a merger subsidiary of Dell Technologies merged with and into EMC Corporation, with EMC Corporation surviving the merger as a wholly-owned subsidiary of Dell Technologies.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the effective time of the EMC merger transaction, each share of EMC common stock issued and outstanding immediately prior to the effective time of the EMC merger transaction (other than shares owned by Dell Technologies, our merger subsidiary, EMC, or any of EMC's wholly-owned subsidiaries, and other than shares with respect to which EMC's shareholders are entitled to and properly exercise appraisal rights) was converted into the right to receive the merger consideration, consisting of (1) $24.05 in cash, without interest, and (2) 0.11146 validly issued, fully paid and non-assessable shares of common stock of Dell Technologies designated as Class V Common Stock equal to the quotient (rounded to the nearest five decimal points) obtained by dividing (A) 222,966.450 by (B) the aggregate number of shares of EMC common stock issued and outstanding immediately prior to the effective time of the EMC merger transaction, plus cash in lieu of any fractional shares.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currently outstanding EMC stock option vested and became fully exercisable prior to 11:59 p.m., New York City time, on the last trading day prior to the effective time of the EMC merger transaction, referred to as the vesting effective time of the merger. Each EMC stock option that remained outstanding immediately prior to the vesting effective time of the merger was automatically exercised immediately prior to the vesting effective time of the merger on a net exercise basis, such that shares of EMC common stock with a value equal to the aggregate exercise price and applicable tax withholding reduced the number of shares of EMC common stock otherwise issuable. Except for any restricted stock units that were granted following the date of the merger agreement and that continued in effect as cash awards following the effective time of the EMC merger transaction, each EMC restricted stock unit outstanding immediately prior to the vesting effective time of the merger became fully vested immediately prior to the vesting effective time of the merger (with performance vesting units vesting at the target level of performance) and the holder hereof became entitled to receive the merger consideration with respect to the shares of EMC common stock subject to the award (which was calculated net of the number of shares withheld in respect of taxes upon the vesting of the award).</w:t>
      </w:r>
    </w:p>
    <w:p>
      <w:pPr>
        <w:spacing w:after="0" w:line="19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the EMC merger transaction and in accordance with the merger agreement, certain executives holding unvested restricted stock units of EMC, or EMC RSUs, were given the opportunity to elect to exchange each unvested EMC RSU held by such executives that would otherwise have vested in the ordinary course on or after January 1, 2017 for (a) a deferred cash award having a cash value equal to the closing price of a share of EMC common stock on the last trading day before the closing date of the EMC merger transaction, or $29.05, and (b) an option, referred to as a rollover option, to purchase a share of Class C Common Stock of Dell Technologies, referred to as the rollover opportunity. The rollover options have a three-year term and a per share exercise price equal to the fair market value of a share of Class C Common Stock on the date of grant, or $27.50, and, to the extent vested, may be exercised using a cashless exercise method for both the exercise price and the applicable minimum required tax withholding (subject to certain limitations). Each deferred cash award will vest, and each rollover option will vest and thereby become exercisable, on the same schedule as the EMC RSU for which they were exchanged (with any performance-vesting condition deemed satisfied at the target level of performance upon the closing of the EMC merger transaction). We issued, pursuant to the rollover opportunity, options to purchase 1,779,072 shares of Class C Common Stock.</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 connection with the EMC merger transaction and in accordance with the merger agreement, certain EMC executives were given the opportunity to purchase, for cash and at fair market value, shares of Class C Common Stock. We issued, pursuant to this cash investment opportunity, 152,724 shares of Class C Common Stock, for a purchase price equal to $27.50 per share, resulting in aggregate cash consideration to us of approximately $4.2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connection with the EMC merger transaction, all principal, accrued but unpaid interest, fees, and other amounts (other than certain contingent obligations) outstanding at the effective time of the EMC merger transaction under EMC's unsecured revolving credit facility, Dell's asset-based revolving credit facility, and Dell's term facilities were repaid in full substantially concurrently with the closing, and all commitments to lend and guarantees and security interests, as applicable, in connection therewith were terminated or released. The aggregate amounts of principal, interest, and premium necessary to redeem in full the outstanding $1.4 billion in aggregate principal amount of 5.625% Senior First Lien Notes due 2020 co-issued by Dell International and Denali Finance Corp. were deposited with the trustee for such notes, and such notes were thereby satisfied and discharged, substantially concurrently with the effective time of the EMC merger transaction. All of Dell's other outstanding senior notes and all of EMC's outstanding senior notes remained outstanding after the effective time of the EMC merger transaction in accordance with their respective terms.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Dell Technologies financed the EMC merger transaction, repayment of the foregoing indebtedness of EMC and Dell outstanding as of the closing of the EMC merger transaction, and the payment of related fees and expenses with debt financing arrangements in an aggregate principal amount of approximately $45.9 billion, equity financing arrangements of approximately $4.4 billion, and cash on hand of approximately $7.8 billion.</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3, Note 5, and Note 8 to the Consolidated Financial Statements included in this report for additional information regarding the EMC merger transaction and the related financing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Dell Services Divestiture — </w:t>
      </w:r>
      <w:r>
        <w:rPr>
          <w:rFonts w:ascii="Arial" w:cs="Arial" w:eastAsia="Arial" w:hAnsi="Arial"/>
          <w:sz w:val="18"/>
          <w:szCs w:val="18"/>
          <w:color w:val="auto"/>
        </w:rPr>
        <w:t>On March 27, 2016, Dell Inc. entered into a definitive agreement with NTT Data International L.L.C. to divest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Dell Services. On November 2, 2016, the parties closed substantially all of the transaction. At the completion of the sale, we received total cash consideration of approximately $3.0 billion, resulting in a gain on sale, net of tax, of approximately $1.7 billion.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Dell Software Group Divestiture — </w:t>
      </w:r>
      <w:r>
        <w:rPr>
          <w:rFonts w:ascii="Arial" w:cs="Arial" w:eastAsia="Arial" w:hAnsi="Arial"/>
          <w:sz w:val="18"/>
          <w:szCs w:val="18"/>
          <w:color w:val="auto"/>
        </w:rPr>
        <w:t>On June 19, 2016, Dell Inc. entered into a definitive agreement with Francisco Partners and Elliot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to divest substantially all of DSG. On October 31, 2016, the parties closed the transaction. At the completion of the sale, we received total cash consideration of approximately $2.4 billion, resulting in a gain on sale, net of tax, of approximately $0.6 billion.</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ECD Divestiture — </w:t>
      </w:r>
      <w:r>
        <w:rPr>
          <w:rFonts w:ascii="Arial" w:cs="Arial" w:eastAsia="Arial" w:hAnsi="Arial"/>
          <w:sz w:val="18"/>
          <w:szCs w:val="18"/>
          <w:color w:val="auto"/>
        </w:rPr>
        <w:t>On September 12, 2016, EMC Corporation entered into a definitive agreement with OpenText Corporation to divest the Dell EMC</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Content Division. On January 23, 2017, the parties closed the transaction. At the completion of the sale, we received total cash consideration of approximately $1.6 billion, resulting in a loss on sale, net of tax, of approximately $0.4 billion.</w:t>
      </w:r>
    </w:p>
    <w:p>
      <w:pPr>
        <w:spacing w:after="0" w:line="18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i w:val="1"/>
          <w:iCs w:val="1"/>
          <w:color w:val="auto"/>
        </w:rPr>
        <w:t xml:space="preserve">Discontinued Operations Presentation — </w:t>
      </w:r>
      <w:r>
        <w:rPr>
          <w:rFonts w:ascii="Arial" w:cs="Arial" w:eastAsia="Arial" w:hAnsi="Arial"/>
          <w:sz w:val="17"/>
          <w:szCs w:val="17"/>
          <w:color w:val="auto"/>
        </w:rPr>
        <w:t>The results of Dell Services, DSG, and ECD, as well as the related gains or losses on sale, are presented as</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operations in our Consolidated Statements of Income (Loss), and as such, have been excluded from both continuing operations and segment results for all periods presented, except as otherwise indicated. Further, we have reclassified the related assets and liabilities as held for sale in our Consolidated Statements of Financial Position as of January 29, 2016. See Note 4 of the Notes to the Consolidated Financial Statements included in this report for additional information regarding these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Going-Private Transaction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October 29, 2013, Dell was acquired by Dell Technologies in a merger transaction pursuant to an agreement and plan of merger, dated as of February 5, 2013, as amended. Dell Technologies is a Delaware corporation owned by Michael S. Dell, a separate property trust for the benefit of Mr. Dell's wife, investment funds affiliated with Silver Lake Partners (a global private equity firm), investment funds affiliated with MSD Partners, L.P., members of Dell's management, and other investors. Mr. Dell serves as Chairman and Chief Executive Officer of Dell Technologies and Dell.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accounting principles generally accepted in the United States of America, or GAAP. These non-GAAP financial measures include non-GAAP product net revenue; non-GAAP services net revenue; non-GAAP net revenue; non-GAAP product gross margin; non-GAAP services gross margin; non-GAAP gross margin; non-GAAP operating expenses; non-GAAP operating income; non-GAAP net income from continuing operations; earnings before interest and other, net, taxes, depreciation and amortization, referred to as EBITDA; and adjusted EBITDA.</w:t>
      </w:r>
    </w:p>
    <w:p>
      <w:pPr>
        <w:spacing w:after="0" w:line="19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and non-GAAP net income from continuing operations, as defined by us, exclude the impact of purchase accounting, amortization of intangible assets, transaction-related expenses, other corporate expenses, and for non-GAAP net income,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See the discussion below for more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items excluded from the most comparable GAAP financial measures to calculate our non-GAAP financial measures:</w:t>
      </w:r>
    </w:p>
    <w:p>
      <w:pPr>
        <w:spacing w:after="0" w:line="237" w:lineRule="exact"/>
        <w:rPr>
          <w:sz w:val="20"/>
          <w:szCs w:val="20"/>
          <w:color w:val="auto"/>
        </w:rPr>
      </w:pPr>
    </w:p>
    <w:p>
      <w:pPr>
        <w:ind w:left="340" w:hanging="332"/>
        <w:spacing w:after="0" w:line="270"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Impact of Purchase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impact of purchase accounting includes purchase accounting adjustments, related to the EMC merger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The purchase accounting adjustments and related amortization of those adjustments are reflected in our GAAP results; however,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160" w:hanging="332"/>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Amortization of intangible assets primarily consists of amortization of customer relationships,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trade names. In connection with the EMC merger transaction and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92" w:lineRule="exact"/>
        <w:rPr>
          <w:rFonts w:ascii="Arial" w:cs="Arial" w:eastAsia="Arial" w:hAnsi="Arial"/>
          <w:sz w:val="18"/>
          <w:szCs w:val="18"/>
          <w:color w:val="auto"/>
        </w:rPr>
      </w:pPr>
    </w:p>
    <w:p>
      <w:pPr>
        <w:ind w:left="340" w:right="80" w:hanging="332"/>
        <w:spacing w:after="0" w:line="29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Transaction-related Expenses</w:t>
      </w:r>
      <w:r>
        <w:rPr>
          <w:rFonts w:ascii="Arial" w:cs="Arial" w:eastAsia="Arial" w:hAnsi="Arial"/>
          <w:sz w:val="16"/>
          <w:szCs w:val="16"/>
          <w:i w:val="1"/>
          <w:iCs w:val="1"/>
          <w:color w:val="auto"/>
        </w:rPr>
        <w:t xml:space="preserve"> — </w:t>
      </w:r>
      <w:r>
        <w:rPr>
          <w:rFonts w:ascii="Arial" w:cs="Arial" w:eastAsia="Arial" w:hAnsi="Arial"/>
          <w:sz w:val="16"/>
          <w:szCs w:val="16"/>
          <w:color w:val="auto"/>
        </w:rPr>
        <w:t>Transaction-related expenses, which primarily consist of legal, banking, consulting, and advisory services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compensatory retention awards directly related to the EMC merger transaction and related integration, are expensed as incurred. During Fiscal 2017, transaction-related expenses included $807 million in day one stock-based compensation charges primarily related to the acceleration of vesting of EMC stock options and related taxes incurred in connection with the EMC merger transaction. During Fiscal 2017, substantially all transaction-related expenses related to the EMC merger transaction. Although not material in the periods presented, we anticipate that integration costs will increase in the next twelve months, primarily as the result of the integration of processes and systems of the EMC acquired businesses.</w:t>
      </w:r>
    </w:p>
    <w:p>
      <w:pPr>
        <w:spacing w:after="0" w:line="164" w:lineRule="exact"/>
        <w:rPr>
          <w:rFonts w:ascii="Arial" w:cs="Arial" w:eastAsia="Arial" w:hAnsi="Arial"/>
          <w:sz w:val="16"/>
          <w:szCs w:val="16"/>
          <w:color w:val="auto"/>
        </w:rPr>
      </w:pPr>
    </w:p>
    <w:p>
      <w:pPr>
        <w:ind w:left="340" w:hanging="332"/>
        <w:spacing w:after="0" w:line="272" w:lineRule="auto"/>
        <w:tabs>
          <w:tab w:leader="none" w:pos="34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consists of severance and facility action costs, primarily related to severance and benefits for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terminated pursuant to cost savings initiatives, and stock-based compensation expense associated with equity awards. Although not material in the periods presented, we expect facility action costs to increase in the next twelve months due to our plan to integrate owned and leased facilities, as we seek opportunities for operational efficiencies and cost savings.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177" w:lineRule="exact"/>
        <w:rPr>
          <w:rFonts w:ascii="Arial" w:cs="Arial" w:eastAsia="Arial" w:hAnsi="Arial"/>
          <w:sz w:val="17"/>
          <w:szCs w:val="17"/>
          <w:i w:val="1"/>
          <w:iCs w:val="1"/>
          <w:color w:val="auto"/>
        </w:rPr>
      </w:pPr>
    </w:p>
    <w:p>
      <w:pPr>
        <w:ind w:left="340" w:right="16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Aggregate Adjustment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aggregate adjustment for income taxes is the estimated combined income tax effect for the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During Fiscal 2017, this category also includes tax charges of approximately $201 million on previously untaxed earnings of a foreign subsidiary that will no longer be permanently reinvested as a result of the Dell Services and DSG divestitures. The tax effects are determined based on the tax jurisdictions where the above items were incurred.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below presents a reconciliation of each non-GAAP financial measure to the most directly comparable GAAP measure for each of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3,</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29,</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 Change</w:t>
            </w:r>
          </w:p>
        </w:tc>
        <w:tc>
          <w:tcPr>
            <w:tcW w:w="24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(in millions, except percentages)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48,706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42,742</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46,130</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97"/>
        </w:trPr>
        <w:tc>
          <w:tcPr>
            <w:tcW w:w="3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49,006</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42,715</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46,023</w:t>
            </w:r>
          </w:p>
        </w:tc>
      </w:tr>
      <w:tr>
        <w:trPr>
          <w:trHeight w:val="257"/>
        </w:trPr>
        <w:tc>
          <w:tcPr>
            <w:tcW w:w="3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12,936</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8,169</w:t>
            </w: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8,012</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3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61,642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54,142</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97"/>
        </w:trPr>
        <w:tc>
          <w:tcPr>
            <w:tcW w:w="3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62,822</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51,370</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54,878</w:t>
            </w:r>
          </w:p>
        </w:tc>
      </w:tr>
      <w:tr>
        <w:trPr>
          <w:trHeight w:val="257"/>
        </w:trPr>
        <w:tc>
          <w:tcPr>
            <w:tcW w:w="3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6,537</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5,179</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6,046</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97"/>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product gross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9,346</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5,611</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6,445</w:t>
            </w:r>
          </w:p>
        </w:tc>
      </w:tr>
      <w:tr>
        <w:trPr>
          <w:trHeight w:val="257"/>
        </w:trPr>
        <w:tc>
          <w:tcPr>
            <w:tcW w:w="3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Services 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6,422</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822</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97"/>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services gross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7,473</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3,696</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3,681</w:t>
            </w:r>
          </w:p>
        </w:tc>
      </w:tr>
      <w:tr>
        <w:trPr>
          <w:trHeight w:val="257"/>
        </w:trPr>
        <w:tc>
          <w:tcPr>
            <w:tcW w:w="3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12,959</w:t>
            </w: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8,387</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8,896</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57"/>
        </w:trPr>
        <w:tc>
          <w:tcPr>
            <w:tcW w:w="3780" w:type="dxa"/>
            <w:vAlign w:val="bottom"/>
          </w:tcPr>
          <w:p>
            <w:pPr>
              <w:ind w:left="500"/>
              <w:spacing w:after="0"/>
              <w:rPr>
                <w:sz w:val="20"/>
                <w:szCs w:val="20"/>
                <w:color w:val="auto"/>
              </w:rPr>
            </w:pPr>
            <w:r>
              <w:rPr>
                <w:rFonts w:ascii="Arial" w:cs="Arial" w:eastAsia="Arial" w:hAnsi="Arial"/>
                <w:sz w:val="18"/>
                <w:szCs w:val="18"/>
                <w:color w:val="auto"/>
              </w:rPr>
              <w:t>Non-GAAP gross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16,819</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9,307</w:t>
            </w:r>
          </w:p>
        </w:tc>
        <w:tc>
          <w:tcPr>
            <w:tcW w:w="2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10,126</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Fiscal Year Ended</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February 3,</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January 29,</w:t>
            </w:r>
          </w:p>
        </w:tc>
        <w:tc>
          <w:tcPr>
            <w:tcW w:w="138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January 30,</w:t>
            </w:r>
          </w:p>
        </w:tc>
      </w:tr>
      <w:tr>
        <w:trPr>
          <w:trHeight w:val="234"/>
        </w:trPr>
        <w:tc>
          <w:tcPr>
            <w:tcW w:w="1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w w:val="96"/>
              </w:rPr>
              <w:t>% Change</w:t>
            </w: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3"/>
              </w:rPr>
              <w:t>(in millions, except percentages)</w:t>
            </w: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16,211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8,901</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  $</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r>
      <w:tr>
        <w:trPr>
          <w:trHeight w:val="243"/>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Non-GAAP operating expenses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loss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Non-GAAP operating income</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from continuing operations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Aggregate adjustment for income taxes</w:t>
      </w:r>
    </w:p>
    <w:p>
      <w:pPr>
        <w:spacing w:after="0" w:line="7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Non-GAAP net income from continuing operations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1060" w:hanging="1050"/>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11,706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236855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56515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65" w:lineRule="exact"/>
        <w:rPr>
          <w:sz w:val="20"/>
          <w:szCs w:val="20"/>
          <w:color w:val="auto"/>
        </w:rPr>
      </w:pPr>
    </w:p>
    <w:p>
      <w:pPr>
        <w:ind w:left="1080" w:hanging="1070"/>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218440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2,294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1160" w:hanging="1150"/>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236855</wp:posOffset>
            </wp:positionV>
            <wp:extent cx="72466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56515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80" w:hanging="1070"/>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(3,737)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218440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2,294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636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81" w:lineRule="exact"/>
        <w:rPr>
          <w:sz w:val="20"/>
          <w:szCs w:val="20"/>
          <w:color w:val="auto"/>
        </w:rPr>
      </w:pPr>
    </w:p>
    <w:p>
      <w:pPr>
        <w:ind w:left="1140" w:hanging="113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48895</wp:posOffset>
            </wp:positionV>
            <wp:extent cx="1063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(1,577)</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65 %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7,082</w:t>
            </w:r>
          </w:p>
        </w:tc>
      </w:tr>
      <w:tr>
        <w:trPr>
          <w:trHeight w:val="20"/>
        </w:trPr>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0"/>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9"/>
              </w:rPr>
              <w:t>(533)%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540"/>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130 %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w:t>
            </w:r>
          </w:p>
        </w:tc>
      </w:tr>
      <w:tr>
        <w:trPr>
          <w:trHeight w:val="20"/>
        </w:trPr>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35"/>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9"/>
              </w:rPr>
              <w:t>(220)%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540"/>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81"/>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155 %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w:t>
            </w:r>
          </w:p>
        </w:tc>
      </w:tr>
      <w:tr>
        <w:trPr>
          <w:trHeight w:val="20"/>
        </w:trPr>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7,309</w:t>
            </w:r>
          </w:p>
        </w:tc>
      </w:tr>
      <w:tr>
        <w:trPr>
          <w:trHeight w:val="20"/>
        </w:trPr>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00"/>
        </w:trPr>
        <w:tc>
          <w:tcPr>
            <w:tcW w:w="600" w:type="dxa"/>
            <w:vAlign w:val="bottom"/>
          </w:tcPr>
          <w:p>
            <w:pPr>
              <w:jc w:val="right"/>
              <w:ind w:right="50"/>
              <w:spacing w:after="0"/>
              <w:rPr>
                <w:sz w:val="20"/>
                <w:szCs w:val="20"/>
                <w:color w:val="auto"/>
              </w:rPr>
            </w:pPr>
            <w:r>
              <w:rPr>
                <w:rFonts w:ascii="Arial" w:cs="Arial" w:eastAsia="Arial" w:hAnsi="Arial"/>
                <w:sz w:val="18"/>
                <w:szCs w:val="18"/>
                <w:color w:val="auto"/>
                <w:w w:val="91"/>
              </w:rPr>
              <w:t>(63)%</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540"/>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0" w:type="dxa"/>
            <w:vAlign w:val="bottom"/>
          </w:tcPr>
          <w:p>
            <w:pPr>
              <w:jc w:val="right"/>
              <w:ind w:right="50"/>
              <w:spacing w:after="0"/>
              <w:rPr>
                <w:sz w:val="20"/>
                <w:szCs w:val="20"/>
                <w:color w:val="auto"/>
              </w:rPr>
            </w:pPr>
            <w:r>
              <w:rPr>
                <w:rFonts w:ascii="Arial" w:cs="Arial" w:eastAsia="Arial" w:hAnsi="Arial"/>
                <w:sz w:val="18"/>
                <w:szCs w:val="18"/>
                <w:color w:val="auto"/>
                <w:w w:val="91"/>
              </w:rPr>
              <w:t>(21)%</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2,817</w:t>
            </w:r>
          </w:p>
        </w:tc>
      </w:tr>
      <w:tr>
        <w:trPr>
          <w:trHeight w:val="20"/>
        </w:trPr>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35"/>
        </w:trPr>
        <w:tc>
          <w:tcPr>
            <w:tcW w:w="6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540"/>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
        </w:trPr>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81"/>
        </w:trPr>
        <w:tc>
          <w:tcPr>
            <w:tcW w:w="600" w:type="dxa"/>
            <w:vAlign w:val="bottom"/>
          </w:tcPr>
          <w:p>
            <w:pPr>
              <w:jc w:val="right"/>
              <w:ind w:right="50"/>
              <w:spacing w:after="0"/>
              <w:rPr>
                <w:sz w:val="20"/>
                <w:szCs w:val="20"/>
                <w:color w:val="auto"/>
              </w:rPr>
            </w:pPr>
            <w:r>
              <w:rPr>
                <w:rFonts w:ascii="Arial" w:cs="Arial" w:eastAsia="Arial" w:hAnsi="Arial"/>
                <w:sz w:val="18"/>
                <w:szCs w:val="18"/>
                <w:color w:val="auto"/>
                <w:w w:val="91"/>
              </w:rPr>
              <w:t>(25)%</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w:t>
            </w:r>
          </w:p>
        </w:tc>
      </w:tr>
      <w:tr>
        <w:trPr>
          <w:trHeight w:val="20"/>
        </w:trPr>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4">
            <w:col w:w="3400" w:space="380"/>
            <w:col w:w="1600" w:space="720"/>
            <w:col w:w="2320" w:space="720"/>
            <w:col w:w="2280"/>
          </w:cols>
          <w:pgMar w:left="240" w:top="108" w:right="239" w:bottom="1440" w:gutter="0" w:footer="0" w:header="0"/>
          <w:type w:val="continuous"/>
        </w:sect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divestiture-related costs, severance and facility actions, and stock-based compensation expense. We believe that, due to the non-operational nature of the purchase accounting entries, it is appropriate to exclude these adjustments.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8"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loss from continuing operations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February 3,</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January 29,</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 Change</w:t>
            </w:r>
          </w:p>
        </w:tc>
        <w:tc>
          <w:tcPr>
            <w:tcW w:w="24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40" w:type="dxa"/>
            <w:vAlign w:val="bottom"/>
            <w:gridSpan w:val="4"/>
          </w:tcPr>
          <w:p>
            <w:pPr>
              <w:jc w:val="center"/>
              <w:ind w:right="60"/>
              <w:spacing w:after="0"/>
              <w:rPr>
                <w:sz w:val="20"/>
                <w:szCs w:val="20"/>
                <w:color w:val="auto"/>
              </w:rPr>
            </w:pPr>
            <w:r>
              <w:rPr>
                <w:rFonts w:ascii="Arial" w:cs="Arial" w:eastAsia="Arial" w:hAnsi="Arial"/>
                <w:sz w:val="14"/>
                <w:szCs w:val="14"/>
                <w:color w:val="auto"/>
                <w:w w:val="93"/>
              </w:rPr>
              <w:t>(in millions, except percentages)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3760" w:type="dxa"/>
            <w:vAlign w:val="bottom"/>
          </w:tcPr>
          <w:p>
            <w:pPr>
              <w:jc w:val="center"/>
              <w:ind w:right="2351"/>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4,840</w:t>
            </w: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97"/>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1,588</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1,588</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jc w:val="center"/>
              <w:ind w:right="2351"/>
              <w:spacing w:after="0"/>
              <w:rPr>
                <w:sz w:val="20"/>
                <w:szCs w:val="20"/>
                <w:color w:val="auto"/>
              </w:rPr>
            </w:pPr>
            <w:r>
              <w:rPr>
                <w:rFonts w:ascii="Arial" w:cs="Arial" w:eastAsia="Arial" w:hAnsi="Arial"/>
                <w:sz w:val="18"/>
                <w:szCs w:val="18"/>
                <w:color w:val="auto"/>
                <w:w w:val="92"/>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(b)</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Transaction-related expenses (c)</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1,525</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(d)</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37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5,941</w:t>
            </w:r>
          </w:p>
        </w:tc>
        <w:tc>
          <w:tcPr>
            <w:tcW w:w="1220" w:type="dxa"/>
            <w:vAlign w:val="bottom"/>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2,633</w:t>
            </w:r>
          </w:p>
        </w:tc>
        <w:tc>
          <w:tcPr>
            <w:tcW w:w="2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3760" w:type="dxa"/>
            <w:vAlign w:val="bottom"/>
            <w:vMerge w:val="restart"/>
          </w:tcPr>
          <w:p>
            <w:pPr>
              <w:jc w:val="center"/>
              <w:ind w:right="2371"/>
              <w:spacing w:after="0"/>
              <w:rPr>
                <w:sz w:val="20"/>
                <w:szCs w:val="20"/>
                <w:color w:val="auto"/>
              </w:rPr>
            </w:pPr>
            <w:r>
              <w:rPr>
                <w:rFonts w:ascii="Arial" w:cs="Arial" w:eastAsia="Arial" w:hAnsi="Arial"/>
                <w:sz w:val="16"/>
                <w:szCs w:val="16"/>
                <w:color w:val="auto"/>
                <w:w w:val="91"/>
              </w:rPr>
              <w:t>________________</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and integration-related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severance and facility 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consolidated results from continuing operations for each of the periods presented. Unless otherwise indicated, all changes identified for the current-period results represent comparisons to results for the prior corresponding fiscal period.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3"/>
              <w:spacing w:after="0"/>
              <w:rPr>
                <w:sz w:val="20"/>
                <w:szCs w:val="20"/>
                <w:color w:val="auto"/>
              </w:rPr>
            </w:pPr>
            <w:r>
              <w:rPr>
                <w:rFonts w:ascii="Arial" w:cs="Arial" w:eastAsia="Arial" w:hAnsi="Arial"/>
                <w:sz w:val="14"/>
                <w:szCs w:val="14"/>
                <w:b w:val="1"/>
                <w:bCs w:val="1"/>
                <w:color w:val="auto"/>
                <w:w w:val="92"/>
              </w:rPr>
              <w:t>Fiscal Year Ended</w:t>
            </w: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February 3, 2017</w:t>
            </w:r>
          </w:p>
        </w:tc>
        <w:tc>
          <w:tcPr>
            <w:tcW w:w="1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4"/>
                <w:szCs w:val="14"/>
                <w:b w:val="1"/>
                <w:bCs w:val="1"/>
                <w:color w:val="auto"/>
                <w:w w:val="92"/>
              </w:rPr>
              <w:t>January 29, 2016</w:t>
            </w:r>
          </w:p>
        </w:tc>
        <w:tc>
          <w:tcPr>
            <w:tcW w:w="1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January 30, 2015</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Dollars</w:t>
            </w:r>
          </w:p>
        </w:tc>
        <w:tc>
          <w:tcPr>
            <w:tcW w:w="120" w:type="dxa"/>
            <w:vAlign w:val="bottom"/>
          </w:tcPr>
          <w:p>
            <w:pPr>
              <w:spacing w:after="0"/>
              <w:rPr>
                <w:sz w:val="13"/>
                <w:szCs w:val="13"/>
                <w:color w:val="auto"/>
              </w:rPr>
            </w:pPr>
          </w:p>
        </w:tc>
        <w:tc>
          <w:tcPr>
            <w:tcW w:w="108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 of</w:t>
            </w:r>
          </w:p>
        </w:tc>
        <w:tc>
          <w:tcPr>
            <w:tcW w:w="1180" w:type="dxa"/>
            <w:vAlign w:val="bottom"/>
          </w:tcPr>
          <w:p>
            <w:pPr>
              <w:jc w:val="right"/>
              <w:ind w:right="440"/>
              <w:spacing w:after="0" w:line="15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Dollars</w:t>
            </w:r>
          </w:p>
        </w:tc>
        <w:tc>
          <w:tcPr>
            <w:tcW w:w="120" w:type="dxa"/>
            <w:vAlign w:val="bottom"/>
          </w:tcPr>
          <w:p>
            <w:pPr>
              <w:spacing w:after="0"/>
              <w:rPr>
                <w:sz w:val="13"/>
                <w:szCs w:val="13"/>
                <w:color w:val="auto"/>
              </w:rPr>
            </w:pPr>
          </w:p>
        </w:tc>
        <w:tc>
          <w:tcPr>
            <w:tcW w:w="108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 of</w:t>
            </w:r>
          </w:p>
        </w:tc>
        <w:tc>
          <w:tcPr>
            <w:tcW w:w="120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Dollars</w:t>
            </w:r>
          </w:p>
        </w:tc>
        <w:tc>
          <w:tcPr>
            <w:tcW w:w="100" w:type="dxa"/>
            <w:vAlign w:val="bottom"/>
          </w:tcPr>
          <w:p>
            <w:pPr>
              <w:spacing w:after="0"/>
              <w:rPr>
                <w:sz w:val="13"/>
                <w:szCs w:val="13"/>
                <w:color w:val="auto"/>
              </w:rPr>
            </w:pPr>
          </w:p>
        </w:tc>
        <w:tc>
          <w:tcPr>
            <w:tcW w:w="11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80" w:type="dxa"/>
            <w:vAlign w:val="bottom"/>
            <w:gridSpan w:val="4"/>
          </w:tcPr>
          <w:p>
            <w:pPr>
              <w:jc w:val="center"/>
              <w:spacing w:after="0"/>
              <w:rPr>
                <w:sz w:val="20"/>
                <w:szCs w:val="20"/>
                <w:color w:val="auto"/>
              </w:rPr>
            </w:pPr>
            <w:r>
              <w:rPr>
                <w:rFonts w:ascii="Arial" w:cs="Arial" w:eastAsia="Arial" w:hAnsi="Arial"/>
                <w:sz w:val="14"/>
                <w:szCs w:val="14"/>
                <w:color w:val="auto"/>
                <w:w w:val="93"/>
              </w:rPr>
              <w:t>(in millions, except percentages)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Net revenue:</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Product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48,706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79.0 %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42,742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84.0 %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46,130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85.2 %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17"/>
        </w:trPr>
        <w:tc>
          <w:tcPr>
            <w:tcW w:w="3100" w:type="dxa"/>
            <w:vAlign w:val="bottom"/>
          </w:tcPr>
          <w:p>
            <w:pPr>
              <w:ind w:left="60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61,642</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50,911</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54,142</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Product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6,537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5,179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6,046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35.6 %</w:t>
            </w:r>
          </w:p>
        </w:tc>
        <w:tc>
          <w:tcPr>
            <w:tcW w:w="0" w:type="dxa"/>
            <w:vAlign w:val="bottom"/>
          </w:tcPr>
          <w:p>
            <w:pPr>
              <w:spacing w:after="0"/>
              <w:rPr>
                <w:sz w:val="1"/>
                <w:szCs w:val="1"/>
                <w:color w:val="auto"/>
              </w:rPr>
            </w:pPr>
          </w:p>
        </w:tc>
      </w:tr>
      <w:tr>
        <w:trPr>
          <w:trHeight w:val="217"/>
        </w:trPr>
        <w:tc>
          <w:tcPr>
            <w:tcW w:w="3100" w:type="dxa"/>
            <w:vAlign w:val="bottom"/>
          </w:tcPr>
          <w:p>
            <w:pPr>
              <w:ind w:left="600"/>
              <w:spacing w:after="0"/>
              <w:rPr>
                <w:sz w:val="20"/>
                <w:szCs w:val="20"/>
                <w:color w:val="auto"/>
              </w:rPr>
            </w:pPr>
            <w:r>
              <w:rPr>
                <w:rFonts w:ascii="Arial" w:cs="Arial" w:eastAsia="Arial" w:hAnsi="Arial"/>
                <w:sz w:val="16"/>
                <w:szCs w:val="16"/>
                <w:color w:val="auto"/>
              </w:rPr>
              <w:t>Total 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12,959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21.0 %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55 %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8,387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16.5 %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8,896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(3,252)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(533)%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Net loss attributable to Dell Technologies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6"/>
                <w:szCs w:val="16"/>
                <w:color w:val="auto"/>
              </w:rPr>
              <w:t>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(1,672)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(1,104)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10 %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Financial Information</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Non-GAAP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Product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49,006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78.0 %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42,715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83.2 %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46,023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83.9 %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17"/>
        </w:trPr>
        <w:tc>
          <w:tcPr>
            <w:tcW w:w="3100" w:type="dxa"/>
            <w:vAlign w:val="bottom"/>
          </w:tcPr>
          <w:p>
            <w:pPr>
              <w:ind w:left="600"/>
              <w:spacing w:after="0"/>
              <w:rPr>
                <w:sz w:val="20"/>
                <w:szCs w:val="20"/>
                <w:color w:val="auto"/>
              </w:rPr>
            </w:pPr>
            <w:r>
              <w:rPr>
                <w:rFonts w:ascii="Arial" w:cs="Arial" w:eastAsia="Arial" w:hAnsi="Arial"/>
                <w:sz w:val="16"/>
                <w:szCs w:val="16"/>
                <w:color w:val="auto"/>
              </w:rPr>
              <w:t>Total non-GAAP net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62,822</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22 %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51,370</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54,878</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Non-GAAP 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Product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9,346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19.1 %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67 %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5,611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13.1 %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6,445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54.1 %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17"/>
        </w:trPr>
        <w:tc>
          <w:tcPr>
            <w:tcW w:w="3100" w:type="dxa"/>
            <w:vAlign w:val="bottom"/>
          </w:tcPr>
          <w:p>
            <w:pPr>
              <w:ind w:left="600"/>
              <w:spacing w:after="0"/>
              <w:rPr>
                <w:sz w:val="20"/>
                <w:szCs w:val="20"/>
                <w:color w:val="auto"/>
              </w:rPr>
            </w:pPr>
            <w:r>
              <w:rPr>
                <w:rFonts w:ascii="Arial" w:cs="Arial" w:eastAsia="Arial" w:hAnsi="Arial"/>
                <w:sz w:val="16"/>
                <w:szCs w:val="16"/>
                <w:color w:val="auto"/>
              </w:rPr>
              <w:t>Total non-GAAP 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16,819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26.8 %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81 %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9,307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18.1 %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10,126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Non-GAAP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5,113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130 %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2,225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2,817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net income from continuing</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155 %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EBITDA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1,588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1,980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2,283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non-GAAP net income from continuing operations, EBITDA, and adjusted EBITDA are not measurements of financial performance prepared in accordance with GAAP. Non-GAAP financial measures as a percentage of revenue are calculated based on non-GAAP net revenue. See "Non-GAAP Financial Measures" for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EMC merger transaction completed on September 7, 2016 and its impact on Fiscal 2017 results, our results for the fiscal periods discussed below are not directly comparable.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2017, our net revenue and non-GAAP net revenue increased 21% and 22%, respectively. The increase in net revenue and non-GAAP net revenue was attributable to revenue from the EMC acquired businesses, while revenue from our legacy businesses remained relatively unchanged. The EMC merger transaction had an impact on the mix of revenue contributed by our business units. CSG net revenue represented approximately 60% of our total net revenue during Fiscal 2017. In comparison, CSG net revenue represented a higher proportion of our revenue prior to the EMC merger transaction, accounting for approximately 70% of our total net revenue for Fiscal 2016.</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2017 and Fiscal 2016, our operating loss was $3.3 billion and $0.5 billion, respectively. The increase in our operating loss for Fiscal 2017 was primarily attributable to an increase in purchase accounting adjustments and amortization of intangible assets and an increase in compensation and benefits expense, both related to the EMC merger transaction. The increases in operating expenses were partially offset by the favorable impact of gross margin from the EMC acquired businesses.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operating loss was impacted by purchase accounting adjustments associated with the EMC merger transaction and the going-private transaction, amortization of intangible assets, transaction-related expenses, and other corporate expenses. In aggregate, these items totaled $8.4 billion and $2.7 billion for Fiscal 2017 and Fiscal 2016, respectively. Excluding these adjustments, non-GAAP operating income increased 130% to $5.1 billion during Fiscal 2017. The increase in non-GAAP operating income in Fiscal 2017 was primarily attributable to the favorable impact of non-GAAP operating income from the EMC acquired businesses of $1.5 billion and, to a lesser degree, to higher gross margin from our legacy businesses.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was $2.2 billion during Fiscal 2017. Positive operating cash flows were attributable to profitable operations, particularly in the EMC acquired businesses. During Fiscal 2017, the favorable effects of these factors were offset partially by cash used for transaction-related expenses. See "Market Conditions, Liquidity, and Capital Commitments" for further information on our cash flow 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2017, our net revenue increased 21% due to the favorable impact of net revenue from the EMC acquired businesses of approximately $9.2 billion, partially offset by purchase accounting adjustments of approximately $1.0 billion. An increase of 2% in CSG net revenue also contributed to higher net revenue during Fiscal 2017. Our non-GAAP net revenue increased 22% during Fiscal 2017, primarily due to the impact from the EMC acquired businesses.</w:t>
      </w:r>
    </w:p>
    <w:p>
      <w:pPr>
        <w:spacing w:after="0" w:line="187" w:lineRule="exact"/>
        <w:rPr>
          <w:sz w:val="20"/>
          <w:szCs w:val="20"/>
          <w:color w:val="auto"/>
        </w:rPr>
      </w:pPr>
    </w:p>
    <w:p>
      <w:pPr>
        <w:ind w:left="340" w:right="2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Product net revenue includes revenue from the sale of hardware products and Dell Technologies-owned software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2017, product net revenue increased 14% and non-GAAP product net revenue increased 15% primarily due to the impact from the EMC acquired businesses.</w:t>
      </w:r>
    </w:p>
    <w:p>
      <w:pPr>
        <w:spacing w:after="0" w:line="181" w:lineRule="exact"/>
        <w:rPr>
          <w:rFonts w:ascii="Arial" w:cs="Arial" w:eastAsia="Arial" w:hAnsi="Arial"/>
          <w:sz w:val="18"/>
          <w:szCs w:val="18"/>
          <w:color w:val="auto"/>
        </w:rPr>
      </w:pPr>
    </w:p>
    <w:p>
      <w:pPr>
        <w:jc w:val="both"/>
        <w:ind w:left="340" w:right="460" w:hanging="332"/>
        <w:spacing w:after="0" w:line="31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Services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Services net revenue includes revenue from our services offerings, third-party software license sales, and support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Dell Technologies-owned software and hardware. During Fiscal 2017, net revenue attributable to these services increased 58% due to the impact from the EMC acquired businesses. Non-GAAP net revenue attributable to services increased 60% during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"Business Unit Results" for further information regarding revenue from our products, services, and software offerings.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during Fiscal 2017 primarily as a result of the impact from the EMC acquired businesses. Our mix of revenues generated in the Americas, EMEA, and APJ did not change substantially as a result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left="340" w:right="6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Product net revenue includes revenue from the sale of hardware products and Dell Technologies-owned software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2016, product net revenue and non-GAAP product net revenue both decreased 7% due to decreases in revenue from CSG as we experienced an overall decline in demand for desktops and notebooks. Product net revenue for Fiscal 2016 did not benefit from the positive effects of the Windows XP refresh that contributed to product revenue in Fiscal 2015.</w:t>
      </w:r>
    </w:p>
    <w:p>
      <w:pPr>
        <w:spacing w:after="0" w:line="186" w:lineRule="exact"/>
        <w:rPr>
          <w:rFonts w:ascii="Arial" w:cs="Arial" w:eastAsia="Arial" w:hAnsi="Arial"/>
          <w:sz w:val="18"/>
          <w:szCs w:val="18"/>
          <w:color w:val="auto"/>
        </w:rPr>
      </w:pPr>
    </w:p>
    <w:p>
      <w:pPr>
        <w:ind w:left="340" w:right="40" w:hanging="332"/>
        <w:spacing w:after="0" w:line="27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Services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Services net revenue includes revenue from our services offerings, third-party software license sales, and support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Dell Technologies-owned software and hardware. During Fiscal 2016, services net revenue increased 2%, which was primarily attributable to the diminishing negative impact of purchase accounting adjustments related to the going-private transaction, which were $0.5 billion in Fiscal 2016, compared to $0.8 billion in Fiscal 2015. During Fiscal 2016, non-GAAP services net revenue decreased 2%, which was attributable to a decrease in sales of our third-party software offerings and post-contract customer support associated with those software offerings.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"Business Unit Results" for further information regarding revenue from our products, services, and software offerings.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a geographical perspective, net revenue decreased in all regions during Fiscal 2016, partially offset by growth in certain emerging markets, including China and India.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2017, our total gross margin increased 55% to $13.0 billion, and our gross margin percentage increased 450 basis points to 21.0%. The increase in our total gross margin was primarily attributable to incremental gross margin of approximately $3.7 billion from the EMC acquired businesses, which had higher gross margin percentages. Cost favorability in CSG also contributed to the improvement in total gross margin, but to a lesser extent. The effects of these factors on total gross margin were partially offset by the impact of purchase accounting adjustments and amortization of intangibles related to the EMC merger transaction and the going-private transaction.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gross margin for Fiscal 2017 included the effect of $3.7 billion of purchase accounting adjustments and amortization of intangibles related to the EMC merger transaction and the going-private transaction. In comparison, the impacts of purchase accounting adjustments and amortization of intangibles were $0.9 billion in Fiscal 2016, and in this period related only to the going-private transaction. During Fiscal 2017, our total non-GAAP gross margin increased 81% to $16.8 billion and our non-GAAP gross margin percentage increased 870 basis points to 26.8%. The increase in our total non-GAAP gross margin was primarily due to the impact from the EMC acquired businesses.</w:t>
      </w:r>
    </w:p>
    <w:p>
      <w:pPr>
        <w:spacing w:after="0" w:line="188" w:lineRule="exact"/>
        <w:rPr>
          <w:sz w:val="20"/>
          <w:szCs w:val="20"/>
          <w:color w:val="auto"/>
        </w:rPr>
      </w:pPr>
    </w:p>
    <w:p>
      <w:pPr>
        <w:ind w:left="340" w:right="140" w:hanging="332"/>
        <w:spacing w:after="0" w:line="286"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2017, product gross margin increased 26% to $6.5 billion, and product gross margin percentage increased 130 basis points to</w:t>
      </w:r>
      <w:r>
        <w:rPr>
          <w:rFonts w:ascii="Arial" w:cs="Arial" w:eastAsia="Arial" w:hAnsi="Arial"/>
          <w:sz w:val="17"/>
          <w:szCs w:val="17"/>
          <w:i w:val="1"/>
          <w:iCs w:val="1"/>
          <w:color w:val="auto"/>
        </w:rPr>
        <w:t xml:space="preserve"> </w:t>
      </w:r>
      <w:r>
        <w:rPr>
          <w:rFonts w:ascii="Arial" w:cs="Arial" w:eastAsia="Arial" w:hAnsi="Arial"/>
          <w:sz w:val="17"/>
          <w:szCs w:val="17"/>
          <w:color w:val="auto"/>
        </w:rPr>
        <w:t>13.4%. The increases in product gross margin were driven primarily by an increase in CSG gross margin due to a favorable cost position and a richer product mix and, to a lesser extent, by the incremental product gross margin attributable to the EMC acquired businesses.</w:t>
      </w:r>
    </w:p>
    <w:p>
      <w:pPr>
        <w:spacing w:after="0" w:line="165" w:lineRule="exact"/>
        <w:rPr>
          <w:rFonts w:ascii="Arial" w:cs="Arial" w:eastAsia="Arial" w:hAnsi="Arial"/>
          <w:sz w:val="17"/>
          <w:szCs w:val="17"/>
          <w:color w:val="auto"/>
        </w:rPr>
      </w:pPr>
    </w:p>
    <w:p>
      <w:pPr>
        <w:ind w:left="340"/>
        <w:spacing w:after="0" w:line="264" w:lineRule="auto"/>
        <w:rPr>
          <w:rFonts w:ascii="Arial" w:cs="Arial" w:eastAsia="Arial" w:hAnsi="Arial"/>
          <w:sz w:val="17"/>
          <w:szCs w:val="17"/>
          <w:color w:val="auto"/>
        </w:rPr>
      </w:pPr>
      <w:r>
        <w:rPr>
          <w:rFonts w:ascii="Arial" w:cs="Arial" w:eastAsia="Arial" w:hAnsi="Arial"/>
          <w:sz w:val="18"/>
          <w:szCs w:val="18"/>
          <w:color w:val="auto"/>
        </w:rPr>
        <w:t>During Fiscal 2017, non-GAAP product gross margin increased 67% to $9.3 billion, and non-GAAP product gross margin percentage increased 600 basis points to 19.1%. The increase in non-GAAP product gross margin were primarily attributable to the incremental product gross margin from the EMC acquired businesses and an increase in CSG gross margin.</w:t>
      </w:r>
    </w:p>
    <w:p>
      <w:pPr>
        <w:spacing w:after="0" w:line="181" w:lineRule="exact"/>
        <w:rPr>
          <w:rFonts w:ascii="Arial" w:cs="Arial" w:eastAsia="Arial" w:hAnsi="Arial"/>
          <w:sz w:val="17"/>
          <w:szCs w:val="17"/>
          <w:color w:val="auto"/>
        </w:rPr>
      </w:pPr>
    </w:p>
    <w:p>
      <w:pPr>
        <w:ind w:left="340" w:right="20" w:hanging="332"/>
        <w:spacing w:after="0" w:line="257" w:lineRule="auto"/>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our gross margin for services increased 100% to $6.4 billion, and our services gross margin percentage increased 1,030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49.6%. The increase in services gross margin was primarily attributable to gross margin from the EMC acquired businesses. Purchase accounting adjustments totaled $0.9 billion during Fiscal 2017, compared to $0.5 billion during Fiscal 2016. Excluding these costs, transaction-related expenses and other corporate expenses, non-GAAP gross margin dollars for services increased 102% to $7.5 billion and services gross margin percentage increased 1,140 basis points to 54.1%.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2016, our total gross margin decreased 6% to $8.4 billion, and our gross margin percentage increased 10 basis points to 16.5%. Gross margin for Fiscal 2016 included the effects of $0.9 billion in purchase accounting adjustments and amortization of intangibles related to the going-private transaction. During Fiscal 2016, our non-GAAP gross margin decreased 8% to $9.3 billion, and our non-GAAP gross margin percentage decreased 40 basis points to 18.1%.</w:t>
      </w:r>
    </w:p>
    <w:p>
      <w:pPr>
        <w:spacing w:after="0" w:line="187" w:lineRule="exact"/>
        <w:rPr>
          <w:sz w:val="20"/>
          <w:szCs w:val="20"/>
          <w:color w:val="auto"/>
        </w:rPr>
      </w:pPr>
    </w:p>
    <w:p>
      <w:pPr>
        <w:ind w:left="340" w:hanging="332"/>
        <w:spacing w:after="0" w:line="291"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2016, product gross margin and non-GAAP product gross margin dollars decreased 14% and 13%, respectively. Product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percentage and non-GAAP product gross margin percentage decreased 100 and 90 basis points during Fiscal 2016 to 12.1% and 13.1%, respectively. The decreases in product gross margin and non-GAAP product gross margin were primarily attributable to the adverse impact on CSG of an overall decline in demand that resulted in a decrease in desktop and notebook units sold, as well as to challenging pricing dynamics. These pricing dynamics included the impacts of competitive pressure and foreign currency volatility. Our gross margins include benefits relating primarily to settlements from certain vendors regarding their past pricing practices. These benefits were $97 million and $109 million for Fiscal 2016 and Fiscal 2015, respectively. Vendor settlements are allocated to our segments based on the relative amount of affected vendor products sold by each segment.</w:t>
      </w:r>
    </w:p>
    <w:p>
      <w:pPr>
        <w:spacing w:after="0" w:line="167" w:lineRule="exact"/>
        <w:rPr>
          <w:rFonts w:ascii="Arial" w:cs="Arial" w:eastAsia="Arial" w:hAnsi="Arial"/>
          <w:sz w:val="16"/>
          <w:szCs w:val="16"/>
          <w:color w:val="auto"/>
        </w:rPr>
      </w:pPr>
    </w:p>
    <w:p>
      <w:pPr>
        <w:ind w:left="340" w:right="360" w:hanging="332"/>
        <w:spacing w:after="0" w:line="276" w:lineRule="auto"/>
        <w:tabs>
          <w:tab w:leader="none" w:pos="34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2016, our services gross margin increased 13%, and our non-GAAP services gross margin was relatively unchanged.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services gross margin was primarily attributable to the diminishing negative impact of purchase accounting adjustments, which were $0.5 billion in Fiscal 2016, compared to $0.8 billion in Fiscal 2015. Services gross margin percentage and non-GAAP services gross margin percentage increased 370 and 110 basis points during Fiscal 2016 to 39.3% and 42.7%, respectively. The increase in non-GAAP services gross margin was attributable to a shift away from lower margin product offerings.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2017, Fiscal 2016, and Fiscal 2015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 Pricing settlements benefited product gross margins in Fiscal 2017, Fiscal 2016, and Fiscal 2015 by $80 million, $97 million,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during each of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b w:val="1"/>
                <w:bCs w:val="1"/>
                <w:color w:val="auto"/>
                <w:w w:val="96"/>
              </w:rPr>
              <w:t>Fiscal Year Ended</w:t>
            </w: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February 3, 2017</w:t>
            </w:r>
          </w:p>
        </w:tc>
        <w:tc>
          <w:tcPr>
            <w:tcW w:w="1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January 29, 2016</w:t>
            </w:r>
          </w:p>
        </w:tc>
        <w:tc>
          <w:tcPr>
            <w:tcW w:w="1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January 30, 2015</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Dollars</w:t>
            </w:r>
          </w:p>
        </w:tc>
        <w:tc>
          <w:tcPr>
            <w:tcW w:w="94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 of</w:t>
            </w:r>
          </w:p>
        </w:tc>
        <w:tc>
          <w:tcPr>
            <w:tcW w:w="126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Dollars</w:t>
            </w:r>
          </w:p>
        </w:tc>
        <w:tc>
          <w:tcPr>
            <w:tcW w:w="94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tcPr>
          <w:p>
            <w:pPr>
              <w:jc w:val="right"/>
              <w:ind w:right="402"/>
              <w:spacing w:after="0" w:line="15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Dollars</w:t>
            </w:r>
          </w:p>
        </w:tc>
        <w:tc>
          <w:tcPr>
            <w:tcW w:w="96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Revenue</w:t>
            </w:r>
          </w:p>
        </w:tc>
        <w:tc>
          <w:tcPr>
            <w:tcW w:w="12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Revenue</w:t>
            </w: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Revenue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0" w:type="dxa"/>
            <w:vAlign w:val="bottom"/>
            <w:gridSpan w:val="4"/>
          </w:tcPr>
          <w:p>
            <w:pPr>
              <w:jc w:val="right"/>
              <w:ind w:right="122"/>
              <w:spacing w:after="0"/>
              <w:rPr>
                <w:sz w:val="20"/>
                <w:szCs w:val="20"/>
                <w:color w:val="auto"/>
              </w:rPr>
            </w:pPr>
            <w:r>
              <w:rPr>
                <w:rFonts w:ascii="Arial" w:cs="Arial" w:eastAsia="Arial" w:hAnsi="Arial"/>
                <w:sz w:val="14"/>
                <w:szCs w:val="14"/>
                <w:color w:val="auto"/>
              </w:rPr>
              <w:t>(in millions, except percentages)</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13,575</w:t>
            </w:r>
          </w:p>
        </w:tc>
        <w:tc>
          <w:tcPr>
            <w:tcW w:w="940" w:type="dxa"/>
            <w:vAlign w:val="bottom"/>
          </w:tcPr>
          <w:p>
            <w:pPr>
              <w:jc w:val="right"/>
              <w:spacing w:after="0"/>
              <w:rPr>
                <w:sz w:val="20"/>
                <w:szCs w:val="20"/>
                <w:color w:val="auto"/>
              </w:rPr>
            </w:pPr>
            <w:r>
              <w:rPr>
                <w:rFonts w:ascii="Arial" w:cs="Arial" w:eastAsia="Arial" w:hAnsi="Arial"/>
                <w:sz w:val="16"/>
                <w:szCs w:val="16"/>
                <w:color w:val="auto"/>
              </w:rPr>
              <w:t>22.0%</w:t>
            </w: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7,850</w:t>
            </w: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8,292</w:t>
            </w:r>
          </w:p>
        </w:tc>
        <w:tc>
          <w:tcPr>
            <w:tcW w:w="96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Research, development, and engineering</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2,636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1,051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14 %</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16,211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26.3%</w:t>
            </w:r>
          </w:p>
        </w:tc>
        <w:tc>
          <w:tcPr>
            <w:tcW w:w="1260" w:type="dxa"/>
            <w:vAlign w:val="bottom"/>
            <w:tcBorders>
              <w:bottom w:val="single" w:sz="8" w:color="CCEEFF"/>
            </w:tcBorders>
          </w:tcPr>
          <w:p>
            <w:pPr>
              <w:jc w:val="right"/>
              <w:ind w:right="63"/>
              <w:spacing w:after="0"/>
              <w:rPr>
                <w:sz w:val="20"/>
                <w:szCs w:val="20"/>
                <w:color w:val="auto"/>
              </w:rPr>
            </w:pPr>
            <w:r>
              <w:rPr>
                <w:rFonts w:ascii="Arial" w:cs="Arial" w:eastAsia="Arial" w:hAnsi="Arial"/>
                <w:sz w:val="16"/>
                <w:szCs w:val="16"/>
                <w:color w:val="auto"/>
              </w:rPr>
              <w:t>82%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8,901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w:t>
            </w:r>
          </w:p>
        </w:tc>
        <w:tc>
          <w:tcPr>
            <w:tcW w:w="110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9,212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Other Financial Information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11,706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7,082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7,309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Fiscal 2017, our total operating expenses increased 82%. The increase in total operating expenses was primarily due to approximately $6.0 billion of incremental costs associated with the EMC acquired businesses, including transaction-related expenses. These transaction-related expenses include consulting and advisory services and retention payments. Our operating expenses include purchase accounting adjustments associated with the EMC merger transaction and the going-private transaction, amortization of intangible assets, transaction-related expenses, and other corporate expenses. In aggregate, these items totaled $4.5 billion and $1.8 billion for Fiscal 2017 and Fiscal 2016, respectively. Excluding these costs, total non-GAAP operating expenses increased 65% primarily due to the impact from the EMC acquired businesses.</w:t>
      </w:r>
    </w:p>
    <w:p>
      <w:pPr>
        <w:spacing w:after="0" w:line="178" w:lineRule="exact"/>
        <w:rPr>
          <w:sz w:val="20"/>
          <w:szCs w:val="20"/>
          <w:color w:val="auto"/>
        </w:rPr>
      </w:pPr>
    </w:p>
    <w:p>
      <w:pPr>
        <w:ind w:left="340" w:right="100" w:hanging="332"/>
        <w:spacing w:after="0" w:line="264"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increased 73% during Fiscal 2017. The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expenses were primarily driven by incremental costs associated with the EMC acquired businesses and also reflected the impact of our increased investment in sales capabilities and marketing costs.</w:t>
      </w:r>
    </w:p>
    <w:p>
      <w:pPr>
        <w:spacing w:after="0" w:line="181" w:lineRule="exact"/>
        <w:rPr>
          <w:rFonts w:ascii="Arial" w:cs="Arial" w:eastAsia="Arial" w:hAnsi="Arial"/>
          <w:sz w:val="18"/>
          <w:szCs w:val="18"/>
          <w:i w:val="1"/>
          <w:iCs w:val="1"/>
          <w:color w:val="auto"/>
        </w:rPr>
      </w:pPr>
    </w:p>
    <w:p>
      <w:pPr>
        <w:ind w:left="340" w:right="120" w:hanging="332"/>
        <w:spacing w:after="0" w:line="30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Research and Development</w:t>
      </w:r>
      <w:r>
        <w:rPr>
          <w:rFonts w:ascii="Arial" w:cs="Arial" w:eastAsia="Arial" w:hAnsi="Arial"/>
          <w:sz w:val="16"/>
          <w:szCs w:val="16"/>
          <w:i w:val="1"/>
          <w:iCs w:val="1"/>
          <w:color w:val="auto"/>
        </w:rPr>
        <w:t xml:space="preserve"> — </w:t>
      </w:r>
      <w:r>
        <w:rPr>
          <w:rFonts w:ascii="Arial" w:cs="Arial" w:eastAsia="Arial" w:hAnsi="Arial"/>
          <w:sz w:val="16"/>
          <w:szCs w:val="16"/>
          <w:color w:val="auto"/>
        </w:rPr>
        <w:t>Research and development ("R&amp;D") expenses are primarily composed of personnel-related expenses related to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R&amp;D expenses were approximately 4.3% and 2.1% of net revenue for Fiscal 2017 and Fiscal 2016, respectively. The increases in R&amp;D expenses were attributable to the expansion of our R&amp;D capability through the EMC merger transaction. As our industry continues to change and as the needs of our customers evolve, we intend to support R&amp;D initiatives to innovate and introduce new and enhanced solutions into the market.</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continue to maintain cost discipline and focus on optimizing cost synergies resulting from the EMC merger transaction while investing in strategic areas such as our sales force, marketing, and R&amp;D.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Fiscal 2016, our total operating expenses and non-GAAP operating expenses both decreased 3%. During Fiscal 2016 and Fiscal 2015, we recognized $1.7 billion and $1.8 billion, respectively, in amortization of intangible assets and purchase accounting adjustments related to the going-private transaction.</w:t>
      </w:r>
    </w:p>
    <w:p>
      <w:pPr>
        <w:spacing w:after="0" w:line="124" w:lineRule="exact"/>
        <w:rPr>
          <w:sz w:val="20"/>
          <w:szCs w:val="20"/>
          <w:color w:val="auto"/>
        </w:rPr>
      </w:pPr>
    </w:p>
    <w:p>
      <w:pPr>
        <w:ind w:left="340" w:right="220" w:hanging="332"/>
        <w:spacing w:after="0" w:line="277" w:lineRule="auto"/>
        <w:tabs>
          <w:tab w:leader="none" w:pos="34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SG&amp;A expenses decreased 5% during Fiscal 2016. The decreases were driven by a reduction in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primarily due to a decrease in performance-based compensation.</w:t>
      </w:r>
    </w:p>
    <w:p>
      <w:pPr>
        <w:spacing w:after="0" w:line="170" w:lineRule="exact"/>
        <w:rPr>
          <w:rFonts w:ascii="Arial" w:cs="Arial" w:eastAsia="Arial" w:hAnsi="Arial"/>
          <w:sz w:val="18"/>
          <w:szCs w:val="18"/>
          <w:i w:val="1"/>
          <w:iCs w:val="1"/>
          <w:color w:val="auto"/>
        </w:rPr>
      </w:pPr>
    </w:p>
    <w:p>
      <w:pPr>
        <w:ind w:left="340" w:right="5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R&amp;D expenses were 2.1% of net revenue for Fiscal 2016, compared to 1.7% for Fiscal 2015. The increase in R&amp;D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was primarily related to personnel-related expenses as we continue to invest in product development.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operating loss was $3.3 billion and $0.5 billion during Fiscal 2017 and Fiscal 2016, respectively. The increase in operating loss was primarily attributable to higher operating expenses, partially offset by increases in gross margin. Our operating loss includes purchase accounting adjustments associated with the EMC merger transaction and the going-private transaction, amortization of intangible assets, transaction-related expenses, and other corporate expenses. In aggregate, these items totaled $8.4 billion and $2.7 billion for Fiscal 2017 and Fiscal 2016, respectively. Excluding these costs, non-GAAP operating income increased 130% to $5.1 billion during Fiscal 2017. The increase in non-GAAP operating income was primarily attributable to an increase in gross margin, which was partially offset by higher operating expenses from the EMC acquired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2016, operating loss was $0.5 billion, compared to $0.3 billion during Fiscal 2015. The increase in operating loss over the period was primarily attributable to the decrease in gross margin. Operating loss includes amortization of intangible assets, purchase accounting adjustments associated with the going-private transaction, transaction-related expenses, and other corporate expenses of $2.7 billion and $3.1 billion for Fiscal 2016 and Fiscal 2015, respectively. Excluding these costs, during Fiscal 2016, non-GAAP operating income decreased 21% to an operating income of $2.2 billion. This decrease was primarily attributable to lower gross margin primarily driven by CSG, the effect of which was partially offset by a reduction in 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each of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February 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ind w:left="360"/>
              <w:spacing w:after="0"/>
              <w:rPr>
                <w:sz w:val="20"/>
                <w:szCs w:val="20"/>
                <w:color w:val="auto"/>
              </w:rPr>
            </w:pPr>
            <w:r>
              <w:rPr>
                <w:rFonts w:ascii="Arial" w:cs="Arial" w:eastAsia="Arial" w:hAnsi="Arial"/>
                <w:sz w:val="18"/>
                <w:szCs w:val="18"/>
                <w:b w:val="1"/>
                <w:bCs w:val="1"/>
                <w:color w:val="auto"/>
              </w:rPr>
              <w:t>January 29,</w:t>
            </w:r>
          </w:p>
        </w:tc>
        <w:tc>
          <w:tcPr>
            <w:tcW w:w="360" w:type="dxa"/>
            <w:vAlign w:val="bottom"/>
          </w:tcPr>
          <w:p>
            <w:pPr>
              <w:spacing w:after="0"/>
              <w:rPr>
                <w:sz w:val="18"/>
                <w:szCs w:val="18"/>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470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1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investments, net</w:t>
            </w:r>
          </w:p>
        </w:tc>
        <w:tc>
          <w:tcPr>
            <w:tcW w:w="1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1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Debt extinguishment</w:t>
            </w:r>
          </w:p>
        </w:tc>
        <w:tc>
          <w:tcPr>
            <w:tcW w:w="15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470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During Fiscal 2017, changes in interest and other, net were unfavorable by $1.3 billion, primarily due to an increase in interest expense from higher average debt balances from debt issued in connection with the EMC merger transaction, and to costs related to debt extinguishment associated with that transaction. See Note 8 of the Notes to the Consolidated Financial Statements included in this report for further information regarding our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2016, changes in interest and other, net were favorable by $127 million, primarily due to a decrease in interest expense from lower average debt balances over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effective income tax rates for continuing operations were 30.2% and 9.2% on pre-tax losses from continuing operations of $5.4 billion and $1.3 billion for Fiscal 2017 and Fiscal 2016, respectively. The change in our effective income tax rate was primarily attributable to tax benefits from charges associated with the EMC merger transaction, including purchase accounting adjustments, interest charges, and stock-based compensation expense, which were primarily incurred in higher tax jurisdictions. See Note 1 and Note 3 of the Notes to the Consolidated Financial Statements included in this report for more information on the EMC merger transaction. The effective tax rate for Fiscal 2017 also includes an income tax benefit impact of 5.5% relating to the settlement of an Internal Revenue Service audit for fiscal years 2004 through 2006.</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effective tax rate can fluctuate depending on the geographic distribution of our world-wide earnings, as our foreign earnings are generally taxed at lower rates than in the United States. In certain jurisdictions, our tax rate is significantly less than the applicable statutory rate as a result of tax holidays. The majority of our foreign income that is subject to these tax holidays and lower tax rates is attributable to Singapore, China, and Malaysia. Although a significant portion of these income tax benefits relate to a tax holiday that expired on December 31, 2016, we have negotiated new terms for the affected subsidiary. These new terms provide for a reduced income tax rate that will be effective for a 25-month bridge period expiring in January 2019. Our other tax holidays will expire in whole or in part during Fiscal 2019 through Fiscal 2023. Many of these tax holidays and reduced tax rates may be extended when certain conditions are met or may be terminated early if certain conditions are not met. The differences between our effective tax rate and the U.S. federal statutory rate of 35% principally resulted from the geographical distribution of taxable income discussed above and permanent differences between the book and tax treatment of certain items. We continue to assess our business model and its impact in various taxing jurisdictions.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14 of the Notes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from 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Fiscal 2017, net loss from continuing operations increased 220% to a net loss of $3.7 billion. The increase in net loss from continuing operations for Fiscal 2017 was primarily attributable to an increase in operating loss and to an increase in interest and other, net expense. The effect of these factors was partially offset by an increase in tax benefit during the period. See Note 14 of the Notes to the Consolidated Financial Statements included in this report for more information regarding our effective tax rate.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loss from continuing operations for Fiscal 2017 included amortization of intangible assets, purchase accounting adjustments, transaction-related expenses, and other corporate expenses. Excluding these costs, non-GAAP net income from continuing operations increased 155% to $2.7 billion during Fiscal 2017. The increase in non-GAAP net income from continuing operations during Fiscal 2017 was primarily attributable to an increase in operating income, the effect of which was primarily offset by an increase in interest and other, net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Fiscal 2016, net loss from continuing operations increased 5% to a net loss of $1.2 billion. Net loss from continuing operations for Fiscal 2016 and Fiscal 2015 included amortization of intangible assets and purchase accounting adjustments associated with the going-private transaction of $2.6 billion and $3.0 billion, respectively. Excluding these costs, as well as transaction-related expenses and other corporate expenses, during Fiscal 2016, non-GAAP net income from continuing operations decreased 25% to a net income of $1.1 billion. The decrease in non-GAAP net income from continuing operations for Fiscal 2016 was primarily attributable to a decrease in non-GAAP operating income. The decrease in non-GAAP operating income from continuing operations was partially mitigated by the favorable impact of a decrease in interest and other, net expense, and a decrease in tax expense. See Note 14 of the Notes to the Consolidated Financial Statements included in this report for more information regarding our effective tax rate.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2017, net loss attributable to the non-controlling interests was $46 million. Net loss attributable to the non-controlling interest was primarily attributable to the net loss attributable to the non-controlling interest in VMware of $41 million. During Fiscal 2016, Dell Technologies did not have any non-controlling interests. For more information about our non-controlling interests, see Note 16 of the Notes to the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Dell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loss attributable to Dell Technologies Inc. represents net income/loss from continuing and discontinued operations, and the adjustment for non-controlling interests. During Fiscal 2017 and Fiscal 2016, net loss attributable to Dell Technologies Inc. was $1.7 billion and $1.1 billion, respectively, which was due to an increase in net loss from continuing operations, offset partially by an increase in income from discontinued operations. For more information regarding our discontinued operations, see Note 4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reportable segments are based on the following business units: Client Solutions Group, or CSG; Infrastructure Solutions Group, or ISG; and VMware. A description of our three business units is provided under "Introduction." See Note 22 of the Notes to the Consolidated Financial Statements included in this report for a reconciliation of net revenue and operating income by reportable segment to consolidated net revenue and consolidated operating income,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0"/>
              </w:rPr>
              <w:t>Fiscal Year Ended</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February 3, 2017</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January 29, 2016</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30, 2015</w:t>
            </w: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60" w:type="dxa"/>
            <w:vAlign w:val="bottom"/>
            <w:gridSpan w:val="4"/>
          </w:tcPr>
          <w:p>
            <w:pPr>
              <w:jc w:val="right"/>
              <w:ind w:right="1050"/>
              <w:spacing w:after="0"/>
              <w:rPr>
                <w:sz w:val="20"/>
                <w:szCs w:val="20"/>
                <w:color w:val="auto"/>
              </w:rPr>
            </w:pPr>
            <w:r>
              <w:rPr>
                <w:rFonts w:ascii="Arial" w:cs="Arial" w:eastAsia="Arial" w:hAnsi="Arial"/>
                <w:sz w:val="18"/>
                <w:szCs w:val="18"/>
                <w:color w:val="auto"/>
              </w:rPr>
              <w:t>(in millions, except percentages)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 (a):</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26,006</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25,747</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28,754</w:t>
            </w: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10,748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10,130</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10,880</w:t>
            </w:r>
          </w:p>
        </w:tc>
      </w:tr>
      <w:tr>
        <w:trPr>
          <w:trHeight w:val="237"/>
        </w:trPr>
        <w:tc>
          <w:tcPr>
            <w:tcW w:w="40" w:type="dxa"/>
            <w:vAlign w:val="bottom"/>
          </w:tcPr>
          <w:p>
            <w:pPr>
              <w:spacing w:after="0"/>
              <w:rPr>
                <w:sz w:val="20"/>
                <w:szCs w:val="20"/>
                <w:color w:val="auto"/>
              </w:rPr>
            </w:pPr>
          </w:p>
        </w:tc>
        <w:tc>
          <w:tcPr>
            <w:tcW w:w="324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36,754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35,877</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39,634</w:t>
            </w:r>
          </w:p>
        </w:tc>
      </w:tr>
      <w:tr>
        <w:trPr>
          <w:trHeight w:val="27"/>
        </w:trPr>
        <w:tc>
          <w:tcPr>
            <w:tcW w:w="4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Operating Income:</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CSG 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1,410</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2,051</w:t>
            </w:r>
          </w:p>
        </w:tc>
      </w:tr>
      <w:tr>
        <w:trPr>
          <w:trHeight w:val="237"/>
        </w:trPr>
        <w:tc>
          <w:tcPr>
            <w:tcW w:w="4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i w:val="1"/>
                <w:iCs w:val="1"/>
                <w:color w:val="auto"/>
              </w:rPr>
              <w:t>% of segment net revenue</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5.0%</w:t>
            </w:r>
          </w:p>
        </w:tc>
        <w:tc>
          <w:tcPr>
            <w:tcW w:w="1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3.9%</w:t>
            </w:r>
          </w:p>
        </w:tc>
        <w:tc>
          <w:tcPr>
            <w:tcW w:w="1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r>
      <w:tr>
        <w:trPr>
          <w:trHeight w:val="191"/>
        </w:trPr>
        <w:tc>
          <w:tcPr>
            <w:tcW w:w="3280" w:type="dxa"/>
            <w:vAlign w:val="bottom"/>
            <w:gridSpan w:val="2"/>
          </w:tcPr>
          <w:p>
            <w:pPr>
              <w:jc w:val="right"/>
              <w:ind w:right="1750"/>
              <w:spacing w:after="0"/>
              <w:rPr>
                <w:sz w:val="20"/>
                <w:szCs w:val="20"/>
                <w:color w:val="auto"/>
              </w:rPr>
            </w:pPr>
            <w:r>
              <w:rPr>
                <w:rFonts w:ascii="Arial" w:cs="Arial" w:eastAsia="Arial" w:hAnsi="Arial"/>
                <w:sz w:val="14"/>
                <w:szCs w:val="14"/>
                <w:color w:val="auto"/>
                <w:w w:val="91"/>
              </w:rPr>
              <w:t>____________________</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38" w:lineRule="exact"/>
        <w:rPr>
          <w:sz w:val="20"/>
          <w:szCs w:val="20"/>
          <w:color w:val="auto"/>
        </w:rPr>
      </w:pPr>
    </w:p>
    <w:p>
      <w:pPr>
        <w:ind w:left="340" w:right="2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first quarter of Fiscal 2017, we redefined the categories within the CSG business unit. None of these changes impacted our consolidated or total business unit results. Prior period amounts have been recast to provide comparability.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2017, CSG net revenue increased 2% driven by an increase in both commercial and consumer net revenue. Commercial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benefited from an increase in volume of premium notebook and workstation units sold, partially offset by a decrease in overall average selling prices. The increase in consumer net revenue was driven by an increase in the volume of notebook units sold, which also was partially offset by a decrease in overall average selling prices. The increase in volume of commercial and consumer notebooks sold was attributable to an overall improvement in customer demand. Both commercial and consumer businesses experienced a decrease in overall average selling prices as we strategically managed our pricing position given competitive conditions and the favorable cost environment.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a geographical perspective, net revenue attributable to CSG increased in the Americas and APJ during Fiscal 2017, while net revenue in EMEA was unchanged.</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2017, CSG operating income as a percentage of net revenue increased 110 basis points to 5.0%. This increase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improvement in our gross margin percentage, which was principally the result of a favorable cost position and a richer product mix of premium notebooks and workstations.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2016, CSG experienced a 9% decrease in net revenue due to lower demand across all CSG product categories coupled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pricing pressure. The decline in commercial and consumer revenue reflected decreased demand for desktops and notebooks, which was magnified by our product mix. Product revenue for Fiscal 2016 did not benefit from the positive effects of the Windows XP refresh that contributed to product revenue in Fiscal 2015. From a geographical perspective, revenue attributable to CSG decreased across all regions during Fiscal 2016, with revenue from the Americas and EMEA accounting for most of the decline.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2016, operating income as a percentage of revenue attributable to CSG decreased 130 basis points to 3.9%. This decline</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by both a decrease in our gross margin percentage and an increase in our operating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expense percentage. The decline in our gross margin percentage was a result of challenging economic conditions, competitive pressures, and a strong U.S. dollar that all impacted our ability to adjust pricing accordingly. Despite this challenging environment, we made investments in our sales force to enhance efficiency and drive growth in future periods. As a result of this investment and strategic R&amp;D investments, operating expenses as a percentage of revenue increased over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respective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w w:val="92"/>
              </w:rPr>
              <w:t>Fiscal Year Ended</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February 3, 2017</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January 29, 2016</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30, 2015</w:t>
            </w:r>
          </w:p>
        </w:tc>
      </w:tr>
      <w:tr>
        <w:trPr>
          <w:trHeight w:val="27"/>
        </w:trPr>
        <w:tc>
          <w:tcPr>
            <w:tcW w:w="3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80" w:type="dxa"/>
            <w:vAlign w:val="bottom"/>
            <w:gridSpan w:val="4"/>
          </w:tcPr>
          <w:p>
            <w:pPr>
              <w:jc w:val="right"/>
              <w:ind w:right="1070"/>
              <w:spacing w:after="0"/>
              <w:rPr>
                <w:sz w:val="20"/>
                <w:szCs w:val="20"/>
                <w:color w:val="auto"/>
              </w:rPr>
            </w:pPr>
            <w:r>
              <w:rPr>
                <w:rFonts w:ascii="Arial" w:cs="Arial" w:eastAsia="Arial" w:hAnsi="Arial"/>
                <w:sz w:val="18"/>
                <w:szCs w:val="18"/>
                <w:color w:val="auto"/>
              </w:rPr>
              <w:t>(in millions, except percentages)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160"/>
              <w:spacing w:after="0"/>
              <w:rPr>
                <w:sz w:val="20"/>
                <w:szCs w:val="20"/>
                <w:color w:val="auto"/>
              </w:rPr>
            </w:pPr>
            <w:r>
              <w:rPr>
                <w:rFonts w:ascii="Arial" w:cs="Arial" w:eastAsia="Arial" w:hAnsi="Arial"/>
                <w:sz w:val="18"/>
                <w:szCs w:val="18"/>
                <w:color w:val="auto"/>
              </w:rPr>
              <w:t>Servers and networking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12,834</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12,761</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12,368</w:t>
            </w: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Storage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8,942</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2,217</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2,346</w:t>
            </w:r>
          </w:p>
        </w:tc>
      </w:tr>
      <w:tr>
        <w:trPr>
          <w:trHeight w:val="237"/>
        </w:trPr>
        <w:tc>
          <w:tcPr>
            <w:tcW w:w="322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21,776</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14,978</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14,714</w:t>
            </w: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8"/>
        </w:trPr>
        <w:tc>
          <w:tcPr>
            <w:tcW w:w="3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Operating Income:</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ISG 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2,393</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1,052</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1,230</w:t>
            </w:r>
          </w:p>
        </w:tc>
      </w:tr>
      <w:tr>
        <w:trPr>
          <w:trHeight w:val="237"/>
        </w:trPr>
        <w:tc>
          <w:tcPr>
            <w:tcW w:w="3220" w:type="dxa"/>
            <w:vAlign w:val="bottom"/>
          </w:tcPr>
          <w:p>
            <w:pPr>
              <w:ind w:left="160"/>
              <w:spacing w:after="0"/>
              <w:rPr>
                <w:sz w:val="20"/>
                <w:szCs w:val="20"/>
                <w:color w:val="auto"/>
              </w:rPr>
            </w:pPr>
            <w:r>
              <w:rPr>
                <w:rFonts w:ascii="Arial" w:cs="Arial" w:eastAsia="Arial" w:hAnsi="Arial"/>
                <w:sz w:val="18"/>
                <w:szCs w:val="18"/>
                <w:i w:val="1"/>
                <w:iCs w:val="1"/>
                <w:color w:val="auto"/>
              </w:rPr>
              <w:t>% of segment net revenue</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11.0%</w:t>
            </w:r>
          </w:p>
        </w:tc>
        <w:tc>
          <w:tcPr>
            <w:tcW w:w="1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7.0%</w:t>
            </w:r>
          </w:p>
        </w:tc>
        <w:tc>
          <w:tcPr>
            <w:tcW w:w="1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2017, ISG net revenue increased 45% due to incremental net revenue associated with the EMC acquired storage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caused storage revenue to increase 303%. Revenue from servers and networking was relatively unchanged over the period, resulting from the offsetting dynamics of an increase in average selling prices due to a shift to PowerEdge servers with richer configurations, as well as to a decline in volume of PowerEdge units, as customer demand has shifted to cloud and hyperscale servers, which generally have a lower average selling price.</w:t>
      </w:r>
    </w:p>
    <w:p>
      <w:pPr>
        <w:spacing w:after="0" w:line="1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From a geographical perspective, during Fiscal 2017, ISG net revenue increased in all regions due to the incremental revenue from the EMC acquired storage business. The EMC acquired storage business operates on a world-wide basis with a geographic mix similar to that of the legacy Dell ISG business.</w:t>
      </w:r>
    </w:p>
    <w:p>
      <w:pPr>
        <w:spacing w:after="0" w:line="12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u w:val="single" w:color="auto"/>
          <w:color w:val="auto"/>
        </w:rPr>
        <w:t>Operating Income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2017, ISG operating income as a percentage of net revenue increased 400 basis points to 11.0%. The increase in ISG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income percentage was primarily driven by the favorable impact of higher gross margin percentages and operating income percentages from the EMC acquired businesses. The gross margin percentage for the legacy Dell ISG business was relatively flat over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 compared to Fiscal 2015</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2016, ISG net revenue increased 2% primarily due to a 3% increase in net revenue from servers and networking. PowerEdge</w:t>
      </w:r>
      <w:r>
        <w:rPr>
          <w:rFonts w:ascii="Arial" w:cs="Arial" w:eastAsia="Arial" w:hAnsi="Arial"/>
          <w:sz w:val="17"/>
          <w:szCs w:val="17"/>
          <w:i w:val="1"/>
          <w:iCs w:val="1"/>
          <w:color w:val="auto"/>
        </w:rPr>
        <w:t xml:space="preserve"> </w:t>
      </w:r>
      <w:r>
        <w:rPr>
          <w:rFonts w:ascii="Arial" w:cs="Arial" w:eastAsia="Arial" w:hAnsi="Arial"/>
          <w:sz w:val="17"/>
          <w:szCs w:val="17"/>
          <w:color w:val="auto"/>
        </w:rPr>
        <w:t>server average selling prices increased due to a shift to products with richer configurations, while overall units remained relatively flat. The increase in net revenue from servers and networking was partially offset by a 5% decrease in storage revenue. From a geographical perspective, during Fiscal 2016, the overall increase in ISG net revenue was primarily due to increased revenue in APJ.</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2016, ISG operating income as a percentage of revenue decreased 140 basis points to 7.0%. The decrease in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percentage was driven by lower gross margin percentages. These declines were primarily driven by challenging pricing dynamics, including competitive pressures and the strong U.S. dollar. These challenging economic conditions affected our ability to raise prices sufficiently to offset the higher costs associated with the shift to products with richer configurations.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VMware for the respective periods: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Fiscal Year Ended</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3, 2017</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2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January 29, 2016</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4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January 30, 2015</w:t>
            </w:r>
          </w:p>
        </w:tc>
      </w:tr>
      <w:tr>
        <w:trPr>
          <w:trHeight w:val="27"/>
        </w:trPr>
        <w:tc>
          <w:tcPr>
            <w:tcW w:w="3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50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37"/>
        </w:trPr>
        <w:tc>
          <w:tcPr>
            <w:tcW w:w="3380" w:type="dxa"/>
            <w:vAlign w:val="bottom"/>
          </w:tcPr>
          <w:p>
            <w:pPr>
              <w:ind w:left="160"/>
              <w:spacing w:after="0"/>
              <w:rPr>
                <w:sz w:val="20"/>
                <w:szCs w:val="20"/>
                <w:color w:val="auto"/>
              </w:rPr>
            </w:pPr>
            <w:r>
              <w:rPr>
                <w:rFonts w:ascii="Arial" w:cs="Arial" w:eastAsia="Arial" w:hAnsi="Arial"/>
                <w:sz w:val="18"/>
                <w:szCs w:val="18"/>
                <w:color w:val="auto"/>
              </w:rPr>
              <w:t>VMware net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3,225</w:t>
            </w: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3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Operating Income:</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VMware 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37"/>
        </w:trPr>
        <w:tc>
          <w:tcPr>
            <w:tcW w:w="3380" w:type="dxa"/>
            <w:vAlign w:val="bottom"/>
          </w:tcPr>
          <w:p>
            <w:pPr>
              <w:ind w:left="160"/>
              <w:spacing w:after="0"/>
              <w:rPr>
                <w:sz w:val="20"/>
                <w:szCs w:val="20"/>
                <w:color w:val="auto"/>
              </w:rPr>
            </w:pPr>
            <w:r>
              <w:rPr>
                <w:rFonts w:ascii="Arial" w:cs="Arial" w:eastAsia="Arial" w:hAnsi="Arial"/>
                <w:sz w:val="18"/>
                <w:szCs w:val="18"/>
                <w:i w:val="1"/>
                <w:iCs w:val="1"/>
                <w:color w:val="auto"/>
              </w:rPr>
              <w:t>% of segment net revenue</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34.5%</w:t>
            </w:r>
          </w:p>
        </w:tc>
        <w:tc>
          <w:tcPr>
            <w:tcW w:w="1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i w:val="1"/>
                <w:iCs w:val="1"/>
                <w:color w:val="auto"/>
                <w:w w:val="95"/>
              </w:rPr>
              <w:t>NA</w:t>
            </w:r>
          </w:p>
        </w:tc>
        <w:tc>
          <w:tcPr>
            <w:tcW w:w="1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95"/>
              </w:rPr>
              <w:t>NA</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during Fiscal 2017 represents revenue from the EMC merger transaction date of September 7, 2016 through February 3,</w:t>
      </w:r>
      <w:r>
        <w:rPr>
          <w:rFonts w:ascii="Arial" w:cs="Arial" w:eastAsia="Arial" w:hAnsi="Arial"/>
          <w:sz w:val="18"/>
          <w:szCs w:val="18"/>
          <w:i w:val="1"/>
          <w:iCs w:val="1"/>
          <w:color w:val="auto"/>
        </w:rPr>
        <w:t xml:space="preserve"> </w:t>
      </w:r>
      <w:r>
        <w:rPr>
          <w:rFonts w:ascii="Arial" w:cs="Arial" w:eastAsia="Arial" w:hAnsi="Arial"/>
          <w:sz w:val="18"/>
          <w:szCs w:val="18"/>
          <w:color w:val="auto"/>
        </w:rPr>
        <w:t>2017. VMware net revenue for Fiscal 2017 primarily consists of revenue from the sale of software licenses under perpetual licenses, related software maintenance and support, training, consulting services, and hosted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2017 was generated from sales to customers in the United States.</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2017, VMware operating income as a percentage of net revenue was 34.5% during Fiscal 2017. The VMware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percentage during Fiscal 2017 was impacted by the timing of the completion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sell products and services directly to customers and through a variety of sales channels, including retail distribution. Our accounts receivable, net, was $9.4 billion and $4.9 billion as of February 3, 2017 and January 29, 2016,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February 3, 2017 and January 29, 2016, the allowance for doubtful accounts was $46 million and $36 million, respectively. Based on our assessment, we believe that we are adequately reserved for expected credit losses. We monitor the aging of our accounts receivable and continue to take actions to reduce our exposure to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Financial Services, referred to as DFS, offers a wide range of financial services, including originating, collecting, and servicing customer receivables primarily related to the purchase of Dell products. Following the closing of the EMC merger transaction, DFS began offering similar financial services related to the purchase of Dell EMC and VMware products. In some cases, we originate financing activities for our commercial customers related to the purchase of third-party technology products that complement our portfolio of products and services. New financing originations, which represent the amounts of financing provided by DFS to customers for equipment and related software and services, including third-party originations, were $4.5 billion for the fiscal year ended February 3, 2017 and $3.7 billion for both fiscal years ended January 29, 2016 and January 30, 2015. As of February 3, 2017 and January 29, 2016, our financing receivables, net were $5.9 billion and $5.1 billion, respectively.</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securitization programs to fund revolving loans and fixed-term leases and loans through consolidated special purpose entities, referred to as SPEs, which we account for as secured borrowings. We transfer certain U.S. and European customer financing receivables to these SPEs, whose purpose is to facilitate the funding of customer receivables through financing arrangements with multi-seller conduits that issue asset-backed debt securities in the capital markets and to private investors. During Fiscal 2017 and Fiscal 2016, we transferred $3.3 billion and $3.2 billion to these SPEs, respectively. The structured financing debt related to all of our securitization programs included as secured borrowing was $3.1 billion and $2.8 billion as of February 3, 2017 and January 29, 2016, respectively. In addition, the carrying amount of the corresponding financing receivables was $3.6 billion and $3.3 billion as of February 3, 2017 and January 29, 2016, respectively. As a result of the EMC merger transaction, we plan to expand our existing securitization programs to allow for additional funding of customer receivables in the capital markets.</w:t>
      </w:r>
    </w:p>
    <w:p>
      <w:pPr>
        <w:spacing w:after="0" w:line="1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maintain an allowance to cover expected financing receivable credit losses and evaluate credit loss expectations based on our total portfolio. For the fiscal years ended February 3, 2017, January 29, 2016, and January 30, 2015, the principal charge-off rate for our total portfolio was 2.0%, 2.5%, and 2.9%, respectively. The credit quality of our financing receivables has improved in recent years due to an overall improvement in the credit environment and as the mix of high-quality commercial accounts in our portfolio has increased. The allowance for losses is determined based on various factors, including historical and anticipated experience, past due receivables, receivable type, and customer risk profile. At February 3, 2017 and January 29, 2016, the allowance for financing receivable losses was $143 million and $176 million, respectively. In general, the loss rates on our financing receivables have improved over the periods presented. We expect relatively stable loss rates in future periods, with movements in these rates being primarily driven by seasonality and a continued shift in portfolio composition to lower risk commercial assets.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to unrelated third parties on a periodic basis, primarily to manage certain concentrations of customer credit exposure. Based on our assessment of the customer financing receivables, we believe that we are adequately reserved.</w:t>
      </w:r>
    </w:p>
    <w:p>
      <w:pPr>
        <w:spacing w:after="0" w:line="1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Note 7 of the Notes to the Consolidated Financial Statements included in this report for additional information about our financing receivables and the associated allowance.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Deferred revenue is recorded when billings have been generated or payments have been received for undelivered products or services, or in situations where revenue recognition criteria have not been met. Deferred revenue represents amounts received in advance for extended warranty services, software maintenance, unearned license fees, and deferred profit on third-party software offerings. Deferred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as our obligations under the contract are completed.</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total deferred revenue was $18.7 billion and $7.7 billion as of February 3, 2017 and January 29, 2016, respectively, and increased $11.0 billion, or 143%, over that period. This increase was primarily attributable to the deferred revenue assumed in the EMC merger transaction, which was recorded at its fair value of $8.4 billion. The increase was also attributable to the overall revenue growth driven by the expansion of our business as a result of the EMC merger transaction. A majority of deferred revenue as of February 3, 2017 is expected to be recognized over the next two years. See Note 1 and Note 3 of the Notes to the Consolidated Financial Statements included in this report for additional information on the EMC merger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February 3, 2017, we had no off-balance sheet arrangements that have or are reasonably likely to have a current or future material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AND CAPITAL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9 of the Notes to the Consolidated Financial Statements included in this report for more information about our use of derivative instruments.</w:t>
      </w:r>
    </w:p>
    <w:p>
      <w:pPr>
        <w:spacing w:after="0" w:line="15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impact on our Consolidated Financial Statements included in this report of any credit adjustments related to our use of counterparties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evidenced by our actions to raise capital for the EMC merger transaction. Further, we completed three strategic divestitures during Fiscal 2017. We used the net proceeds from those divestitures to pay down a portion of the EMC merger transaction financing. For more information on repayment of this debt, see Note 8 of the Notes to the Consolidated Financial Statements included in this report. As of February 3, 2017, we had $9.5 billion of total cash and cash equivalents, the majority of which was held outside of the United States. Our strategy is to deploy capital from any potential source, whether internally generated cash or debt, depending on the adequacy and availability of that source of capital and whether it can be accessed in a cost-effective manner. We made available $3.0 billion of cash on hand from legacy Dell entities and $4.8 billion of cash on hand from legacy EMC entities to consummate the EMC merger transaction, some of which was repatriated from foreign jurisdictions. We did not incur material tax or other material costs as a result of the repatriation.</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significant portion of our income is earned in non-U.S. jurisdictions. Under current law, earnings available to be repatriated to the United States would be subject to U.S. federal income tax, less applicable foreign tax credits. We have provided for the U.S. federal tax liability on these amounts for financial statement purposes, except for foreign earnings that are considered permanently reinvested outside of the United States. We utilize a variety of tax planning and financing strategies with the objective of having our worldwide cash available in the locations where it is needed.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and cash equivalents as well as our available borrowings as of February 3, 2017 and January 29,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3,</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29,</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the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Remaining available borrowings under the asset-backed credit line ("ABL Credit Facility")</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(a) Of the $9.5 billion of cash and cash equivalents as of February 3, 2017, $3.2 billion was held by VMware.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the closing of the EMC merger transaction on September 7, 2016, we entered into the Revolving Credit Facility and terminated the ABL Credit Facility. The Revolving Credit Facility has maximum aggregate borrowings of approximately $3.2 billion. Available borrowings under the Revolving Credit Facility are reduced by draws on the facility as well as by outstanding letters of credit. As of February 3, 2017, remaining available borrowings under this facility totaled approximately $2.7 billion.</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that our current cash and cash equivalents, along with cash that will be provided by future operations and borrowings expected to be available under the Revolving Credit Facility, will be sufficient over at least the next twelve months to fund our operations, capital expenditures, share repurchases, and debt service requirements.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8800" w:type="dxa"/>
            <w:vAlign w:val="bottom"/>
            <w:gridSpan w:val="2"/>
          </w:tcPr>
          <w:p>
            <w:pPr>
              <w:spacing w:after="0"/>
              <w:rPr>
                <w:sz w:val="20"/>
                <w:szCs w:val="20"/>
                <w:color w:val="auto"/>
              </w:rPr>
            </w:pPr>
            <w:r>
              <w:rPr>
                <w:rFonts w:ascii="Arial" w:cs="Arial" w:eastAsia="Arial" w:hAnsi="Arial"/>
                <w:sz w:val="18"/>
                <w:szCs w:val="18"/>
                <w:color w:val="auto"/>
              </w:rPr>
              <w:t>The following table summarizes our outstanding debt as of February 3, 2017 and January 29, 2016:</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3,</w:t>
            </w:r>
          </w:p>
        </w:tc>
        <w:tc>
          <w:tcPr>
            <w:tcW w:w="1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29,</w:t>
            </w:r>
          </w:p>
        </w:tc>
      </w:tr>
      <w:tr>
        <w:trPr>
          <w:trHeight w:val="234"/>
        </w:trPr>
        <w:tc>
          <w:tcPr>
            <w:tcW w:w="3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color w:val="auto"/>
              </w:rPr>
              <w:t>(in millions)</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Term loan facilities and Senior First Lien Notes issued in connection with going-private transaction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7,623</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Unsecured notes and debentures issued prior to going-private transaction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Structured financing debt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3,411</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Credit Facilities and First Lien Notes issued in connection with EMC merger transaction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Senior Notes issued in connection with EMC merger transaction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Existing EMC notes outstanding after the EMC merger transaction ("EMC Notes")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Bridge facilities issued in connection with EMC merger transaction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36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Total debt, principal amount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13,980</w:t>
            </w: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57"/>
        </w:trPr>
        <w:tc>
          <w:tcPr>
            <w:tcW w:w="36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Total debt, 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49,390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13,631</w:t>
            </w:r>
          </w:p>
        </w:tc>
      </w:tr>
      <w:tr>
        <w:trPr>
          <w:trHeight w:val="20"/>
        </w:trPr>
        <w:tc>
          <w:tcPr>
            <w:tcW w:w="3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To finance the EMC merger transaction, we issued an aggregate principal amount of $45.9 billion in new debt, which included proceeds from the sale of the First Lien Notes and Senior Notes, as well as borrowings under the Senior Secured Credit Facilities (including the Revolving Credit Facility), the Asset Sale Bridge Facility, the Margin Bridge Facility, and the VMware Bridge Facility at the closing of the transaction. Additionally, on September 7, 2016, EMC had outstanding senior notes (the "EMC Notes") consisting of $2.5 billion aggregate principal amount of its 1.875% Notes due June 2018, $2.0 billion aggregate principal amount of its 2.650% Notes due June 2020 and $1.0 billion aggregate principal amount of its 3.375% Notes due June 2023. The EMC Notes remain outstanding following the closing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the closing of the EMC merger transaction, we repaid and terminated the ABL Credit Facility and the Term Loan Facilities obtained in connection with the going-private transaction and redeemed the Senior First Lien Notes issued in connection with the going-private transaction. During Fiscal 2017, subsequent to the closing of the EMC merger transaction, we repaid $2.2 billion principal amount of the Asset Sale Bridge Facility, $3.1 billion principal amount of the Term Loan A-1 Facility, and $1.6 billion of the Revolving Credit Facility. Further, during Fiscal 2017, we repaid $0.4 billion of maturing unsecured notes and debentures issued prior to the going-private transaction.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requirements for cash to pay principal and interest have increased significantly due to the borrowings that were required to finance the EMC merger transaction. We expect the increased cash flows from the combined businesses will be sufficient to meet these requirements. We or our affiliates, at our or their sole discretion, may purchase, redeem, prepay, refinance, or otherwise retire our outstanding indebtedness under the terms of such indebtedness, in open market or negotiated transactions with the holders of such indebtedness, or otherwise.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balance the use of our securitization programs with working capital and other sources of liquidity to fund growth in our global financial services business. Of the $50.4 billion in outstanding principal debt as of February 3, 2017, $5.1 billion, which includes $3.5 billion in structured financing debt, is used to fund this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8 of the Notes to the Consolidated Financial Statements included in this report for more information about our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summary of our Consolidated Statements of Cash Flows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Fiscal Year Ended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6"/>
              <w:spacing w:after="0"/>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29,</w:t>
            </w:r>
          </w:p>
        </w:tc>
        <w:tc>
          <w:tcPr>
            <w:tcW w:w="12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b w:val="1"/>
                <w:bCs w:val="1"/>
                <w:color w:val="auto"/>
                <w:w w:val="92"/>
              </w:rPr>
              <w:t>January 30,</w:t>
            </w: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6"/>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6"/>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change in cash from:</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6"/>
              <w:spacing w:after="0"/>
              <w:rPr>
                <w:sz w:val="20"/>
                <w:szCs w:val="20"/>
                <w:color w:val="auto"/>
              </w:rPr>
            </w:pPr>
            <w:r>
              <w:rPr>
                <w:rFonts w:ascii="Arial" w:cs="Arial" w:eastAsia="Arial" w:hAnsi="Arial"/>
                <w:sz w:val="16"/>
                <w:szCs w:val="16"/>
                <w:color w:val="auto"/>
              </w:rPr>
              <w:t>2,222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
              <w:spacing w:after="0"/>
              <w:rPr>
                <w:sz w:val="20"/>
                <w:szCs w:val="20"/>
                <w:color w:val="auto"/>
              </w:rPr>
            </w:pPr>
            <w:r>
              <w:rPr>
                <w:rFonts w:ascii="Arial" w:cs="Arial" w:eastAsia="Arial" w:hAnsi="Arial"/>
                <w:sz w:val="16"/>
                <w:szCs w:val="16"/>
                <w:color w:val="auto"/>
              </w:rPr>
              <w:t>2,162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6"/>
              <w:spacing w:after="0"/>
              <w:rPr>
                <w:sz w:val="20"/>
                <w:szCs w:val="20"/>
                <w:color w:val="auto"/>
              </w:rPr>
            </w:pPr>
            <w:r>
              <w:rPr>
                <w:rFonts w:ascii="Arial" w:cs="Arial" w:eastAsia="Arial" w:hAnsi="Arial"/>
                <w:sz w:val="16"/>
                <w:szCs w:val="16"/>
                <w:color w:val="auto"/>
              </w:rPr>
              <w:t>2,551</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6"/>
                <w:szCs w:val="16"/>
                <w:color w:val="auto"/>
              </w:rPr>
              <w:t>31,908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(3,094)</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44"/>
        </w:trPr>
        <w:tc>
          <w:tcPr>
            <w:tcW w:w="7440" w:type="dxa"/>
            <w:vAlign w:val="bottom"/>
          </w:tcPr>
          <w:p>
            <w:pPr>
              <w:ind w:left="380"/>
              <w:spacing w:after="0"/>
              <w:rPr>
                <w:sz w:val="20"/>
                <w:szCs w:val="20"/>
                <w:color w:val="auto"/>
              </w:rPr>
            </w:pPr>
            <w:r>
              <w:rPr>
                <w:rFonts w:ascii="Arial" w:cs="Arial" w:eastAsia="Arial" w:hAnsi="Arial"/>
                <w:sz w:val="18"/>
                <w:szCs w:val="18"/>
                <w:color w:val="auto"/>
              </w:rPr>
              <w:t>Change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color w:val="auto"/>
              </w:rPr>
              <w:t>2,898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provided by operating activities was $2.2 billion for Fiscal 2017. Strong operating cash flows were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profitable operations, particularly in the EMC acquired businesses. The favorable impact of this profitability was partially offset by the cash used for transaction-related expenses.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Cash provided by operating activities was $2.2 billion for Fiscal 2016 and $2.6 billion for Fiscal 2015. The decline in operating cash flows during Fiscal 2016 was due to a decline in profitability and lower working capital benefits. Despite this decline, our operating cash flow performance remained strong.</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consist of cash used to fund strategic acquisitions, capital expenditures for property, plant,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on purchased financing receivables, and proceeds from sale of facilities, land, and other assets. Cash used in investing activities was $31.3 billion and $0.3 billion during Fiscal 2017 and Fiscal 2016, respectively. The increase in cash used by investing activities was driven by $37.6 billion, net cash used to fund our acquisition of EMC.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during Fiscal 2015, which primarily consisted of capital expenditures, was $0.4 billion.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Financing activities primarily consist of the proceeds and repayments of debt. During Fiscal 2017, cash provided by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was $31.9 billion. Cash provided by financing activities consisted primarily of $46.9 billion in cash proceeds from debt, $43.2 billion of which was issued in connection with the EMC merger transaction, and $4.4 billion in proceeds from the sale and issuance of our Class A, Class B, and Class C Common Stock for financing of that transaction. These issuances were partially offset by $17.0 billion in repayments of debt, $0.9 billion in payments of debt issuance costs, $1.3 billion in payments to repurchase common stock, and $0.4 billion in payments related to the appraisal litigation from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going-private transaction. See Note 8 of the Notes to the Consolidated Financial Statements included in this report for more information about our debt.</w:t>
      </w:r>
    </w:p>
    <w:p>
      <w:pPr>
        <w:spacing w:after="0" w:line="23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comparison, during Fiscal 2016, cash used in financing activities was $0.5 billion as we issued $0.7 billion, net, in additional structured financing debt, repaid $0.7 billion in maturing Unsecured Notes and Debentures, and repaid $0.4 billion, net, in Term Loan Facilities issued in connection with the going-private transaction and related foreign currency derivative settlements.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Fiscal 2015, cash used in financing activities primarily consisted of repayments of $2.0 billion principal amount of other debt issued in the going-private transaction and $0.8 billion in borrowings outstanding under the ABL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key performance metrics are net revenue, adjusted EBITDA, cash flows from operations, and cash conversion cycle. Net revenue, adjusted EBITDA, and cash flows from operations are discussed elsewhere in this report. Our cash conversion cycle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Conversion Cycle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calculated our cash conversion cycle excluding our discontinued operations as we believe it provides a better indication of our cash conversion cycle and is a better basis for evaluating our potential future cash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cash conversion cycle for the fourth quarter of each of the past three fiscal years: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January 29,</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January 30,</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of sales outstanding (a)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Days of supply in inventory (b)</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in accounts payable (c)</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Cash conversion cycle (d)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of sales outstanding, referred to as DSO, calculates the average collection period of our receivables. DSO is based on the ending net trade receivables and the most recent quarterly non-GAAP net revenue for each period. DSO also includes the effect of product costs related to customer shipments not yet recognized as revenue that are classified in other current assets. DSO is calculated by adding accounts receivable, net of allowance for doubtful accounts, and customer shipments in transit and dividing that sum by average non-GAAP net revenue per day for the current quarter (97 days for the three months ended February 3, 2017, and 90 days for the three months ended January 29, 2016 and January 30, 2015). As of February 3, 2017, DSO and days of customer shipments not yet recognized were 44 and 3 days, respectively. As of January 29, 2016, DSO and days of customer shipments not yet recognized were 34 and 5 days, respectively. As of January 30, 2015, DSO and days of customer shipments not yet recognized were 36 and 5 days, respectively.</w:t>
      </w:r>
    </w:p>
    <w:p>
      <w:pPr>
        <w:spacing w:after="0" w:line="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of supply in inventory, referred to as DSI, measures the average number of days from procurement to sale of our products. DSI is based on ending inventory adjusted to exclude purchase accounting adjustments and non-GAAP cost of goods sold for each period. DSI is calculated by dividing ending inventory by average non-GAAP cost of goods sold per day for the current quarter (97 days for the three months ended February 3, 2017, and 90 days for the three months ended January 29, 2016 and January 30, 2015).</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in accounts payable, referred to as DPO, calculates the average number of days our payables remain outstanding before payment. DPO is based on ending accounts payable and non-GAAP cost of goods sold for each period. DPO is calculated by dividing accounts payable by average non-GAAP cost of goods sold per day for the current quarter (97 days for the three months ended February 3, 2017, and 90 days for the three months ended January 29, 2016 and January 30, 2015).</w:t>
      </w:r>
    </w:p>
    <w:p>
      <w:pPr>
        <w:spacing w:after="0" w:line="1"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calculate our cash conversion cycle using non-GAAP net revenue and non-GAAP cost of goods sold because we believe that excluding certain items from the GAAP results facilitates management's understanding of this key performance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table below provides reconciliations of each non-GAAP financial measure to its most directly comparable GAAP financial measure used in calculating the DSO, DSI and DPO metrics:</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6"/>
          </w:tcPr>
          <w:p>
            <w:pPr>
              <w:jc w:val="center"/>
              <w:ind w:left="950"/>
              <w:spacing w:after="0"/>
              <w:rPr>
                <w:sz w:val="20"/>
                <w:szCs w:val="20"/>
                <w:color w:val="auto"/>
              </w:rPr>
            </w:pPr>
            <w:r>
              <w:rPr>
                <w:rFonts w:ascii="Arial" w:cs="Arial" w:eastAsia="Arial" w:hAnsi="Arial"/>
                <w:sz w:val="18"/>
                <w:szCs w:val="18"/>
                <w:b w:val="1"/>
                <w:bCs w:val="1"/>
                <w:color w:val="auto"/>
                <w:w w:val="92"/>
              </w:rPr>
              <w:t>Three Months Ended</w:t>
            </w:r>
          </w:p>
        </w:tc>
        <w:tc>
          <w:tcPr>
            <w:tcW w:w="11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3,</w:t>
            </w: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w:t>
            </w: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30,</w:t>
            </w:r>
          </w:p>
        </w:tc>
      </w:t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(in millions)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13,251</w:t>
            </w:r>
          </w:p>
        </w:tc>
      </w:tr>
      <w:tr>
        <w:trPr>
          <w:trHeight w:val="243"/>
        </w:trPr>
        <w:tc>
          <w:tcPr>
            <w:tcW w:w="5860" w:type="dxa"/>
            <w:vAlign w:val="bottom"/>
          </w:tcPr>
          <w:p>
            <w:pPr>
              <w:ind w:left="160"/>
              <w:spacing w:after="0"/>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Impact of purchase accounting</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97"/>
        </w:trPr>
        <w:tc>
          <w:tcPr>
            <w:tcW w:w="5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13,402</w:t>
            </w:r>
          </w:p>
        </w:tc>
      </w:tr>
      <w:tr>
        <w:trPr>
          <w:trHeight w:val="311"/>
        </w:trPr>
        <w:tc>
          <w:tcPr>
            <w:tcW w:w="5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11,258</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Impact of purchase accounting</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Transaction-related expenses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corporate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860" w:type="dxa"/>
            <w:vAlign w:val="bottom"/>
          </w:tcPr>
          <w:p>
            <w:pPr>
              <w:ind w:left="380"/>
              <w:spacing w:after="0"/>
              <w:rPr>
                <w:sz w:val="20"/>
                <w:szCs w:val="20"/>
                <w:color w:val="auto"/>
              </w:rPr>
            </w:pPr>
            <w:r>
              <w:rPr>
                <w:rFonts w:ascii="Arial" w:cs="Arial" w:eastAsia="Arial" w:hAnsi="Arial"/>
                <w:sz w:val="18"/>
                <w:szCs w:val="18"/>
                <w:color w:val="auto"/>
              </w:rPr>
              <w:t>Non-GAAP cost of goods sold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11,138</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three months ended February 3, 2017, changes in our cash conversion cycle were unfavorable by twenty five days when compared to the three months ended January 29, 2016. This was primarily driven by the acquisition of EMC, which had a negative impact across all three components. We experienced a twelve day decrease in DPO, primarily driven by supplier payments terms of the EMC acquired businesses. A nine day increase in DSO was primarily driven by differences in collections management from the EMC acquired businesses. A four day increase in DSI was primarily the result of the longer inventory cycle associated with the EMC acquired product lines. We are continuing the integration of the EMC acquired businesses and, as a result, our supplier arrangements, collection activities, and operating cycles will continue to evolve. We believe our business model allows us to maintain an efficient cash conversion cycle, which compares favorably with that of others in our industry.</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cash conversion cycle for the fiscal quarter ended January 29, 2016 improved six days when compared to the fiscal quarter ended January 30, 2015 driven by a five day improvement in DPO. The increase in DPO was primarily due to the timing of supplier purchases and payments. We also experienced a two day decrease in DSO, which was primarily driven by improved collections performance.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and Fiscal 2016, we spent $699 million and $482 million, respectively, on property, plant, and equipment,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$104 million and $116 million, respectively, attributable to discontinued operations. These expenditures were primarily incurred in connection with our global expansion efforts and infrastructure investments made to support future growth. Product demand, product mix, and the increased use of contract manufacturers, as well as ongoing investments in operating and information technology infrastructure, influence the level and prioritization of our capital expenditures. Aggregate capital expenditures for Fiscal 2018, which will be primarily related to infrastructure investments and strategic initiatives, are currently expected to total approximately $1.7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Class V Common Stock Repurchases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7, 2016, our board of directors approved a stock repurchase program (the "DHI Group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under which we are authorized to use assets of the DHI Group to repurchase up to $1.0 billion of shares of our Class V Common Stock over a period of two years. On December 13, 2016, the board of directors approved the suspension of the DHI Group Repurchase Program until such time as the board of directors authorizes the reinstatement of that program. During the fiscal year ended February 3, 2017, we repurchased 7 million shares of Class V Common Stock for $324 million using cash of the DHI Group. As of February 3, 2017, our remaining authorized amount for share repurchases under the DHI Group Repurchase Program was $676 million.</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December 13, 2016, the board of directors approved a new stock repurchase program (the "Class V Group Repurchase Program") under which we are authorized to use assets of the Class V Group to repurchase up to $500 million of shares of Class V Common Stock over a period of six months. To the extent not retired, shares repurchased under the Class V Group Repurchase Program will be held as treasury stock.</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fiscal year ended February 3, 2017, we repurchased 7 million shares of Class V Common Stock for $418 million under the Class V Group Repurchase Program. As of February 3, 2017, our remaining authorized amount for share repurchases under the Class V Group Repurchase Program was $82 million.</w:t>
      </w:r>
    </w:p>
    <w:p>
      <w:pPr>
        <w:spacing w:after="0" w:line="177"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i w:val="1"/>
          <w:iCs w:val="1"/>
          <w:color w:val="auto"/>
        </w:rPr>
        <w:t xml:space="preserve">VMware Class A Common Stock Repurchases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April 2016, VMware's board of directors authorized the repurchase of up to $1.2 billion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VMware's Class A common stock through the end of 2016. All shares repurchased under VMware's stock repurchase programs are retired. During the period from September 7, 2016 through February 3, 2017, VMware repurchased $611 million of its Class A common stock under the April 2016 program, and the authorized amount for repurchases of VMware Class A common stock was fully utilized as of February 3, 2017.</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15, 2016, we entered into a stock purchase agreement with VMware pursuant to which VMware agreed to purchase for cash $500 million of shares of VMware Class A common stock from a subsidiary of Dell Technologies. We will apply the proceeds from the sale to the repurchase of shares of our Class V Common Stock under the Class V Group Repurchase Program described above. During the period from September 7, 2016 through February 3, 2017, VMware repurchased approximately 4.8 million shares of its Class A common stock under the December 2016 program. On February 15, 2017, subsequent to the close of our fiscal year, VMware repurchased an additional 1.4 million shares of its Class A common stock to complete the transactions contemplated by the stock purchase agreement.</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January 2017, VMware's board of directors authorized the repurchase of up to $1.2 billion of shares of VMware's Class A common stock through the end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share repurchase programs, see Note 18 of Notes to the Consolidated Financial Statements included in this report, and "Part</w:t>
      </w:r>
    </w:p>
    <w:p>
      <w:pPr>
        <w:spacing w:after="0" w:line="4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Item 5 — Market for Registrant's Common Equity, Related Stockholder Matters and Issuer Purchases of Equity Securities."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cash obligations as of February 3,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Payments Due by Fiscal Year</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2019-2020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2021-2022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Contractual cash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50,356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20,104</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Uncertain tax positions (a)</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Contractual cash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29,706</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left="340" w:right="460" w:hanging="332"/>
        <w:spacing w:after="0" w:line="25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approximately $3.1 billion in additional liabilities associated with uncertain tax positions as of February 3, 2017. We are unable to reliably estimate the expected payment dates for any liabilities for uncertain tax positions.</w:t>
      </w:r>
    </w:p>
    <w:p>
      <w:pPr>
        <w:spacing w:after="0" w:line="18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i w:val="1"/>
          <w:iCs w:val="1"/>
          <w:u w:val="single" w:color="auto"/>
          <w:color w:val="auto"/>
        </w:rPr>
        <w:t>Principal Payments on Borrowings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expected principal cash payments on borrowings are exclusive of discounts and premiums. We have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notes with varying maturities. As of February 3, 2017, the future principal payments related to our structured financing debt were expected to be $2.1 billion in Fiscal 2018, $1.4 billion in Fiscal 2019-2020, and immaterial thereafter. For additional information about our debt, see Note 8 of the Notes to the Consolidated Financial Statements included in this report.</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8 of the Notes to the Consolidated Financial Statements included in this report for further discussion of our debt and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62"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obligations are defined as contractual obligations to purchase goods or services that are enforceable and legally binding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the table above as they typically represent our authorization to purchase rather than binding purchase obligations.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u w:val="single" w:color="auto"/>
          <w:color w:val="auto"/>
        </w:rPr>
        <w:t>Operating Leases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property and equipment, manufacturing facilities, and office space under non-cancelable leases. Certain of these leases obligate</w:t>
      </w:r>
      <w:r>
        <w:rPr>
          <w:rFonts w:ascii="Arial" w:cs="Arial" w:eastAsia="Arial" w:hAnsi="Arial"/>
          <w:sz w:val="18"/>
          <w:szCs w:val="18"/>
          <w:i w:val="1"/>
          <w:iCs w:val="1"/>
          <w:color w:val="auto"/>
        </w:rPr>
        <w:t xml:space="preserve"> </w:t>
      </w:r>
      <w:r>
        <w:rPr>
          <w:rFonts w:ascii="Arial" w:cs="Arial" w:eastAsia="Arial" w:hAnsi="Arial"/>
          <w:sz w:val="18"/>
          <w:szCs w:val="18"/>
          <w:color w:val="auto"/>
        </w:rPr>
        <w:t>us to pay taxes, maintenance, and repair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prepare our financial statements in conformity with GAAP. The preparation of financial statements in accordance with GAAP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17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i w:val="1"/>
          <w:iCs w:val="1"/>
          <w:color w:val="auto"/>
        </w:rPr>
        <w:t xml:space="preserve">Revenue Recognition and Related Allowances </w:t>
      </w:r>
      <w:r>
        <w:rPr>
          <w:rFonts w:ascii="Arial" w:cs="Arial" w:eastAsia="Arial" w:hAnsi="Arial"/>
          <w:sz w:val="16"/>
          <w:szCs w:val="16"/>
          <w:color w:val="auto"/>
        </w:rPr>
        <w:t>— We enter into contracts to sell our products and services, and frequently enter into sales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that contain multiple elements or deliverables, such as hardware, services, software licenses, and peripherals. Significant judgments and estimates are necessary for the allocation of the proceeds received from an arrangement to the multiple elements, and the appropriate timing of revenue recognition.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reductions to revenue for estimated customer sales returns, rebates, and certain other customer incentive programs. These reductions to revenue are made based upon reasonable and reliable estimates that are determined by historical experience, contractual terms, and current conditions. The primary factors affecting our accrual for estimated customer returns include estimated return rates as well as the number of units shipped that have a right of return that has not expired as of the balance sheet date. If returns cannot be reliably estimated, revenue is not recognized until a reliable estimate can be made or the return right lapses. Each quarter, we reevaluate our estimates to assess the adequacy of our recorded accruals and allowance for doubtful accounts, and adjust the amounts as necessary.</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sell our products directly to customers as well as through other distribution channels, including retailers, distributors, and resellers. Sales through our distribution channels are primarily made under agreements allowing for limited rights of return, price protection, rebates, and marketing development funds. We have generally limited return rights through contractual caps or we have an established selling history for these arrangements. Therefore, there are sufficient data to establish reasonable and reliable estimates of returns for the majority of these sales. To the extent price protection or return rights are not limited and a reliable estimate cannot be made, all of the revenue and related costs are deferred until the product has been sold to the end-user or the rights expire. We record estimated reductions to revenue or an expense for distribution channel programs at the later of the offer or the time revenue is recognized.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Another significant judgment includes determining whether Dell or a reseller is acting as the principal in a transaction. For arrangements in which a reseller is the principal, revenue is recognized on a net basis. All other revenue is recognized on a gross basis.</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our business evolves, the mix of products and services sold will impact the timing of when revenue and related costs are recognized. We analyze various factors, including a review of specific transactions, the credit-worthiness of our customers, our historical experience, and market and economic conditions. Changes in judgments on these factors could materially impact the timing and amount of revenue and costs recognized.</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Business Combinations and Intangible Assets, Including Goodwill </w:t>
      </w:r>
      <w:r>
        <w:rPr>
          <w:rFonts w:ascii="Arial" w:cs="Arial" w:eastAsia="Arial" w:hAnsi="Arial"/>
          <w:sz w:val="17"/>
          <w:szCs w:val="17"/>
          <w:color w:val="auto"/>
        </w:rPr>
        <w:t>— We account for business combinations using the acquisition method of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The cumulative impact of any subsequent changes to any purchase price allocations that are material to our consolidated financial results will be adjusted in the reporting period in which the adjustment amount is determined. All acquisition costs are expensed as incurred. Identifiable intangible assets with finite lives are amortized over their estimated useful lives.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Goodwill and indefinite-lived intangible assets are tested for impairment annually during the third fiscal quarter and whenever events or circumstances may indicate that an impairment has occurred. To determine whether goodwill is impaired, we first assess certain qualitative factors. Based on this assessment, if it is determined more likely than not that the fair value of a reporting unit is less than its carrying amount, we perform the quantitative analysis of the goodwill impairment test. We determine the fair values of each of our reportable business units using a discounted cash flow methodology and then compare the fair values to the carrying values of each reportable business unit.</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Standard Warranty Liabilities </w:t>
      </w:r>
      <w:r>
        <w:rPr>
          <w:rFonts w:ascii="Arial" w:cs="Arial" w:eastAsia="Arial" w:hAnsi="Arial"/>
          <w:sz w:val="16"/>
          <w:szCs w:val="16"/>
          <w:color w:val="auto"/>
        </w:rPr>
        <w:t>— We record warranty liabilities at the time of sale for the estimated costs that may be incurred under the terms of the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The liability for standard warranties is included in accrued and other current and other non-current liabilities on the Consolidated Statements of Financial Position. The specific warranty terms and conditions vary depending upon the product sold and the country in which we do business, but generally include technical support, parts, and labor over a period ranging from one to three years. Factors that affect our warranty liability include the number of installed units currently under warranty, historical and anticipated rates of warranty claims on those units, and cost per claim to satisfy our warranty obligation. The anticipated rate of warranty claims is the primary factor impacting our estimated warranty obligation. The other factors are less significant due to the fact that the average remaining aggregate warranty period of the covered installed base is approximately 16 months, repair parts are generally already in stock or available at pre-determined prices, and labor rates are generally arranged at pre-established amounts with service providers. Warranty claims are reasonably predictable based on historical experience of failure rates. If actual results differ from our estimates, we revise our estimated warranty liability to reflect such changes. Each quarter, we reevaluate our estimates to assess the adequacy of the recorded warranty liabilities and adjust the amounts as necessary.</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are subject to income tax in the United States and numerous foreign jurisdictions. Significant judgments are required in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all or part of the net deferred tax assets are not realizable in the future, we will make an adjustment to the valuation allowance that would be charged to earnings in the period such determination is made.</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Loss Contingencies </w:t>
      </w:r>
      <w:r>
        <w:rPr>
          <w:rFonts w:ascii="Arial" w:cs="Arial" w:eastAsia="Arial" w:hAnsi="Arial"/>
          <w:sz w:val="16"/>
          <w:szCs w:val="16"/>
          <w:color w:val="auto"/>
        </w:rPr>
        <w:t>— We are subject to the possibility of various losses arising in the ordinary course of business. We consider the likelihood of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Third parties have in the past asserted, and may in the future assert, claims or initiate litigation related to exclusive patent, copyright, and other intellectual property rights to technologies and related standards that are relevant to us.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We state our inventory at the lower of cost or market. We record a write-down for inventories of components and products, 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and component cost trends. The industries in which we compete are subject to demand changes. If future demand or market conditions for our products are less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favorable than forecasted or if unforeseen technological changes negatively impact the utility of component inventory, we may be required to record additional write-downs, which would adversely affect our gross margin.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Dell Technologies is exposed to a variety of market risks, including risks associated with foreign currency exchange rate fluctuations, interest rate changes affecting its variable-rate debt, and changes in the market value of investments. In the normal course of business, Dell Technologies employs established policies and procedures to manage these risks.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Fiscal 2017 and Fiscal 2016, the principal foreign currencies in which Dell Technologies transacted business were the Euro, Chinese Renminbi, Japanese Yen, British Pound,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the results of operations and financial position in the future.</w:t>
      </w:r>
    </w:p>
    <w:p>
      <w:pPr>
        <w:spacing w:after="0" w:line="1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the outstanding foreign currency hedge instruments of Dell Technologies, which include designated and non-designated instruments, there was a maximum potential one-day loss in fair value at a 95% confidence level of approximately $25 million as of February 3, 2017 and $18 million as of January 29, 2016 using a Value-at-Risk ("VAR") model. The change was primarily driven by increased foreign currency exposures due to the EMC merger transaction.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primarily exposed to interest rate risk related to its variable-rate debt and investment portfolio.</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February 3, 2017, Dell Technologies had $11.6 billion of outstanding borrowings under its Senior Secured Credit Facilities and $4.0 billion of outstanding borrowings under its Margin Bridge Facility and VMware Note Bridge Facility. Amounts outstanding under these facilities generally bear interest at variable rates equal to applicable margins plus specified base rates or LIBOR-based rates. These borrowings were issued in connection with the EMC merger transaction. Accordingly, Dell Technologies is exposed to market risk based on fluctuations in interest rates on borrowings under the facilities. As of February 3, 2017, outstanding borrowings under the facilities accrued interest at an annual rate between 2.52% and 4.02%. Based on this variable-rate debt outstanding as of February 3, 2017, a 100 basis point increase in interest rates would have resulted in an increase of approximately $156 million in annual interest expense. For more information about our debt, see Note 8 of the Notes to the Consolidated Financial Statements included in this report.</w:t>
      </w:r>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By comparison, as of January 29, 2016, Dell Technologies had $6.2 billion of outstanding variable-rate debt, all of which was repaid in connection with the EMC merger transaction. Based on this variable-rate debt outstanding as of January 29, 2016, a 100 basis point increase in interest rates would have resulted in an increase of approximately $51 million in annual interest expense.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February 3, 2017 and January 29, 2016, Dell Technologies had $3.5 billion and $3.4 billion, respectively, of outstanding structured financing debt that accrued interest at variable rates. For information about this debt, see Note 7 of the Notes to the Consolidated Financial Statements included in this report. Dell Technologies mitigates the interest rate risk related to its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structured financing debt through the use of interest rate swaps to hedge the variability in cash flows related to the interest rate payments on such debt.</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an investment portfolio consisting of debt and equity securities of various types and maturities which is exposed to interest rate risk. The investments are classified as available-for-sale and are all denominated in U.S. dollars. These securities are recorded on the consolidated balance sheet at market value, with any unrealized gain or temporary non-credit related loss recorded in other comprehensive loss. These instruments are not leveraged and are not held for trading purposes. Dell Technologies mitigates the risks related to its investment portfolio by investing primarily in high-quality credit securities, limiting the amount that can be invested in any single issuer, and investing in short-to-intermediate-term investments. As of February 3, 2017, a 100 basis point increase or decrease in interest rates would have resulted in a $74 million impact on the fair value of this portfolio. By comparison, as of January 29, 2016, a 100 basis point increase or decrease in interest rates would not have had a material impact on the fair value of this portfolio. The change was driven by the investment portfolio acquired as part of the EMC merger transaction. See Note 6 of the Notes to the Consolidated Financial Statements included in this report for more information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60"/>
          </w:cols>
          <w:pgMar w:left="240" w:top="125" w:right="3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AND SUPPLEMENTARY DATA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Dell Technologies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consolidated statements of financial position and the related consolidated statements of income (loss), comprehensive income (loss), stockholders' equity and cash flows present fairly, in all material respects, the financial position of Dell Technologies Inc. and its subsidiaries (the "Company") as of February 3, 2017 and January 29, 2016, and the results of their operations and their cash flows for each of the three years in the period ended February 3, 2017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20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5200" w:type="dxa"/>
            <w:vAlign w:val="bottom"/>
          </w:tcPr>
          <w:p>
            <w:pPr>
              <w:spacing w:after="0"/>
              <w:rPr>
                <w:sz w:val="19"/>
                <w:szCs w:val="19"/>
                <w:color w:val="auto"/>
              </w:rPr>
            </w:pPr>
          </w:p>
        </w:tc>
        <w:tc>
          <w:tcPr>
            <w:tcW w:w="246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6,322</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4,887</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financing receivables, net</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1,619</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Current assets held for sale</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4,333</w:t>
            </w:r>
          </w:p>
        </w:tc>
      </w:tr>
      <w:tr>
        <w:trPr>
          <w:trHeight w:val="27"/>
        </w:trPr>
        <w:tc>
          <w:tcPr>
            <w:tcW w:w="52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Long-term financing receivables, net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2,177</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8,577</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97"/>
        </w:trPr>
        <w:tc>
          <w:tcPr>
            <w:tcW w:w="5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118,206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45,122</w:t>
            </w:r>
          </w:p>
        </w:tc>
      </w:tr>
      <w:tr>
        <w:trPr>
          <w:trHeight w:val="230"/>
        </w:trPr>
        <w:tc>
          <w:tcPr>
            <w:tcW w:w="7660" w:type="dxa"/>
            <w:vAlign w:val="bottom"/>
            <w:gridSpan w:val="2"/>
            <w:shd w:val="clear" w:color="auto" w:fill="CCEEFF"/>
          </w:tcPr>
          <w:p>
            <w:pPr>
              <w:ind w:left="2660"/>
              <w:spacing w:after="0" w:line="203" w:lineRule="exact"/>
              <w:rPr>
                <w:sz w:val="20"/>
                <w:szCs w:val="20"/>
                <w:color w:val="auto"/>
              </w:rPr>
            </w:pPr>
            <w:r>
              <w:rPr>
                <w:rFonts w:ascii="Arial" w:cs="Arial" w:eastAsia="Arial" w:hAnsi="Arial"/>
                <w:sz w:val="18"/>
                <w:szCs w:val="18"/>
                <w:b w:val="1"/>
                <w:bCs w:val="1"/>
                <w:color w:val="auto"/>
                <w:w w:val="94"/>
              </w:rPr>
              <w:t>LIABILITIES, REDEEMABLE SHARES, AND STOCKHOLDERS’</w:t>
            </w:r>
          </w:p>
        </w:tc>
        <w:tc>
          <w:tcPr>
            <w:tcW w:w="18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12,881</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Short-term deferred revenue</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3,632</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2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r>
      <w:tr>
        <w:trPr>
          <w:trHeight w:val="237"/>
        </w:trPr>
        <w:tc>
          <w:tcPr>
            <w:tcW w:w="52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25,310</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8)</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Long-term deferred revenue</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4,089</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37"/>
        </w:trPr>
        <w:tc>
          <w:tcPr>
            <w:tcW w:w="52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43,550</w:t>
            </w:r>
          </w:p>
        </w:tc>
      </w:tr>
      <w:tr>
        <w:trPr>
          <w:trHeight w:val="27"/>
        </w:trPr>
        <w:tc>
          <w:tcPr>
            <w:tcW w:w="52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Redeemable shares</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Common stock and capital in excess of $.01 par value (Note 18)</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5,727</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(3,937)</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5200" w:type="dxa"/>
            <w:vAlign w:val="bottom"/>
          </w:tcPr>
          <w:p>
            <w:pPr>
              <w:ind w:left="500"/>
              <w:spacing w:after="0"/>
              <w:rPr>
                <w:sz w:val="20"/>
                <w:szCs w:val="20"/>
                <w:color w:val="auto"/>
              </w:rPr>
            </w:pPr>
            <w:r>
              <w:rPr>
                <w:rFonts w:ascii="Arial" w:cs="Arial" w:eastAsia="Arial" w:hAnsi="Arial"/>
                <w:sz w:val="18"/>
                <w:szCs w:val="18"/>
                <w:color w:val="auto"/>
              </w:rPr>
              <w:t>Total Dell Technologies Inc. stockholders’ equity</w:t>
            </w:r>
          </w:p>
        </w:tc>
        <w:tc>
          <w:tcPr>
            <w:tcW w:w="2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r>
      <w:tr>
        <w:trPr>
          <w:trHeight w:val="27"/>
        </w:trPr>
        <w:tc>
          <w:tcPr>
            <w:tcW w:w="5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Non-controlling interests</w:t>
            </w:r>
          </w:p>
        </w:tc>
        <w:tc>
          <w:tcPr>
            <w:tcW w:w="2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r>
      <w:tr>
        <w:trPr>
          <w:trHeight w:val="27"/>
        </w:trPr>
        <w:tc>
          <w:tcPr>
            <w:tcW w:w="52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2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Total liabilities, redeemable shares, and stockholders' equity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125"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32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99"/>
              </w:rPr>
              <w:t>CONSOLIDATED STATEMENTS OF INCOME (LOSS)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color w:val="auto"/>
                <w:w w:val="91"/>
              </w:rPr>
              <w:t>(in millions, except per share amounts)</w:t>
            </w: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48,706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46,130</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8,012</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54,142</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42,169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40,084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45,246</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8,292</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Income (loss) from discontinued operations, net of income taxes (Note 4)</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311"/>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Continuing operations - DHI Group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32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diluted:</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Continuing operations - Class V Common Stock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 - DHI Group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Discontinued operations - DHI Group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(0.28)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0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66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rPr>
              <w:t>DELL TECHNOLOGIES INC.</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30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660" w:type="dxa"/>
            <w:vAlign w:val="bottom"/>
            <w:gridSpan w:val="2"/>
          </w:tcPr>
          <w:p>
            <w:pPr>
              <w:jc w:val="center"/>
              <w:ind w:left="3110"/>
              <w:spacing w:after="0"/>
              <w:rPr>
                <w:sz w:val="20"/>
                <w:szCs w:val="20"/>
                <w:color w:val="auto"/>
              </w:rPr>
            </w:pPr>
            <w:r>
              <w:rPr>
                <w:rFonts w:ascii="Arial" w:cs="Arial" w:eastAsia="Arial" w:hAnsi="Arial"/>
                <w:sz w:val="18"/>
                <w:szCs w:val="18"/>
                <w:color w:val="auto"/>
                <w:w w:val="98"/>
              </w:rPr>
              <w:t>(in millions)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940" w:type="dxa"/>
            <w:vAlign w:val="bottom"/>
            <w:gridSpan w:val="3"/>
          </w:tcPr>
          <w:p>
            <w:pPr>
              <w:ind w:left="260"/>
              <w:spacing w:after="0"/>
              <w:rPr>
                <w:sz w:val="20"/>
                <w:szCs w:val="20"/>
                <w:color w:val="auto"/>
              </w:rPr>
            </w:pPr>
            <w:r>
              <w:rPr>
                <w:rFonts w:ascii="Arial" w:cs="Arial" w:eastAsia="Arial" w:hAnsi="Arial"/>
                <w:sz w:val="18"/>
                <w:szCs w:val="18"/>
                <w:b w:val="1"/>
                <w:bCs w:val="1"/>
                <w:color w:val="auto"/>
              </w:rPr>
              <w:t>February 3, 2017</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January 30, 2015</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Other comprehensive income (loss), net of tax</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investments: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Change in unrealized losses</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Reclassification adjustment for net losses realized in net loss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Net change in market value of investments</w:t>
            </w: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Change in unrealized gains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Reclassification adjustment for net gains included in net loss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Net change in cash flow hedges</w:t>
            </w: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plans: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Recognition of actuarial net gain from pension and other postretirement</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plans</w:t>
            </w:r>
          </w:p>
        </w:tc>
        <w:tc>
          <w:tcPr>
            <w:tcW w:w="12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Reclassification adjustments for net gains (losses) from pension and other</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plans</w:t>
            </w:r>
          </w:p>
        </w:tc>
        <w:tc>
          <w:tcPr>
            <w:tcW w:w="1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5"/>
              </w:rPr>
              <w:t>Net change in actuarial net gain from pension and other postretirement</w:t>
            </w: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plans</w:t>
            </w:r>
          </w:p>
        </w:tc>
        <w:tc>
          <w:tcPr>
            <w:tcW w:w="12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3"/>
              </w:rPr>
              <w:t>Total other comprehensive income (loss), net of tax benefit (expense) of $3,</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$8, and $(10), respectively</w:t>
            </w: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net of tax</w:t>
            </w: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37"/>
        </w:trPr>
        <w:tc>
          <w:tcPr>
            <w:tcW w:w="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Less: Net loss attributable to non-controlling interests</w:t>
            </w: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Less: Other comprehensive loss attributable to non-controlling interests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Comprehensive loss attributable to Dell Technologies Inc.</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08"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b w:val="1"/>
                <w:bCs w:val="1"/>
                <w:color w:val="auto"/>
              </w:rPr>
              <w:t>DELL TECHNOLOGIES INC.</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20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color w:val="auto"/>
                <w:w w:val="92"/>
              </w:rPr>
              <w:t>(in millions; continued on next page)</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29,</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January 30,</w:t>
            </w:r>
          </w:p>
        </w:tc>
      </w:tr>
      <w:tr>
        <w:trPr>
          <w:trHeight w:val="234"/>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February 3, 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2,977</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29"/>
        </w:trPr>
        <w:tc>
          <w:tcPr>
            <w:tcW w:w="7080" w:type="dxa"/>
            <w:vAlign w:val="bottom"/>
            <w:gridSpan w:val="2"/>
          </w:tcPr>
          <w:p>
            <w:pPr>
              <w:ind w:left="380"/>
              <w:spacing w:after="0"/>
              <w:rPr>
                <w:sz w:val="20"/>
                <w:szCs w:val="20"/>
                <w:color w:val="auto"/>
              </w:rPr>
            </w:pPr>
            <w:r>
              <w:rPr>
                <w:rFonts w:ascii="Arial" w:cs="Arial" w:eastAsia="Arial" w:hAnsi="Arial"/>
                <w:sz w:val="18"/>
                <w:szCs w:val="18"/>
                <w:color w:val="auto"/>
                <w:w w:val="92"/>
              </w:rPr>
              <w:t>Effects of exchange rate changes on monetary assets and liabilities denominated in foreign</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currencies</w:t>
            </w:r>
          </w:p>
        </w:tc>
        <w:tc>
          <w:tcPr>
            <w:tcW w:w="4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Provision for doubtful accounts — including financing receivables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gain on sale of businesses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gridSpan w:val="2"/>
          </w:tcPr>
          <w:p>
            <w:pPr>
              <w:ind w:left="600"/>
              <w:spacing w:after="0"/>
              <w:rPr>
                <w:sz w:val="20"/>
                <w:szCs w:val="20"/>
                <w:color w:val="auto"/>
              </w:rPr>
            </w:pPr>
            <w:r>
              <w:rPr>
                <w:rFonts w:ascii="Arial" w:cs="Arial" w:eastAsia="Arial" w:hAnsi="Arial"/>
                <w:sz w:val="18"/>
                <w:szCs w:val="18"/>
                <w:color w:val="auto"/>
                <w:w w:val="99"/>
              </w:rPr>
              <w:t>Changes in assets and liabilities, net of effects from acquisitions and dispositions:</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7080" w:type="dxa"/>
            <w:vAlign w:val="bottom"/>
            <w:gridSpan w:val="2"/>
          </w:tcPr>
          <w:p>
            <w:pPr>
              <w:ind w:left="820"/>
              <w:spacing w:after="0"/>
              <w:rPr>
                <w:sz w:val="20"/>
                <w:szCs w:val="20"/>
                <w:color w:val="auto"/>
              </w:rPr>
            </w:pPr>
            <w:r>
              <w:rPr>
                <w:rFonts w:ascii="Arial" w:cs="Arial" w:eastAsia="Arial" w:hAnsi="Arial"/>
                <w:sz w:val="18"/>
                <w:szCs w:val="18"/>
                <w:color w:val="auto"/>
              </w:rPr>
              <w:t>Financing receivables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080" w:type="dxa"/>
            <w:vAlign w:val="bottom"/>
            <w:gridSpan w:val="2"/>
          </w:tcPr>
          <w:p>
            <w:pPr>
              <w:ind w:left="8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43"/>
        </w:trPr>
        <w:tc>
          <w:tcPr>
            <w:tcW w:w="7080" w:type="dxa"/>
            <w:vAlign w:val="bottom"/>
            <w:gridSpan w:val="2"/>
          </w:tcPr>
          <w:p>
            <w:pPr>
              <w:ind w:left="82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Accrued and other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7"/>
        </w:trPr>
        <w:tc>
          <w:tcPr>
            <w:tcW w:w="7080" w:type="dxa"/>
            <w:vAlign w:val="bottom"/>
            <w:gridSpan w:val="2"/>
          </w:tcPr>
          <w:p>
            <w:pPr>
              <w:ind w:left="600"/>
              <w:spacing w:after="0"/>
              <w:rPr>
                <w:sz w:val="20"/>
                <w:szCs w:val="20"/>
                <w:color w:val="auto"/>
              </w:rPr>
            </w:pPr>
            <w:r>
              <w:rPr>
                <w:rFonts w:ascii="Arial" w:cs="Arial" w:eastAsia="Arial" w:hAnsi="Arial"/>
                <w:sz w:val="18"/>
                <w:szCs w:val="18"/>
                <w:color w:val="auto"/>
              </w:rPr>
              <w:t>Change in cash from operating activities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Purchases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Maturities and sales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Proceeds from sale of facilities, land, and other assets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Collections on purchased financing receivables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Divestitures of businesses, net of cash transferred</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gridSpan w:val="2"/>
          </w:tcPr>
          <w:p>
            <w:pPr>
              <w:ind w:left="600"/>
              <w:spacing w:after="0"/>
              <w:rPr>
                <w:sz w:val="20"/>
                <w:szCs w:val="20"/>
                <w:color w:val="auto"/>
              </w:rPr>
            </w:pPr>
            <w:r>
              <w:rPr>
                <w:rFonts w:ascii="Arial" w:cs="Arial" w:eastAsia="Arial" w:hAnsi="Arial"/>
                <w:sz w:val="18"/>
                <w:szCs w:val="18"/>
                <w:color w:val="auto"/>
              </w:rPr>
              <w:t>Change in cash from investing activities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0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b w:val="1"/>
                <w:bCs w:val="1"/>
                <w:color w:val="auto"/>
              </w:rPr>
              <w:t>DELL TECHNOLOGIES INC.</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20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color w:val="auto"/>
                <w:w w:val="94"/>
              </w:rPr>
              <w:t>(continued; in millions)</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2"/>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29,</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January 30,</w:t>
            </w:r>
          </w:p>
        </w:tc>
      </w:tr>
      <w:tr>
        <w:trPr>
          <w:trHeight w:val="234"/>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February 3, 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Payment of dissenting shares obligation</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DHI Group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Proceeds from the issuance of common stock of subsidiaries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DHI Group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Repurchases of Class V Common Stock</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VMware Class A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under employee plans</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Payments for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Proceeds from debt</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2,936</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w:t>
            </w: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Change in cash from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the period, including amounts held for sale</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6,449</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period</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5,398</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Less: Cash included in current assets held for sale</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from continuing operations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Income tax paid</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128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rPr>
              <w:t>DELL TECHNOLOGIES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780" w:type="dxa"/>
            <w:vAlign w:val="bottom"/>
            <w:gridSpan w:val="13"/>
          </w:tcPr>
          <w:p>
            <w:pPr>
              <w:jc w:val="center"/>
              <w:ind w:right="112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40" w:type="dxa"/>
            <w:vAlign w:val="bottom"/>
            <w:gridSpan w:val="6"/>
          </w:tcPr>
          <w:p>
            <w:pPr>
              <w:jc w:val="center"/>
              <w:spacing w:after="0"/>
              <w:rPr>
                <w:sz w:val="20"/>
                <w:szCs w:val="20"/>
                <w:color w:val="auto"/>
              </w:rPr>
            </w:pPr>
            <w:r>
              <w:rPr>
                <w:rFonts w:ascii="Arial" w:cs="Arial" w:eastAsia="Arial" w:hAnsi="Arial"/>
                <w:sz w:val="18"/>
                <w:szCs w:val="18"/>
                <w:color w:val="auto"/>
                <w:w w:val="92"/>
              </w:rPr>
              <w:t>(in millions; continued on next page)</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Common Stock and Capital in</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Excess of Par Value</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2"/>
              </w:rPr>
              <w:t>Accumulated Other</w:t>
            </w: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Total 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6"/>
              </w:rPr>
              <w:t>Issued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Accumulated Deficit</w:t>
            </w:r>
          </w:p>
        </w:tc>
        <w:tc>
          <w:tcPr>
            <w:tcW w:w="1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Income/(Loss)</w:t>
            </w:r>
          </w:p>
        </w:tc>
        <w:tc>
          <w:tcPr>
            <w:tcW w:w="34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January 31, 2014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Cash flow hedges, net change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w w:val="92"/>
              </w:rPr>
              <w:t>Stock-based compensation expense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Revaluation of redeemable shares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January 30, 2015</w:t>
            </w:r>
          </w:p>
        </w:tc>
        <w:tc>
          <w:tcPr>
            <w:tcW w:w="2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9"/>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 net change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w w:val="92"/>
              </w:rPr>
              <w:t>Stock-based compensation expense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Revaluation of redeemable shares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January 29, 2016</w:t>
            </w:r>
          </w:p>
        </w:tc>
        <w:tc>
          <w:tcPr>
            <w:tcW w:w="2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08" w:right="2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Common Stock and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7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Capital in Excess of Par</w:t>
            </w:r>
          </w:p>
        </w:tc>
        <w:tc>
          <w:tcPr>
            <w:tcW w:w="174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6"/>
              </w:rPr>
              <w:t>Value</w:t>
            </w:r>
          </w:p>
        </w:tc>
        <w:tc>
          <w:tcPr>
            <w:tcW w:w="17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Dell Technologies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9"/>
        </w:trPr>
        <w:tc>
          <w:tcPr>
            <w:tcW w:w="13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January 29, 2016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264"/>
        </w:trPr>
        <w:tc>
          <w:tcPr>
            <w:tcW w:w="13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Investments, net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change</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Pension and other</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post-retirement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of non-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controlling interests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0"/>
              </w:rPr>
              <w:t>assumed in business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combination</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6,048</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14,482</w:t>
            </w:r>
          </w:p>
        </w:tc>
        <w:tc>
          <w:tcPr>
            <w:tcW w:w="12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14,482</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stock-based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w w:val="98"/>
              </w:rPr>
              <w:t>redeemable shares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equity</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transactions of non-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1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20,199</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13,243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5,766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19,009</w:t>
            </w:r>
          </w:p>
        </w:tc>
        <w:tc>
          <w:tcPr>
            <w:tcW w:w="0" w:type="dxa"/>
            <w:vAlign w:val="bottom"/>
          </w:tcPr>
          <w:p>
            <w:pPr>
              <w:spacing w:after="0"/>
              <w:rPr>
                <w:sz w:val="1"/>
                <w:szCs w:val="1"/>
                <w:color w:val="auto"/>
              </w:rPr>
            </w:pPr>
          </w:p>
        </w:tc>
      </w:tr>
      <w:tr>
        <w:trPr>
          <w:trHeight w:val="185"/>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3, 2017</w:t>
            </w:r>
          </w:p>
        </w:tc>
        <w:tc>
          <w:tcPr>
            <w:tcW w:w="620" w:type="dxa"/>
            <w:vAlign w:val="bottom"/>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See Note 18 of the Notes to Consolidated Financial Statements for additional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DHI Group Common Stock and Class V Common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EMC MERGER TRANSACTION, OTHER TRANSACTIONS, AND BASIS OF PRESENTATION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EMC Merger Transaction </w:t>
      </w:r>
      <w:r>
        <w:rPr>
          <w:rFonts w:ascii="Arial" w:cs="Arial" w:eastAsia="Arial" w:hAnsi="Arial"/>
          <w:sz w:val="18"/>
          <w:szCs w:val="18"/>
          <w:color w:val="auto"/>
        </w:rPr>
        <w:t>— On September 7, 2016, EMC Corporation, a Massachusetts corporation ("EMC"), became a wholly-owned subsidiary of Dell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("the Company") as a result of the merger of Universal Acquisition Co., a Delaware corporation and wholly-owned subsidiary of the Company ("Merger Sub"), with and into EMC, with EMC surviving as a wholly-owned subsidiary of the Company (the "EMC merger transaction"). The EMC merger transaction was effected pursuant to the Agreement and Plan of Merger, dated as of October 12, 2015, by and among the Company, Dell Inc., a Delaware corporation ("Dell"), Merger Sub, and EMC, as amended by the First Amendment to Agreement and Plan of Merger, dated as of May 16, 2016, by and among the Company, Dell, Merger Sub, and EMC. See Note 3 of the Notes to the Consolidated Financial Statements for additional information on the EMC merger transaction.</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 On March 27, 2016, Dell entered into a definitive agreement with NTT Data International L.L.C. to divest substantially all of Dell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cash consideration of approximately $3.0 billion, resulting in a gain on sale, net of tax, of $1.7 billion. On November 2, 2016, the parties closed substantially all of the transaction. On June 19, 2016, Dell entered into a definitive agreement with Francisco Partners and Elliot Management Corporation to divest substantially all of Dell Software Group ("DSG") for cash consideration of approximately $2.4 billion, resulting in a gain on sale, net of tax, of $0.6 billion. On October 31, 2016, the parties closed the transaction. On September 12, 2016, EMC entered into a definitive agreement with OpenText Corporation to divest the Dell EMC Enterprise Content Division ("ECD") for cash consideration of approximately $1.6 billion, resulting in a loss on sale, net of tax, of $0.4 billion. On January 23, 2017, the parties closed the transaction. In accordance with applicable accounting guidance, the results of Dell Services, DSG, and ECD, as well as the related gains or losses on sale, are presented as discontinued operations in the Consolidated Statements of Income (Loss) and, as such, have been excluded from both continuing operations and segment results for all periods presented. Further, the Company has reclassified the related assets and liabilities as held for sale in the Consolidated Statements of Financial Position. See Note 4 of the Notes to the Consolidated Financial Statements for additional information.</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SecureWorks Initial Public Offering </w:t>
      </w:r>
      <w:r>
        <w:rPr>
          <w:rFonts w:ascii="Arial" w:cs="Arial" w:eastAsia="Arial" w:hAnsi="Arial"/>
          <w:sz w:val="18"/>
          <w:szCs w:val="18"/>
          <w:color w:val="auto"/>
        </w:rPr>
        <w:t>— On April 27, 2016, SecureWorks Corp. ("SecureWorks") completed a registered underwritten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("IPO") of its Class A common stock. As of February 3, 2017, the Company held approximately 87.5% of the outstanding equity interest in SecureWorks. The results of the SecureWorks operations are included in other businesses. See Note 16 and Note 22 of the Notes to the Consolidated Financial Statements for more information.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Going-Private Transaction — </w:t>
      </w:r>
      <w:r>
        <w:rPr>
          <w:rFonts w:ascii="Arial" w:cs="Arial" w:eastAsia="Arial" w:hAnsi="Arial"/>
          <w:sz w:val="16"/>
          <w:szCs w:val="16"/>
          <w:color w:val="auto"/>
        </w:rPr>
        <w:t>On October 29, 2013, Dell was acquired by Denali Holding Inc. (which changed its name to Dell Technologies Inc. on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25, 2016) in a merger transaction pursuant to an agreement and plan of merger, dated as of February 5, 2013, as amended. Dell Technologies is a Delaware corporation owned by Michael S. Dell and a separate property trust for the benefit of Mr. Dell's wife (the "MD Stockholders"), investment funds affiliated with Silver Lake Partners (the "SLP Stockholders"), investment funds affiliated with MSD Partners, L.P. (the "MSDC Stockholders"), members of Dell Technologies' management, and other investors. Mr. Dell serves as Chairman and Chief Executive Officer of Dell Technologies.</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These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("GAAP").</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EMC merger transaction completed on September 7, 2016, the Company's results for the fiscal periods reflected in these Consolidated Financial Statements are not directly comparable. The results of the businesses acquired in the EMC merger transaction (the "acquired businesses") are included in the consolidated results of Dell Technologies for the fiscal year ended February 3, 2017, and represent the results of the acquired businesses from September 7, 2016, the date of the EMC merger transaction, through February 3, 2017, the end of the fiscal year of Dell Technologies. The results of the acquired businesses are reported on the basis of Dell Technologies' fiscal year end to align with the fiscal periods for which Dell Technologies reports its results.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Dell Technologies balance sheet reflects the full consolidation of EMC's assets and liabilities as a result of the close of the EMC merger transaction on September 7, 2016. The Company's purchase accounting is substantially complete.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DESCRIPTION OF BUSINESS AND SUMMARY OF SIGNIFICANT ACCOUNTING POLICIES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Description of Business </w:t>
      </w:r>
      <w:r>
        <w:rPr>
          <w:rFonts w:ascii="Arial" w:cs="Arial" w:eastAsia="Arial" w:hAnsi="Arial"/>
          <w:sz w:val="16"/>
          <w:szCs w:val="16"/>
          <w:color w:val="auto"/>
        </w:rPr>
        <w:t>— The Company is a strategically aligned family of businesses that offers a broad range of technology solutions, including desktops,</w:t>
      </w:r>
      <w:r>
        <w:rPr>
          <w:rFonts w:ascii="Arial" w:cs="Arial" w:eastAsia="Arial" w:hAnsi="Arial"/>
          <w:sz w:val="16"/>
          <w:szCs w:val="16"/>
          <w:i w:val="1"/>
          <w:iCs w:val="1"/>
          <w:color w:val="auto"/>
        </w:rPr>
        <w:t xml:space="preserve"> </w:t>
      </w:r>
      <w:r>
        <w:rPr>
          <w:rFonts w:ascii="Arial" w:cs="Arial" w:eastAsia="Arial" w:hAnsi="Arial"/>
          <w:sz w:val="16"/>
          <w:szCs w:val="16"/>
          <w:color w:val="auto"/>
        </w:rPr>
        <w:t>notebooks, tablets, servers and networking products, storage products, cloud solutions products, services, software, and third-party software and peripherals.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Company's fiscal year is the 52- or 53-week period ending on the Friday nearest January 31. The fiscal year ended February 3, 2017</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was a 53-week period.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consolidated financial statements include the accounts of Dell Technologies and its wholly-owned subsidiaries,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accounts of SecureWorks, VMware, Inc., and Pivotal Software, Inc. ("Pivotal"), companies which are majority-owned by Dell Technologies. All intercompany transactions have been eliminated.</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27, 2016, SecureWorks completed a registered underwritten IPO of its Class A common stock. As of February 3, 2017, Dell Technologies held approximately 87.5% of the outstanding equity interest in SecureWorks. Since the date of the IPO, the financial results of SecureWorks remain consolidated with those of Dell Technologies as Dell Technologies is the controlling stockholder of SecureWorks. The portion of the results of operations of SecureWorks allocable to its other owners is shown as net income (loss) attributable to the non-controlling interests in the Consolidated Statements of Income (Loss), as an adjustment to net income (loss) attributable to Dell Technologies stockholders. Additionally, the cumulative portion of the results of operations of SecureWorks allocable to those other owners, along with the interest in the net assets of SecureWorks attributable to those other owners, is shown as a component of non-controlling interests in the Consolidated Statements of Financial Position as of February 3, 2017.</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of February 3, 2017, Dell Technologies held approximately 82.5% of the outstanding equity interest in VMware. VMware's financial results have been consolidated with those of Dell Technologies as Dell Technologies is VMware's controlling stockholder. The results of VMware presented in the accompanying Consolidated Financial Statements represent the results of the acquired businesses from September 7, 2016, the date of the EMC merger transaction, through February 3, 2017, the end of the fiscal year of Dell Technologies. The portion of the results of operations of VMware allocable to its other owners is shown as net income (loss) attributable to the non-controlling interests in the Consolidated Statements of Income (Loss) as an adjustment to net income (loss) attributable to Dell Technologies stockholders. Additionally, the cumulative portion of the results of operations of VMware allocable to those other owners, along with the interest in the net assets of VMware attributable to those other owners, is shown as a component of non-controlling interests in the Consolidated Statements of Financial Position as of February 3, 2017.</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February 3, 2017, Dell Technologies held approximately 77.8% of the outstanding equity interest in Pivotal. Pivotal's financial results have been consolidated with those of Dell Technologies as Dell Technologies is Pivotal's controlling stockholder. The results of Pivotal presented in the accompanying Consolidated Financial Statements represent the results of the acquired businesses from September 7, 2016, the date of the EMC merger transaction, through February 3, 2017, the end of the fiscal year of Dell Technologies. A portion of the non-controlling interest in Pivotal is held by third parties in the form of preferred equity instruments. Accordingly, there is no net income attributable to this portion of non-controlling interest in the Consolidated Statements of Income (Loss). The other portion of the non-controlling interest in Pivotal is held by third parties in the form of common stock. As such, there is net income (loss) attributable to this portion of non-controlling interest in the Consolidated Statements of Income (Loss) as an adjustment to net income (loss) attributable to Dell Technologies stockholders. Additionally, the interest in the net assets of Pivotal attributable to those other owners is shown as a component of non-controlling interests in the Consolidated Statements of Financial Position as of February 3, 2017.</w:t>
      </w:r>
    </w:p>
    <w:p>
      <w:pPr>
        <w:spacing w:after="0" w:line="18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accordance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reported in the Consolidated Financial Statements and the accompanying Notes. Actual results could differ materially from those estimates.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All highly liquid investments, including credit card receivables due from banks, with original maturities of 90 days or less at</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are reported at fair value and are considered to be cash equivalents. All other investments not considered to be cash equivalents are separately categorized as investments.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All debt security investments with effective maturities in excess of one year and substantially all equity and other securities are recorded as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investments in the Consolidated Statements of Financial Position. In comparison,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debt security instruments with a remaining maturity shorter than one year are classified as short-term investments in the Consolidated Statements of Financial Position.</w:t>
      </w:r>
    </w:p>
    <w:p>
      <w:pPr>
        <w:spacing w:after="0" w:line="17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Unrealized gain and loss positions on investments classified as available-for-sale are included within accumulated other comprehensive income (loss), net of any related tax effect. Realized gains and losses and other-than-temporary impairments are reclassified from accumulated other comprehensive income (loss) to interest and other, net. Investments accounted for under the cost method are recorded at cost initially, which approximates fair value. Subsequently, if there is an indicator of impairment, the impairment is recognized in interest and other, net in the Consolidated Statements of Income (Loss).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recognizes an allowance for losses on accounts receivable in an amount equal to the estimated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net of recoveries. The allowance is based on an analysis of historical bad debt experience, current receivables aging, and expected future write-offs, as well as an assessment of specific identifiable customer accounts considered at risk or uncollectible. The expense associated with the allowance for doubtful accounts is recognized in selling, general, and administrative expenses.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Financing Receivables </w:t>
      </w:r>
      <w:r>
        <w:rPr>
          <w:rFonts w:ascii="Arial" w:cs="Arial" w:eastAsia="Arial" w:hAnsi="Arial"/>
          <w:sz w:val="17"/>
          <w:szCs w:val="17"/>
          <w:color w:val="auto"/>
        </w:rPr>
        <w:t>— Financing receivables are presented net of allowance for losses and consist of customer receivables and residual interest.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include revolving loans and fixed-term leases and loans resulting primarily from the sale of the Company's products and services. The Company has two portfolios: (1) fixed-term leases and loans and (2) revolving loans, and assesses risk at the portfolio level to determine the appropriate allowance levels. The portfolio segments are further segregated into classes based on products, customer type, and credit risk evaluation: (1) Revolving - Dell Preferred Account ("DPA"); (2) Revolving - Dell Business Credit ("DBC"); (3) Fixed-term - Consumer and Small Commercial; and (4) Fixed-term - Medium and Large Commercial. Fixed-term leases and loans are offered to qualified small and medium-sized businesses, large commercial accounts, governmental organizations, and educational entities. Additionally, fixed-term loans are also offered to certain individual consumer customers. Revolving loans are offered under private label credit financing programs. The DPA revolving loan programs are offered to individual consumers and the DBC revolving loan programs are offered to small and medium-sized business customers.</w:t>
      </w:r>
    </w:p>
    <w:p>
      <w:pPr>
        <w:spacing w:after="0" w:line="18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 On a quarterly basis, the Company assesses the carrying amount of its recorded residual values for impairment. Anticipated declines in specific future residual values that are considered to be other-than-temporary are recorded currently in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Financing Receivable Losses</w:t>
      </w:r>
    </w:p>
    <w:p>
      <w:pPr>
        <w:spacing w:after="0" w:line="225"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The Company recognizes an allowance for losses on financing receivables in an amount equal to the probable losses net of recoveries. The allowance for losses is generally determined at the aggregate portfolio level based on a variety of factors, including historical and anticipated experience, past due receivables, receivable type, and customer risk profile. Customer account principal and interest are charged to the allowance for losses when an account is deemed to be uncollectible or generally when the account is 180 days delinquent.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Both fixed and revolving receivable loss rates are affected by macro-economic conditions, including the level of gross domestic product ("GDP") growth, unemployment rates, the level of commercial capital equipment investment, and the credit quality of the borrower.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Asset Securitization</w:t>
      </w:r>
    </w:p>
    <w:p>
      <w:pPr>
        <w:spacing w:after="0" w:line="225" w:lineRule="exact"/>
        <w:rPr>
          <w:sz w:val="20"/>
          <w:szCs w:val="20"/>
          <w:color w:val="auto"/>
        </w:rPr>
      </w:pPr>
    </w:p>
    <w:p>
      <w:pPr>
        <w:ind w:left="660" w:right="260"/>
        <w:spacing w:after="0" w:line="257" w:lineRule="auto"/>
        <w:rPr>
          <w:sz w:val="20"/>
          <w:szCs w:val="20"/>
          <w:color w:val="auto"/>
        </w:rPr>
      </w:pPr>
      <w:r>
        <w:rPr>
          <w:rFonts w:ascii="Arial" w:cs="Arial" w:eastAsia="Arial" w:hAnsi="Arial"/>
          <w:sz w:val="18"/>
          <w:szCs w:val="18"/>
          <w:color w:val="auto"/>
        </w:rPr>
        <w:t>The Company transfers certain U.S. customer financing receivables to Special Purpose 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receivables in the capital markets. These SPEs have entered into financing arrangements with multi-seller conduits that, in turn, issue asset-backed debt securities in the capital markets. The asset securitizations 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SPEs are accounted for as secured borrowings. See Note 7 of the Notes to the Consolidated Financial Statements for additional information on the impact of the consolidation.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with cost being determined on a first-in, first-out basis. Adjustments to reduce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to its net realizable value are made, if required, for estimated excess, obsolescence, or impaired balances.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carried at depreciated cost. Depreciation is determined using the straight-line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economic lives of the assets, which range from ten to thirty years for buildings and two to ten years for all other assets. Leasehold improvements are amortized over the shorter of five years or the lease term. Gains or losses related to retirements or disposition of fixed assets are recognized in the period during which the retirement or disposition occurs.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Capitalized Software Development Costs </w:t>
      </w:r>
      <w:r>
        <w:rPr>
          <w:rFonts w:ascii="Arial" w:cs="Arial" w:eastAsia="Arial" w:hAnsi="Arial"/>
          <w:sz w:val="18"/>
          <w:szCs w:val="18"/>
          <w:color w:val="auto"/>
        </w:rPr>
        <w:t>— In accordance with the applicable accounting standards, software development costs related to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new product offerings are capitalized subsequent to the establishment of technological feasibility, which is demonstrated by the completion of a detailed program design or working model, if no program design is completed. GAAP requires that annual amortization expense of the capitalized software development costs be the greater of the amounts computed using the ratio of gross revenue to a product's total current and anticipated revenues, or the straight-line method over the product's remaining estimated economic life. Capitalized costs are amortized over periods ranging from eighteen months to two years which represents the product's estimated economic life.</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February 3, 2017, capitalized software development costs were $202 million and are included in other non-current assets, net in the accompanying Consolidated Statements of Financial Position. Amortization expense for the period from September 7, 2016 through February 3, 2017 was immaterial. Prior to the EMC merger transaction, there were no significant capitalized software development costs specific to the remaining legacy businesses of Dell Technologies Inc. due to the timing in the research and development process of establishing technological feasibility.</w:t>
      </w:r>
    </w:p>
    <w:p>
      <w:pPr>
        <w:spacing w:after="0" w:line="17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capitalizes eligible internal-use software development costs incurred subsequent to the completion of the preliminary project stage. Development costs are amortized over the shorter of the expected useful life of the software or five years. Costs associated with maintenance and minor enhancements to the features and functionality of the Company's website are expensed as incurred.</w:t>
      </w:r>
    </w:p>
    <w:p>
      <w:pPr>
        <w:spacing w:after="0" w:line="16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The Company reviews long-lived assets for impairment when circumstances indicate the carrying amount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based on the undiscounted future cash flows of the assets. If the carrying amount of the asset is determined not to be recoverable, a write-down to fair value is recorded. Fair values are determined based on quoted market values, discounted cash flows, or external appraisals, as applicable. The Company reviews long-lived assets for impairment at the individual asset or the asset group level for which the lowest level of independent cash flows can be identified.</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 The Company accounts for business combinations, including the EMC merger transaction and the going-private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Note 1 of the Notes to the Consolidated Financial Statements, using the acquisition method of accounting. See Note 3 of the Notes to the Consolidated Financial Statements for more information on the EMC merger transaction. Accordingly, the assets and liabilities of the acquired business are recorded at their fair values at the date of acquisition. The excess of the purchase price over the fair value of the tangible and intangible assets acquired and the liabilities assumed is recorded as goodwill. During the measurement period, if new information is obtained about facts and circumstances that existed as of the acquisition date, cumulative changes in the estimated fair values of the net assets recorded may change the amount of the purchase price allocable to goodwill. During the measurement period, which expires one year from the acquisition date, changes to any purchase price allocations that are material to the Company's consolidated financial results will be adjusted in the reporting period in which the adjustment amount is determined.</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In-process research and development costs are recorded at fair value as an indefinite-lived intangible asset and assessed for impairment thereafter until completion, at which point the asset is amortized over its expected useful life. All acquisition costs are expensed as incurred, and the results of operations of acquired businesses are included in the Consolidated Financial Statements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Intangible Assets Including Goodwill </w:t>
      </w:r>
      <w:r>
        <w:rPr>
          <w:rFonts w:ascii="Arial" w:cs="Arial" w:eastAsia="Arial" w:hAnsi="Arial"/>
          <w:sz w:val="18"/>
          <w:szCs w:val="18"/>
          <w:color w:val="auto"/>
        </w:rPr>
        <w:t>— Identifiable intangible assets with finite lives are amortized over their estimated useful lives. In addition,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are reviewed for impairment if indicators of potential impairment exist. Goodwill and indefinite-lived intangible assets are tested for impairment on an annual basis in the third fiscal quarter, or sooner if an indicator of impairment occurs.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majority of the Company's international sales are made by international subsidiaries, most of which have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as their functional currency. The Company's subsidiaries that do not have the U.S. dollar as their functional currency translate assets and liabilities at current rates of exchange in effect at the balance sheet date. Revenue and expenses from these international subsidiaries are translated using the monthly average exchange rates in effect for the period in which the transactions occur. Foreign currency translation adjustments are included as a component of accumulated other comprehensive income (loss) ("OCI") in stockholders' equity.</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Local currency transactions of international subsidiaries that have the U.S. dollar as the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Hedging Instruments </w:t>
      </w:r>
      <w:r>
        <w:rPr>
          <w:rFonts w:ascii="Arial" w:cs="Arial" w:eastAsia="Arial" w:hAnsi="Arial"/>
          <w:sz w:val="17"/>
          <w:szCs w:val="17"/>
          <w:color w:val="auto"/>
        </w:rPr>
        <w:t>— The Company uses derivative financial instruments, primarily forwards, options, and swaps, to hedge certain foreign currency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 exposures. The relationships between hedging instruments and hedged items, as well as the risk management objectives and strategies for undertaking hedge transactions, are formally documented. The Company does not use derivatives for speculative purposes.</w:t>
      </w:r>
    </w:p>
    <w:p>
      <w:pPr>
        <w:spacing w:after="0" w:line="16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All derivative instruments are recognized as either assets or liabilities in the Consolidated Statements of Financial Position and are measured at fair value. Hedge accounting is applied based upon the criteria established by accounting guidance for derivative instruments and hedging activities. Derivatives are assessed for hedge effectiveness both at the onset of the hedge and at regular intervals throughout the life of the derivative. Any hedge ineffectiveness is recognized currently in earnings as a component of interest and other, net. For derivatives that are not designated as hedges or do not qualify for hedge accounting treatment, the Company recognizes the change in the instrument's fair value currently in earnings as a component of interest and other, net. The Company's hedge portfolio includes non-designated derivatives and derivatives designated as cash flow hedges.</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derivative instruments that are designated as cash flow hedges, hedge ineffectiveness is measured by comparing the cumulative change in the fair value of the hedge contract with the cumulative change in the fair value of the hedged item, both of which are based on forward rates. The Company records the effective portion of the gain or loss on the derivative instrument in accumulated other comprehensive income (loss), as a separate component of stockholders' equity, and reclassifies the gain or loss into earnings in the period during which the hedged transaction is recognized in earnings.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derivative instruments are presented in the same category on the Consolidated Statements of Cash Flows as the cash flows from the underlying hedged items. See Note 9 of the Notes to the Consolidated Financial Statements for a description of the Company's derivative financial instrument activities.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Net revenue primarily includes sales of hardware, services, software licenses, and peripherals. The Company recognizes revenue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these products and services when it is realized or realizable and earned. Revenue is recognized when persuasive evidence of an arrangement exists; delivery has occurred or services have been rendered; the Company's fee to its customer is fixed or determinable; and collection of the resulting receivable is reasonably assured. This policy is applicable to all sales, including sales to resellers and end-users.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from certain third-party software sales and extended warranties for third-party products, for which the Company does not meet the criteria for gross revenue recognition, is recognized on a net basis. All other revenue is recognized on a gross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major terms of contractual relationships with customers and the manner in which the Company accounts for sales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Product revenue consists of computer hardware, enterprise hardware, and software licenses sales that are delivered, sold as a subscription or sold on a consumption basis. Computer hardware and enterprise hardware include notebooks and desktop PCs, servers, storage hardware, and other hardware-related devices. Software license sales include optional, stand-alone software applications. Software applications provide customers with resource management, backup and archiving, information security, information management and intelligence, data analytics and server virtualization capabilities. Revenue from the sale of hardware products and systems is recognized when title and risk of loss pass to the customer. Delivery is considered complete when products have been shipped to the Company's customer, title and risk of loss have transferred to the customer, and customer acceptance has been satisfied. Customer acceptance is satisfied if acceptance is obtained from the customer, if all acceptance provisions lapse, or if the Company has evidence that all acceptance provisions have been satisfied. Depending on the nature of the arrangement, revenue from software license sales is generally recognized upon shipment or electronic delivery. For certain arrangements, revenue is recognized based on usage or ratably over the term of the arrangement. License revenue from royalty arrangements is recognized upon either receipt of royalty reports or payments from third parties.</w:t>
      </w:r>
    </w:p>
    <w:p>
      <w:pPr>
        <w:spacing w:after="0" w:line="183"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The Company records reductions to revenue for estimated customer sales returns, rebates, and certain other customer incentive programs. These reductions to revenue are made based upon reasonable and reliable estimates that are determined by historical experience, contractual terms, and current conditions. The primary factors affecting the Company's accrual for estimated customer returns include estimated return rates as well as the number of units shipped that have a right of return that has not expired as of the balance sheet date. If returns cannot be reliably estimated, revenue is not recognized until a reliable estimate can be made or the return right lapses.</w:t>
      </w:r>
    </w:p>
    <w:p>
      <w:pPr>
        <w:spacing w:after="0" w:line="173"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The Company sells its products directly to customers as well as through other distribution channels, such as retailers, distributors, and resellers. The Company recognizes revenue on these sales when the reseller has economic substance apart from the Company; any credit risk has been identified and quantified; title and risk of loss have passed to the sales channel; the fee paid to the Company is not contingent upon resale or payment by the end user; and the Company has no further obligations related to bringing about resale or delivery.</w:t>
      </w:r>
    </w:p>
    <w:p>
      <w:pPr>
        <w:spacing w:after="0" w:line="171"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Sales through the Company's distribution channels are primarily made under agreements allowing for limited rights of return, price protection, rebates, and marketing development funds. The Company has generally limited return rights through contractual caps or has an established selling history for these arrangements. Therefore, there is sufficient data to establish reasonable and reliable estimates of returns for the majority of these sales. To the extent price protection or return rights are not limited and a reliable estimate cannot be made, all of the revenue and related costs are deferred until the product has been sold to the end-user or the rights expire. The Company records estimated reductions to revenue or an expense for distribution channel programs at the later of the offer or the time revenue is recognized.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defers the cost of shipped products awaiting revenue recognition until revenue is recognized.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Services revenue consists of hardware and software maintenance, installation services, professional services, training revenue, third-party software revenue, and software sold as a service. The Company recognizes revenue from fixed-price support or maintenance contracts sold for both hardware and software ratably over the contract period and recognizes the costs associated with these contracts as incurred. For sales of extended warranties with a separate contract price, the Company defers revenue equal to the separately stated price. Revenue associated with undelivered elements is deferred and recorded when delivery occurs or services are provided. Revenue from extended warranty and service contracts, for which the Company is obligated to perform, is recorded as deferred revenue and subsequently recognized over the term of the contract on a straight-line basis or when the service is completed and the costs associated with these contracts are recognized as incurred.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Multiple Deliverables</w:t>
      </w:r>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When an arrangement has more than one element, such as hardware, software, and services contained in a single arrangement, the Company first allocates revenue based upon the relative selling price into two categories: (1) non-software components, such as hardware and any hardware-related items, such as required system software that functions with the hardware to deliver the essential functionality of the hardware and related post-contract customer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support, software as a service subscriptions and other services; and (2) software components, such as optional software applications and related items, such as post-contract customer support and other services. The Company then allocates revenue within the non-software category to each element based upon its relative selling price using a hierarchy of vendor-specific objective evidence ("VSOE"), third-party evidence of selling price ("TPE"), or estimated selling prices ("ESP"), if VSOE or TPE does not exist. The Company allocates revenue within the software category to the undelivered elements based upon their fair value using VSOE, with the residual revenue allocated to the delivered elements. If the Company cannot objectively determine the VSOE of the fair value of any undelivered software element, it defers revenue for all software components until all elements are delivered and services have been performed, until fair value can objectively be determined for any remaining undelivered elements, or until software maintenance is the only undelivered element, in which case revenue is recognized over the maintenance term for all software elements.</w:t>
      </w:r>
    </w:p>
    <w:p>
      <w:pPr>
        <w:spacing w:after="0" w:line="197"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The Company allocates the amount of revenue recognized for delivered elements to the amount that is not subject to forfeiture or refund or contingent on the future delivery of products or services.</w:t>
      </w:r>
    </w:p>
    <w:p>
      <w:pPr>
        <w:spacing w:after="0" w:line="17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Customers under software maintenance agreements are entitled to receive updates and upgrades on a when-and-if-available basis, and various types of technical support based on the level of support purchased. In the event specific features, functionality, entitlements, or the release version of an upgrade or new product have been announced but not delivered, and customers will receive that upgrade or new product as part of a current software maintenance contract, a specified upgrade is deemed created and product revenues are deferred on purchases made after the announcement date until delivery of the upgrade or new product. The amount and elements to be deferred are dependent on whether the Company has established VSOE of fair value for the upgrade or new product.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The Company records revenue from the sale of equipment under sales-type leases as product revenue in an amount equal to the present value of minimum lease payments at the inception of the lease. Sales-type leases also produce financing income, which is included in net products revenue in the Consolidated Statements of Income (Loss) and is recognized at consistent rates of return over the lease term. Revenue from operating leases is recognized over the lease period. The Company also offers qualified customers revolving credit lines for the purchase of products and services offered by the Company. Financing income attributable to these revolving loans is recognized in net products revenue on an accrual basis.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 with specific revenue-producing transactions.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Standard Warranty Liabilities </w:t>
      </w:r>
      <w:r>
        <w:rPr>
          <w:rFonts w:ascii="Arial" w:cs="Arial" w:eastAsia="Arial" w:hAnsi="Arial"/>
          <w:sz w:val="17"/>
          <w:szCs w:val="17"/>
          <w:color w:val="auto"/>
        </w:rPr>
        <w:t>— The Company records warranty liabilities for its standard limited warranty at the time of sale for the estimated costs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incurred under its limited warranty. The liability for standard warranties is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liability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17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18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 Deferred revenue is recorded when billings have been generated or payments have been received for undelivered products 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or in the situation where revenue recognition criteria have not been met. Deferred revenue represents amounts received in advance for extended warranty services, software maintenance, unearned license fees, and deferred profit on third-party software offerings. Deferred revenue is recognized on these items when the revenue recognition criteria are met, generally resulting in ratable recognition over the contract term. We also have deferred revenue related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undelivered hardware and professional services, consisting of installations and consulting engagements, which are recognized as our obligations under the contract are completed.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Vendor Rebates and Settlements </w:t>
      </w:r>
      <w:r>
        <w:rPr>
          <w:rFonts w:ascii="Arial" w:cs="Arial" w:eastAsia="Arial" w:hAnsi="Arial"/>
          <w:sz w:val="16"/>
          <w:szCs w:val="16"/>
          <w:color w:val="auto"/>
        </w:rPr>
        <w:t>— The Company may receive consideration from vendors in the normal course of business. Certain of these funds are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of purchase price paid and others are related to reimbursement of costs incurred by the Company to sell the vendor's products. The Company recognizes a reduction of cost of goods sold and inventory if the funds are determined to be a reduction of the price of the vendor's products. If the consideration is a reimbursement of costs incurred by the Company to sell or develop the vendor's products, then the consideration is classified as a reduction of that cost, most often operating expenses, in the Consolidated Statements of Income (Loss). In order to be recognized as a reduction of operating expenses, the reimbursement must be for a specific, incremental, and identifiable cost incurred by the Company in selling the vendor's products or services.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The Company is subject to the possibility of various losses arising in the ordinary course of business. The Company considers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Shipping Costs </w:t>
      </w:r>
      <w:r>
        <w:rPr>
          <w:rFonts w:ascii="Arial" w:cs="Arial" w:eastAsia="Arial" w:hAnsi="Arial"/>
          <w:sz w:val="17"/>
          <w:szCs w:val="17"/>
          <w:color w:val="auto"/>
        </w:rPr>
        <w:t>— The Company's shipping and handling costs are included in cost of net revenue in the Consolidated Statements of Income (Loss).</w:t>
      </w:r>
    </w:p>
    <w:p>
      <w:pPr>
        <w:spacing w:after="0" w:line="2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 Selling expenses include items such as sales salaries and commissions, marketing and advertising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 services. Advertising costs are expensed as incurred in selling, general, and administrative expenses in the Consolidated Statements of Income (Loss). For the fiscal years ended February 3, 2017, January 29, 2016, and January 30, 2015, advertising expenses were $772 million, $594 million, and $582 million, respectively. General and administrative expenses include items for the Company's administrative functions, such as finance, legal, human resources, and information technology support. These functions include costs for items such as salaries, maintenance and supplies, insurance, depreciation expense, and allowance for doubtful accounts.</w:t>
      </w:r>
    </w:p>
    <w:p>
      <w:pPr>
        <w:spacing w:after="0" w:line="193"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Research and development ("R&amp;D") costs are expensed as incurred. R&amp;D costs include salaries and benefits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associated with product development. Also included in R&amp;D expenses are infrastructure costs, which consist of equipment and material costs, facilities-related costs, depreciation expense, and intangible asset amortization.</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recorded based on the difference between the financial statement and tax basis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would be charged to earnings in the period in which such determination is made.</w:t>
      </w:r>
    </w:p>
    <w:p>
      <w:pPr>
        <w:spacing w:after="0" w:line="19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measures stock-based compensation expense for all share-based awards granted based on the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those awards at grant date. For service-based stock options, the Company typically estimates the fair value of these awards using the Black-Scholes valuation model and for performance-based stock options, the Company estimates the fair value of these awards using the Monte Carlo valuation model.</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options, containing a market condition, is recognized on a graded accelerated basis net of estimated forfeitures over the requisite service period. Forfeiture rates are estimated at grant date based on historical experience and adjusted in subsequent periods for differences in actual forfeitures from those estimates. See Note 19 of the Notes to the Consolidated Financial Statements for further discussion of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Revenue from Contracts with Customers — </w:t>
      </w:r>
      <w:r>
        <w:rPr>
          <w:rFonts w:ascii="Arial" w:cs="Arial" w:eastAsia="Arial" w:hAnsi="Arial"/>
          <w:sz w:val="18"/>
          <w:szCs w:val="18"/>
          <w:color w:val="auto"/>
        </w:rPr>
        <w:t>In May 2014, the Financial Accounting Standards Board (the "FASB") issued amended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from contracts with customers. The objective of the new standard is to establish a single comprehensive model for entities to use in accounting for revenue arising from contracts with customers and will supersede substantially all of the existing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The new standard also provides guidance on the accounting for costs to fulfill or obtain a customer contract. Further, the new standard requires additional disclosures to help enable users of the financial statements to better understand the nature, amount, timing, risks, and judgments related to revenue recognition and related cash flows from contracts with customers.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2015, the FASB approved a one-year deferral of the effective date of this standard. Public entities are required to adopt the new standard for fiscal years, and interim periods within those years, beginning after December 15, 2017. The new revenue standard may be applied retrospectively to each prior period presented (full retrospective method) or retrospectively with the cumulative effect of initially applying the standard recognized at the date of initial application in retained earnings (modified retrospective method). The Company currently anticipates adopting this standard retrospectively to each prior period presented for the fiscal year beginning February 3, 2018.</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the Company is currently evaluating the financial and system impacts that the new standard will have on the Consolidated Financial Statements, the Company expects that unearned license revenue related to the sale of software licenses and related deliverables will decline upon adoption. Currently, the Company defers revenue for certain software arrangements due to the absence of vendor specific objective evidence ("VSOE") of fair value for all or a portion of the deliverables. Under the new standard, the Company will no longer be required to establish VSOE of fair value in order to account for elements in an arrangement as separate units of accounting, and will be able to record revenue upon satisfaction of each performance obligation. Additionally, the Company expects the new standard to have an impact in the way the transaction price is allocated for certain non-standard warranties. The new standard is expected to result in more of the aggregate transaction price related to the non-standard warranty being recorded as revenue upon delivery of the underlying product, because the Company will no longer defer revenue based on the separately stated price of the non-standard warranty provided under the contract. The Company continues to make progress in assessing the impacts of the standard on the Consolidated Financial Statements and will continue to evaluate the impact of any changes to the standard or interpretations should they become available.</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Presentation of Debt Issuance Costs </w:t>
      </w:r>
      <w:r>
        <w:rPr>
          <w:rFonts w:ascii="Arial" w:cs="Arial" w:eastAsia="Arial" w:hAnsi="Arial"/>
          <w:sz w:val="17"/>
          <w:szCs w:val="17"/>
          <w:color w:val="auto"/>
        </w:rPr>
        <w:t>— In April 2015, the FASB issued amended guidance which changes the classification of debt issuance costs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Statements of Financial Position. The new guidance requires debt issuance costs to be presented as a direct deduction from the carrying amount of the related debt liability consistent with the presentation of debt discounts, rather than as an asset. The guidance related to recognition and measurement of debt issuance costs remains unchanged. The Company implemented the new presentation in the fiscal year ended February 3, 2017 on a retrospective basis, and except for the reclassification of debt issuance costs of $128 million as of January 29, 2016 in the accompanying Consolidated Statements of Financial Position, there was no other impact on the Consolidated Financial Statements.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Recognition and Measurement of Financial Assets and Financial Liabilities — </w:t>
      </w:r>
      <w:r>
        <w:rPr>
          <w:rFonts w:ascii="Arial" w:cs="Arial" w:eastAsia="Arial" w:hAnsi="Arial"/>
          <w:sz w:val="18"/>
          <w:szCs w:val="18"/>
          <w:color w:val="auto"/>
        </w:rPr>
        <w:t>In January 2016, the FASB issued amended guidance on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Financial Liabilities. The standard addresses certain aspects of recognition, measurement, presentation, and disclosure of financial instruments. Public entities must adopt the new</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25"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guidance for fiscal years, and interim periods within those years, beginning after December 15, 2017. The Company does not expect that the standard will have a material impact on the Consolidated Financial Statements.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amended guidance on the accounting for leasing transactions. The primary objective of this update is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comparability among organizations by recognizing lease assets and lease liabilities on the balance sheet and disclosing key information about leasing arrangements. Public entities must adopt the new guidance for reporting periods beginning after December 15, 2018, with early adoption permitted. Companies are required to use a modified retrospective approach for leases that exist or are entered into after the beginning of the earliest comparative period in the financial statements. The Company is currently evaluating the impact that the standard will have on the Consolidated Financial Statements.</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Improvements to Employee Share-Based Payment Accounting — </w:t>
      </w:r>
      <w:r>
        <w:rPr>
          <w:rFonts w:ascii="Arial" w:cs="Arial" w:eastAsia="Arial" w:hAnsi="Arial"/>
          <w:sz w:val="18"/>
          <w:szCs w:val="18"/>
          <w:color w:val="auto"/>
        </w:rPr>
        <w:t>In March 2016, the FASB issued amended guidance on the accounting for employee share-based payments. The topics that were amended in the update involve several aspects of the accounting for share-based payment transactions, including the income tax consequences, classification of awards as either equity or liabilities, and classification on the statement of cash flows. The impact to the Consolidated Financial Statements will depend on the Company's stock price at the awards' vest dates or exercise dates and the number of awards that vest or exercise in each period. Public entities must adopt the new guidance for fiscal years, and interim periods within those years, beginning after December 15, 2016. The Company adopted the updated standard effective February 4, 2017. The updated standard is not expected to have a material impact on the Consolidated Financial Statements.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Measurement of Credit Losses on Financial Instruments — </w:t>
      </w:r>
      <w:r>
        <w:rPr>
          <w:rFonts w:ascii="Arial" w:cs="Arial" w:eastAsia="Arial" w:hAnsi="Arial"/>
          <w:sz w:val="18"/>
          <w:szCs w:val="18"/>
          <w:color w:val="auto"/>
        </w:rPr>
        <w:t>In June 2016, the FASB issued amended guidance which replaces the current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methodology with a methodology that reflects expected credit losses and requires consideration of a broader range of reasonable and supportable information to inform credit loss estimates. Public entities must adopt the new guidance for fiscal years beginning after December 15, 2019, including interim periods within those fiscal years. All entities may adopt the amendments in the new standard as of fiscal years beginning after December 15, 2018, including interim periods within those fiscal years. However, earlier adoption is not permitted. The Company is currently evaluating the impact that the standard will have on the Consolidated Financial Statements.</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Classification of Certain Cash Receipts and Cash Payments — </w:t>
      </w:r>
      <w:r>
        <w:rPr>
          <w:rFonts w:ascii="Arial" w:cs="Arial" w:eastAsia="Arial" w:hAnsi="Arial"/>
          <w:sz w:val="17"/>
          <w:szCs w:val="17"/>
          <w:color w:val="auto"/>
        </w:rPr>
        <w:t>In August 2016, the FASB issued amended guidance on the presentation and classification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eight specific cash flow issues with the objective of reducing existing diversity in practice. Public entities must adopt the new guidance for fiscal years, and interim periods within those fiscal years, beginning after December 15, 2017, with early adoption permitted. Companies should reflect any adjustments on a retrospective basis, if practicable, otherwise adoption is required to be applied as of the earliest date practicable. The Company is currently evaluating the timing of adoption as well as the impact that the standard will have on the Consolidated Financial Statements.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Intra-Entity Transfers of Assets Other Than Inventory — </w:t>
      </w:r>
      <w:r>
        <w:rPr>
          <w:rFonts w:ascii="Arial" w:cs="Arial" w:eastAsia="Arial" w:hAnsi="Arial"/>
          <w:sz w:val="18"/>
          <w:szCs w:val="18"/>
          <w:color w:val="auto"/>
        </w:rPr>
        <w:t>In October 2016, the FASB issued amended guidance on the accounting for income taxes.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requires companies to recognize the income tax effects of intra-entity asset transfers, other than transfers of inventory, when the transfer occurs instead of when the asset is sold to a third party, as current GAAP requires. Public entities must adopt the new guidance for fiscal years, and interim periods within those fiscal years, beginning after December 15, 2017, with early adoption permitted at the beginning of an annual period. The new guidance is required to be applied retrospectively with the cumulative effect recognized as of the beginning of the period of adoption. The Company plans to adopt the guidance in the first quarter of Fiscal 2018. At adoption, approximately $83 million will be reclassified from other non-current liabilities to retained earnings, resulting in a net credit to retained earnings.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Simplifying the Test for Goodwill Impairment — </w:t>
      </w:r>
      <w:r>
        <w:rPr>
          <w:rFonts w:ascii="Arial" w:cs="Arial" w:eastAsia="Arial" w:hAnsi="Arial"/>
          <w:sz w:val="17"/>
          <w:szCs w:val="17"/>
          <w:color w:val="auto"/>
        </w:rPr>
        <w:t>In January 2017, the FASB issued amended guidance to simplify the subsequent measurement of goodwill by</w:t>
      </w:r>
      <w:r>
        <w:rPr>
          <w:rFonts w:ascii="Arial" w:cs="Arial" w:eastAsia="Arial" w:hAnsi="Arial"/>
          <w:sz w:val="17"/>
          <w:szCs w:val="17"/>
          <w:i w:val="1"/>
          <w:iCs w:val="1"/>
          <w:color w:val="auto"/>
        </w:rPr>
        <w:t xml:space="preserve"> </w:t>
      </w:r>
      <w:r>
        <w:rPr>
          <w:rFonts w:ascii="Arial" w:cs="Arial" w:eastAsia="Arial" w:hAnsi="Arial"/>
          <w:sz w:val="17"/>
          <w:szCs w:val="17"/>
          <w:color w:val="auto"/>
        </w:rPr>
        <w:t>removing Step 2 of the goodwill impairment test. Instead, under the amendments in the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Public entities must adopt the new guidance in fiscal years beginning after December 15, 2019, with early adoption permitted. The Company is currently evaluating the impact of the new guidance and timing of adoption, but does not expect that the standard will have an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EMC Merger Transaction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7, 2016, EMC became a wholly-owned subsidiary of the Company as a result of the merger of Merger Sub with and into EMC, with EMC surviving as a wholly-owned subsidiary of the Company. The EMC merger transaction was effected pursuant to the Agreement and Plan of Merger, dated as of October 12, 2015, by and among the Company, Dell, Merger Sub, and EMC, as amended by the First Amendment to Agreement and Plan of Merger, dated as of May 16, 2016, by and among the Company, Dell, Merger Sub, and EMC.</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Pursuant to the terms of the merger agreement, upon the completion of the EMC merger transaction, each issued and outstanding share of common stock, par value $0.01 per share, of EMC (approximately 2.0 billion as of September 7, 2016) was converted into the right to receive (1) $24.05 in cash, without interest, and (2) 0.11146 validly issued, fully paid and non-assessable shares of common stock of the Company designated as Class V Common Stock, par value $0.01 per share (the "Class V Common Stock"), plus cash in lieu of any fractional shares. Shares of the Class V Common Stock were approved for listing on the New York Stock Exchange (the "NYSE") under the ticker symbol "DVMT" and began trading on September 7, 2016.</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Class V Common Stock is a type of common stock commonly referred to as a tracking stock, which is a class of common stock that is intended to track the economic performance of a defined set of assets and liabilities. The approximately 223 million shares of Class V Common Stock issued by Dell Technologies on September 7, 2016 are intended to track the economic performance of approximately 65% of the Company's economic interest in the Class V Group as of the closing date of the EMC merger transaction. As of the closing date of the EMC merger transaction, the Class V Group, which consists of the Company's economic interest in the VMware business, consisted of approximately 343 million shares of Class A common stock, par value $0.01 per share, of VMware held by the Company. As of such date, the DHI Group retained approximately 35% of the Company's economic interest in the Class V Group. The DHI Group generally refers, in addition to such retained interest, to the direct and indirect interest of Dell Technologies in all of Dell Technologies' business, assets, properties, liabilities, and preferred stock other than those attributable to the Class V Group.</w:t>
      </w:r>
    </w:p>
    <w:p>
      <w:pPr>
        <w:spacing w:after="0" w:line="1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Although the Class V Common Stock is intended to track the performance of approximately 65% of the Company's economic interest in the VMware business as of the closing date of the EMC merger transaction, there can be no assurance that the market price of the Class V Common Stock will, in fact, reflect the performance of such economic interest. Holders of the Class V Common Stock are subject to all risks associated with an investment in Dell Technologies and all of its businesses, assets, and liabilities. The holders of the Class V Common Stock do not have any special rights related to, direct ownership interest in, or recourse against the assets and liabilities attributed to the Class V Group. While the Class V Group initially consists of the Company's economic interest in the shares of VMware Class A common stock attributed to it, the Class V Group in the future may have different assets and liabilities attributed to it.</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EMC, including its subsidiaries and affiliates, enables customers to build cloud-based infrastructures for existing applications while at the same time helping customers build and run new applications. EMC's businesses include Information Storage, VMware, Pivotal, RSA Information Security, and Virtustream. The EMC merger transaction represents a key element of the Company's strategy to provide the essential infrastructure for organizations to build their digital future, transform IT, and protect their most important asset, information. Revenues of approximately $9.2 billion and net loss of approximately $2.1 billion attributable to EMC are included in the Consolidated Statements of Income (Loss) from the transaction date to February 3, 2017. Both revenues and net loss attributable to EMC include the impact of purchase accounting as a result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Consideration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consideration transferred to effect the EMC merger transaction: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Purchase Price</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47,694</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and other (a)</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Class V Common Stock (b)</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Non-controlling interests (c)</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Post-merger stock compensation expense (d)</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purchase price to allocate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0" w:hanging="332"/>
        <w:spacing w:after="0" w:line="249"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 and other primarily consists of cash payment for post-merger stock compensation expense, as described in footnote (d), and the value related to pre-merger services of EMC equity awards converted to deferred cash awards.</w:t>
      </w:r>
    </w:p>
    <w:p>
      <w:pPr>
        <w:ind w:left="340" w:right="2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the Class V Common Stock is based on the issuance of approximately 223 million shares with a per-share fair value of $45.07 (the opening share price of the Class V Common Stock on the NYSE on September 7, 2016, the first day of trading), which shares are intended to track the economic performance of approximately 65% of the Company's economic interest in the VMware business, as of the closing date of the EMC merger transaction.</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Non-controlling interests in VMware and Pivotal was $6.0 billion as of September 7, 2016. The fair value of the non-controlling interest related to VMware was calculated by multiplying outstanding shares of VMware common stock that were not owned by EMC by $73.28 (the opening share price of VMware Class A common stock on the NYSE on September 7, 2016). The fair value of the non-controlling interest relating to Pivotal was calculated based on the fair value of Pivotal, the ownership percentage of the non-controlling interests, and a discount for lack of control related to the non-controlling interest.</w:t>
      </w:r>
    </w:p>
    <w:p>
      <w:pPr>
        <w:spacing w:after="0" w:line="2" w:lineRule="exact"/>
        <w:rPr>
          <w:rFonts w:ascii="Arial" w:cs="Arial" w:eastAsia="Arial" w:hAnsi="Arial"/>
          <w:sz w:val="18"/>
          <w:szCs w:val="18"/>
          <w:color w:val="auto"/>
        </w:rPr>
      </w:pPr>
    </w:p>
    <w:p>
      <w:pPr>
        <w:ind w:left="340" w:right="340" w:hanging="332"/>
        <w:spacing w:after="0" w:line="290"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Pursuant to the guidelines of ASC 805, a portion of the consideration related to accelerated EMC equity awards was recorded as post-merger day one stock compensation expense. This expense is attributable to post-merger services not rendered due to the acceleration.</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to the EMC merger transaction date, the Company recorded adjustments that increased goodwill by a net amount of approximately $264 million, decreased the fair value of VMware non-controlling interests by approximately $49 million, and increased the deferred tax liability associated with fair value adjustments primarily related to purchased intangibles and inventories by approximately $313 million. These adjustments primarily resulted from new information about facts and circumstances that existed at the time of the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Acquired and Liabilities Assumed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EMC merger transaction has been accounted for as a business combination under the acquisition method of accounting. The following table summarizes the estimated fair values of the assets acquired and the liabilities assumed by major class as of the transaction date. The Company's purchase accounting is substantially complete. The cumulative impact of any subsequent changes resulting from the facts and circumstances that existed as of the transaction date will be adjusted in the reporting period in which the adjustment amount is determined.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Preliminary Allocation</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Preliminary purchase price allocation (a):</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(b)</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Short-term financing receivables</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financing receivables, net</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(c)</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Purchased intangibles (d)</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97"/>
        </w:trPr>
        <w:tc>
          <w:tcPr>
            <w:tcW w:w="9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Accrued and other</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deferred revenue (e)</w:t>
            </w:r>
          </w:p>
        </w:tc>
        <w:tc>
          <w:tcPr>
            <w:tcW w:w="1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deferred revenue (e)</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net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20" w:hanging="332"/>
        <w:spacing w:after="0" w:line="24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amounts allocated to ECD, which were classified as held for sale as of February 3, 2017. See Note 4 of the Notes to the Consolidated Financial Statements for more information on discontinued operations.</w:t>
      </w:r>
    </w:p>
    <w:p>
      <w:pPr>
        <w:ind w:left="340" w:right="2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Accounts receivable is comprised primarily of customer trade receivables. As such, the fair value of accounts receivable approximates the net carrying value of $2,810 million. The gross amount due is $2,919 million, of which $109 million is not expected to be collected.</w:t>
      </w:r>
    </w:p>
    <w:p>
      <w:pPr>
        <w:ind w:left="340" w:right="12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recorded $31.5 billion in goodwill related to this transaction, which is primarily related to expected synergies from the transaction. This amount represents the excess of the purchase price over the fair value of the assets acquired and liabilities assumed associated with this transaction. This goodwill is not deductible for tax purposes. See Note 10 of the Notes to the Consolidated Financial Statements for preliminary goodwill allocation by reportable segment.</w:t>
      </w:r>
    </w:p>
    <w:p>
      <w:pPr>
        <w:spacing w:after="0" w:line="1" w:lineRule="exact"/>
        <w:rPr>
          <w:rFonts w:ascii="Arial" w:cs="Arial" w:eastAsia="Arial" w:hAnsi="Arial"/>
          <w:sz w:val="18"/>
          <w:szCs w:val="18"/>
          <w:color w:val="auto"/>
        </w:rPr>
      </w:pPr>
    </w:p>
    <w:p>
      <w:pPr>
        <w:ind w:left="340" w:right="12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Identifiable intangible assets are required to be measured at fair value. The fair value of identifiable intangible assets is determined primarily using variations of the income approach, which is based on the present value of the future after-tax cash flows attributable to each identifiable intangible asset. Some of the more significant assumptions inherent in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60"/>
        <w:spacing w:after="0" w:line="304" w:lineRule="auto"/>
        <w:rPr>
          <w:sz w:val="20"/>
          <w:szCs w:val="20"/>
          <w:color w:val="auto"/>
        </w:rPr>
      </w:pPr>
      <w:r>
        <w:rPr>
          <w:rFonts w:ascii="Arial" w:cs="Arial" w:eastAsia="Arial" w:hAnsi="Arial"/>
          <w:sz w:val="17"/>
          <w:szCs w:val="17"/>
          <w:color w:val="auto"/>
        </w:rPr>
        <w:t>development of intangible asset values, from the perspective of a market participant, include, but are not limited to, the amount and timing of projected future cash flows (including revenue and profitability); the discount rate selected to measure the risks inherent in the future cash flows; the assessment of the asset's life cycle; the competitive trends impacting the asset; technology migration factors; and customer turnover.</w:t>
      </w:r>
    </w:p>
    <w:p>
      <w:pPr>
        <w:spacing w:after="0" w:line="1" w:lineRule="exact"/>
        <w:rPr>
          <w:sz w:val="20"/>
          <w:szCs w:val="20"/>
          <w:color w:val="auto"/>
        </w:rPr>
      </w:pPr>
    </w:p>
    <w:p>
      <w:pPr>
        <w:ind w:left="340" w:right="220" w:hanging="332"/>
        <w:spacing w:after="0" w:line="286" w:lineRule="auto"/>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Deferred revenue represents the fair value of remaining performance obligations and was determined based on estimates of costs incurred to-date by the acquiree or costs to be incurred by the Company and a reasonable profit margin. Profit margins were determined based on comparable service provider margins, and the resulting profits were discounted using market participant discount rates to determine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values of EMC's identifiable intangible assets and their weighted-average useful lives have been estimated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 Useful</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Estimated Fair Value</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13,460</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13,440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(Indefinite lived)</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Trade names (Definite lived)</w:t>
            </w: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 (a)</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Leasehold assets</w:t>
            </w: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31,218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right="1020" w:firstLine="8"/>
        <w:spacing w:after="0" w:line="491"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In-process research and development is expected to be placed in to service during the first quarter of the fiscal year ending February 2, 2018. The total weighted-average amortization period for the intangible assets subject to amortization is 8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inception through February 3, 2017, the Company incurred $1.2 billion of acquisition-related costs in connection with the EMC merger transaction. Of this amount, as of February 3, 2017, $0.7 billion are capitalized debt issuance costs which were primarily presented as a direct reduction of the carrying amount of the related debt liability in the Consolidated Statements of Financial Position. The remaining $0.5 billion of costs were recognized in the Consolidated Statements of Income (Loss) for the periods presented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ind w:left="10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ind w:left="124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26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net (b)</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Acquisition-related costs recognized in selling, general, and administrative expenses primarily consist of outside services.</w:t>
      </w:r>
    </w:p>
    <w:p>
      <w:pPr>
        <w:spacing w:after="0" w:line="7" w:lineRule="exact"/>
        <w:rPr>
          <w:rFonts w:ascii="Arial" w:cs="Arial" w:eastAsia="Arial" w:hAnsi="Arial"/>
          <w:sz w:val="18"/>
          <w:szCs w:val="18"/>
          <w:color w:val="auto"/>
        </w:rPr>
      </w:pPr>
    </w:p>
    <w:p>
      <w:pPr>
        <w:ind w:left="340" w:right="340" w:hanging="332"/>
        <w:spacing w:after="0" w:line="261" w:lineRule="auto"/>
        <w:tabs>
          <w:tab w:leader="none" w:pos="2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Acquisition-related costs recognized in interest and other, net consist of both initially expensed debt issuance costs and the subsequent amortization of amounts capitalized as of the transaction date.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acquisition-related costs disclosed above, the Company incurred $0.8 billion in stock-based compensation charges related to the acceleration of vesting on EMC stock awards, and $0.1 billion in special retention cash awards issued to certain key employees. These expenses were primarily recognized in selling, general, and administrative expenses during the fiscal year ended February 3,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and Earnings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unaudited pro forma results of operations for the periods presented as if the transaction date had occurred on January 31, 2015, the first day of Fiscal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February 3, 2017</w:t>
            </w:r>
          </w:p>
        </w:tc>
        <w:tc>
          <w:tcPr>
            <w:tcW w:w="24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3"/>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(6,013)</w:t>
            </w:r>
          </w:p>
        </w:tc>
      </w:tr>
    </w:tbl>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pro forma information for the fiscal year ended February 3, 2017 combines the Company's historical results for the fiscal year ended February 3, 2017 with EMC's historical results for the period from February 1, 2016 to September 6, 2016. The pro forma information for the fiscal year ended January 29, 2016 combines the Company's historical results for the fiscal year ended January 29, 2016 with EMC's historical results for the fiscal year ended December 31, 2015. The historical results have been adjusted in the pro forma information to give effect to items that are (a) directly attributable to the EMC merger transaction, (b) factually supportable, and (c) expected to have a continuing impact on the combined company's results. The unaudited pro forma results include the recognition of non-recurring purchase accounting adjustments related to the step-up of inventory of $0.7 billion as well as the recognition of non-recurring transaction and integration costs, including accelerated stock-based compensation expense, of $1.5 billion in the fiscal year ended January 29, 2016.</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 forma information is presented for informational purposes only. The pro forma information does not purport to represent what the combined company's results of operations or financial condition would have been had the EMC merger transaction actually occurred on the date indicated, and does not purport to project the combined company's results of operations for any future period or as of any future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Dell Services Divestiture </w:t>
      </w:r>
      <w:r>
        <w:rPr>
          <w:rFonts w:ascii="Arial" w:cs="Arial" w:eastAsia="Arial" w:hAnsi="Arial"/>
          <w:sz w:val="18"/>
          <w:szCs w:val="18"/>
          <w:color w:val="auto"/>
        </w:rPr>
        <w:t>— On March 27, 2016, Dell entered into a definitive agreement with NTT Data International L.L.C. to divest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Dell Services. On November 2, 2016, the parties closed substantially all of the transaction. Total cash consideration received by the Company as of February 3, 2017 was approximately $3.0 billion, resulting in a gain on sale, net of tax, of $1.7 billion. The remainder of the transaction closed subsequent to the fiscal year ended February 3,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Dell Software Group Divestiture </w:t>
      </w:r>
      <w:r>
        <w:rPr>
          <w:rFonts w:ascii="Arial" w:cs="Arial" w:eastAsia="Arial" w:hAnsi="Arial"/>
          <w:sz w:val="18"/>
          <w:szCs w:val="18"/>
          <w:color w:val="auto"/>
        </w:rPr>
        <w:t>— On June 19, 2016, Dell entered into a definitive agreement with Francisco Partners and Elliot Management Corporation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divest substantially all of DSG. On October 31, 2016, the parties closed the transaction. At the completion of the sale, total cash consideration received by the Company was approximately $2.4 billion, resulting in a gain on sale, net of tax, of $0.6 billion.</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Enterprise Content Division Divestiture </w:t>
      </w:r>
      <w:r>
        <w:rPr>
          <w:rFonts w:ascii="Arial" w:cs="Arial" w:eastAsia="Arial" w:hAnsi="Arial"/>
          <w:sz w:val="17"/>
          <w:szCs w:val="17"/>
          <w:color w:val="auto"/>
        </w:rPr>
        <w:t>— On September 12, 2016, EMC, a subsidiary of the Company, entered into a definitive agreement with OpenText</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to divest the Dell EMC Enterprise Content Division. On January 23, 2017, the parties closed the transaction. At the completion of the sale, total cash consideration received by the Company was approximately $1.6 billion, resulting in a loss on sale, net of tax, of $0.4 billion.</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Discontinued Operations Presentation </w:t>
      </w:r>
      <w:r>
        <w:rPr>
          <w:rFonts w:ascii="Arial" w:cs="Arial" w:eastAsia="Arial" w:hAnsi="Arial"/>
          <w:sz w:val="16"/>
          <w:szCs w:val="16"/>
          <w:color w:val="auto"/>
        </w:rPr>
        <w:t>— In accordance with applicable accounting guidance, the Company concluded that Dell Services, DSG, and ECD</w:t>
      </w:r>
      <w:r>
        <w:rPr>
          <w:rFonts w:ascii="Arial" w:cs="Arial" w:eastAsia="Arial" w:hAnsi="Arial"/>
          <w:sz w:val="16"/>
          <w:szCs w:val="16"/>
          <w:i w:val="1"/>
          <w:iCs w:val="1"/>
          <w:color w:val="auto"/>
        </w:rPr>
        <w:t xml:space="preserve"> </w:t>
      </w:r>
      <w:r>
        <w:rPr>
          <w:rFonts w:ascii="Arial" w:cs="Arial" w:eastAsia="Arial" w:hAnsi="Arial"/>
          <w:sz w:val="16"/>
          <w:szCs w:val="16"/>
          <w:color w:val="auto"/>
        </w:rPr>
        <w:t>have met the criteria for discontinued operations reporting as of March 27, 2016, June 19, 2016, and September 7, 2016, respectively. Accordingly, the Company reclassified the financial results of Dell Services and DSG as discontinued operations in the Consolidated Statements of Income (Loss) for all periods presented. The Company classified the results of ECD as discontinued operations for the period from September 7, 2016 through February 3, 2017 due to the ECD business only being included in the Company's consolidated results since the closing of the EMC merger transaction. These financial results and the related gains or losses on sale are presented as "Income (loss) from discontinued operations, net of income taxes" in the accompanying Consolidated Statements of Income (Loss) for the fiscal years ended February 3, 2017, January 29, 2016, and January 30, 2015. The Company reclassified the related assets and liabilities as "Current assets held for sale" and "Current liabilities held for sale" in the accompanying Consolidated Statements of Financial Position as of January 29, 2016. Cash flows from the Company's discontinued operations are included in the accompanying Consolidated Statements of Cash Flows.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Upon closing of the respective transactions, the Company entered into transition services agreements with NTT Data International L.L.C., Francisco Partners and Elliot Management, and OpenText Corporation pursuant to which the Company provides various administrative services on an interim transitional basis. Transition services may be provided for up to one year, with an option to renew after that period. The Company also entered into various commercial agreements with NTT Data International, Francisco Partners and Elliot Management, and OpenText Corporation that includes reseller agreements for certain offerings.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key financial results of ECD, Dell Services, and DSG included in "Income (loss) from discontinued operations, net of income taxes" for the fiscal years ended February 3, 2017, January 29, 2016, and January 30,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spacing w:after="0"/>
              <w:rPr>
                <w:sz w:val="20"/>
                <w:szCs w:val="20"/>
                <w:color w:val="auto"/>
              </w:rPr>
            </w:pPr>
            <w:r>
              <w:rPr>
                <w:rFonts w:ascii="Arial" w:cs="Arial" w:eastAsia="Arial" w:hAnsi="Arial"/>
                <w:sz w:val="18"/>
                <w:szCs w:val="18"/>
                <w:b w:val="1"/>
                <w:bCs w:val="1"/>
                <w:color w:val="auto"/>
                <w:w w:val="99"/>
              </w:rPr>
              <w:t>Fiscal Year Ended February 3, 2017</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ECD (a)</w:t>
            </w:r>
          </w:p>
        </w:tc>
        <w:tc>
          <w:tcPr>
            <w:tcW w:w="1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Dell Services</w:t>
            </w:r>
          </w:p>
        </w:tc>
        <w:tc>
          <w:tcPr>
            <w:tcW w:w="4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DSG</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discontinued operations before income taxes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from discontinued operations, net of income taxes, before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1"/>
              </w:rPr>
              <w:t>Gain (loss) on disposal, net of tax expense (benefit) of $182, $(256),</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and $506, respectively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from discontinued operations, net of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5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classified the results of ECD as discontinued operations for the period from September 7, 2016 through February 3, 2017 due to the ECD business only being included in the Company's consolidated results since the closing of the EMC merger transaction.</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0"/>
              </w:rPr>
              <w:t>Fiscal Year Ended January 29, 2016</w:t>
            </w: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Dell Services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DSG</w:t>
            </w:r>
          </w:p>
        </w:tc>
        <w:tc>
          <w:tcPr>
            <w:tcW w:w="54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88"/>
              </w:rPr>
              <w:t>Total</w:t>
            </w: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from discontinued operations, net of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90"/>
              </w:rPr>
              <w:t>Fiscal Year Ended January 30, 2015</w:t>
            </w: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Dell Services</w:t>
            </w:r>
          </w:p>
        </w:tc>
        <w:tc>
          <w:tcPr>
            <w:tcW w:w="3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DSG</w:t>
            </w:r>
          </w:p>
        </w:tc>
        <w:tc>
          <w:tcPr>
            <w:tcW w:w="6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88"/>
              </w:rPr>
              <w:t>Total</w:t>
            </w: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8"/>
              </w:rPr>
              <w:t>(in millions)</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2,665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1,027</w:t>
            </w: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7"/>
        </w:trPr>
        <w:tc>
          <w:tcPr>
            <w:tcW w:w="6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6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 net of income taxes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6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major classes of assets and liabilities related to Dell Services and DSG as of January 29, 2016, which were classified as held for sale: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January 29, 2016</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Dell Services</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DSG</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3480" w:type="dxa"/>
            <w:vAlign w:val="bottom"/>
            <w:gridSpan w:val="2"/>
          </w:tcPr>
          <w:p>
            <w:pPr>
              <w:jc w:val="right"/>
              <w:ind w:right="168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34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jc w:val="right"/>
              <w:ind w:right="146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Accrued and other</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deferred revenue</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7"/>
        </w:trPr>
        <w:tc>
          <w:tcPr>
            <w:tcW w:w="3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significant cash flow items from ECD, Dell Services, and DSG for the fiscal years ended February 3, 2017, January 29, 2016, and January 30,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Depreciation and amortization (a)</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Dell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DSG</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7"/>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Capital expenditures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Dell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DSG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ECD</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and amortization ceased upon determination that Dell Services and DSG had met the criteria for discontinued operations reporting as of March 27, 2016 and June 19, 2016, respectively. Depreciation and amortization for ECD ceased upon determination that the held for sale criteria were met as of September 7, 2016, concurrently with the closing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125"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February 3,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February 3, 2017 (a)</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360"/>
              <w:spacing w:after="0"/>
              <w:rPr>
                <w:sz w:val="20"/>
                <w:szCs w:val="20"/>
                <w:color w:val="auto"/>
              </w:rPr>
            </w:pPr>
            <w:r>
              <w:rPr>
                <w:rFonts w:ascii="Arial" w:cs="Arial" w:eastAsia="Arial" w:hAnsi="Arial"/>
                <w:sz w:val="18"/>
                <w:szCs w:val="18"/>
                <w:b w:val="1"/>
                <w:bCs w:val="1"/>
                <w:color w:val="auto"/>
              </w:rPr>
              <w:t>January 29, 2016</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7"/>
                <w:szCs w:val="17"/>
                <w:color w:val="auto"/>
              </w:rPr>
              <w:t>Cash equivalents: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7"/>
                <w:szCs w:val="17"/>
                <w:color w:val="auto"/>
              </w:rPr>
              <w:t>Municipal obligations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U.S. government and agencies</w:t>
            </w:r>
          </w:p>
        </w:tc>
        <w:tc>
          <w:tcPr>
            <w:tcW w:w="1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914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U.S. corporate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Foreign</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Municipal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Asset-backed securities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and other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7"/>
                <w:szCs w:val="17"/>
                <w:color w:val="auto"/>
              </w:rPr>
              <w:t>Derivative instruments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4"/>
              </w:rPr>
              <w:t>Common stock purchase agreement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5,479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4,917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10,396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3,832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4,037</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7"/>
                <w:szCs w:val="17"/>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 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44"/>
        </w:trPr>
        <w:tc>
          <w:tcPr>
            <w:tcW w:w="2640" w:type="dxa"/>
            <w:vAlign w:val="bottom"/>
          </w:tcPr>
          <w:p>
            <w:pPr>
              <w:ind w:left="38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The Company did not transfer any securities between levels during the fiscal year ended February 3,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Money Market Funds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February 3, 2017, the Company's U.S. portfolio had no material exposure to money market funds with a fluctuating net asset value.</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u w:val="single" w:color="auto"/>
          <w:color w:val="auto"/>
        </w:rPr>
        <w:t>Cash Equivalent Municipal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municipal obligations that are classified as cash equivalents have original maturities of 90 days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and are recognized at fair value. The valuation methodology for these securities is the same as the methodology for non-cash equivalent municipal obligations as described in the Debt Securities section below.</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majority of the Company's debt securities consist of various fixed income securities such as U.S. government and agencies, U.S.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foreign. Valuation is based on pricing models whereby all significant inputs, including benchmark yields, reported trades, broker-dealer quotes, issue spreads, benchmark securities, bids, offers, and other market related data, are observable or can be derived from or corroborated by observable market data for substantially the full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term of the asset. Inputs are documented in accordance with the fair value measurements hierarchy. The Company reviews security pricing and assesses liquidity on a quarterly basis. See Note 6 of the Notes to the Consolidated Financial Statements for additional information about investments.</w:t>
      </w:r>
    </w:p>
    <w:p>
      <w:pPr>
        <w:spacing w:after="0" w:line="12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u w:val="single" w:color="auto"/>
          <w:color w:val="auto"/>
        </w:rPr>
        <w:t>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The majority of the Company's investments in equity and other securities that are measured at fair value on a recurring basis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investments in publicly traded companies. The valuation of these securities is based on quoted prices in active markets.</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Derivative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derivative financial instruments consist primarily of foreign currency forward and purchased option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9 of the Notes to the Consolidated Financial Statements for a description of the Company's derivative financial instrument activities.</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u w:val="single" w:color="auto"/>
          <w:color w:val="auto"/>
        </w:rPr>
        <w:t>Debt - Other</w:t>
      </w:r>
      <w:r>
        <w:rPr>
          <w:rFonts w:ascii="Arial" w:cs="Arial" w:eastAsia="Arial" w:hAnsi="Arial"/>
          <w:sz w:val="16"/>
          <w:szCs w:val="16"/>
          <w:i w:val="1"/>
          <w:iCs w:val="1"/>
          <w:color w:val="auto"/>
        </w:rPr>
        <w:t xml:space="preserve"> </w:t>
      </w:r>
      <w:r>
        <w:rPr>
          <w:rFonts w:ascii="Arial" w:cs="Arial" w:eastAsia="Arial" w:hAnsi="Arial"/>
          <w:sz w:val="16"/>
          <w:szCs w:val="16"/>
          <w:color w:val="auto"/>
        </w:rPr>
        <w:t>— As of January 29, 2016, the Company recognized a portion of its short-term debt at fair value. This debt was represented by promissory notes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on August 3, 2015 and September 14, 2015, which were extinguished during the fiscal year ended February 3, 2017. The Company determined fair value using a discounted cash flow model which included significant unobservable inputs and assumptions. The unobservable inputs used include projected cash outflows over varying possible maturity dates, weighted by the probability of those possible outcomes, along with assumed discount rates.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Common Stock Purchase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 On September 7, 2016, in connection with the EMC merger transaction, the Company issued and sold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the Company's common stock at a purchase price of $27.50 per share to the persons identified below for an aggregate purchase price of $4.4 billion, pursuant to four separate common stock purchase agreements:</w:t>
      </w:r>
    </w:p>
    <w:p>
      <w:pPr>
        <w:spacing w:after="0" w:line="18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86,909,091 shares of Class A Common Stock to the MD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16,104,050 shares of Class A Common Stock to the MSDC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38,805,040 shares of Class B Common Stock to the SLP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18,181,818 shares of Class C Common Stock to Temasek Holdings Private Limited ("Temasek")</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applied the proceeds from the sale of the shares to finance a portion of the consideration for the EMC merger transaction. Each agreement provided for price protection in the event additional equity investors purchased common stock of the Company at a lower price. The agreements with Michael S. Dell, the MSDC Stockholders, and the SLP Stockholders were not required to be remeasured to fair value through settlement and were effectively capital commitments, because of the degree of control and influence such persons could exercise over the Company. The provision relating to price protection was considered substantive to Temasek as an unrelated party. Consequently, the Company recognized the contract as an asset or liability, initially recorded at fair value of zero, with subsequent changes in fair value recorded in earnings through settlement. The Company determined the fair value of this forward contract using a Black-Scholes valuation model, which included significant unobservable inputs and assumptions.</w:t>
      </w:r>
    </w:p>
    <w:p>
      <w:pPr>
        <w:spacing w:after="0" w:line="16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u w:val="single" w:color="auto"/>
          <w:color w:val="auto"/>
        </w:rPr>
        <w:t>Assets and Liabilities Measured at Fair Value on a Nonrecurring Basis</w:t>
      </w:r>
      <w:r>
        <w:rPr>
          <w:rFonts w:ascii="Arial" w:cs="Arial" w:eastAsia="Arial" w:hAnsi="Arial"/>
          <w:sz w:val="17"/>
          <w:szCs w:val="17"/>
          <w:i w:val="1"/>
          <w:iCs w:val="1"/>
          <w:color w:val="auto"/>
        </w:rPr>
        <w:t xml:space="preserve"> </w:t>
      </w:r>
      <w:r>
        <w:rPr>
          <w:rFonts w:ascii="Arial" w:cs="Arial" w:eastAsia="Arial" w:hAnsi="Arial"/>
          <w:sz w:val="17"/>
          <w:szCs w:val="17"/>
          <w:color w:val="auto"/>
        </w:rPr>
        <w:t>— Certain assets are measured at fair value on a nonrecurring basis and therefore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included in the recurring fair value table above. These assets consist primarily of non-financial assets such as goodwill and intangible assets. See Note 10 of the Notes to the Consolidated Financial Statements for additional information about goodwill and intangible assets.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February 3, 2017 and January 29, 2016, the Company held strategic investments of $455 million and $114 million, respectively. These investments are accounted for under the cost method and are not included in the recurring fair value table above. Investments accounted for under the cost method are recorded at cost initially, which approximates fair value. Subsequently, if there is an indicator of impairment, the impairment is recognized. In evaluating these investments for impairment, the Company uses inputs including pre- and post-money valuations of recent financing events and the impact of those on its fully diluted ownership percentages, as well as other available information regarding the issuer's historical and forecasted performance. As these investments are early-stage companies which are not publicly traded, it is not practicable for the Company to reliably estimate the fair value of these investments.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u w:val="single" w:color="auto"/>
          <w:color w:val="auto"/>
        </w:rPr>
        <w:t>Carrying Value and Estimated Fair Value of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 The following table summarizes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8 of the Notes to the Consolidated Financial Statements, including the current portion, as of the dates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4"/>
          </w:tcPr>
          <w:p>
            <w:pPr>
              <w:ind w:left="860"/>
              <w:spacing w:after="0"/>
              <w:rPr>
                <w:sz w:val="20"/>
                <w:szCs w:val="20"/>
                <w:color w:val="auto"/>
              </w:rPr>
            </w:pPr>
            <w:r>
              <w:rPr>
                <w:rFonts w:ascii="Arial" w:cs="Arial" w:eastAsia="Arial" w:hAnsi="Arial"/>
                <w:sz w:val="18"/>
                <w:szCs w:val="18"/>
                <w:b w:val="1"/>
                <w:bCs w:val="1"/>
                <w:color w:val="auto"/>
              </w:rPr>
              <w:t>February 3, 2017</w:t>
            </w:r>
          </w:p>
        </w:tc>
        <w:tc>
          <w:tcPr>
            <w:tcW w:w="160" w:type="dxa"/>
            <w:vAlign w:val="bottom"/>
          </w:tcPr>
          <w:p>
            <w:pPr>
              <w:spacing w:after="0"/>
              <w:rPr>
                <w:sz w:val="20"/>
                <w:szCs w:val="20"/>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January 29, 2016</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First Lien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Bridge 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fair values of the outstanding Term Loan Facilities and Senior First Lien Notes obtained in connection with the going-private transaction, the outstanding Unsecured Notes and Debentures issued prior to the going-private transaction, the outstanding EMC Notes that remained outstanding after the EMC merger transaction, and the outstanding First Lien Notes, Senior Notes, Senior Secured Credit Facilities, and Bridge Facilities issued in connection with the EMC merger transaction were determined based on observable market prices in a less active market and were categorized as Level 2 in the fair value hierarchy. The fair values of the other short-term debt and the structured financing debt approximate their carrying values due to their short-term maturities.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summarizes, by major security type, the carrying value and amortized cost of the Company's investments. All debt security investments with remaining effective maturities in excess of one year and substantially all equity and other securities are recorded as long-term investments in the Consolidated Statements of Financial Position.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280"/>
              <w:spacing w:after="0"/>
              <w:rPr>
                <w:sz w:val="20"/>
                <w:szCs w:val="20"/>
                <w:color w:val="auto"/>
              </w:rPr>
            </w:pPr>
            <w:r>
              <w:rPr>
                <w:rFonts w:ascii="Arial" w:cs="Arial" w:eastAsia="Arial" w:hAnsi="Arial"/>
                <w:sz w:val="16"/>
                <w:szCs w:val="16"/>
                <w:b w:val="1"/>
                <w:bCs w:val="1"/>
                <w:color w:val="auto"/>
              </w:rPr>
              <w:t>February 3, 2017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260"/>
              <w:spacing w:after="0"/>
              <w:rPr>
                <w:sz w:val="20"/>
                <w:szCs w:val="20"/>
                <w:color w:val="auto"/>
              </w:rPr>
            </w:pPr>
            <w:r>
              <w:rPr>
                <w:rFonts w:ascii="Arial" w:cs="Arial" w:eastAsia="Arial" w:hAnsi="Arial"/>
                <w:sz w:val="16"/>
                <w:szCs w:val="16"/>
                <w:b w:val="1"/>
                <w:bCs w:val="1"/>
                <w:color w:val="auto"/>
              </w:rPr>
              <w:t>January 29, 2016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Unrealized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ind w:left="48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Foreign debt securities</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Municipal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42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Foreign debt securities</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Municipal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Equity and other securities (a)</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420" w:type="dxa"/>
            <w:vAlign w:val="bottom"/>
          </w:tcPr>
          <w:p>
            <w:pPr>
              <w:ind w:left="380"/>
              <w:spacing w:after="0"/>
              <w:rPr>
                <w:sz w:val="20"/>
                <w:szCs w:val="20"/>
                <w:color w:val="auto"/>
              </w:rPr>
            </w:pPr>
            <w:r>
              <w:rPr>
                <w:rFonts w:ascii="Arial" w:cs="Arial" w:eastAsia="Arial" w:hAnsi="Arial"/>
                <w:sz w:val="16"/>
                <w:szCs w:val="16"/>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5,777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majority of equity and other securities are investments accounted for under the cost method, while the remainder are investments that are measured at fair value on a recurring basis. See Note 5 of the Notes to the Consolidated Financial Statements for additional information on investments measured at fair value on a recurring basis.</w:t>
      </w:r>
    </w:p>
    <w:p>
      <w:pPr>
        <w:spacing w:after="0" w:line="19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Company's investments in debt securities are classified as available-for-sale securities, which are carried at fair value. As of February 3, 2017, all investments in an unrealized loss position have been in a continuous unrealized loss position for less than 12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debt securities held at February 3, 2017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Carrying Value</w:t>
            </w:r>
          </w:p>
        </w:tc>
        <w:tc>
          <w:tcPr>
            <w:tcW w:w="440" w:type="dxa"/>
            <w:vAlign w:val="bottom"/>
          </w:tcPr>
          <w:p>
            <w:pPr>
              <w:spacing w:after="0"/>
              <w:rPr>
                <w:sz w:val="20"/>
                <w:szCs w:val="20"/>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Amortized Cost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Due after 1 year through 5 years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5 years through 10 years</w:t>
            </w:r>
          </w:p>
        </w:tc>
        <w:tc>
          <w:tcPr>
            <w:tcW w:w="2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060" w:type="dxa"/>
            <w:vAlign w:val="bottom"/>
          </w:tcPr>
          <w:p>
            <w:pPr>
              <w:ind w:left="2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vMerge w:val="restart"/>
          </w:tcPr>
          <w:p>
            <w:pPr>
              <w:jc w:val="right"/>
              <w:ind w:right="1050"/>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offers or arranges various financing options and services for its business and consumer customers in the United States, Canada, Europe, and Mexico through Dell Financial Services and its affiliates (collectively, "DFS"). The key activities of DFS include the origination, collection, and servicing of customer receivables primarily related to the purchase of Dell Technologies' products and services. New financing originations, which represent the amounts of financing provided by DFS to customers for equipment and related software and services, including third-party originations, were $4.5 billion for the fiscal year ended February 3, 2017, and $3.7 billion for both the fiscal years ended January 29, 2016 and January 30, 2015.</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EMC merger transaction, the Company acquired an existing financing receivable portfolio, which is included in the fixed-term customer receivables balance in the table below. See Note 3 of the Notes to the Consolidated Financial Statements for more information about the financing receivables acquired.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financing receivables are aggregated into the following categories:</w:t>
      </w:r>
    </w:p>
    <w:p>
      <w:pPr>
        <w:spacing w:after="0" w:line="225" w:lineRule="exact"/>
        <w:rPr>
          <w:sz w:val="20"/>
          <w:szCs w:val="20"/>
          <w:color w:val="auto"/>
        </w:rPr>
      </w:pPr>
    </w:p>
    <w:p>
      <w:pPr>
        <w:ind w:left="340" w:right="60" w:hanging="332"/>
        <w:spacing w:after="0" w:line="297"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of products and services offered by Dell.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w:t>
      </w:r>
    </w:p>
    <w:p>
      <w:pPr>
        <w:spacing w:after="0" w:line="158" w:lineRule="exact"/>
        <w:rPr>
          <w:rFonts w:ascii="Arial" w:cs="Arial" w:eastAsia="Arial" w:hAnsi="Arial"/>
          <w:sz w:val="16"/>
          <w:szCs w:val="16"/>
          <w:color w:val="auto"/>
        </w:rPr>
      </w:pPr>
    </w:p>
    <w:p>
      <w:pPr>
        <w:ind w:left="340" w:right="40" w:hanging="332"/>
        <w:spacing w:after="0" w:line="25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Fixed-term sales-type leases and loans </w:t>
      </w:r>
      <w:r>
        <w:rPr>
          <w:rFonts w:ascii="Arial" w:cs="Arial" w:eastAsia="Arial" w:hAnsi="Arial"/>
          <w:sz w:val="18"/>
          <w:szCs w:val="18"/>
          <w:color w:val="auto"/>
        </w:rPr>
        <w:t>— The Company enters into sales-type lease arrangements with customers who desire lease financing. Leases</w:t>
      </w:r>
      <w:r>
        <w:rPr>
          <w:rFonts w:ascii="Arial" w:cs="Arial" w:eastAsia="Arial" w:hAnsi="Arial"/>
          <w:sz w:val="18"/>
          <w:szCs w:val="18"/>
          <w:i w:val="1"/>
          <w:iCs w:val="1"/>
          <w:color w:val="auto"/>
        </w:rPr>
        <w:t xml:space="preserve"> </w:t>
      </w:r>
      <w:r>
        <w:rPr>
          <w:rFonts w:ascii="Arial" w:cs="Arial" w:eastAsia="Arial" w:hAnsi="Arial"/>
          <w:sz w:val="18"/>
          <w:szCs w:val="18"/>
          <w:color w:val="auto"/>
        </w:rPr>
        <w:t>with business customers have fixed terms of generally two to four years. Future maturities of minimum lease payments as of February 3, 2017 were as follows: Fiscal 2018 - $1,737 million; Fiscal 2019 - $1,080 million; Fiscal 2020 - $514 million; Fiscal 2021 - $130 million; Fiscal 2022 and beyond - $26 million. 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the Company's financing receivables segregated by portfolio segment as of February 3,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rPr>
              <w:t>February 3, 2017</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b w:val="1"/>
                <w:bCs w:val="1"/>
                <w:color w:val="auto"/>
              </w:rPr>
              <w:t>January 29, 2016</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Revolving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Revolving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right"/>
              <w:ind w:right="73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receivables, gross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4,810</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losses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Customer receivables, net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4,634</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97"/>
        </w:trPr>
        <w:tc>
          <w:tcPr>
            <w:tcW w:w="3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Financing receivables,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5,092</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Long-term</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2,177</w:t>
            </w:r>
          </w:p>
        </w:tc>
      </w:tr>
      <w:tr>
        <w:trPr>
          <w:trHeight w:val="918"/>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financing receivable losses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Revolving</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Fixed-term</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Allowance for financing receivable losses: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jc w:val="center"/>
              <w:ind w:right="4290"/>
              <w:spacing w:after="0"/>
              <w:rPr>
                <w:sz w:val="20"/>
                <w:szCs w:val="20"/>
                <w:color w:val="auto"/>
              </w:rPr>
            </w:pPr>
            <w:r>
              <w:rPr>
                <w:rFonts w:ascii="Arial" w:cs="Arial" w:eastAsia="Arial" w:hAnsi="Arial"/>
                <w:sz w:val="18"/>
                <w:szCs w:val="18"/>
                <w:i w:val="1"/>
                <w:iCs w:val="1"/>
                <w:color w:val="auto"/>
                <w:w w:val="89"/>
              </w:rPr>
              <w:t>Balances as of January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jc w:val="center"/>
              <w:ind w:right="4290"/>
              <w:spacing w:after="0"/>
              <w:rPr>
                <w:sz w:val="20"/>
                <w:szCs w:val="20"/>
                <w:color w:val="auto"/>
              </w:rPr>
            </w:pPr>
            <w:r>
              <w:rPr>
                <w:rFonts w:ascii="Arial" w:cs="Arial" w:eastAsia="Arial" w:hAnsi="Arial"/>
                <w:sz w:val="18"/>
                <w:szCs w:val="18"/>
                <w:color w:val="auto"/>
                <w:w w:val="90"/>
              </w:rPr>
              <w:t>Charge-offs, net of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charged to income statement</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jc w:val="center"/>
              <w:ind w:right="4290"/>
              <w:spacing w:after="0"/>
              <w:rPr>
                <w:sz w:val="20"/>
                <w:szCs w:val="20"/>
                <w:color w:val="auto"/>
              </w:rPr>
            </w:pPr>
            <w:r>
              <w:rPr>
                <w:rFonts w:ascii="Arial" w:cs="Arial" w:eastAsia="Arial" w:hAnsi="Arial"/>
                <w:sz w:val="18"/>
                <w:szCs w:val="18"/>
                <w:i w:val="1"/>
                <w:iCs w:val="1"/>
                <w:color w:val="auto"/>
                <w:w w:val="89"/>
              </w:rPr>
              <w:t>Balances as of January 30, 2015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7080" w:type="dxa"/>
            <w:vAlign w:val="bottom"/>
          </w:tcPr>
          <w:p>
            <w:pPr>
              <w:jc w:val="center"/>
              <w:ind w:right="4290"/>
              <w:spacing w:after="0"/>
              <w:rPr>
                <w:sz w:val="20"/>
                <w:szCs w:val="20"/>
                <w:color w:val="auto"/>
              </w:rPr>
            </w:pPr>
            <w:r>
              <w:rPr>
                <w:rFonts w:ascii="Arial" w:cs="Arial" w:eastAsia="Arial" w:hAnsi="Arial"/>
                <w:sz w:val="18"/>
                <w:szCs w:val="18"/>
                <w:color w:val="auto"/>
                <w:w w:val="90"/>
              </w:rPr>
              <w:t>Charge-offs, net of recoveries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charged to income statement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37"/>
        </w:trPr>
        <w:tc>
          <w:tcPr>
            <w:tcW w:w="7080" w:type="dxa"/>
            <w:vAlign w:val="bottom"/>
          </w:tcPr>
          <w:p>
            <w:pPr>
              <w:jc w:val="center"/>
              <w:ind w:right="4290"/>
              <w:spacing w:after="0"/>
              <w:rPr>
                <w:sz w:val="20"/>
                <w:szCs w:val="20"/>
                <w:color w:val="auto"/>
              </w:rPr>
            </w:pPr>
            <w:r>
              <w:rPr>
                <w:rFonts w:ascii="Arial" w:cs="Arial" w:eastAsia="Arial" w:hAnsi="Arial"/>
                <w:sz w:val="18"/>
                <w:szCs w:val="18"/>
                <w:i w:val="1"/>
                <w:iCs w:val="1"/>
                <w:color w:val="auto"/>
                <w:w w:val="89"/>
              </w:rPr>
              <w:t>Balances as of January 29, 2016</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jc w:val="center"/>
              <w:ind w:right="4290"/>
              <w:spacing w:after="0"/>
              <w:rPr>
                <w:sz w:val="20"/>
                <w:szCs w:val="20"/>
                <w:color w:val="auto"/>
              </w:rPr>
            </w:pPr>
            <w:r>
              <w:rPr>
                <w:rFonts w:ascii="Arial" w:cs="Arial" w:eastAsia="Arial" w:hAnsi="Arial"/>
                <w:sz w:val="18"/>
                <w:szCs w:val="18"/>
                <w:color w:val="auto"/>
                <w:w w:val="90"/>
              </w:rPr>
              <w:t>Charge-offs, net of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charged to income statement</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jc w:val="center"/>
              <w:ind w:right="4290"/>
              <w:spacing w:after="0"/>
              <w:rPr>
                <w:sz w:val="20"/>
                <w:szCs w:val="20"/>
                <w:color w:val="auto"/>
              </w:rPr>
            </w:pPr>
            <w:r>
              <w:rPr>
                <w:rFonts w:ascii="Arial" w:cs="Arial" w:eastAsia="Arial" w:hAnsi="Arial"/>
                <w:sz w:val="18"/>
                <w:szCs w:val="18"/>
                <w:i w:val="1"/>
                <w:iCs w:val="1"/>
                <w:color w:val="auto"/>
                <w:w w:val="89"/>
              </w:rPr>
              <w:t>Balances as of February 3,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aging of the Company's customer financing receivables, gross, including accrued interest, as of February 3,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29, 2016, segregated by class: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5"/>
          </w:tcPr>
          <w:p>
            <w:pPr>
              <w:ind w:left="180"/>
              <w:spacing w:after="0"/>
              <w:rPr>
                <w:sz w:val="20"/>
                <w:szCs w:val="20"/>
                <w:color w:val="auto"/>
              </w:rPr>
            </w:pPr>
            <w:r>
              <w:rPr>
                <w:rFonts w:ascii="Arial" w:cs="Arial" w:eastAsia="Arial" w:hAnsi="Arial"/>
                <w:sz w:val="18"/>
                <w:szCs w:val="18"/>
                <w:b w:val="1"/>
                <w:bCs w:val="1"/>
                <w:color w:val="auto"/>
              </w:rPr>
              <w:t>February 3, 2017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ind w:left="180"/>
              <w:spacing w:after="0"/>
              <w:rPr>
                <w:sz w:val="20"/>
                <w:szCs w:val="20"/>
                <w:color w:val="auto"/>
              </w:rPr>
            </w:pPr>
            <w:r>
              <w:rPr>
                <w:rFonts w:ascii="Arial" w:cs="Arial" w:eastAsia="Arial" w:hAnsi="Arial"/>
                <w:sz w:val="18"/>
                <w:szCs w:val="18"/>
                <w:b w:val="1"/>
                <w:bCs w:val="1"/>
                <w:color w:val="auto"/>
              </w:rPr>
              <w:t>January 29, 2016</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Past Due 1</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Past Due &gt;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Past Due 1</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Past Due &gt;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 90 Days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90 Days</w:t>
            </w: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 90 Days</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90 Days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5"/>
          </w:tcPr>
          <w:p>
            <w:pPr>
              <w:ind w:left="40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Revolving — DBC</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1"/>
              </w:rPr>
              <w:t>Fixed-term — Consumer and Small</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Commercial</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w w:val="97"/>
              </w:rPr>
              <w:t>Fixed-term — Medium and Large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Commercial</w:t>
            </w: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customer receivables,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4,884</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following table summarizes customer receivables, gross, including accrued interest, by credit quality indicator segregated by class, as of February 3, 2017 and January 29, 2016.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DPA revolving receivables shown in the table below,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below,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8"/>
              </w:rPr>
              <w:t>February 3, 2017</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8"/>
              </w:rPr>
              <w:t>January 29, 2016</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Lower</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Revolving — DPA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rPr>
              <w:t>Revolving — DBC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Fixed-term — Consumer and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Small 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w w:val="96"/>
              </w:rPr>
              <w:t>Fixed-term — Medium and Large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2,165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Structured Financing Debt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programs which facilitate the funding of financing receivables in the capital markets in the United States, Canada, and Europe. The Company's total structured financing debt, which is collateralized by financing receivables, was $3.5 billion and $3.4 billion as of February 3, 2017 and January 29, 2016, respectively, under the following programs.</w:t>
      </w:r>
    </w:p>
    <w:p>
      <w:pPr>
        <w:spacing w:after="0" w:line="177" w:lineRule="exact"/>
        <w:rPr>
          <w:sz w:val="20"/>
          <w:szCs w:val="20"/>
          <w:color w:val="auto"/>
        </w:rPr>
      </w:pPr>
    </w:p>
    <w:p>
      <w:pPr>
        <w:ind w:left="660" w:right="20" w:hanging="328"/>
        <w:spacing w:after="0" w:line="29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u w:val="single" w:color="auto"/>
          <w:color w:val="auto"/>
        </w:rPr>
        <w:t>Securitization Programs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securitization programs in the United States and Europe. The securitization programs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include the fixed-term lease and loan securitization program and the revolving loan securitization program. The outstanding balance of debt under these U.S. programs was $1.5 billion and $1.3 billion as of February 3, 2017 and January 29, 2016, respectively. This debt is collateralized solely by the U.S. financing receivables in the programs. The debt has a variable interest rate and the duration of this debt is based on the terms of the underlying financing receivables. As of February 3, 2017, the total debt capacity related to the U.S. securitization programs was $2.1 billion. The Company enters into interest swap agreements to effectively convert the portion of its structured financing debt from a floating rate to a fixed rate. See Note 9 of the Notes to the Consolidated Financial Statements for additional information about interest rate swaps.</w:t>
      </w:r>
    </w:p>
    <w:p>
      <w:pPr>
        <w:spacing w:after="0" w:line="165" w:lineRule="exact"/>
        <w:rPr>
          <w:rFonts w:ascii="Arial" w:cs="Arial" w:eastAsia="Arial" w:hAnsi="Arial"/>
          <w:sz w:val="16"/>
          <w:szCs w:val="16"/>
          <w:color w:val="auto"/>
        </w:rPr>
      </w:pPr>
    </w:p>
    <w:p>
      <w:pPr>
        <w:ind w:left="660" w:right="120"/>
        <w:spacing w:after="0" w:line="264" w:lineRule="auto"/>
        <w:rPr>
          <w:rFonts w:ascii="Arial" w:cs="Arial" w:eastAsia="Arial" w:hAnsi="Arial"/>
          <w:sz w:val="16"/>
          <w:szCs w:val="16"/>
          <w:color w:val="auto"/>
        </w:rPr>
      </w:pPr>
      <w:r>
        <w:rPr>
          <w:rFonts w:ascii="Arial" w:cs="Arial" w:eastAsia="Arial" w:hAnsi="Arial"/>
          <w:sz w:val="18"/>
          <w:szCs w:val="18"/>
          <w:color w:val="auto"/>
        </w:rPr>
        <w:t>The Company's U.S. securitization programs became effective on October 29, 2013. The revolving program, which was extended during the third quarter of Fiscal 2017, is effective for four and one-half years beginning October 29, 2013. The fixed term program, which was extended during the first quarter of Fiscal 2016, is effective for four and one-half years beginning October 29, 2013.</w:t>
      </w:r>
    </w:p>
    <w:p>
      <w:pPr>
        <w:spacing w:after="0" w:line="181" w:lineRule="exact"/>
        <w:rPr>
          <w:rFonts w:ascii="Arial" w:cs="Arial" w:eastAsia="Arial" w:hAnsi="Arial"/>
          <w:sz w:val="16"/>
          <w:szCs w:val="16"/>
          <w:color w:val="auto"/>
        </w:rPr>
      </w:pPr>
    </w:p>
    <w:p>
      <w:pPr>
        <w:ind w:left="660" w:right="200"/>
        <w:spacing w:after="0" w:line="264" w:lineRule="auto"/>
        <w:rPr>
          <w:rFonts w:ascii="Arial" w:cs="Arial" w:eastAsia="Arial" w:hAnsi="Arial"/>
          <w:sz w:val="16"/>
          <w:szCs w:val="16"/>
          <w:color w:val="auto"/>
        </w:rPr>
      </w:pPr>
      <w:r>
        <w:rPr>
          <w:rFonts w:ascii="Arial" w:cs="Arial" w:eastAsia="Arial" w:hAnsi="Arial"/>
          <w:sz w:val="18"/>
          <w:szCs w:val="18"/>
          <w:color w:val="auto"/>
        </w:rPr>
        <w:t>The Company established a securitization program in Europe for fixed-term leases and loans. This program became effective on January 13, 2017, and is effective for two years. The outstanding balance of debt under this program was $233 million as of February 3, 2017, and the total debt capacity related to the securitization program was $646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The securitization programs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February 3, 2017, these criteria were met.</w:t>
      </w:r>
    </w:p>
    <w:p>
      <w:pPr>
        <w:spacing w:after="0" w:line="167" w:lineRule="exact"/>
        <w:rPr>
          <w:sz w:val="20"/>
          <w:szCs w:val="20"/>
          <w:color w:val="auto"/>
        </w:rPr>
      </w:pPr>
    </w:p>
    <w:p>
      <w:pPr>
        <w:ind w:left="660" w:right="16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Fixed Term Securitization Programs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periodically issue asset-backed debt securities under fixed term securitization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to private investors. As of February 3, 2017 and January 29, 2016, the associated debt balance of these securities was $1.4 billion and $1.6 billion, respectively. The asset-backed debt securities are collateralized solely by the U.S. fixed-term financing receivables in the offerings, which are held by SPEs. The interest rate on these securities is fixed and ranges from 0.42% to 3.61% and the duration of these securities is based on the terms of the underlying financing receivables.</w:t>
      </w:r>
    </w:p>
    <w:p>
      <w:pPr>
        <w:spacing w:after="0" w:line="18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Structured Financing Programs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Company's international financing operations, the Company has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structured financing debt programs related to its fixed-term lease and loan products sold in Canada and Europe. The aggregate outstanding balances of the Canadian and European revolving structured loans as of February 3, 2017 and January 29, 2016 were $382 million and $559 million, respectively. As of February 3, 2017, the Canadian program, which was extended during the fiscal year ended February 3, 2017, had a total debt capacity of $169 million. This program is effective for two years, beginning on April 15, 2016, and is collateralized solely by the Canadian financing receivables. The European program, which was extended during the first quarter of Fiscal 2016, is now effective for four years, beginning on December 23, 2013. The program is collateralized solely by the European financing receivables and had a total debt capacity of $323 million as of February 3,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the securitization programs discussed above, the Company transfers certain U.S. and European customer financing receivables to Special Purpose Entities ("SPEs") that meet the definition of a Variable Interest Entity ("VIE") and are consolidated, along with the associated debt, into the Consolidated Financial Statements, as the Company is the primary beneficiary of those VIEs. These SPEs are bankruptcy-remote legal entities with separate assets and liabilities. The purpose of these SPEs is to facilitate the funding of customer receivables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financing receivables held by the consolidated VIEs as of the respective dates:</w:t>
      </w:r>
    </w:p>
    <w:p>
      <w:pPr>
        <w:spacing w:after="0" w:line="35" w:lineRule="exact"/>
        <w:rPr>
          <w:sz w:val="20"/>
          <w:szCs w:val="20"/>
          <w:color w:val="auto"/>
        </w:rPr>
      </w:pPr>
    </w:p>
    <w:p>
      <w:pPr>
        <w:ind w:left="7920"/>
        <w:spacing w:after="0"/>
        <w:tabs>
          <w:tab w:leader="none" w:pos="9840" w:val="left"/>
        </w:tabs>
        <w:rPr>
          <w:sz w:val="20"/>
          <w:szCs w:val="20"/>
          <w:color w:val="auto"/>
        </w:rPr>
      </w:pPr>
      <w:r>
        <w:rPr>
          <w:rFonts w:ascii="Arial" w:cs="Arial" w:eastAsia="Arial" w:hAnsi="Arial"/>
          <w:sz w:val="18"/>
          <w:szCs w:val="18"/>
          <w:b w:val="1"/>
          <w:bCs w:val="1"/>
          <w:color w:val="auto"/>
        </w:rPr>
        <w:t>February 3, 2017</w:t>
      </w:r>
      <w:r>
        <w:rPr>
          <w:sz w:val="20"/>
          <w:szCs w:val="20"/>
          <w:color w:val="auto"/>
        </w:rPr>
        <w:tab/>
      </w:r>
      <w:r>
        <w:rPr>
          <w:rFonts w:ascii="Arial" w:cs="Arial" w:eastAsia="Arial" w:hAnsi="Arial"/>
          <w:sz w:val="24"/>
          <w:szCs w:val="24"/>
          <w:b w:val="1"/>
          <w:bCs w:val="1"/>
          <w:color w:val="auto"/>
          <w:vertAlign w:val="subscript"/>
        </w:rPr>
        <w:t>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143510</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held by consolidated VIEs, net:</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Short-term, net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2,125</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r>
      <w:tr>
        <w:trPr>
          <w:trHeight w:val="257"/>
        </w:trPr>
        <w:tc>
          <w:tcPr>
            <w:tcW w:w="7660" w:type="dxa"/>
            <w:vAlign w:val="bottom"/>
          </w:tcPr>
          <w:p>
            <w:pPr>
              <w:ind w:left="500"/>
              <w:spacing w:after="0"/>
              <w:rPr>
                <w:sz w:val="20"/>
                <w:szCs w:val="20"/>
                <w:color w:val="auto"/>
              </w:rPr>
            </w:pPr>
            <w:r>
              <w:rPr>
                <w:rFonts w:ascii="Arial" w:cs="Arial" w:eastAsia="Arial" w:hAnsi="Arial"/>
                <w:sz w:val="18"/>
                <w:szCs w:val="18"/>
                <w:color w:val="auto"/>
              </w:rPr>
              <w:t>Financing receivables held by consolidated VIEs,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3,340</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Financing receivables transferred via securitization through SPEs were $3.3 billion and $3.2 billion for the fiscal years ended February 3, 2017 and January 29, 2016, respectively.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Some of the SPEs have entered into financing arrangements with multi-seller conduits that, in turn, issue asset-backed debt securities in the capital markets. The structured financing debt outstanding, which is collateralized by the financing receivables held by the consolidated VIEs, was $3.1 billion and $2.8 billion as of February 3, 2017 and January 29, 2016,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Receivable Sales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financing receivables to unrelated third parties on a periodic basis. The amount of financing receivables sold was $321 million, $91 million, and $61 million for the fiscal years ended February 3, 2017, January 29, 2016, and January 30,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125"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February 3, 2017</w:t>
            </w:r>
          </w:p>
        </w:tc>
        <w:tc>
          <w:tcPr>
            <w:tcW w:w="200" w:type="dxa"/>
            <w:vAlign w:val="bottom"/>
          </w:tcPr>
          <w:p>
            <w:pPr>
              <w:spacing w:after="0"/>
              <w:rPr>
                <w:sz w:val="19"/>
                <w:szCs w:val="19"/>
                <w:color w:val="auto"/>
              </w:rPr>
            </w:pPr>
          </w:p>
        </w:tc>
        <w:tc>
          <w:tcPr>
            <w:tcW w:w="1620" w:type="dxa"/>
            <w:vAlign w:val="bottom"/>
          </w:tcPr>
          <w:p>
            <w:pPr>
              <w:jc w:val="right"/>
              <w:ind w:right="195"/>
              <w:spacing w:after="0"/>
              <w:rPr>
                <w:sz w:val="20"/>
                <w:szCs w:val="20"/>
                <w:color w:val="auto"/>
              </w:rPr>
            </w:pPr>
            <w:r>
              <w:rPr>
                <w:rFonts w:ascii="Arial" w:cs="Arial" w:eastAsia="Arial" w:hAnsi="Arial"/>
                <w:sz w:val="17"/>
                <w:szCs w:val="17"/>
                <w:b w:val="1"/>
                <w:bCs w:val="1"/>
                <w:color w:val="auto"/>
                <w:w w:val="96"/>
              </w:rPr>
              <w:t>January 29, 2016</w:t>
            </w:r>
          </w:p>
        </w:tc>
      </w:tr>
      <w:tr>
        <w:trPr>
          <w:trHeight w:val="31"/>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19"/>
        </w:trPr>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4"/>
          </w:tcPr>
          <w:p>
            <w:pPr>
              <w:jc w:val="right"/>
              <w:ind w:right="1355"/>
              <w:spacing w:after="0"/>
              <w:rPr>
                <w:sz w:val="20"/>
                <w:szCs w:val="20"/>
                <w:color w:val="auto"/>
              </w:rPr>
            </w:pPr>
            <w:r>
              <w:rPr>
                <w:rFonts w:ascii="Arial" w:cs="Arial" w:eastAsia="Arial" w:hAnsi="Arial"/>
                <w:sz w:val="17"/>
                <w:szCs w:val="17"/>
                <w:color w:val="auto"/>
              </w:rPr>
              <w:t>(in millions)</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9"/>
        </w:trPr>
        <w:tc>
          <w:tcPr>
            <w:tcW w:w="7660" w:type="dxa"/>
            <w:vAlign w:val="bottom"/>
          </w:tcPr>
          <w:p>
            <w:pPr>
              <w:ind w:left="180"/>
              <w:spacing w:after="0"/>
              <w:rPr>
                <w:sz w:val="20"/>
                <w:szCs w:val="20"/>
                <w:color w:val="auto"/>
              </w:rPr>
            </w:pPr>
            <w:r>
              <w:rPr>
                <w:rFonts w:ascii="Arial" w:cs="Arial" w:eastAsia="Arial" w:hAnsi="Arial"/>
                <w:sz w:val="17"/>
                <w:szCs w:val="17"/>
                <w:color w:val="auto"/>
              </w:rPr>
              <w:t>Structured financing debt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3,464</w:t>
            </w: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3,411</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3.75% Floating rate due October 2018 ("Term Loan C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1,003</w:t>
            </w:r>
          </w:p>
        </w:tc>
      </w:tr>
      <w:tr>
        <w:trPr>
          <w:trHeight w:val="239"/>
        </w:trPr>
        <w:tc>
          <w:tcPr>
            <w:tcW w:w="7660" w:type="dxa"/>
            <w:vAlign w:val="bottom"/>
          </w:tcPr>
          <w:p>
            <w:pPr>
              <w:ind w:left="180"/>
              <w:spacing w:after="0"/>
              <w:rPr>
                <w:sz w:val="20"/>
                <w:szCs w:val="20"/>
                <w:color w:val="auto"/>
              </w:rPr>
            </w:pPr>
            <w:r>
              <w:rPr>
                <w:rFonts w:ascii="Arial" w:cs="Arial" w:eastAsia="Arial" w:hAnsi="Arial"/>
                <w:sz w:val="17"/>
                <w:szCs w:val="17"/>
                <w:color w:val="auto"/>
              </w:rPr>
              <w:t>4.00% Floating rate due April 2020 ("Term Loan B Facility")</w:t>
            </w: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4,329</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4.00% Floating rate due April 2020 ("Term Loan Euro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891</w:t>
            </w:r>
          </w:p>
        </w:tc>
      </w:tr>
      <w:tr>
        <w:trPr>
          <w:trHeight w:val="239"/>
        </w:trPr>
        <w:tc>
          <w:tcPr>
            <w:tcW w:w="7660" w:type="dxa"/>
            <w:vAlign w:val="bottom"/>
          </w:tcPr>
          <w:p>
            <w:pPr>
              <w:ind w:left="180"/>
              <w:spacing w:after="0"/>
              <w:rPr>
                <w:sz w:val="20"/>
                <w:szCs w:val="20"/>
                <w:color w:val="auto"/>
              </w:rPr>
            </w:pPr>
            <w:r>
              <w:rPr>
                <w:rFonts w:ascii="Arial" w:cs="Arial" w:eastAsia="Arial" w:hAnsi="Arial"/>
                <w:sz w:val="17"/>
                <w:szCs w:val="17"/>
                <w:color w:val="auto"/>
              </w:rPr>
              <w:t>5.625% due October 2020 ("Senior First Lien Notes")</w:t>
            </w: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1,400</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EMC merger transaction financing issued on September 7, 2016 ("Senior Secured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4.03% Term Loan B Facility due September 2023</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4,987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2.78% Term Loan A-1 Facility due December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3.03% Term Loan A-2 Facility due September 2021</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3,876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2.78% Term Loan A-3 Facility due December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2.78% Revolving Credit Facility due September 2021</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EMC merger transaction financing issued on June 1, 2016 ("First Lien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3.48% due June 2019</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4.42% due June 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5.45% due June 2023</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6.02% due June 2026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8.10% due June 2036</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8.35% due June 2046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40"/>
              <w:spacing w:after="0"/>
              <w:rPr>
                <w:sz w:val="20"/>
                <w:szCs w:val="20"/>
                <w:color w:val="auto"/>
              </w:rPr>
            </w:pPr>
            <w:r>
              <w:rPr>
                <w:rFonts w:ascii="Arial" w:cs="Arial" w:eastAsia="Arial" w:hAnsi="Arial"/>
                <w:sz w:val="17"/>
                <w:szCs w:val="17"/>
                <w:b w:val="1"/>
                <w:bCs w:val="1"/>
                <w:color w:val="auto"/>
              </w:rPr>
              <w:t>Unsecured Notes and Debentures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Notes and debentures issued prior to going-private transaction: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3.10% due April 2016</w:t>
            </w: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400</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5.65% due April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5.875% due June 2019</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600</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4.625% due April 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7.10% due April 2028</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300</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6.50% due April 2038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5.40% due September 2040</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265</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EMC merger transaction financing issued on June 22, 2016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5.875% due June 2021</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1,625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7.125% due June 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180"/>
              <w:spacing w:after="0"/>
              <w:rPr>
                <w:sz w:val="20"/>
                <w:szCs w:val="20"/>
                <w:color w:val="auto"/>
              </w:rPr>
            </w:pPr>
            <w:r>
              <w:rPr>
                <w:rFonts w:ascii="Arial" w:cs="Arial" w:eastAsia="Arial" w:hAnsi="Arial"/>
                <w:sz w:val="17"/>
                <w:szCs w:val="17"/>
                <w:color w:val="auto"/>
              </w:rPr>
              <w:t>Existing EMC notes assumed as part of the EMC merger transaction ("EMC Notes"):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1.875% due June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2.650% due June 2020</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3.375% due June 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40"/>
              <w:spacing w:after="0"/>
              <w:rPr>
                <w:sz w:val="20"/>
                <w:szCs w:val="20"/>
                <w:color w:val="auto"/>
              </w:rPr>
            </w:pPr>
            <w:r>
              <w:rPr>
                <w:rFonts w:ascii="Arial" w:cs="Arial" w:eastAsia="Arial" w:hAnsi="Arial"/>
                <w:sz w:val="17"/>
                <w:szCs w:val="17"/>
                <w:b w:val="1"/>
                <w:bCs w:val="1"/>
                <w:color w:val="auto"/>
              </w:rPr>
              <w:t>Bridge Facilities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2.53% Margin Bridge Facility due September 2017</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660" w:type="dxa"/>
            <w:vAlign w:val="bottom"/>
          </w:tcPr>
          <w:p>
            <w:pPr>
              <w:ind w:left="280"/>
              <w:spacing w:after="0"/>
              <w:rPr>
                <w:sz w:val="20"/>
                <w:szCs w:val="20"/>
                <w:color w:val="auto"/>
              </w:rPr>
            </w:pPr>
            <w:r>
              <w:rPr>
                <w:rFonts w:ascii="Arial" w:cs="Arial" w:eastAsia="Arial" w:hAnsi="Arial"/>
                <w:sz w:val="17"/>
                <w:szCs w:val="17"/>
                <w:color w:val="auto"/>
              </w:rPr>
              <w:t>2.53% VMware Note Bridge Facility due September 2017</w:t>
            </w: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w:t>
            </w:r>
          </w:p>
        </w:tc>
      </w:tr>
      <w:tr>
        <w:trPr>
          <w:trHeight w:val="244"/>
        </w:trPr>
        <w:tc>
          <w:tcPr>
            <w:tcW w:w="7660" w:type="dxa"/>
            <w:vAlign w:val="bottom"/>
          </w:tcPr>
          <w:p>
            <w:pPr>
              <w:ind w:left="280"/>
              <w:spacing w:after="0"/>
              <w:rPr>
                <w:sz w:val="20"/>
                <w:szCs w:val="20"/>
                <w:color w:val="auto"/>
              </w:rPr>
            </w:pPr>
            <w:r>
              <w:rPr>
                <w:rFonts w:ascii="Arial" w:cs="Arial" w:eastAsia="Arial" w:hAnsi="Arial"/>
                <w:sz w:val="17"/>
                <w:szCs w:val="17"/>
                <w:b w:val="1"/>
                <w:bCs w:val="1"/>
                <w:color w:val="auto"/>
              </w:rPr>
              <w:t>Total debt, principal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50,356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13,980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February 3, 2017</w:t>
            </w:r>
          </w:p>
        </w:tc>
        <w:tc>
          <w:tcPr>
            <w:tcW w:w="200" w:type="dxa"/>
            <w:vAlign w:val="bottom"/>
          </w:tcPr>
          <w:p>
            <w:pPr>
              <w:spacing w:after="0"/>
              <w:rPr>
                <w:sz w:val="19"/>
                <w:szCs w:val="19"/>
                <w:color w:val="auto"/>
              </w:rPr>
            </w:pPr>
          </w:p>
        </w:tc>
        <w:tc>
          <w:tcPr>
            <w:tcW w:w="162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January 29, 2016</w:t>
            </w:r>
          </w:p>
        </w:tc>
      </w:tr>
      <w:tr>
        <w:trPr>
          <w:trHeight w:val="31"/>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19"/>
        </w:trPr>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4"/>
          </w:tcPr>
          <w:p>
            <w:pPr>
              <w:jc w:val="right"/>
              <w:ind w:right="1355"/>
              <w:spacing w:after="0"/>
              <w:rPr>
                <w:sz w:val="20"/>
                <w:szCs w:val="20"/>
                <w:color w:val="auto"/>
              </w:rPr>
            </w:pPr>
            <w:r>
              <w:rPr>
                <w:rFonts w:ascii="Arial" w:cs="Arial" w:eastAsia="Arial" w:hAnsi="Arial"/>
                <w:sz w:val="17"/>
                <w:szCs w:val="17"/>
                <w:color w:val="auto"/>
              </w:rPr>
              <w:t>(in millions)</w:t>
            </w:r>
          </w:p>
        </w:tc>
      </w:tr>
      <w:tr>
        <w:trPr>
          <w:trHeight w:val="31"/>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debt, principal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13,980</w:t>
            </w:r>
          </w:p>
        </w:tc>
      </w:tr>
      <w:tr>
        <w:trPr>
          <w:trHeight w:val="239"/>
        </w:trPr>
        <w:tc>
          <w:tcPr>
            <w:tcW w:w="7620" w:type="dxa"/>
            <w:vAlign w:val="bottom"/>
          </w:tcPr>
          <w:p>
            <w:pPr>
              <w:ind w:left="280"/>
              <w:spacing w:after="0"/>
              <w:rPr>
                <w:sz w:val="20"/>
                <w:szCs w:val="20"/>
                <w:color w:val="auto"/>
              </w:rPr>
            </w:pPr>
            <w:r>
              <w:rPr>
                <w:rFonts w:ascii="Arial" w:cs="Arial" w:eastAsia="Arial" w:hAnsi="Arial"/>
                <w:sz w:val="17"/>
                <w:szCs w:val="17"/>
                <w:color w:val="auto"/>
              </w:rPr>
              <w:t>Unamortized discount, net of unamortized premium</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31"/>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84"/>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7"/>
                <w:szCs w:val="17"/>
                <w:b w:val="1"/>
                <w:bCs w:val="1"/>
                <w:color w:val="auto"/>
              </w:rPr>
              <w:t>Total debt, carrying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49,390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13,631</w:t>
            </w:r>
          </w:p>
        </w:tc>
      </w:tr>
      <w:tr>
        <w:trPr>
          <w:trHeight w:val="224"/>
        </w:trPr>
        <w:tc>
          <w:tcPr>
            <w:tcW w:w="7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Total short-term debt, carrying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2,981</w:t>
            </w:r>
          </w:p>
        </w:tc>
      </w:tr>
      <w:tr>
        <w:trPr>
          <w:trHeight w:val="239"/>
        </w:trPr>
        <w:tc>
          <w:tcPr>
            <w:tcW w:w="7620" w:type="dxa"/>
            <w:vAlign w:val="bottom"/>
          </w:tcPr>
          <w:p>
            <w:pPr>
              <w:ind w:left="600"/>
              <w:spacing w:after="0"/>
              <w:rPr>
                <w:sz w:val="20"/>
                <w:szCs w:val="20"/>
                <w:color w:val="auto"/>
              </w:rPr>
            </w:pPr>
            <w:r>
              <w:rPr>
                <w:rFonts w:ascii="Arial" w:cs="Arial" w:eastAsia="Arial" w:hAnsi="Arial"/>
                <w:sz w:val="17"/>
                <w:szCs w:val="17"/>
                <w:b w:val="1"/>
                <w:bCs w:val="1"/>
                <w:color w:val="auto"/>
              </w:rPr>
              <w:t>Total long-term debt, carrying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43,061</w:t>
            </w:r>
          </w:p>
        </w:tc>
        <w:tc>
          <w:tcPr>
            <w:tcW w:w="1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ind w:right="35"/>
              <w:spacing w:after="0"/>
              <w:rPr>
                <w:sz w:val="20"/>
                <w:szCs w:val="20"/>
                <w:color w:val="auto"/>
              </w:rPr>
            </w:pPr>
            <w:r>
              <w:rPr>
                <w:rFonts w:ascii="Arial" w:cs="Arial" w:eastAsia="Arial" w:hAnsi="Arial"/>
                <w:sz w:val="17"/>
                <w:szCs w:val="17"/>
                <w:color w:val="auto"/>
              </w:rPr>
              <w:t>10,650</w:t>
            </w:r>
          </w:p>
        </w:tc>
      </w:tr>
    </w:tbl>
    <w:p>
      <w:pPr>
        <w:spacing w:after="0" w:line="2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finance the EMC merger transaction, the Company issued $45.9 billion in new debt, which included proceeds from the sale of the First Lien Notes and the Senior Unsecured Notes in June 2016, as well as borrowings under the Senior Secured Credit Facilities (including the Revolving Credit Facility), the Asset Sale Bridge Facility, the Margin Bridge Facility, and the VMware Note Bridge Facility at the closing of the transaction.</w:t>
      </w:r>
    </w:p>
    <w:p>
      <w:pPr>
        <w:spacing w:after="0" w:line="16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Upon the closing of the EMC merger transaction, the Company repaid and terminated the ABL Credit Facility and the Term Loan Facilities obtained in connection with the going-private transaction, and redeemed the Senior First Lien Notes issued in connection with the going-private transaction.</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Additionally, during the fiscal year ended February 3, 2017, the Company repaid $1.6 billion of the Revolving Credit Facility, $2.2 billion of the Asset Sale Bridge Facility, and $3.1 billion of the Term Loan A-1 Facility, all of which were obtained in connection with the EMC merger transaction. During the fiscal year ended February 3, 2017, the Company also repaid $0.4 billion of maturing Unsecured Notes and Debentures. The Company incurred approximately $337 million of other expenses related to debt extinguishments and new borrowings during the fiscal year ended February 3, 2017.</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Senior Secured Credit Facilities </w:t>
      </w:r>
      <w:r>
        <w:rPr>
          <w:rFonts w:ascii="Arial" w:cs="Arial" w:eastAsia="Arial" w:hAnsi="Arial"/>
          <w:sz w:val="16"/>
          <w:szCs w:val="16"/>
          <w:color w:val="auto"/>
        </w:rPr>
        <w:t>— At the closing of the EMC merger transaction on September 7, 2016, the Company entered into a credit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Secured Credit Agreement") that provides for senior secured credit facilities (the "Senior Secured Credit Facilities") in the aggregate principal amount of $17.6 billion comprising (a) term loan facilities and (b) a senior secured Revolving Credit Facility, which includes capacity for up to $0.5 billion of letters of credit and for borrowings of up to $0.4 billion under swing-line loans. Dell International L.L.C. ("Dell International") and EMC are the borrowers under the Senior Secured Credit Facilities. As of February 3, 2017, available borrowings under the Revolving Credit Facility totaled $2.7 billion. The Senior Secured Credit Facilities provide that the borrowers have the right at any time, subject to customary conditions, to request incremental term loans or incremental revolving commitments in an aggregate principal amount of up to (a) the greater of (i) $10.0 billion and (ii) 100% of Consolidated EBITDA (as defined in the Senior Secured Credit Agreement) plus (b) an amount equal to voluntary prepayments of the term loan facilities and the Revolving Credit Facility, subject to certain requirements, plus (c) an additional unlimited amount subject to a pro forma net first lien leverage ratio of 3.25:1.0.</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Borrowings under the Senior Secured Credit Facilities bear interest at a rate per annum equal to an applicable margin, plus, at the borrowers' option, either (a) a base rate, which, under the Term Loan B Facility, is subject to an interest rate floor of 1.75% per annum, and under all other borrowings is subject to an interest rate floor of 0% per annum, or (b) a London interbank offered rate ("LIBOR"), which, under the Term Loan B Facility, is subject to an interest rate floor of 0.75% per annum, and under all other borrowings is subject to an interest rate floor of 0% per annum. The applicable margin under the Term Loan B Facility is subject to reduction based on a first lien leverage ratio test. The applicable margins under the Term Loan A-1 Facility, the Term Loan A-2 Facility, the Term Loan A-3 Facility, and the Revolving Credit Facility vary based upon a corporate ratings-based pricing schedule. Interest is payable, in the case of loans bearing interest based on LIBOR, at the end of each interest period (but at least every three months), in arrears and, in the case of loans bearing interest based on the base rate, quarterly in arrears.</w:t>
      </w:r>
    </w:p>
    <w:p>
      <w:pPr>
        <w:spacing w:after="0" w:line="1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Term Loan A-1 Facility will mature on December 31, 2018 and has no amortization. The Term Loan A-2 Facility will mature on September 7, 2021 and amortizes in equal quarterly installments in aggregate annual amounts equal to 5% of the original principal amount in each of the first two years after the date of the closing of the EMC merger transaction, 10% of the original principal amount in each of the third and fourth years after the date of the closing of the EMC merger transaction, and 70% of the original principal amount in the fifth year after the date of the closing of the EMC merger transaction. The Term Loan A-3 Facility will mature on December 31, 2018 and has no amortization. The Term Loan B Facility will mature on September 7, 2023 and amortizes in equal quarterly installments in aggregate annual amounts equal to 1% of the original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principal amount. The Revolving Credit Facility will mature on September 7, 2021 and has no amortization. The Term Loan A-1 and A-3 Facilities require the borrowers to prepay outstanding borrowings under these facilities with 100% of the net cash proceeds of certain non-ordinary course asset sales or dispositions after fully prepaying the Asset Sale Bridge Facility. The borrowers may voluntarily repay outstanding loans under the term loan facilities and the Revolving Credit Facility at any time without premium or penalty, other than customary "breakage" costs.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obligations of the borrowers under the Senior Secured Credit Facilities and certain swap agreements, cash management arrangements, and certain letters of credit provided by any lender or agent party to the Senior Secured Credit Facilities or any of their affiliates and certain other persons are guaranteed by Denali Intermediate Inc. ("Denali Intermediate"), Dell, certain subsidiaries of Denali Intermediate, and each existing and subsequently acquired or organized direct or indirect material wholly-owned domestic restricted subsidiary of Dell, with customary exceptions. All such obligations under the Senior Secured Credit Facilities (and the guarantees thereof)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and each wholly-owned material restricted subsidiary of the borrowers and the guarantors, in each case subject to certain thresholds, exceptions and permitted liens.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8, 2016, the Company applied cash proceeds from the Dell Services and the DSG divestitures and other cash to repay $2.1 billion principal amount of the Term Loan A-1 Facility, without premium or penalty, and accrued and unpaid interest thereon. On January 31, 2017, the Company applied cash proceeds from the ECD divestiture to repay $1.0 billion principal amount of the Term Loan A-1 Facility, without premium or penalty, and accrued and unpaid interest thereon. During the fiscal year ended February 3, 2017, the Company also repaid approximately $1.6 billion principal amount of the Revolving Credit Facility and accrued and unpaid interest thereon.</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First Lien Notes </w:t>
      </w:r>
      <w:r>
        <w:rPr>
          <w:rFonts w:ascii="Arial" w:cs="Arial" w:eastAsia="Arial" w:hAnsi="Arial"/>
          <w:sz w:val="17"/>
          <w:szCs w:val="17"/>
          <w:color w:val="auto"/>
        </w:rPr>
        <w:t>— The senior secured notes (collectively, the "First Lien Notes") were issued on June 1, 2016 in an aggregate principal amount of $20.0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Interest on these borrowings is payable semiannually. As of the closing of the EMC merger transaction, Dell International and EMC are the co-issuers of the First Lien Notes. The First Lien Notes are guaranteed, subject to certain exceptions, on a joint and several basis by Dell Technologies, Denali Intermediate Inc. ("Denali Intermediate"), which is Dell's direct parent company, Dell, and Denali Intermediate's direct and indirect wholly-owned material domestic subsidiaries that guarantee the Senior Secured Credit Facilities (the "Guarantors").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of Dell, and of certain wholly-owned material subsidiaries of the issuers and the guarantors, subject to certain exceptions.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Dell International, EMC, and the Guarantors have agreed to use commercially reasonable efforts to register with the SEC notes having terms substantially identical to the terms of the First Lien Notes as part of an offer to exchange such registered notes for the First Lien Notes. Dell International and EMC will be obligated to pay additional interest on the First Lien Notes if they fail to consummate such an exchange offer within five years after the closing date of the EMC merger transaction.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Senior Notes </w:t>
      </w:r>
      <w:r>
        <w:rPr>
          <w:rFonts w:ascii="Arial" w:cs="Arial" w:eastAsia="Arial" w:hAnsi="Arial"/>
          <w:sz w:val="16"/>
          <w:szCs w:val="16"/>
          <w:color w:val="auto"/>
        </w:rPr>
        <w:t>— The senior unsecured notes (collectively, the "Senior Notes") were issued on June 22, 2016 in an aggregate principal amount of $3.25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on these borrowings is payable semiannually. As of the closing of the EMC merger transaction, Dell International and EMC are the co-issuers of the Senior Notes. The Senior Notes are guaranteed, subject to certain exceptions, on a joint and several basis, by Dell Technologies, Denali Intermediate, Dell, and Denali Intermediate's direct and indirect wholly-owned material domestic subsidiaries that guarantee the Senior Secured Credit Facilities.</w:t>
      </w:r>
    </w:p>
    <w:p>
      <w:pPr>
        <w:spacing w:after="0" w:line="15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i w:val="1"/>
          <w:iCs w:val="1"/>
          <w:color w:val="auto"/>
        </w:rPr>
        <w:t xml:space="preserve">EMC Notes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September 7, 2016, EMC had outstanding $2.5 billion aggregate principal amount of its 1.875% Notes due June 2018, $2.0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principal amount of its 2.650% Notes due June 2020 and $1.0 billion aggregate principal amount of its 3.375% Notes due June 2023 (collectively, the "EMC Notes"), all of which were issued pursuant to an Indenture dated as of June 6, 2013. Interest on these borrowings is payable semiannually. The EMC Notes remain outstanding following the closing of the EMC merger transaction. The EMC Notes are senior unsecured obligations of EMC and are not guaranteed by any subsidiaries of EMC or by the Company or any other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 xml:space="preserve">Asset Sale Bridge Facility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7, 2016, certain subsidiaries of the Company entered into a credit agreement providing for a senior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sale bridge facility in an aggregate principal amount of $2.2 billion (the "Asset Sale Bridge Facility"). Borrowings under the Asset Sale Bridge Facility bore interest at a fixed rate of 4.875%.</w:t>
      </w:r>
    </w:p>
    <w:p>
      <w:pPr>
        <w:spacing w:after="0" w:line="1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Asset Sale Bridge Facility required the borrowers to prepay outstanding borrowings under the facility with 100% of the net cash proceeds of certain non-ordinary course asset sales or dispositions. On November 8, 2016, the Company applied cash proceeds from the Dell Services and DSG divestitures to repay the outstanding $2.2 billion principal amount of the Asset Sale Bridge Facility, without premium or penalty, and accrued and unpaid interest thereon, and terminated the Asset Sale Bridge Facility and the Asset Sale Bridge Credit Agreement and related documents.</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 xml:space="preserve">Margin Bridge Facility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7, 2016, Merger Sub and EMC entered into a credit agreement providing for a senior secured margin bridge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aggregate principal amount of $2.5 billion (the "Margin Bridge Facility"). EMC is the borrower under the Margin Bridge Facility, which is secured solely by 77,033,442 shares of Class B common stock of VMware and any proceeds thereof.</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under the Margin Bridge Facility is payable, at the borrower's option, either at (a) a base rate plus 0.75% per annum or (b) a LIBOR-based rate plus 1.75%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Margin Bridge Facility will mature on September 6, 2017 and has no amortization. The Margin Bridge Facility requires the borrower to prepay outstanding borrowings under the Margin Bridge Facility with 100% of the net cash proceeds of any asset sale or other disposition of the pledged VMware shares. The borrower may voluntarily repay outstanding loans under the Margin Bridge Facility at any time without premium or penalty, other than customary "breakage" costs, subject to certain minimum threshold amounts for prepayment.</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 xml:space="preserve">VMware Note Bridge Facility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7, 2016, Merger Sub and EMC entered into a credit agreement providing for a senior secured note bridge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in an aggregate principal amount of $1.5 billion (the "VMware Note Bridge Facility"). EMC is the borrower under the VMware Note Bridge Facility, which is secured solely by certain intercompany notes in an aggregate principal amount of $1.5 billion issued by VMware that are payable to EMC, and the proceeds thereof.</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under the VMware Note Bridge Facility is payable, at the borrower's option, either at (a) a base rate plus 0.75% per annum or (b) a LIBOR-based rate plus 1.75%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VMware Note Bridge Facility will mature on September 6, 2017 and has no amortization. The VMware Note Bridge Facility requires the borrower to prepay outstanding borrowings under the VMware Note Bridge Facility with 100% of the net cash proceeds of any asset sale or other disposition of the pledged VMware promissory notes. The borrower may voluntarily repay outstanding loans under the VMware Note Bridge Facility at any time without premium or penalty, other than customary "breakage" costs, subject to certain minimum threshold amounts for prepayment.</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Structured Financing Debt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February 3, 2017 and January 29, 2016, the Company had $3.5 billion and $3.4 billion, respectively, in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structured financing debt, which was primarily related to the fixed-term lease and loan securitization programs and the revolving loan securitization programs. See Note 7 and Note 9 of the Notes to the Consolidated Financial Statements for further discussion of the structured financing debt and the interest rate swap agreements that hedge a portion of that debt.</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Unsecured Notes and Debentures </w:t>
      </w:r>
      <w:r>
        <w:rPr>
          <w:rFonts w:ascii="Arial" w:cs="Arial" w:eastAsia="Arial" w:hAnsi="Arial"/>
          <w:sz w:val="18"/>
          <w:szCs w:val="18"/>
          <w:color w:val="auto"/>
        </w:rPr>
        <w:t>— The Company has Unsecured Notes and Debentures that were issued prior to the going-private transaction. Interest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borrowings is payable semiannually. See "Senior Notes" above for a discussion of the senior unsecured notes issued in connection with the EMC merger transaction.</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Repayment and Termination of Credit Facilities </w:t>
      </w:r>
      <w:r>
        <w:rPr>
          <w:rFonts w:ascii="Arial" w:cs="Arial" w:eastAsia="Arial" w:hAnsi="Arial"/>
          <w:sz w:val="17"/>
          <w:szCs w:val="17"/>
          <w:color w:val="auto"/>
        </w:rPr>
        <w:t>— At the closing of the EMC merger transaction on September 7, 2016, the Company repaid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$6.1 billion of borrowings (including accrued and unpaid interest thereon) under the Company's ABL Credit Facility and Term Loan Facilities obtained in connection with the going-private transaction and terminated such credit facilities and related credit agreements and documents.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ABL Credit Facility provided for an asset-based senior secured revolving credit facility in an initial aggregate principal amount of approximately $2.0 billion, subject to a borrowing base consisting of certain receivables and inventory. The Term Loan Facilities originally provided for senior secured term loan facilities consisting of a $4.7 billion Term Loan B Facility, a $1.5 billion Term Loan C Facility and a €0.7 billion Term Loan Euro Facility.</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Redemption of Senior First Lien Notes </w:t>
      </w:r>
      <w:r>
        <w:rPr>
          <w:rFonts w:ascii="Arial" w:cs="Arial" w:eastAsia="Arial" w:hAnsi="Arial"/>
          <w:sz w:val="17"/>
          <w:szCs w:val="17"/>
          <w:color w:val="auto"/>
        </w:rPr>
        <w:t>— In connection with the EMC merger transaction, the Company issued and delivered notices of conditional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to holders of the outstanding 5.625% Senior First Lien Notes due 2020 issued in an aggregate original principal amount of $1.5 billion in October 2013 in connection with Dell's going private transaction (the "Senior First Lien Notes") to redeem (a) $0.15 billion in aggregate principal amount of the Senior First Lien Notes at a redemption price of 103% of the principal amount thereof and (b) $1.25 billion in aggregate principal amount of the Senior First Lien Notes at a redemption price equal to 100% of the principal amount thereof plus a "make-whole" premium calculated in accordance with the indenture governing the Senior First Lien Notes, in each case, plus accrued and unpaid interest thereon to but excluding the redemption date. Such redemption notices were conditioned upon, among other matters, the closing of the EMC merger transaction. On September 7, 2016, substantially concurrently with the consummation of the EMC merger transaction, the Company deposited with the trustee of the Senior First Lien Notes the applicable redemption payments to fund such redemptions and thereby redeemed all of the outstanding Senior First Lien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Aggregate Future Maturities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February 3, 2017, aggregate future maturities of the Company's debt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left="199"/>
              <w:spacing w:after="0"/>
              <w:rPr>
                <w:sz w:val="20"/>
                <w:szCs w:val="20"/>
                <w:color w:val="auto"/>
              </w:rPr>
            </w:pPr>
            <w:r>
              <w:rPr>
                <w:rFonts w:ascii="Arial" w:cs="Arial" w:eastAsia="Arial" w:hAnsi="Arial"/>
                <w:sz w:val="16"/>
                <w:szCs w:val="16"/>
                <w:b w:val="1"/>
                <w:bCs w:val="1"/>
                <w:color w:val="auto"/>
                <w:w w:val="92"/>
              </w:rPr>
              <w:t>Maturities by Fiscal Year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Structured Financing Debt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Senior Secured Credit Facilities and First Lien Notes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7,672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31,638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Notes and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Senior Notes and EMC Notes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8,750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Bridge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maturities, principal amount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50,356</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Associated carrying value adjustments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maturities, carrying value amount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49,390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Covenants and Unrestricted Net Assets — </w:t>
      </w:r>
      <w:r>
        <w:rPr>
          <w:rFonts w:ascii="Arial" w:cs="Arial" w:eastAsia="Arial" w:hAnsi="Arial"/>
          <w:sz w:val="16"/>
          <w:szCs w:val="16"/>
          <w:color w:val="auto"/>
        </w:rPr>
        <w:t>The credit agreement for the Senior Secured Credit Facilities contain customary negative covenants that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 the ability of Denali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As of February 3, 2017, the Company had certain consolidated subsidiaries that were designated as unrestricted subsidiaries for all purposes of the applicable credit agreements and the indentures governing the First Lien Notes and the Senior Notes. As of February 3, 2017, substantially all of the net assets of the Company's consolidated subsidiaries were restricted, with the exception of the Company's unrestricted subsidiaries, primarily VMware and SecureWorks. The foregoing credit agreements and indentures contain customary events of default, including failure to make required payments, failure to comply with covenants, and the occurrence of certain events of bankruptcy and insolvency.</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Term Loan A-1 Facility, the Term Loan A-2 Facility, the Term Loan A-3 Facility, and the Revolving Credit Facility are subject to a first lien net leverage ratio covenant that will be tested at the end of each fiscal quarter of Dell with respect to Dell's preceding four fiscal quarters. The Company was in compliance with all financial covenants as of February 3,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For derivatives designated as cash flow hedges, the Company assesses hedge effectiveness both at the onset of the hedge and at regular intervals throughout the life of the derivative and recognizes any ineffective portion of the hedge in earnings as a component of interest and other, net. Hedge ineffectiveness recognized in earnings was not material during the fiscal years ended February 3, 2017, January 29, 2016, and January 30, 2015.</w:t>
      </w:r>
    </w:p>
    <w:p>
      <w:pPr>
        <w:spacing w:after="0" w:line="17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connection with the EMC merger transaction, the Company acquired foreign exchange derivative instruments with a fair value of approximately $7.0 million as of the closing date of the transaction. The portfolio of instruments is comprised of foreign currency forward and option contracts that mature at various times within 12 months. The Company elected to leave the acquired instruments undesignated from a hedge accounting perspective.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Risk</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fiscal years ended February 3, 2017, January 29, 2016, and January 30, 2015, the Company did not discontinue any cash flow hedges related to foreign exchange contracts that had a material impact on the Company's results of operations due to the probability that the forecasted cash flows would not occur.</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expanded offerings of DFS in Europe, forward contracts are used to hedge financing receivables denominated in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designated for hedge accounting and most expire within three years or less.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three years or less.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0D0D0D"/>
        </w:rPr>
        <w:t>The Company utilizes cross currency amortizing swaps to hedge the currency and interest rate risk exposure associated with the securitization program that was established in Europe in January 2017. The cross currency swaps combine a Euro-based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0D0D0D"/>
        </w:rPr>
        <w:t>interest rate swap with a British Pound or US Dollar foreign exchange forward contract in which the Company pays a fixed British Pound or US Dollar amount and receives a floating amount in Euro linked to the one-month Euribor. The notional value of the swaps amortize in line with the expected cash flows and run off of the securitized assets. The swaps mature within 5 years or less and are not designated for hedge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Notional Amounts of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outstanding derivative instruments were as follows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3,947</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4,932</w:t>
            </w:r>
          </w:p>
        </w:tc>
      </w:tr>
      <w:tr>
        <w:trPr>
          <w:trHeight w:val="311"/>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on the Consolidated Statements of Financial Position and the Consolidated Statements of Income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Gain (Loss)</w:t>
            </w:r>
          </w:p>
        </w:tc>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Recognized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180" w:type="dxa"/>
            <w:vAlign w:val="bottom"/>
          </w:tcPr>
          <w:p>
            <w:pPr>
              <w:spacing w:after="0"/>
              <w:rPr>
                <w:sz w:val="12"/>
                <w:szCs w:val="12"/>
                <w:color w:val="auto"/>
              </w:rPr>
            </w:pPr>
          </w:p>
        </w:tc>
        <w:tc>
          <w:tcPr>
            <w:tcW w:w="10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Gain (Loss)</w:t>
            </w: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Accumulated</w:t>
            </w:r>
          </w:p>
        </w:tc>
        <w:tc>
          <w:tcPr>
            <w:tcW w:w="2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7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4"/>
              </w:rPr>
              <w:t>Derivatives in</w:t>
            </w: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OCI, Net</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8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6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of Tax, on</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7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Cash Flow</w:t>
            </w: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(Ineffective</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Hedging Relationships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(Effective Portion)</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Derivative (Ineffective Portion)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10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gridSpan w:val="3"/>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February 3, 2017</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January 29, 2016</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January 30, 2015</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427</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427</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80" w:type="dxa"/>
            <w:vAlign w:val="bottom"/>
            <w:vMerge w:val="restart"/>
          </w:tcPr>
          <w:p>
            <w:pPr>
              <w:ind w:left="1420"/>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Consolidated Statements of Financial Position</w:t>
      </w:r>
    </w:p>
    <w:p>
      <w:pPr>
        <w:spacing w:after="0" w:line="1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presents its foreign exchange derivative instruments on a net basis in the Consolidated Statements of Financial Position due to the right of offset by its counterparties under master netting arrangements. The fair value of those derivative instruments presented on a gross basis as of each date indicated below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3, 2017</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January 29, 2016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derivatives at fair value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gross amounts of the Company's derivative instruments, amounts offset due to master netting agreements with the Company's various counterparties, and the net amounts recognized in the Consolidated Statements of Financial Position.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3, 2017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January 29, 2016</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goodwill allocated to the Company's business segments as of February 3, 2017, January 29, 2016, and January 30, 2015, and changes in the carrying amount of goodwill for the respective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Client Solutions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Infrastructure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Group</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Solutions Group</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30,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Goodwill recognized during the period</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Balances as of January 29, 2016</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(b)</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divested (c)</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adjustments (d)</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640" w:hanging="332"/>
        <w:spacing w:after="0" w:line="24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Businesses, previously referred to as Corporate, consists of offerings by RSA Information Security, SecureWorks, Pivotal, and Boomi, Inc. ("Boomi").</w:t>
      </w:r>
    </w:p>
    <w:p>
      <w:pPr>
        <w:ind w:left="340" w:right="20" w:hanging="332"/>
        <w:spacing w:after="0" w:line="265"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connection with the EMC merger transaction on September 7, 2016, the Company recorded approximately $31.5 billion in goodwill, which has been preliminarily allocated to ISG, VMware, and Other Businesses. This amount represents the excess of the purchase price over the fair value of the tangible and intangible assets acquired and liabilities assumed with this transaction. See Note 3 of the Notes to the Consolidated Financial Statements for additional information on the EMC merger transaction as well as adjustments that impacted goodwill.</w:t>
      </w:r>
    </w:p>
    <w:p>
      <w:pPr>
        <w:ind w:left="340" w:right="120" w:hanging="332"/>
        <w:spacing w:after="0" w:line="265"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Goodwill divested represents goodwill attributable to ECD, which was acquired as a part of the EMC merger transaction and subsequently divested. See Note 4 of the Notes to the Consolidated Financial Statements for additional information on the ECD divestiture.</w:t>
      </w:r>
    </w:p>
    <w:p>
      <w:pPr>
        <w:ind w:left="340" w:right="80" w:hanging="332"/>
        <w:spacing w:after="0" w:line="26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Following the completion of the SecureWorks IPO during the fiscal year ended February 3, 2017, goodwill attributable to the SecureWorks business was re-allocated in a manner consistent with goodwill recognized by SecureWorks on a stand-alone basis.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Goodwill and indefinite-lived intangible assets are tested for impairment annually during the third fiscal quarter and whenever events or circumstances may indicate that an impairment has occurred. Based on the results of the annual impairment test, which was a qualitative test, no impairment of goodwill or indefinite-lived intangible assets existed for any reporting unit as of October 28, 2016. No events or circumstances transpired subsequent to the annual impairment test that would indicate a potential impairment of goodwill as of February 3, 2017. Further, the Company did not have any accumulated goodwill impairment charges as of February 3, 2017.</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discounted cash flow methodology. This analysis requires significant judgments, including estimation of future cash flows, which is dependent on internal forecasts, the estimation of the long-term growth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3"/>
        </w:trPr>
        <w:tc>
          <w:tcPr>
            <w:tcW w:w="6880" w:type="dxa"/>
            <w:vAlign w:val="bottom"/>
            <w:gridSpan w:val="9"/>
          </w:tcPr>
          <w:p>
            <w:pPr>
              <w:spacing w:after="0"/>
              <w:rPr>
                <w:sz w:val="20"/>
                <w:szCs w:val="20"/>
                <w:color w:val="auto"/>
              </w:rPr>
            </w:pPr>
            <w:r>
              <w:rPr>
                <w:rFonts w:ascii="Arial" w:cs="Arial" w:eastAsia="Arial" w:hAnsi="Arial"/>
                <w:sz w:val="18"/>
                <w:szCs w:val="18"/>
                <w:color w:val="auto"/>
                <w:w w:val="89"/>
              </w:rPr>
              <w:t>The Company's intangible assets as of February 3, 2017 and January 29, 2016 were as follows: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1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February 3, 2017</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January 29, 2016</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1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1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34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
        </w:trPr>
        <w:tc>
          <w:tcPr>
            <w:tcW w:w="1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5"/>
          </w:tcPr>
          <w:p>
            <w:pPr>
              <w:ind w:left="28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1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Leasehold assets (liabilities)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57"/>
        </w:trPr>
        <w:tc>
          <w:tcPr>
            <w:tcW w:w="3780" w:type="dxa"/>
            <w:vAlign w:val="bottom"/>
            <w:gridSpan w:val="2"/>
          </w:tcPr>
          <w:p>
            <w:pPr>
              <w:ind w:left="50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8,577</w:t>
            </w:r>
          </w:p>
        </w:tc>
      </w:tr>
      <w:tr>
        <w:trPr>
          <w:trHeight w:val="20"/>
        </w:trPr>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EMC merger transaction on September 7, 2016, the Company recorded approximately $31.2 billion of identifiable intangible assets, which represents the respective fair values as of the transaction date. Of that amount, approximately $1.1 billion related to the ECD was subsequently divested and is therefore excluded from the above table. See Note 3 and Note 4 of the Notes to the Consolidated Financial Statements for additional information on the EMC merger transaction and the ECD divestiture, respectively.</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Amortization expense related to definite-lived intangible assets was approximately $3.7 billion, $2.0 billion, and $2.1 billion during the fiscal years ended February 3, 2017, January 29, 2016, and January 30, 2015, respectively. There were no material impairment charges related to intangible assets during the fiscal years ended February 3, 2017, January 29, 2016, and January 30, 2015.</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future annual pre-tax amortization expense of definite-lived intangible assets as of February 3, 2017 over the next five fiscal years and thereafter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(in millions)</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2019</w:t>
            </w:r>
          </w:p>
        </w:tc>
        <w:tc>
          <w:tcPr>
            <w:tcW w:w="6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2021</w:t>
            </w:r>
          </w:p>
        </w:tc>
        <w:tc>
          <w:tcPr>
            <w:tcW w:w="6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vMerge w:val="restart"/>
          </w:tcPr>
          <w:p>
            <w:pPr>
              <w:jc w:val="right"/>
              <w:ind w:right="3890"/>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6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LIABILITY</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records a liability for its standard limited warranties at the time of sale for the estimated costs that may be incurred. The liability for standard warranties is included in accrued and other current liabilities and other non-current liabilities in the Consolidated Statements of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liabilities for standard limited warranties are presented in the following table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liability assumed through EMC merger transaction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w w:val="89"/>
              </w:rPr>
              <w:t>Costs accrued for new warranty contracts and changes in estimates for pre-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existing warranties (a) (b)</w:t>
            </w:r>
          </w:p>
        </w:tc>
        <w:tc>
          <w:tcPr>
            <w:tcW w:w="18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obligations honored</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97"/>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r>
      <w:tr>
        <w:trPr>
          <w:trHeight w:val="23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Non-current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18"/>
        </w:trPr>
        <w:tc>
          <w:tcPr>
            <w:tcW w:w="57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left="340" w:right="180" w:hanging="332"/>
        <w:spacing w:after="0" w:line="264"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SEVERANCE CHARGES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transformation of the Company's business model, the Company incurs costs related to employee severance. The Company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 and was $416 million and $26 million as of February 3, 2017 and January 29, 2016, respectively. In connection with the EMC merger transaction, the Company assumed a liability of $70 million, which represents the fair value of the outstanding obligation of EMC's legacy severance programs. The Company has determined that it will manage the remainder of these programs as part of its ongoing severance actions. Accordingly, the Company has included the liability related to these programs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The following table sets forth the activity related to the Company's severance liability for the respective periods: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9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Severance Costs</w:t>
            </w:r>
          </w:p>
        </w:tc>
      </w:tr>
      <w:tr>
        <w:trPr>
          <w:trHeight w:val="27"/>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Severance charges to provision</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Balance as of January 30, 2015</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charges to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Cash paid and other</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29, 2016</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Severance liability assumed through EMC merger transaction</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charges to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Cash paid and other</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February 3,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Severance costs are included in cost of net revenue, selling, general, and administrative expenses, and research and development expense in the Consolidated Statements of Income (Loss)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Severance charges:</w:t>
            </w:r>
          </w:p>
        </w:tc>
        <w:tc>
          <w:tcPr>
            <w:tcW w:w="1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Cost of net revenue</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95"/>
        </w:trPr>
        <w:tc>
          <w:tcPr>
            <w:tcW w:w="4160" w:type="dxa"/>
            <w:vAlign w:val="bottom"/>
            <w:tcBorders>
              <w:bottom w:val="single" w:sz="8" w:color="CCEEFF"/>
            </w:tcBorders>
            <w:shd w:val="clear" w:color="auto" w:fill="CCEEFF"/>
          </w:tcPr>
          <w:p>
            <w:pPr>
              <w:spacing w:after="0"/>
              <w:rPr>
                <w:sz w:val="8"/>
                <w:szCs w:val="8"/>
                <w:color w:val="auto"/>
              </w:rPr>
            </w:pPr>
          </w:p>
        </w:tc>
        <w:tc>
          <w:tcPr>
            <w:tcW w:w="1760" w:type="dxa"/>
            <w:vAlign w:val="bottom"/>
            <w:tcBorders>
              <w:bottom w:val="single" w:sz="8" w:color="CCEEFF"/>
            </w:tcBorders>
            <w:gridSpan w:val="2"/>
            <w:vMerge w:val="continue"/>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60" w:type="dxa"/>
            <w:vAlign w:val="bottom"/>
          </w:tcPr>
          <w:p>
            <w:pPr>
              <w:spacing w:after="0"/>
              <w:rPr>
                <w:sz w:val="24"/>
                <w:szCs w:val="24"/>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property and equipment, manufacturing facilities, and office space under non-cancelable leases. Certain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leases obligate the Company to pay taxes, maintenance, and repair costs. At February 3, 2017, future minimum lease payments under these non-cancelable leases were as follows: $443 million in Fiscal 2018; $352 million in Fiscal 2019; $267 million in Fiscal 2020; $207 million in Fiscal 2021; $148 million in Fiscal 2022; and $739 million thereafter.</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amount of the future lease commitments after Fiscal 2022 is primarily for the ground leases on VMware's Palo Alto, California headquarter facilities, which expire in Fiscal 2047.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fiscal years ended February 3, 2017, January 29, 2016, and January 30, 2015, rent expense under all leases totaled $279 million, $91 million, and $110 million, respectively.</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u w:val="single" w:color="auto"/>
          <w:color w:val="auto"/>
        </w:rPr>
        <w:t>Purchase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has contractual obligations to purchase goods or services, which specify significant terms, including fixed or</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quantities to be purchased; fixed, minimum, or variable price provisions; and the approximate timing of the transaction. As of February 3, 2017, the Company had $2,279 million, $133 million, and $86 million in purchase obligations for Fiscal 2018, Fiscal 2019, and Fiscal 2020 and thereafter, respectively.</w:t>
      </w:r>
    </w:p>
    <w:p>
      <w:pPr>
        <w:spacing w:after="0" w:line="14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u w:val="single" w:color="auto"/>
          <w:color w:val="auto"/>
        </w:rPr>
        <w:t>Legal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is involved in various claims, suits, assessments, investigations, and legal proceedings that arise from time to time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course of its business, including those identified below, consisting of matters involving consumer, antitrust, tax, intellectual property, and other issues on a global basis. 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 For some matters, the amount of liability is not probable or the amount cannot be reasonably estimated and therefore accruals have not been made. The following is a discussion of the Company's significant legal matters and other proceedings: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i w:val="1"/>
          <w:iCs w:val="1"/>
          <w:color w:val="auto"/>
        </w:rPr>
        <w:t xml:space="preserve">EMC Merger Litigation </w:t>
      </w:r>
      <w:r>
        <w:rPr>
          <w:rFonts w:ascii="Arial" w:cs="Arial" w:eastAsia="Arial" w:hAnsi="Arial"/>
          <w:sz w:val="17"/>
          <w:szCs w:val="17"/>
          <w:color w:val="auto"/>
        </w:rPr>
        <w:t>— The Company, Dell, and Universal Acquisition Co. ("Universal") were named as defendants in fifteen putative class-action lawsuits brought by purported EMC shareholders and VMware stockholders challenging the proposed merger between the Company, Dell, and Universal on the one hand, and EMC on the other (the "EMC merger"). Those suits are captioned as follows:</w:t>
      </w:r>
    </w:p>
    <w:p>
      <w:pPr>
        <w:spacing w:after="0" w:line="79" w:lineRule="exact"/>
        <w:rPr>
          <w:sz w:val="20"/>
          <w:szCs w:val="20"/>
          <w:color w:val="auto"/>
        </w:rPr>
      </w:pPr>
    </w:p>
    <w:tbl>
      <w:tblPr>
        <w:tblLayout w:type="fixed"/>
        <w:tblInd w:w="850" w:type="dxa"/>
        <w:tblCellMar>
          <w:top w:w="0" w:type="dxa"/>
          <w:left w:w="0" w:type="dxa"/>
          <w:bottom w:w="0" w:type="dxa"/>
          <w:right w:w="0" w:type="dxa"/>
        </w:tblCellMar>
      </w:tblPr>
      <w:tr>
        <w:trPr>
          <w:trHeight w:val="216"/>
        </w:trPr>
        <w:tc>
          <w:tcPr>
            <w:tcW w:w="82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Case</w:t>
            </w: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Court</w:t>
            </w: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IBEW Local No. 129 Benefit Fund v. Tucci,</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10/15/2015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3140" w:type="dxa"/>
            <w:vAlign w:val="bottom"/>
            <w:tcBorders>
              <w:top w:val="single" w:sz="8" w:color="auto"/>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Civ. No. 1584-3130-BLS1</w:t>
            </w:r>
          </w:p>
        </w:tc>
        <w:tc>
          <w:tcPr>
            <w:tcW w:w="2020" w:type="dxa"/>
            <w:vAlign w:val="bottom"/>
            <w:tcBorders>
              <w:top w:val="single" w:sz="8" w:color="CCEEFF"/>
              <w:bottom w:val="single" w:sz="8" w:color="CCEEFF"/>
              <w:right w:val="single" w:sz="8" w:color="auto"/>
            </w:tcBorders>
            <w:gridSpan w:val="3"/>
            <w:shd w:val="clear" w:color="auto" w:fill="CCEEFF"/>
          </w:tcPr>
          <w:p>
            <w:pPr>
              <w:spacing w:after="0"/>
              <w:rPr>
                <w:sz w:val="24"/>
                <w:szCs w:val="24"/>
                <w:color w:val="auto"/>
              </w:rPr>
            </w:pPr>
          </w:p>
        </w:tc>
        <w:tc>
          <w:tcPr>
            <w:tcW w:w="2520" w:type="dxa"/>
            <w:vAlign w:val="bottom"/>
            <w:tcBorders>
              <w:top w:val="single" w:sz="8" w:color="CCEEFF"/>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Barrett v. Tucci,</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Mass. Superior Court, Middlesex</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10/16/2015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15-6023-A</w:t>
            </w:r>
          </w:p>
        </w:tc>
        <w:tc>
          <w:tcPr>
            <w:tcW w:w="2520" w:type="dxa"/>
            <w:vAlign w:val="bottom"/>
            <w:tcBorders>
              <w:right w:val="single" w:sz="8" w:color="auto"/>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Graulich v. Tucci,</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10/19/2015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2520" w:type="dxa"/>
            <w:vAlign w:val="bottom"/>
            <w:tcBorders>
              <w:righ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County</w:t>
            </w:r>
          </w:p>
        </w:tc>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left w:val="single" w:sz="8" w:color="auto"/>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16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Civ. No. 1584-3169-BLS1</w:t>
            </w:r>
          </w:p>
        </w:tc>
        <w:tc>
          <w:tcPr>
            <w:tcW w:w="2520" w:type="dxa"/>
            <w:vAlign w:val="bottom"/>
            <w:tcBorders>
              <w:bottom w:val="single" w:sz="8" w:color="CCEEFF"/>
              <w:right w:val="single" w:sz="8" w:color="auto"/>
            </w:tcBorders>
            <w:gridSpan w:val="3"/>
            <w:vMerge w:val="continue"/>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Vassallo v. EMC Corp.,</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10/19/2015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1584-3173-BLS1</w:t>
            </w:r>
          </w:p>
        </w:tc>
        <w:tc>
          <w:tcPr>
            <w:tcW w:w="2520" w:type="dxa"/>
            <w:vAlign w:val="bottom"/>
            <w:tcBorders>
              <w:right w:val="single" w:sz="8" w:color="auto"/>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City of Miami Police Relief &amp; Pension Fund v. Tucci,</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10/19/2015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3840" w:type="dxa"/>
            <w:vAlign w:val="bottom"/>
            <w:tcBorders>
              <w:top w:val="single" w:sz="8" w:color="auto"/>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Civ. No. 1584-3174-BLS1</w:t>
            </w:r>
          </w:p>
        </w:tc>
        <w:tc>
          <w:tcPr>
            <w:tcW w:w="1320" w:type="dxa"/>
            <w:vAlign w:val="bottom"/>
            <w:tcBorders>
              <w:top w:val="single" w:sz="8" w:color="CCEEFF"/>
              <w:bottom w:val="single" w:sz="8" w:color="CCEEFF"/>
              <w:right w:val="single" w:sz="8" w:color="auto"/>
            </w:tcBorders>
            <w:gridSpan w:val="2"/>
            <w:shd w:val="clear" w:color="auto" w:fill="CCEEFF"/>
          </w:tcPr>
          <w:p>
            <w:pPr>
              <w:spacing w:after="0"/>
              <w:rPr>
                <w:sz w:val="24"/>
                <w:szCs w:val="24"/>
                <w:color w:val="auto"/>
              </w:rPr>
            </w:pPr>
          </w:p>
        </w:tc>
        <w:tc>
          <w:tcPr>
            <w:tcW w:w="2520" w:type="dxa"/>
            <w:vAlign w:val="bottom"/>
            <w:tcBorders>
              <w:top w:val="single" w:sz="8" w:color="CCEEFF"/>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6.</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Lasker v. EMC Corp.,</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10/23/2015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1584-3214-BLS1</w:t>
            </w:r>
          </w:p>
        </w:tc>
        <w:tc>
          <w:tcPr>
            <w:tcW w:w="2520" w:type="dxa"/>
            <w:vAlign w:val="bottom"/>
            <w:tcBorders>
              <w:right w:val="single" w:sz="8" w:color="auto"/>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Walsh v. EMC Corp.,</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District Court,</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10/27/2015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Civ. No. 15-13654</w:t>
            </w:r>
          </w:p>
        </w:tc>
        <w:tc>
          <w:tcPr>
            <w:tcW w:w="3660" w:type="dxa"/>
            <w:vAlign w:val="bottom"/>
            <w:tcBorders>
              <w:top w:val="single" w:sz="8" w:color="CCEEFF"/>
              <w:bottom w:val="single" w:sz="8" w:color="CCEEFF"/>
              <w:right w:val="single" w:sz="8" w:color="auto"/>
            </w:tcBorders>
            <w:gridSpan w:val="8"/>
            <w:shd w:val="clear" w:color="auto" w:fill="CCEEFF"/>
          </w:tcPr>
          <w:p>
            <w:pPr>
              <w:spacing w:after="0"/>
              <w:rPr>
                <w:sz w:val="24"/>
                <w:szCs w:val="24"/>
                <w:color w:val="auto"/>
              </w:rPr>
            </w:pPr>
          </w:p>
        </w:tc>
        <w:tc>
          <w:tcPr>
            <w:tcW w:w="2520" w:type="dxa"/>
            <w:vAlign w:val="bottom"/>
            <w:tcBorders>
              <w:top w:val="single" w:sz="8" w:color="CCEEFF"/>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8.</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Local Union No. 373 U.A. Pension Plan v. EMC Corp.,</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10/28/2015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Civ. No. 1584-3253-BLS1</w:t>
            </w:r>
          </w:p>
        </w:tc>
        <w:tc>
          <w:tcPr>
            <w:tcW w:w="120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City of Lakeland Emps.' Pension &amp; Ret. Fund v. Tucci,</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10/28/2015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Civ. No. 1584-3269-BLS1</w:t>
            </w:r>
          </w:p>
        </w:tc>
        <w:tc>
          <w:tcPr>
            <w:tcW w:w="252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Ma v. Tucci,</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Mass. Superior Court, Suffolk</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10/29/2015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tcBorders>
              <w:right w:val="single" w:sz="8" w:color="auto"/>
            </w:tcBorders>
            <w:gridSpan w:val="4"/>
          </w:tcPr>
          <w:p>
            <w:pPr>
              <w:spacing w:after="0" w:line="20" w:lineRule="exact"/>
              <w:rPr>
                <w:sz w:val="1"/>
                <w:szCs w:val="1"/>
                <w:color w:val="auto"/>
              </w:rPr>
            </w:pPr>
          </w:p>
        </w:tc>
        <w:tc>
          <w:tcPr>
            <w:tcW w:w="2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1584-3281-BLS1</w:t>
            </w:r>
          </w:p>
        </w:tc>
        <w:tc>
          <w:tcPr>
            <w:tcW w:w="2520" w:type="dxa"/>
            <w:vAlign w:val="bottom"/>
            <w:tcBorders>
              <w:right w:val="single" w:sz="8" w:color="auto"/>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Stull v. EMC Corp.,</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District Court,</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10/30/2015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3"/>
              </w:rPr>
              <w:t>Civ. No. 15-13692</w:t>
            </w:r>
          </w:p>
        </w:tc>
        <w:tc>
          <w:tcPr>
            <w:tcW w:w="3780" w:type="dxa"/>
            <w:vAlign w:val="bottom"/>
            <w:tcBorders>
              <w:top w:val="single" w:sz="8" w:color="CCEEFF"/>
              <w:bottom w:val="single" w:sz="8" w:color="CCEEFF"/>
              <w:right w:val="single" w:sz="8" w:color="auto"/>
            </w:tcBorders>
            <w:gridSpan w:val="9"/>
            <w:shd w:val="clear" w:color="auto" w:fill="CCEEFF"/>
          </w:tcPr>
          <w:p>
            <w:pPr>
              <w:spacing w:after="0"/>
              <w:rPr>
                <w:sz w:val="24"/>
                <w:szCs w:val="24"/>
                <w:color w:val="auto"/>
              </w:rPr>
            </w:pPr>
          </w:p>
        </w:tc>
        <w:tc>
          <w:tcPr>
            <w:tcW w:w="2520" w:type="dxa"/>
            <w:vAlign w:val="bottom"/>
            <w:tcBorders>
              <w:top w:val="single" w:sz="8" w:color="CCEEFF"/>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Jacobs v. EMC Corp.,</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Mass. Superior Court, Middlesex</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11/12/2015</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7"/>
              </w:rPr>
              <w:t>Civ. No. 15-6318-H</w:t>
            </w:r>
          </w:p>
        </w:tc>
        <w:tc>
          <w:tcPr>
            <w:tcW w:w="3620" w:type="dxa"/>
            <w:vAlign w:val="bottom"/>
            <w:tcBorders>
              <w:right w:val="single" w:sz="8" w:color="auto"/>
            </w:tcBorders>
            <w:gridSpan w:val="7"/>
          </w:tcPr>
          <w:p>
            <w:pPr>
              <w:spacing w:after="0"/>
              <w:rPr>
                <w:sz w:val="20"/>
                <w:szCs w:val="20"/>
                <w:color w:val="auto"/>
              </w:rPr>
            </w:pPr>
          </w:p>
        </w:tc>
        <w:tc>
          <w:tcPr>
            <w:tcW w:w="2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Ford v. VMware, Inc.,</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Delaware Chancery Court</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11/17/2015</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1560" w:type="dxa"/>
            <w:vAlign w:val="bottom"/>
            <w:tcBorders>
              <w:top w:val="single" w:sz="8" w:color="auto"/>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3"/>
              </w:rPr>
              <w:t>C.A. No. 11714-VCL</w:t>
            </w:r>
          </w:p>
        </w:tc>
        <w:tc>
          <w:tcPr>
            <w:tcW w:w="3600" w:type="dxa"/>
            <w:vAlign w:val="bottom"/>
            <w:tcBorders>
              <w:top w:val="single" w:sz="8" w:color="CCEEFF"/>
              <w:bottom w:val="single" w:sz="8" w:color="CCEEFF"/>
              <w:right w:val="single" w:sz="8" w:color="auto"/>
            </w:tcBorders>
            <w:gridSpan w:val="6"/>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CCEEFF"/>
              <w:bottom w:val="single" w:sz="8" w:color="CCEEFF"/>
            </w:tcBorders>
            <w:shd w:val="clear" w:color="auto" w:fill="CCEEFF"/>
          </w:tcPr>
          <w:p>
            <w:pPr>
              <w:spacing w:after="0"/>
              <w:rPr>
                <w:sz w:val="24"/>
                <w:szCs w:val="24"/>
                <w:color w:val="auto"/>
              </w:rPr>
            </w:pPr>
          </w:p>
        </w:tc>
        <w:tc>
          <w:tcPr>
            <w:tcW w:w="204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color w:val="auto"/>
              </w:rPr>
              <w:t>14.</w:t>
            </w:r>
          </w:p>
        </w:tc>
        <w:tc>
          <w:tcPr>
            <w:tcW w:w="400" w:type="dxa"/>
            <w:vAlign w:val="bottom"/>
            <w:tcBorders>
              <w:top w:val="single" w:sz="8" w:color="auto"/>
            </w:tcBorders>
          </w:tcPr>
          <w:p>
            <w:pPr>
              <w:spacing w:after="0"/>
              <w:rPr>
                <w:sz w:val="19"/>
                <w:szCs w:val="19"/>
                <w:color w:val="auto"/>
              </w:rPr>
            </w:pPr>
          </w:p>
        </w:tc>
        <w:tc>
          <w:tcPr>
            <w:tcW w:w="516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Pancake v. EMC Corp.,</w:t>
            </w:r>
          </w:p>
        </w:tc>
        <w:tc>
          <w:tcPr>
            <w:tcW w:w="25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U.S. District Court,</w:t>
            </w: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1/11/2016</w:t>
            </w:r>
          </w:p>
        </w:tc>
        <w:tc>
          <w:tcPr>
            <w:tcW w:w="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Civ. No. 16-10040</w:t>
            </w:r>
          </w:p>
        </w:tc>
        <w:tc>
          <w:tcPr>
            <w:tcW w:w="3500" w:type="dxa"/>
            <w:vAlign w:val="bottom"/>
            <w:tcBorders>
              <w:right w:val="single" w:sz="8" w:color="auto"/>
            </w:tcBorders>
            <w:gridSpan w:val="5"/>
          </w:tcPr>
          <w:p>
            <w:pPr>
              <w:spacing w:after="0"/>
              <w:rPr>
                <w:sz w:val="20"/>
                <w:szCs w:val="20"/>
                <w:color w:val="auto"/>
              </w:rPr>
            </w:pPr>
          </w:p>
        </w:tc>
        <w:tc>
          <w:tcPr>
            <w:tcW w:w="2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District of Massachusetts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516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Booth Family Trust v. EMC Corp.,</w:t>
            </w:r>
          </w:p>
        </w:tc>
        <w:tc>
          <w:tcPr>
            <w:tcW w:w="25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District Court,</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1/26/2016</w:t>
            </w:r>
          </w:p>
        </w:tc>
        <w:tc>
          <w:tcPr>
            <w:tcW w:w="3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Borders>
              <w:top w:val="single" w:sz="8" w:color="CCEEFF"/>
              <w:left w:val="single" w:sz="8" w:color="auto"/>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2460" w:type="dxa"/>
            <w:vAlign w:val="bottom"/>
            <w:tcBorders>
              <w:top w:val="single" w:sz="8" w:color="auto"/>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Civ. No. 16-10114</w:t>
            </w:r>
          </w:p>
        </w:tc>
        <w:tc>
          <w:tcPr>
            <w:tcW w:w="2700" w:type="dxa"/>
            <w:vAlign w:val="bottom"/>
            <w:tcBorders>
              <w:top w:val="single" w:sz="8" w:color="CCEEFF"/>
              <w:bottom w:val="single" w:sz="8" w:color="CCEEFF"/>
              <w:right w:val="single" w:sz="8" w:color="auto"/>
            </w:tcBorders>
            <w:gridSpan w:val="4"/>
            <w:shd w:val="clear" w:color="auto" w:fill="CCEEFF"/>
          </w:tcPr>
          <w:p>
            <w:pPr>
              <w:spacing w:after="0"/>
              <w:rPr>
                <w:sz w:val="23"/>
                <w:szCs w:val="23"/>
                <w:color w:val="auto"/>
              </w:rPr>
            </w:pPr>
          </w:p>
        </w:tc>
        <w:tc>
          <w:tcPr>
            <w:tcW w:w="2520" w:type="dxa"/>
            <w:vAlign w:val="bottom"/>
            <w:tcBorders>
              <w:top w:val="single" w:sz="8" w:color="CCEEFF"/>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fifteen lawsuits sought, among other things, injunctive relief enjoining the EMC merger, rescission of the EMC merger if consummated, an award of fees and costs, and/or an award of damages.</w:t>
      </w:r>
    </w:p>
    <w:p>
      <w:pPr>
        <w:spacing w:after="0" w:line="170"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complaints in the IBEW, Barrett, Graulich, Vassallo, City of Miami, Lasker, Local Union No. 373, City of Lakeland, and Ma actions generally allege that the EMC directors breached their fiduciary duties to EMC shareholders in connection with the EMC merger by, among other things, failing to maximize shareholder value and agreeing to provisions in the EMC merger agreement that discouraged competing bids. After consolidating the nine complaints, by decision dated December 7, 2015, the Business Litigation Session of the Suffolk County Superior Court in Massachusetts dismissed all nine complaints for failure to make a demand on the EMC board of directors. Three of the nine plaintiffs in the consolidated actions appealed the judgment dismissing their complaints. The Massachusetts Supreme Judicial Court granted an application for direct appellate review, and heard oral argument on the appeal on November 7, 2016. On March 6, 2017, the Supreme Judicial Court issued a decision affirming the dismissal. This decision terminates the consolidated actions.</w:t>
      </w:r>
    </w:p>
    <w:p>
      <w:pPr>
        <w:spacing w:after="0" w:line="17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complaints in the Walsh, Stull, Pancake, and Booth actions allege that the EMC directors breached their fiduciary duties to EMC shareholders in connection with the EMC merger by, among other things, failing to maximize shareholder value and agreeing to provisions in the EMC merger agreement that discouraged competing bids. The complaints generally further allege that the preliminary SEC Form S-4 filed by the Company on December 14, 2015 in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380"/>
          </w:cols>
          <w:pgMar w:left="240" w:top="125" w:right="27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connection with the transaction contained material misstatements and omissions, in violation of Section 14(a) of the Securities Exchange Act of 1934 (the "Exchange Act") and SEC Rule 14a-9 promulgated thereunder and/or that the Company, Dell, and Universal acted as controlling persons of EMC under Section 20(a) of the Exchange Act. On June 6, 2016, the Securities and Exchange Commission declared effective the Company's registration statement on Form S-4 relating to the EMC merger (the "SEC Form S-4"), including the amendments thereto. On June 17, 2016, the parties to the Walsh, Stull, Pancake, and Booth actions submitted to the Court a Stipulation and Proposed Order Dismissing Action and Retaining Jurisdiction to Determine Plaintiffs' Counsel's Application for an Award of Attorneys' Fees and Reimbursement of Expenses. In the stipulation, the plaintiffs represented to the Court that they believe sufficient information had been disclosed to warrant dismissal of the actions as moot in light of the disclosures in the SEC Form S-4, including the amendments thereto. On October 25, 2016, following an agreement between the parties with respect to attorneys' fees and expenses, the Court entered an order terminating the four actions for all purposes.</w:t>
      </w:r>
    </w:p>
    <w:p>
      <w:pPr>
        <w:spacing w:after="0" w:line="167"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The amended complaints in the Jacobs and Ford actions allege that EMC, as the majority stockholder of VMware, Inc. ("VMware"), and the individual defendants, who are directors of EMC, VMware, or both, breached their fiduciary duties to minority stockholders of VMware in connection with the proposed EMC merger by allegedly entering into or approving a merger that favors the interests of EMC and Dell at the expense of the minority stockholders. The plaintiffs in the Jacobs action also brought suit against the Company, Dell, and Universal as alleged aiders and abettors. Effective December 2, 2016, the parties entered into an agreement to resolve the Jacobs action, pursuant to which the plaintiff voluntarily dismissed the action with prejudice. Under the operative amended complaint in the Ford action, the plaintiffs also brought suit against the Company and Dell for alleged breach of fiduciary duties to VMware and its stockholders, and against the Company, Dell, and Universal for aiding and abetting the alleged breach of fiduciary duties by EMC and VMware's directors. Certain defendants filed motions to dismiss the amended complaint on June 21, 2016. A hearing on those motions was held on February 3, 2017. No trial date has been set in the Ford action, and the outcome is uncertain. An adverse judgment for monetary damages in the Ford matter could have an adverse effect on the Company's operations.</w:t>
      </w:r>
    </w:p>
    <w:p>
      <w:pPr>
        <w:spacing w:after="0" w:line="169"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i w:val="1"/>
          <w:iCs w:val="1"/>
          <w:color w:val="auto"/>
        </w:rPr>
        <w:t xml:space="preserve">Appraisal Proceedings </w:t>
      </w:r>
      <w:r>
        <w:rPr>
          <w:rFonts w:ascii="Arial" w:cs="Arial" w:eastAsia="Arial" w:hAnsi="Arial"/>
          <w:sz w:val="16"/>
          <w:szCs w:val="16"/>
          <w:color w:val="auto"/>
        </w:rPr>
        <w:t>— Holders of shares of Dell common stock who did not vote on September 12, 2013 in favor of the proposal to adopt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going-private transaction agreement and who properly demanded appraisal of their shares and who otherwise comply with the requirements of Section 262 of the Delaware General Corporate Law ("DGCL") are entitled to seek appraisal for, and obtain payment in cash for the judicially determined "fair value" (as defined pursuant to Section 262 of the DGCL) of, their shares in lieu of receiving the going-private transaction consideration. Dell initially recorded a liability of $13.75 for each share with respect to which appraisal has been demanded and as to which the demand has not been withdrawn, together with interest at the statutory rate discussed below. As of February 3, 2017, this liability was approximately $129 million, compared to approximately $593 million as of January 29, 2016, as the Company settled, during the fiscal year ended February 3, 2017, with certain funds affiliated with T. Rowe Price on the approximately 31,653,905 shares held by the funds. Also during the fiscal year ended February 3, 2017, the Court of Chancery ruled that the fair value of the appraisal shares as of October 29, 2013, the date on which the going-private transaction became effective, was $17.62 per share. This ruling would entitle the holders of the remaining 5,505,730 shares subject to the appraisal proceedings to $17.62 per share, plus interest at a statutory rate, compounded quarterly. On November 21, 2016, the Court of Chancery entered final judgment in the appraisal action. On November 22, 2016, Dell filed a notice of appeal to the Delaware Supreme Court. That appeal is pending. The Company believes it was adequately reserved for the appraisal proceedings as of February 3, 2017.</w:t>
      </w:r>
    </w:p>
    <w:p>
      <w:pPr>
        <w:spacing w:after="0" w:line="175" w:lineRule="exact"/>
        <w:rPr>
          <w:sz w:val="20"/>
          <w:szCs w:val="20"/>
          <w:color w:val="auto"/>
        </w:rPr>
      </w:pPr>
    </w:p>
    <w:p>
      <w:pPr>
        <w:ind w:left="660" w:right="120"/>
        <w:spacing w:after="0" w:line="272" w:lineRule="auto"/>
        <w:rPr>
          <w:sz w:val="20"/>
          <w:szCs w:val="20"/>
          <w:color w:val="auto"/>
        </w:rPr>
      </w:pP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 On May 22, 2014, a securities class action seeking compensatory damages was filed in the United States District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Southern District of New York, captioned the City of Pontiac Employee Retirement System vs. Dell Inc. et. al. (Case No. 1:14-cv-03644). The action names as defendants Dell Inc. and certain current and former executive officers, and alleges that Dell made false and misleading statements about Dell's business operations and products between February 22, 2012 and May 22, 2012, which resulted in artificially inflated stock prices. The case was transferred to the United States District Court for the Western District of Texas, where the defendants filed a motion to dismiss. On September 16, 2016, the Court denied the motion to dismiss and the case is proceeding with discovery. The defendants believe the claims asserted are without merit and the risk of material loss is remote.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i w:val="1"/>
          <w:iCs w:val="1"/>
          <w:color w:val="auto"/>
        </w:rPr>
        <w:t xml:space="preserve">Copyright Levies </w:t>
      </w:r>
      <w:r>
        <w:rPr>
          <w:rFonts w:ascii="Arial" w:cs="Arial" w:eastAsia="Arial" w:hAnsi="Arial"/>
          <w:sz w:val="16"/>
          <w:szCs w:val="16"/>
          <w:color w:val="auto"/>
        </w:rPr>
        <w:t>— The Company's obligation to collect and remit copyright levies in certain European Union ("EU") countries may be affected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resolution of legal proceedings pending in Germany against various companies, including Dell's German subsidiary, and elsewhere in the EU against other companies in Dell's industry. The plaintiffs in those proceedings, some of which are described below, generally seek to impose or modify the levies with respect to sales of such equipment as multifunction devices, phones, personal computers, and printers, alleging that such products enable the copying of copyrighted materials. Some of the proceedings also challenge whether the levy schemes in those countries comply with EU law. Certain EU member countries that do not yet impose levies on digital devices are expected to implement legislation to enable them to extend existing levy schemes, while some other EU member countries are expected to limit the scope of levy schemes and their applicability in the digital hardware environment. Dell, other companies, and various industry associations have opposed the extension of levies to the digital environment and have advocated alternative models of compensation to rights holders. The Company continues to collect levies in certain EU countries where it has determined that based on local laws it is probable that it has a payment obligation. The amount of levies is generally based on the number of products sold and the per-product amounts of the levies, which vary. The Company accrues a liability when it believes that it is both probable that a loss has been incurred and when it can reasonably estimate the amount of the loss.</w:t>
      </w:r>
    </w:p>
    <w:p>
      <w:pPr>
        <w:spacing w:after="0" w:line="169"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On December 29, 2005, Zentralstelle für private Überspielungsrechte ("ZPÜ"), a joint association of various German collecting societies, instituted arbitration proceedings against Dell's German subsidiary before the Board of Arbitration at the German Patent and Trademark Office in Munich, and subsequently filed a lawsuit in the German Regional Court in Munich on February 21, 2008, seeking levies to be paid on each personal computer sold by Dell in Germany through the end of calendar year 2007. On December 23, 2009, ZPÜ and the German industry association, BCH, reached a settlement regarding audio-video copyright levy litigation (with levies ranging from €3.15 to €13.65 per unit). Dell joined this settlement on February 23, 2010, and has paid the amounts due under the settlement. On March 25, 2014, ZPÜ and Dell reached a settlement for levies to be paid on each personal computer sold for the period of January 2, 2011 through December 31, 2016. The amount of the settlement is not material to the Company. The amount of any levies payable after calendar year 2016, as well as the Company's ability to recover such amounts through increased prices, remains uncertain.</w:t>
      </w:r>
    </w:p>
    <w:p>
      <w:pPr>
        <w:spacing w:after="0" w:line="182"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German courts are also considering a lawsuit originally filed in July 2004 by VG Wort, a German collecting society representing certain copyright holders, against Hewlett-Packard Company in the Stuttgart Civil Court seeking levies on printers, and a lawsuit originally filed in September 2003 by the same plaintiff against Fujitsu Siemens Computer GmbH in Munich Civil Court in Munich, Germany seeking levies on personal computers. In each case, the civil and appellate courts held that the subject classes of equipment were subject to levies. In July 2011, the German Federal Supreme Court, to which the lower court holdings have been appealed, referred each case to the Court of Justice of the European Union, submitting a number of legal questions on the interpretation of the European Copyright Directive which the German Federal Supreme Court deems necessary for its decision. In August 2014, the German Supreme Court delivered an opinion ruling that printers and personal computers are subject to levies, and referred the case back to the Court of Appeals. Dell joined the industry settlement in the Fujitsu Siemens case, and Dell believes it has no remaining material obligations in either case.</w:t>
      </w:r>
    </w:p>
    <w:p>
      <w:pPr>
        <w:spacing w:after="0" w:line="182"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Proceedings seeking to impose or modify copyright levies for sales of digital devices also have been instituted in courts in other EU member states. Even in countries where Dell is not a party to such proceedings, decisions in those cases could impact Dell's business and the amount of copyright levies Dell may be required to collect.</w:t>
      </w:r>
    </w:p>
    <w:p>
      <w:pPr>
        <w:spacing w:after="0" w:line="181"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The ultimate resolution of these proceedings and the associated financial impact to the Company, if any, including the number of units potentially affected, the amount of levies imposed, and the ability of the Company to recover such amounts, remain uncertain at this time. Should the courts determine there is liability for previous units shipped beyond the amount of levies the Company has collected or accrued, the Company would be liable for such incremental amounts. Recovery of any such amounts from others by the Company would be possible only on future collections related to future shipments.</w:t>
      </w:r>
    </w:p>
    <w:p>
      <w:pPr>
        <w:spacing w:after="0" w:line="188"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litigation and a variety of patent suits. In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Dell is the sole defendant. More often, particularly in the patent suits, Dell is one of a number of defendants in the electronics and technology industries. Dell is actively defending a number of patent infringement suits, and several pending claims are in various stages of evaluation. While the number</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125"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of patent cases varies over time, Dell does not currently anticipate that any of these matters will have a material adverse effect on its business, financial condition, results of operations, or cash flows.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February 3, 2017,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u w:val="single" w:color="auto"/>
          <w:color w:val="auto"/>
        </w:rPr>
        <w:t>Indemnifications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In the ordinary course of business, the Company enters into contractual arrangements under which it may agree to indemnify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divestitures discussed in Note 4 of the Notes to the Consolidated Financial Statements, the Company has indemnified the purchasers of businesses for the occurrence of specified events. The Company does not currently believe that contingent obligations to provide indemnification in connection with these divestitures will have a material adverse effect on the Company.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u w:val="single" w:color="auto"/>
          <w:color w:val="auto"/>
        </w:rPr>
        <w:t>Certain Concentrations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maintains cash and cash equivalents, derivatives, and certain other financial instruments with various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February 3, 2017, January 29, 2016, or January 30, 2015.</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utilizes a limited number of contract manufacturers who assemble a portion of its products. The Company may purchase components from suppliers and sell those components to the contract manufacturers, thereby creating receivable balances from the contract manufacturers. The agreements with the majority of the contract manufacturers allow the Company a legal right to offset its payables against these receivables, thus mitigating the credit risk wholly or in part. Receivables from four contract manufacturers represented the majority of the gross non-trade receivables of $2.7 billion and $2.6 billion as of February 3, 2017 and January 29, 2016, respectively, of which $2.2 billion and $2.3 billion as of February 3, 2017 and January 29, 2016, respectively, have been offset against the corresponding payables. The portion of receivables not offset against payables is included in other current assets in the Consolidated Statement of Financial Position. The Company does not reflect the sale of the components in revenue and does not recognize any profit on the component sales until the related products are sold.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AND OTHER TAXES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provision for income taxes for the fiscal periods reflected in the Consolidated Financial Statements are not directly comparable primarily due to purchase accounting adjustments, interest charges, and stock-based compensation charges incurred as a result of the EMC merger transaction. For more information regarding the EMC merger transaction, see Note 3 of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from continuing operations consisted of the following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State/local</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Deferred:</w:t>
            </w:r>
          </w:p>
        </w:tc>
        <w:tc>
          <w:tcPr>
            <w:tcW w:w="9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State/local</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720" w:type="dxa"/>
            <w:vAlign w:val="bottom"/>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19"/>
        </w:trPr>
        <w:tc>
          <w:tcPr>
            <w:tcW w:w="9600" w:type="dxa"/>
            <w:vAlign w:val="bottom"/>
            <w:gridSpan w:val="8"/>
          </w:tcPr>
          <w:p>
            <w:pPr>
              <w:spacing w:after="0"/>
              <w:rPr>
                <w:sz w:val="20"/>
                <w:szCs w:val="20"/>
                <w:color w:val="auto"/>
              </w:rPr>
            </w:pPr>
            <w:r>
              <w:rPr>
                <w:rFonts w:ascii="Arial" w:cs="Arial" w:eastAsia="Arial" w:hAnsi="Arial"/>
                <w:sz w:val="18"/>
                <w:szCs w:val="18"/>
                <w:color w:val="auto"/>
                <w:w w:val="92"/>
              </w:rPr>
              <w:t>The Company's income (loss) from continuing operations before income taxes consisted of the following for the respective periods: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assets (liabilities) were as follows as of February 3, 2017 and January 29,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revenue and warranty provisions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 for product returns and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Credit carryforwards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carryforwards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Operating and compensation related accruals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Leasing and financing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Acquired intangibles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tables below summarize the net operating loss carryforwards, tax credit carryforwards, and other deferred tax assets with related valuation allowances recognized as of February 3, 2017 and January 29,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February 3, 2017</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2018</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3,259</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January 29, 2016</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2017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2017</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had deferred tax assets related to federal, state, and foreign net operating loss carryforwards of $132 million, $62 million, and $178 million, respectively, as of February 3, 2017, and $97 million, $49 million, and $598 million, respectively, as of January 29, 2016. The decrease in foreign net operating loss carryforwards is due to the reversal of a foreign exchange loss for tax purposes only, recorded for the year ended January 29, 2016 in a jurisdiction subject to a full valuation allowance, and as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20"/>
          </w:cols>
          <w:pgMar w:left="240" w:top="125" w:right="2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result it is not reflected in the U.S. GAAP rate reconciliation below. The Company's credit carryforwards as of February 3, 2017 and January 29, 2016 relate primarily to U.S. tax credits. The valuation allowances for other deferred tax assets as of February 3, 2017 and January 29, 2016 are primarily related to foreign jurisdictions. The Company has determined that it will be able to realize the remainder of its deferred tax assets, based on the future reversal of deferred tax liabilities.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EMC merger transaction, the Company acquired $6.5 billion of net deferred tax liabilities, which are included in other non-current assets and other non-current liabilities in the Consolidated Statements of Financial Position. The Company has not provided deferred taxes on undistributed earnings and other basis differences of its foreign subsidiaries as it is the Company's intention for these to remain permanently reinvested. Determination of the amount of unrecognized deferred income tax liability related to these earnings is not practicable. The basis differences in the amount of approximately $79.2 billion as of February 3, 2017 arose primarily from undistributed book earnings, which the Company intends to reinvest indefinitely, and purchase accounting adjustments. The basis differences could be reversed through a sale of the subsidiaries or the receipt of dividends from the subsidiaries, as well as various other events.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portion of the Company's operations is subject to a reduced tax rate or is free of tax under various tax holidays. For the fiscal years ended February 3, 2017, January 29, 2016, and January 30, 2015, the income tax benefits attributable to the tax status of these subsidiaries were estimated to be approximately $369 million ($0.79 per share of DHI Group Common Stock), $205 million ($0.51 per share), and $218 million ($0.54 per share), respectively. These income tax benefits are included in tax impact of foreign operations in the table below. Although a significant portion of these income tax benefits relate to a tax holiday that expired during the fiscal year ended February 3, 2017, the Company has negotiated new terms for the affected subsidiary. These new terms provide for a reduced income tax rate and will be effective for a two-year bridge period expiring in January 2019. The Company's other tax holidays will expire in whole or in part during Fiscal 2019 through Fiscal 2023. Many of these tax holidays and reduced tax rates may be extended when certain conditions are met or may be terminated early if certain conditions are not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income tax benefit from continuing operations to the statutory U.S. federal tax rate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580"/>
              <w:spacing w:after="0"/>
              <w:rPr>
                <w:sz w:val="20"/>
                <w:szCs w:val="20"/>
                <w:color w:val="auto"/>
              </w:rPr>
            </w:pPr>
            <w:r>
              <w:rPr>
                <w:rFonts w:ascii="Arial" w:cs="Arial" w:eastAsia="Arial" w:hAnsi="Arial"/>
                <w:sz w:val="18"/>
                <w:szCs w:val="18"/>
                <w:b w:val="1"/>
                <w:bCs w:val="1"/>
                <w:color w:val="auto"/>
              </w:rPr>
              <w:t>Fiscal Year Ended</w:t>
            </w:r>
          </w:p>
        </w:tc>
        <w:tc>
          <w:tcPr>
            <w:tcW w:w="222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February 3, 2017</w:t>
            </w:r>
          </w:p>
        </w:tc>
        <w:tc>
          <w:tcPr>
            <w:tcW w:w="2340" w:type="dxa"/>
            <w:vAlign w:val="bottom"/>
            <w:gridSpan w:val="2"/>
          </w:tcPr>
          <w:p>
            <w:pPr>
              <w:ind w:left="460"/>
              <w:spacing w:after="0"/>
              <w:rPr>
                <w:sz w:val="20"/>
                <w:szCs w:val="20"/>
                <w:color w:val="auto"/>
              </w:rPr>
            </w:pPr>
            <w:r>
              <w:rPr>
                <w:rFonts w:ascii="Arial" w:cs="Arial" w:eastAsia="Arial" w:hAnsi="Arial"/>
                <w:sz w:val="18"/>
                <w:szCs w:val="18"/>
                <w:b w:val="1"/>
                <w:bCs w:val="1"/>
                <w:color w:val="auto"/>
              </w:rPr>
              <w:t>January 29, 2016</w:t>
            </w:r>
          </w:p>
        </w:tc>
        <w:tc>
          <w:tcPr>
            <w:tcW w:w="2220" w:type="dxa"/>
            <w:vAlign w:val="bottom"/>
          </w:tcPr>
          <w:p>
            <w:pPr>
              <w:jc w:val="right"/>
              <w:ind w:right="370"/>
              <w:spacing w:after="0"/>
              <w:rPr>
                <w:sz w:val="20"/>
                <w:szCs w:val="20"/>
                <w:color w:val="auto"/>
              </w:rPr>
            </w:pPr>
            <w:r>
              <w:rPr>
                <w:rFonts w:ascii="Arial" w:cs="Arial" w:eastAsia="Arial" w:hAnsi="Arial"/>
                <w:sz w:val="18"/>
                <w:szCs w:val="18"/>
                <w:b w:val="1"/>
                <w:bCs w:val="1"/>
                <w:color w:val="auto"/>
              </w:rPr>
              <w:t>January 30, 2015</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foreign operations</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r>
      <w:tr>
        <w:trPr>
          <w:trHeight w:val="229"/>
        </w:trPr>
        <w:tc>
          <w:tcPr>
            <w:tcW w:w="4840" w:type="dxa"/>
            <w:vAlign w:val="bottom"/>
          </w:tcPr>
          <w:p>
            <w:pPr>
              <w:ind w:left="40"/>
              <w:spacing w:after="0"/>
              <w:rPr>
                <w:sz w:val="20"/>
                <w:szCs w:val="20"/>
                <w:color w:val="auto"/>
              </w:rPr>
            </w:pPr>
            <w:r>
              <w:rPr>
                <w:rFonts w:ascii="Arial" w:cs="Arial" w:eastAsia="Arial" w:hAnsi="Arial"/>
                <w:sz w:val="18"/>
                <w:szCs w:val="18"/>
                <w:color w:val="auto"/>
              </w:rPr>
              <w:t>Change in valuation allowance impacting tax rate and non-</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4840" w:type="dxa"/>
            <w:vAlign w:val="bottom"/>
          </w:tcPr>
          <w:p>
            <w:pPr>
              <w:ind w:left="40"/>
              <w:spacing w:after="0"/>
              <w:rPr>
                <w:sz w:val="20"/>
                <w:szCs w:val="20"/>
                <w:color w:val="auto"/>
              </w:rPr>
            </w:pPr>
            <w:r>
              <w:rPr>
                <w:rFonts w:ascii="Arial" w:cs="Arial" w:eastAsia="Arial" w:hAnsi="Arial"/>
                <w:sz w:val="18"/>
                <w:szCs w:val="18"/>
                <w:color w:val="auto"/>
              </w:rPr>
              <w:t>deductible operating losses</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(7.9)</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IRS tax audit settlement</w:t>
            </w: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Vendor and other settlements</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transaction-related costs</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2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48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A reconciliation of the Company's beginning and ending amount of unrecognized tax benefits is as follows: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7"/>
        </w:trPr>
        <w:tc>
          <w:tcPr>
            <w:tcW w:w="9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(in millions)</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Audit settlements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30, 2015</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Audit settlements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29, 2016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Unrecognized tax benefits assumed through EMC merger transaction</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Lapse of statute of limitations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9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Audit settlements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as of February 3, 2017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r>
      <w:tr>
        <w:trPr>
          <w:trHeight w:val="20"/>
        </w:trPr>
        <w:tc>
          <w:tcPr>
            <w:tcW w:w="9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fiscal year ended February 3, 2017, the Company acquired $558 million of unrecognized tax benefits as a part of the EMC merger transaction. The Company's net unrecognized tax benefits were $3.1 billion as of February 3, 2017 and January 29, 2016, and are included in other non-current liabilities in the Consolidated Statements of Financial Position.</w:t>
      </w:r>
    </w:p>
    <w:p>
      <w:pPr>
        <w:ind w:right="220"/>
        <w:spacing w:after="0" w:line="270" w:lineRule="auto"/>
        <w:rPr>
          <w:sz w:val="20"/>
          <w:szCs w:val="20"/>
          <w:color w:val="auto"/>
        </w:rPr>
      </w:pPr>
      <w:r>
        <w:rPr>
          <w:rFonts w:ascii="Arial" w:cs="Arial" w:eastAsia="Arial" w:hAnsi="Arial"/>
          <w:sz w:val="17"/>
          <w:szCs w:val="17"/>
          <w:color w:val="auto"/>
        </w:rPr>
        <w:t>The unrecognized tax benefits in the table above include $2.3 billion and $2.1 billion as of February 3, 2017 and January 29, 2016, respectively, that if recognized, would have impacted income tax expense, and do not include accrued interest and penalties of $737 million and $950 million as of February 3, 2017 and January 29, 2016, respectively. These interest and penalties are offset by tax benefits primarily from interest deductions which are not included in the table above. As of February 3, 2017 and January 29, 2016, respectively, these benefits were $286 million and $372 million, respectively. Interest and penalties related to income tax liabilities are included in income tax expense. The Company recorded interest and penalties of $94 million, $63 million, and $35 million for the fiscal years ended February 3, 2017, January 29, 2016, and January 30, 2015, respectively.</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The Company does not anticipate a significant change to the total amount of unrecognized tax benefits within the next twelve months.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fiscal year ended February 3, 2017, the Company effectively settled the Internal Revenue Service ("IRS") audit for fiscal years 2004 through 2006. As a result, during Fiscal 2017, the Company made a cash payment of $537 million and recorded a net income tax benefit of $297 million. The net income tax benefit had an impact of 5.5% on the effective tax rate.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U.S. federal income tax returns for fiscal years 2007 through 2009 are currently under examination by the IRS, which issued a Revenue Agent's Report ("RAR") related to those years during the fiscal year ended February 3, 2017. The IRS has proposed adjustments primarily relating to transfer pricing matters with which the Company disagrees and will contest through the IRS administrative appeals procedures. Prior to the EMC merger transaction, EMC received an RAR for its tax</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years 2009 and 2010. The Company also disagrees with certain proposed adjustments in this RAR and is currently contesting the proposed adjustments through the IRS administrative appeals process.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fiscal year 2000.</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may be required to provide collateral guarantees or indemnification to regulators and tax authorities until the matter is resolved.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125"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ACCUMULATED OTHER COMPREHENSIVE LOSS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Accumulated other comprehensive loss is presented in stockholders' equity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accumulated other comprehensive loss, net of tax, by the following components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Pension and Other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Cash Flow</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Postretirement</w:t>
            </w: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Hedges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5"/>
              </w:rPr>
              <w:t>Loss</w:t>
            </w:r>
          </w:p>
        </w:tc>
      </w:tr>
      <w:tr>
        <w:trPr>
          <w:trHeight w:val="3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30, 2015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29, 2016</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Less: Change in comprehensive loss attributable to non-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Amounts related to investments are reclassified to net income when gains and losses are realized. See Note 5 and Note 6 of the Notes to the Consolidated Financial Statements for more information on the Company's investments. Amounts related to the Company's cash flow hedges are reclassified to net income during the same period in which the items being hedged are recognized in earnings. In addition, any hedge ineffectiveness related to cash flow hedges is recognized currently in net income. See Note 9 of the Notes to the Consolidated Financial Statements for more information on the Company's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reclassifications out of accumulated other comprehensive loss, net of tax, to net income (loss)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February 3, 2017</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January 29, 2016</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Investments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Investments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ind w:left="480"/>
              <w:spacing w:after="0"/>
              <w:rPr>
                <w:sz w:val="20"/>
                <w:szCs w:val="20"/>
                <w:color w:val="auto"/>
              </w:rPr>
            </w:pPr>
            <w:r>
              <w:rPr>
                <w:rFonts w:ascii="Arial" w:cs="Arial" w:eastAsia="Arial" w:hAnsi="Arial"/>
                <w:sz w:val="18"/>
                <w:szCs w:val="18"/>
                <w:color w:val="auto"/>
              </w:rPr>
              <w:t>(in millions)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NON-CONTROLLING INTERESTS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SecureWorks </w:t>
      </w:r>
      <w:r>
        <w:rPr>
          <w:rFonts w:ascii="Arial" w:cs="Arial" w:eastAsia="Arial" w:hAnsi="Arial"/>
          <w:sz w:val="18"/>
          <w:szCs w:val="18"/>
          <w:color w:val="auto"/>
        </w:rPr>
        <w:t>— On April 27, 2016, SecureWorks completed a registered underwritten IPO of its Class A common stock. The non-controlling interests'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equity in SecureWorks is reflected as a component of the non-controlling interests in the accompanying Consolidated Statements of Financial Position and was $86 million as of February 3, 2017. As of February 3, 2017, Dell Technologies held approximately 87.5% of the outstanding equity interest in SecureWorks.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non-controlling interests were assumed on September 7, 2016 in connection with the EMC merger transaction:</w:t>
      </w:r>
    </w:p>
    <w:p>
      <w:pPr>
        <w:spacing w:after="0" w:line="22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 xml:space="preserve">VMware </w:t>
      </w:r>
      <w:r>
        <w:rPr>
          <w:rFonts w:ascii="Arial" w:cs="Arial" w:eastAsia="Arial" w:hAnsi="Arial"/>
          <w:sz w:val="18"/>
          <w:szCs w:val="18"/>
          <w:color w:val="auto"/>
        </w:rPr>
        <w:t>— The non-controlling interests' share of equity in VMware is reflected as a component of the non-controlling interests in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Financial Position and was $5.2 billion as of February 3, 2017. As of February 3, 2017, the Company held approximately 82.5% of the outstanding equity interest in VMware.</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Pivotal </w:t>
      </w:r>
      <w:r>
        <w:rPr>
          <w:rFonts w:ascii="Arial" w:cs="Arial" w:eastAsia="Arial" w:hAnsi="Arial"/>
          <w:sz w:val="17"/>
          <w:szCs w:val="17"/>
          <w:color w:val="auto"/>
        </w:rPr>
        <w:t>— A portion of the non-controlling interest in Pivotal is held by third parties in the form of a preferred equity instrument. Consequently, there is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attributable to such interest in Pivotal in the Consolidated Statements of Income (Loss). Additionally, due to the terms of the preferred equity instrument, the non-controlling interests in the Consolidated Statements of Financial Position are generally not impacted by Pivotal's equity-related activity. The preferred equity instrument is convertible into common shares at the non-controlling owner's election at any time.</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portion of the results of operations of Pivotal allocable to its other owners, whose interest is held in the form of common stock, is reflected as an adjustment to net income (loss) attributable to Dell Technologies in the accompanying Consolidated Statements of Income. The non-controlling interests' share of equity in Pivotal is reflected as a component of the non-controlling interests in the accompanying Consolidated Statements of Financial Position and was $472 million as of February 3, 2017. As of February 3, 2017, the Company held approximately 77.8% of the outstanding equity interest in Pivotal.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changes in the Company's ownership interest in SecureWorks, VMware, and Pivotal on the Company's equity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70"/>
        </w:trPr>
        <w:tc>
          <w:tcPr>
            <w:tcW w:w="9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3, 2017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Transfers (to) from the non-controlling interests: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Dell Technologies' additional paid-in-capital for equity issuances</w:t>
            </w:r>
          </w:p>
        </w:tc>
        <w:tc>
          <w:tcPr>
            <w:tcW w:w="200" w:type="dxa"/>
            <w:vAlign w:val="bottom"/>
            <w:shd w:val="clear" w:color="auto" w:fill="CCEEFF"/>
          </w:tcPr>
          <w:p>
            <w:pPr>
              <w:spacing w:after="0"/>
              <w:rPr>
                <w:sz w:val="24"/>
                <w:szCs w:val="24"/>
                <w:color w:val="auto"/>
              </w:rPr>
            </w:pP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88"/>
        </w:trPr>
        <w:tc>
          <w:tcPr>
            <w:tcW w:w="94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7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480" w:type="dxa"/>
            <w:vAlign w:val="bottom"/>
          </w:tcPr>
          <w:p>
            <w:pPr>
              <w:ind w:left="280"/>
              <w:spacing w:after="0"/>
              <w:rPr>
                <w:sz w:val="20"/>
                <w:szCs w:val="20"/>
                <w:color w:val="auto"/>
              </w:rPr>
            </w:pPr>
            <w:r>
              <w:rPr>
                <w:rFonts w:ascii="Arial" w:cs="Arial" w:eastAsia="Arial" w:hAnsi="Arial"/>
                <w:sz w:val="18"/>
                <w:szCs w:val="18"/>
                <w:color w:val="auto"/>
              </w:rPr>
              <w:t>Decrease in Dell Technologies' additional paid-in-capital for equity issuances and other equity activity</w:t>
            </w:r>
          </w:p>
        </w:tc>
        <w:tc>
          <w:tcPr>
            <w:tcW w:w="20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81"/>
        </w:trPr>
        <w:tc>
          <w:tcPr>
            <w:tcW w:w="9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from 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Change from net loss attributable to Dell Technologies Inc. and transfers to/from the non-controlling interests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5580"/>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its retained interest in the Class V Group equal to approximately 38% of the Company's economic interest in the Class V Group as of February 3, 2017. The Class V Common Stock is intended to track the economic performance of approximately 62% of the Company's economic interest in the Class V Group as of such date. As of February 3, 2017, the Class V Group consisted of approximately 338 million shares of Class A common stock of VMware held by the Company. See Note 18 of the Notes to the Consolidated Financial Statements and Exhibit 99.1 filed with the annual report on Form 10-K for the fiscal year ended February 3, 2017 for more information regarding the allocation of earnings from Dell Technologies' interest in VMware between the DHI Group and the Class V Common Stock.</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basic and diluted earnings (loss) per share for each of the periods presented:</w:t>
      </w:r>
    </w:p>
    <w:p>
      <w:pPr>
        <w:spacing w:after="0" w:line="275"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3, 2017</w:t>
      </w:r>
      <w:r>
        <w:rPr>
          <w:sz w:val="20"/>
          <w:szCs w:val="20"/>
          <w:color w:val="auto"/>
        </w:rPr>
        <w:tab/>
      </w:r>
      <w:r>
        <w:rPr>
          <w:rFonts w:ascii="Arial" w:cs="Arial" w:eastAsia="Arial" w:hAnsi="Arial"/>
          <w:sz w:val="18"/>
          <w:szCs w:val="18"/>
          <w:b w:val="1"/>
          <w:bCs w:val="1"/>
          <w:color w:val="auto"/>
        </w:rPr>
        <w:t>January 29, 2016</w:t>
      </w:r>
      <w:r>
        <w:rPr>
          <w:sz w:val="20"/>
          <w:szCs w:val="20"/>
          <w:color w:val="auto"/>
        </w:rPr>
        <w:tab/>
      </w:r>
      <w:r>
        <w:rPr>
          <w:rFonts w:ascii="Arial" w:cs="Arial" w:eastAsia="Arial" w:hAnsi="Arial"/>
          <w:sz w:val="16"/>
          <w:szCs w:val="16"/>
          <w:b w:val="1"/>
          <w:bCs w:val="1"/>
          <w:color w:val="auto"/>
        </w:rPr>
        <w:t>January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gridSpan w:val="4"/>
          </w:tcPr>
          <w:p>
            <w:pPr>
              <w:jc w:val="right"/>
              <w:ind w:right="390"/>
              <w:spacing w:after="0"/>
              <w:rPr>
                <w:sz w:val="20"/>
                <w:szCs w:val="20"/>
                <w:color w:val="auto"/>
              </w:rPr>
            </w:pPr>
            <w:r>
              <w:rPr>
                <w:rFonts w:ascii="Arial" w:cs="Arial" w:eastAsia="Arial" w:hAnsi="Arial"/>
                <w:sz w:val="18"/>
                <w:szCs w:val="18"/>
                <w:color w:val="auto"/>
              </w:rPr>
              <w:t>(in millions, except per share amounts)</w:t>
            </w:r>
          </w:p>
        </w:tc>
        <w:tc>
          <w:tcPr>
            <w:tcW w:w="9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7"/>
              </w:rPr>
              <w:t>Earnings (loss) per share attributable to Dell Technologies Inc. - basic:</w:t>
            </w:r>
          </w:p>
        </w:tc>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Continuing operations - Class V Common Stock - basic</w:t>
            </w: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1.44</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DHI Group - basic</w:t>
            </w:r>
          </w:p>
        </w:tc>
        <w:tc>
          <w:tcPr>
            <w:tcW w:w="9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8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9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Discontinued operations - DHI Group - basic</w:t>
            </w: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4.30</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0.16</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5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w w:val="95"/>
              </w:rPr>
              <w:t>Earnings (loss) per share attributable to Dell Technologies Inc. - diluted:</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Class V Common Stock - diluted</w:t>
            </w:r>
          </w:p>
        </w:tc>
        <w:tc>
          <w:tcPr>
            <w:tcW w:w="9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8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Continuing operations - DHI Group - diluted</w:t>
            </w: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 DHI Group - diluted</w:t>
            </w:r>
          </w:p>
        </w:tc>
        <w:tc>
          <w:tcPr>
            <w:tcW w:w="9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9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29,</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30,</w:t>
            </w: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7"/>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7"/>
          </w:tcPr>
          <w:p>
            <w:pPr>
              <w:jc w:val="center"/>
              <w:ind w:right="30"/>
              <w:spacing w:after="0"/>
              <w:rPr>
                <w:sz w:val="20"/>
                <w:szCs w:val="20"/>
                <w:color w:val="auto"/>
              </w:rPr>
            </w:pPr>
            <w:r>
              <w:rPr>
                <w:rFonts w:ascii="Arial" w:cs="Arial" w:eastAsia="Arial" w:hAnsi="Arial"/>
                <w:sz w:val="18"/>
                <w:szCs w:val="18"/>
                <w:color w:val="auto"/>
                <w:w w:val="90"/>
              </w:rPr>
              <w:t>(in millions, except per share amounts)</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Continuing operations - Class V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from continuing operations attributable to Class V Common Stock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attributable to Class V Common Stock (a)</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income from continuing operations attributable to Class V Common Stock - diluted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Numerator: Continuing operations - DHI Group</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Incremental dilution from VMware attributable to DHI Group (a)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318"/>
        </w:trPr>
        <w:tc>
          <w:tcPr>
            <w:tcW w:w="7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Discontinued operations - DHI Group</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 net of income taxes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 (b)</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shares outstanding - antidilutive (b)</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shares outstanding - antidilutive (c)</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8"/>
        </w:trPr>
        <w:tc>
          <w:tcPr>
            <w:tcW w:w="744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340" w:right="40" w:hanging="332"/>
        <w:spacing w:after="0" w:line="24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incremental dilution from VMware represents the impact of VMware's dilutive securities on the DHI Group and Class V Common Stock's respective diluted earnings (loss) per share and is calculated by multiplying the difference between VMware's basic and diluted earnings (loss) per share by the number of shares of VMware Class A common stock owned by the Company.</w:t>
      </w:r>
    </w:p>
    <w:p>
      <w:pPr>
        <w:spacing w:after="0" w:line="2"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outstanding. The antidilutive effect of these awards was also not material.</w:t>
      </w:r>
    </w:p>
    <w:p>
      <w:pPr>
        <w:ind w:left="340" w:right="280" w:hanging="332"/>
        <w:spacing w:after="0" w:line="323"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Stock-based incentive awards have been excluded from the calculation of the DHI Group's diluted earnings (loss) per share because their effect would have been antidilutive, as the Company had a net loss from continuing operations attributable to the DHI Group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to the consolidated net income (loss) attributable to Dell Technologies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29,</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30,</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Class V Common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DHI Group</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143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CAPITALIZATION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Reclassification </w:t>
      </w:r>
      <w:r>
        <w:rPr>
          <w:rFonts w:ascii="Arial" w:cs="Arial" w:eastAsia="Arial" w:hAnsi="Arial"/>
          <w:sz w:val="16"/>
          <w:szCs w:val="16"/>
          <w:color w:val="auto"/>
        </w:rPr>
        <w:t>— On September 5, 2016, before the registration of the Class V Common Stock of Dell Technologies under Section 12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in connection with the EMC merger transaction, holders of a majority of the outstanding shares of the Company's Series A Common Stock, Series B Common Stock, and Series C Common Stock approved the Fourth Amended and Restated Certificate of Incorporation of the Company (the "Amended and Restated Certificate of Incorporation") and the Amended and Restated Bylaws of the Company (the "Amended and Restated Bylaws"). The Amended and Restated Certificate of Incorporation and the Amended and Restated Bylaws became effective on September 7, 2016 before the closing of the EMC merger transaction. Upon the effectiveness of the Amended and Restated Certificate of Incorporation, the outstanding shares of the Company's Series A Common Stock, Series B Common Stock, and Series C Common Stock were automatically reclassified on a one-for-one basis into newly authorized shares of the Company's Class A Common Stock, Class B Common Stock, and Class C Common Stock, respectively (the "Reclassification"). The Amended and Restated Certificate of Incorporation also amended the Company's prior certificate of incorporation to authorize the Class D Common Stock and the Class V Common Stock. The Reclassification did not affect the Company's consolidated financial position or results of operations. Share information in the Consolidated Financial Statements has been restated to reflect the Reclassification.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w w:val="91"/>
              </w:rPr>
              <w:t>The following table summarizes the Company's common stock for the periods indicated: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b w:val="1"/>
                <w:bCs w:val="1"/>
                <w:color w:val="auto"/>
              </w:rPr>
              <w:t>Authorized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5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January 29, 2016</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Series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Series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Series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3, 2017</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Dell Technologies is authorized to issue one million shares of preferred stock, par value $.01 per share. As of February 3, 2017, no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stock were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DHI Group Common Stock </w:t>
      </w:r>
      <w:r>
        <w:rPr>
          <w:rFonts w:ascii="Arial" w:cs="Arial" w:eastAsia="Arial" w:hAnsi="Arial"/>
          <w:sz w:val="18"/>
          <w:szCs w:val="18"/>
          <w:color w:val="auto"/>
        </w:rPr>
        <w:t>— The Class A Common Stock, the Class B Common Stock, the Class C Common Stock, and the Class D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referred to as the DHI Group Common Stock. The par value for all classes of DHI Group Common Stock is $.01 per share. The Class A Common Stock, the Class B Common Stock, the Class C Common Stock, and the Class D Common Stock share equally in dividends declared or accumulated and have equal participation rights in undistributed earnings.</w:t>
      </w:r>
    </w:p>
    <w:p>
      <w:pPr>
        <w:spacing w:after="0" w:line="18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Of the 164 million shares of DHI Group Common Stock issued during the fiscal year ended February 3, 2017, 160 million shares were issued in connection with the EMC merger transaction. The Company issued and sold the following shares of DHI Group Common Stock at a purchase price of $27.50 per share to the persons identified below for an aggregate purchase price of $4.4 billion, pursuant to four separate common stock purchase agreements:</w:t>
      </w:r>
    </w:p>
    <w:p>
      <w:pPr>
        <w:spacing w:after="0" w:line="14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86,909,091 shares of Class A Common Stock to the MD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16,104,050 shares of Class A Common Stock to the MSDC Stockholders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38,805,040 shares of Class B Common Stock to the SLP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18,181,818 shares of Class C Common Stock to Temasek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applied the proceeds from the sale of the shares to finance a portion of the consideration for the EMC merger transaction.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Class V Common Stock </w:t>
      </w:r>
      <w:r>
        <w:rPr>
          <w:rFonts w:ascii="Arial" w:cs="Arial" w:eastAsia="Arial" w:hAnsi="Arial"/>
          <w:sz w:val="17"/>
          <w:szCs w:val="17"/>
          <w:color w:val="auto"/>
        </w:rPr>
        <w:t>— In connection with the EMC merger transaction, Dell Technologies authorized the issuance of 343 million shares of $.01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Class V Common Stock. Dell Technologies issued 223 million shares of Class V Common Stock to EMC shareholders on September 7, 2016 at a purchase price of $45.07 per share for an aggregate purchase price of approximately $10.0 billion. These 223 million shares are intended to track the economic performance of approximately 65% of Dell Technologies' economic interest in the Class V Group as of the closing date of the EMC merger transaction, while the remaining 120 million authorized and unissued shares represent the DHI Group's retained interest in approximately 35% of Dell Technologies' economic interest in the Class V Group as of such date. As of the closing date of the EMC merger transaction, the assets of the Class V Group consisted solely of 343 million shares of VMware Class A common stock held by the Company. Each share of Class V Common Stock is identical in all respects with, and has rights, powers, and privileges equal to those of, each other share of Class V Common Stock.</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Dell Technologies' board of directors may, with the approval of the independent capital stock committee of the board of directors, reallocate assets or liabilities between the Class V Group and the DHI Group, which could result in a change to the DHI Group's retained interest in the Class V Group. The relative economic interests of the two Groups, including the DHI Group's retained interest in the Class V Group, could also change if the Company issues or repurchases shares of Class V Common Stock.</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February 3, 2017, as described further below under "Repurchases of Common Stock; Treasury Stock," the Class V Common Stock had an approximately 62% interest in the Class V Group, while the DHI Group had an approximately 38% retained interest. See Exhibit 99.1 to the Company's annual report on Form 10-K for the fiscal year ended February 3, 2017 for more information regarding Unaudited Attributed Financial Information for the Class V Group.</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has the authority and discretion to declare and pay (or to refrain from declaring and paying) dividends on outstanding shares of DHI Group Common Stock and dividends on outstanding shares of Class V Common Stock, in equal or unequal amounts, or only on the DHI Group Common Stock or the Class V Common Stock. In the event of a liquidation, dissolution, distribution of assets, or winding up of the Company, the holders of shares of DHI Group Common Stock and the holders of shares of Class V Common Stock will be entitled to receive their proportionate interests in the assets of the Company remaining for distribution to holders of stock in proportion to the respective number of liquidation units per share of DHI Group Common Stock and Class V Common Stock,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 Treasury Stock</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Class V Common Stock Repurchases </w:t>
      </w:r>
      <w:r>
        <w:rPr>
          <w:rFonts w:ascii="Arial" w:cs="Arial" w:eastAsia="Arial" w:hAnsi="Arial"/>
          <w:sz w:val="16"/>
          <w:szCs w:val="16"/>
          <w:color w:val="auto"/>
        </w:rPr>
        <w:t>— On September 7, 2016, the board of directors of the Company approved a stock repurchase program (the "DHI Group</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under which the Company is authorized to use assets of the DHI Group to repurchase up to $1.0 billion of shares of Class V Common Stock over a period of two years. On December 13, 2016, the board of directors approved the suspension of the DHI Group Repurchase Program until such time as the board of directors authorizes the reinstatement of that program. During the fiscal year ended February 3, 2017, the Company repurchased 7 million shares of Class V Common Stock for $324 million using cash of the DHI Group. Shares repurchased under the DHI Group Repurchase Program are being held as treasury stock at cost. As of February 3, 2017, the Company's remaining authorized amount for share repurchases under the DHI Group Repurchase Program was $676 million. As cash of the DHI Group was used for Class V Common Stock repurchases under the DHI Group Repurchase Program, these repurchased shares were attributed to the DHI Group for the purposes of determining the DHI Group's retained interest in the Class V Group. As a result, the number of retained interest shares of the DHI Group, which, together with the number of shares of Class V Common Stock outstanding, are used to calculate such retained interest, increased on a one-for-one basis for each share of Class V Common Stock repurchased under the program.</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13, 2016, the board of directors approved a new stock repurchase program (the "Class V Group Repurchase Program") under which the Company is authorized to use assets of the Class V Group to repurchase up to $500 million of shares of Class V Common Stock over a period of six months. To the extent not retired, shares repurchased under the Class V Group Repurchase Program will be held as treasury stock at cost. The repurchase of shares pursuant to the Class V Group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Repurchase Program was funded from proceeds received by the Company from the sale by a subsidiary of the Company to VMware of shares of Class A common stock of VMware owned by such subsidiary, as described below under "VMware Class A Common Stock Repurchases." During the fiscal year ended February 3, 2017, the Company repurchased 7 million shares of Class V Common Stock for $418 million under the Class V Group Repurchase Program, of which $41 million of repurchases were settled subsequent to the close of the Company's fiscal year. These repurchased shares of Class V Common Stock are being held as treasury stock at cost. As of February 3, 2017, the Company's remaining authorized amount for share repurchases under the Class V Group Repurchase Program was $82 million. Subsequent to the close of the Company's fiscal year, the Company repurchased an additional 1 million shares of its Class V Common Stock to complete the transactions contemplated by the program.</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cash of the Class V Group is used for repurchases of Class V Common Stock made under the Class V Group Repurchase Program, these repurchased shares are not attributed to the DHI Group for the purposes of determining the DHI Group's retained interest in the Class V Group. As a result, although the number of outstanding shares of Class V Common Stock is reduced by the number of shares of Class V Common Stock repurchased under the program, the number of retained interest shares of the DHI Group is not affected. However, the DHI Group's retained interest in the Class V Group is increased relative to the interest of the Class V Common Stock due to the reduction in the number of outstanding shares of Class V Common Stock resulting from repurchases under the program. Share repurchases made by VMware of its Class A common stock from a subsidiary of the Company do not affect the determination of the respective interests of the Class V Common Stock and the DHI Group in the Class V Group.</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February 3, 2017, as a result of repurchases under the DHI Group Repurchase Program and the Class V Group Repurchase Program, the holders of the Class V Common Stock owned approximately 209 million shares which in the aggregate track the economic performance of approximately 62% of Dell Technologies' economic interest in the Class V Group, and the number of retained interest shares of the DHI Group was approximately 127 million shares, representing the remaining 38% economic interest in the Class V Group.</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VMware Class A Common Stock Repurchases </w:t>
      </w:r>
      <w:r>
        <w:rPr>
          <w:rFonts w:ascii="Arial" w:cs="Arial" w:eastAsia="Arial" w:hAnsi="Arial"/>
          <w:sz w:val="17"/>
          <w:szCs w:val="17"/>
          <w:color w:val="auto"/>
        </w:rPr>
        <w:t>— In April 2016, VMware's board of directors authorized the repurchase of up to $1.2 billion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VMware's Class A common stock through the end of 2016. All shares repurchased under VMware's stock repurchase programs are retired. During the period from September 7, 2016 through February 3, 2017, VMware repurchased $611 million of its Class A common stock under the April 2016 program, and the authorized amount for repurchases of VMware common stock was fully utilized as of February 3, 2017. These shares were purchased from public stockholders in open market transactions and were unrelated to the Class V Group Repurchase Program.</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15, 2016, the Company entered into a stock purchase agreement with VMware pursuant to which VMware agreed to repurchase for cash $500 million of shares of VMware Class A common stock from a subsidiary of the Company. The Company will apply the proceeds from the sale to the repurchase of shares of its Class V Common Stock under the Class V Group Repurchase Program described above. During the period from September 7, 2016 through February 3, 2017, VMware repurchased approximately 4.8 million shares of its Class A common stock under the December 2016 program. On February 15, 2017, subsequent to the close of the Company's fiscal year, VMware repurchased an additional 1.4 million shares of its Class A common stock to complete the transactions contemplated by the stock purchase agreement.</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January 2017, VMware's board of directors authorized the repurchase of up to $1.2 billion of shares of VMware's Class A common stock through the end of Fiscal 2018.</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DHI Group Common Stock Repurchases </w:t>
      </w:r>
      <w:r>
        <w:rPr>
          <w:rFonts w:ascii="Arial" w:cs="Arial" w:eastAsia="Arial" w:hAnsi="Arial"/>
          <w:sz w:val="18"/>
          <w:szCs w:val="18"/>
          <w:color w:val="auto"/>
        </w:rPr>
        <w:t>— During the fiscal year ended February 3, 2017, the Company repurchased an immaterial number of shares of DHI</w:t>
      </w:r>
      <w:r>
        <w:rPr>
          <w:rFonts w:ascii="Arial" w:cs="Arial" w:eastAsia="Arial" w:hAnsi="Arial"/>
          <w:sz w:val="18"/>
          <w:szCs w:val="18"/>
          <w:i w:val="1"/>
          <w:iCs w:val="1"/>
          <w:color w:val="auto"/>
        </w:rPr>
        <w:t xml:space="preserve"> </w:t>
      </w:r>
      <w:r>
        <w:rPr>
          <w:rFonts w:ascii="Arial" w:cs="Arial" w:eastAsia="Arial" w:hAnsi="Arial"/>
          <w:sz w:val="18"/>
          <w:szCs w:val="18"/>
          <w:color w:val="auto"/>
        </w:rPr>
        <w:t>Group Common Stock for approximately $10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125"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the Company was recognized in the Consolidated Statements of Income (Loss) as follows for the respective periods:</w:t>
      </w:r>
    </w:p>
    <w:p>
      <w:pPr>
        <w:spacing w:after="0" w:line="190"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3, 2017</w:t>
      </w:r>
      <w:r>
        <w:rPr>
          <w:sz w:val="20"/>
          <w:szCs w:val="20"/>
          <w:color w:val="auto"/>
        </w:rPr>
        <w:tab/>
      </w:r>
      <w:r>
        <w:rPr>
          <w:rFonts w:ascii="Arial" w:cs="Arial" w:eastAsia="Arial" w:hAnsi="Arial"/>
          <w:sz w:val="18"/>
          <w:szCs w:val="18"/>
          <w:b w:val="1"/>
          <w:bCs w:val="1"/>
          <w:color w:val="auto"/>
        </w:rPr>
        <w:t>January 29, 2016</w:t>
      </w:r>
      <w:r>
        <w:rPr>
          <w:sz w:val="20"/>
          <w:szCs w:val="20"/>
          <w:color w:val="auto"/>
        </w:rPr>
        <w:tab/>
      </w:r>
      <w:r>
        <w:rPr>
          <w:rFonts w:ascii="Arial" w:cs="Arial" w:eastAsia="Arial" w:hAnsi="Arial"/>
          <w:sz w:val="16"/>
          <w:szCs w:val="16"/>
          <w:b w:val="1"/>
          <w:bCs w:val="1"/>
          <w:color w:val="auto"/>
        </w:rPr>
        <w:t>January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expense (a) (b):</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Cost of net revenue</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before taxes</w:t>
            </w:r>
          </w:p>
        </w:tc>
        <w:tc>
          <w:tcPr>
            <w:tcW w:w="7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net of income taxes</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36188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ind w:left="340" w:right="400" w:hanging="332"/>
        <w:spacing w:after="0" w:line="264"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a result of the EMC merger transaction, stock-based compensation expense before taxes for the fiscal year ended February 3, 2017 includes $279 million related to VMware plans discussed below for the period from September 7, 2016 through February 3, 2017.</w:t>
      </w:r>
    </w:p>
    <w:p>
      <w:pPr>
        <w:ind w:left="340" w:right="260" w:hanging="332"/>
        <w:spacing w:after="0" w:line="255"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Stock-based compensation expense before taxes for the fiscal year ended February 3, 2017 does not include $807 million of post-merger stock-based compensation expense and related taxes resulting from the EMC merger transaction. See Note 3 of the Notes to the Consolidated Financial Statements for more information on the EMC merger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Dell Technologies Inc. 2013 Stock Incentive Plan </w:t>
      </w:r>
      <w:r>
        <w:rPr>
          <w:rFonts w:ascii="Arial" w:cs="Arial" w:eastAsia="Arial" w:hAnsi="Arial"/>
          <w:sz w:val="18"/>
          <w:szCs w:val="18"/>
          <w:color w:val="auto"/>
        </w:rPr>
        <w:t>— On September 7, 2016, at the effective time of the EMC merger transaction, the Denali Holding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Stock Incentive Plan (the "2013 Plan") was amended and restated as the Dell Technologies Inc. 2013 Stock Incentive Plan (the "Restated Plan"). Employees, consultants, non-employee directors, and other service providers of the Company or its affiliates are eligible to participate in the Restated Plan. The Restated Plan authorizes the issuance of an aggregate of 75 million shares of the Company's Class C Common Stock and 500,000 shares of the Company's Class V Common Stock, of which 61 million shares of Class C Common Stock were previously reserved for issuance under the 2013 Plan. The Restated Plan authorizes the Company to grant stock options, restricted stock units ("RSUs"), stock appreciation rights ("SARs"), restricted stock awards ("RSAs"), and dividend equivalents.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February 3, 2017 and January 29, 2016, there were 26 million and 17 million shares, respectively, of common stock of Dell Technologies available for future grants under the Restated Plan and the 2013 Plan, respectively.</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Stock Option Agreements </w:t>
      </w:r>
      <w:r>
        <w:rPr>
          <w:rFonts w:ascii="Arial" w:cs="Arial" w:eastAsia="Arial" w:hAnsi="Arial"/>
          <w:sz w:val="17"/>
          <w:szCs w:val="17"/>
          <w:color w:val="auto"/>
        </w:rPr>
        <w:t>— Stock options granted under the Restated Plan include service-based awards and performance-based awards.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service-based stock options vest pro-rata at each option anniversary date over a five-year period. Performance-based stock options, with a market condition, become exercisable upon achievement of return on equity ("ROE") metrics up to the seven-year anniversary of the going-private transaction date, depending upon the achievement of the market condition. Both service-based and performance-based stock options are granted with option exercise prices equal to the fair market value of the Company's common stock, as determined by the Company's board of directors or authorized committee. Generally, common stock issued under both service-based and performance-based awards are subject to liquidity events, such as an initial public offering, change in control, sales of common stock under a semi-annual company liquidity program, and calls and puts resulting upon the occurrence of specified events. A majority of the stock options expire ten years after the date of grant.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Stock Option Activity </w:t>
      </w:r>
      <w:r>
        <w:rPr>
          <w:rFonts w:ascii="Arial" w:cs="Arial" w:eastAsia="Arial" w:hAnsi="Arial"/>
          <w:sz w:val="18"/>
          <w:szCs w:val="18"/>
          <w:color w:val="auto"/>
        </w:rPr>
        <w:t>— The following table summarizes stock option activity settled in DHI Group Common Stock during the fiscal years ended February 3,</w:t>
      </w:r>
      <w:r>
        <w:rPr>
          <w:rFonts w:ascii="Arial" w:cs="Arial" w:eastAsia="Arial" w:hAnsi="Arial"/>
          <w:sz w:val="18"/>
          <w:szCs w:val="18"/>
          <w:i w:val="1"/>
          <w:iCs w:val="1"/>
          <w:color w:val="auto"/>
        </w:rPr>
        <w:t xml:space="preserve"> </w:t>
      </w:r>
      <w:r>
        <w:rPr>
          <w:rFonts w:ascii="Arial" w:cs="Arial" w:eastAsia="Arial" w:hAnsi="Arial"/>
          <w:sz w:val="18"/>
          <w:szCs w:val="18"/>
          <w:color w:val="auto"/>
        </w:rPr>
        <w:t>2017, January 29, 2016, and January 30,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240" w:type="dxa"/>
            <w:vAlign w:val="bottom"/>
          </w:tcPr>
          <w:p>
            <w:pPr>
              <w:spacing w:after="0"/>
              <w:rPr>
                <w:sz w:val="20"/>
                <w:szCs w:val="20"/>
                <w:color w:val="auto"/>
              </w:rPr>
            </w:pPr>
          </w:p>
        </w:tc>
        <w:tc>
          <w:tcPr>
            <w:tcW w:w="120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Options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430"/>
              <w:spacing w:after="0"/>
              <w:rPr>
                <w:sz w:val="20"/>
                <w:szCs w:val="20"/>
                <w:color w:val="auto"/>
              </w:rPr>
            </w:pPr>
            <w:r>
              <w:rPr>
                <w:rFonts w:ascii="Arial" w:cs="Arial" w:eastAsia="Arial" w:hAnsi="Arial"/>
                <w:sz w:val="18"/>
                <w:szCs w:val="18"/>
                <w:color w:val="auto"/>
                <w:w w:val="88"/>
              </w:rPr>
              <w:t>(per share)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as of January 31, 2014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60</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17.08</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13.75</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32.22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Options outstanding as of January 30, 2015</w:t>
            </w: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55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14.11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Canceled/expired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as of January 29, 2016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27.09</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15.51</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February 3, 2017 (a)</w:t>
            </w:r>
          </w:p>
        </w:tc>
        <w:tc>
          <w:tcPr>
            <w:tcW w:w="12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48</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8"/>
              </w:rPr>
              <w:t>14.75</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676</w:t>
            </w:r>
          </w:p>
        </w:tc>
      </w:tr>
      <w:tr>
        <w:trPr>
          <w:trHeight w:val="189"/>
        </w:trPr>
        <w:tc>
          <w:tcPr>
            <w:tcW w:w="42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Vested and expected to vest (net of estimated forfeitures),</w:t>
            </w: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3, 2017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44</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14.75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Exercisable as of February 3, 2017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16</w:t>
            </w:r>
          </w:p>
        </w:tc>
        <w:tc>
          <w:tcPr>
            <w:tcW w:w="14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14.63</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18"/>
        </w:trPr>
        <w:tc>
          <w:tcPr>
            <w:tcW w:w="4240" w:type="dxa"/>
            <w:vAlign w:val="bottom"/>
          </w:tcPr>
          <w:p>
            <w:pPr>
              <w:spacing w:after="0"/>
              <w:rPr>
                <w:sz w:val="20"/>
                <w:szCs w:val="20"/>
                <w:color w:val="auto"/>
              </w:rPr>
            </w:pPr>
            <w:r>
              <w:rPr>
                <w:rFonts w:ascii="Arial" w:cs="Arial" w:eastAsia="Arial" w:hAnsi="Arial"/>
                <w:sz w:val="16"/>
                <w:szCs w:val="16"/>
                <w:color w:val="auto"/>
              </w:rPr>
              <w:t>____________________</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left="340" w:right="80" w:hanging="332"/>
        <w:spacing w:after="0" w:line="2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 the 48 million stock options outstanding on February 3, 2017, 20 million related to performance-based awards and 28 million related to service-based awards.</w:t>
      </w:r>
    </w:p>
    <w:p>
      <w:pPr>
        <w:spacing w:after="0" w:line="18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total fair value of options vested was $50 million, $42 million, and $41 million for the fiscal years ended February 3, 2017, January 29, 2016, and January 30, 2015, respectively. The intrinsic value of the options exercised was $18 million, $4 million, and $1 million for the fiscal years ended February 3, 2017, January 29, 2016, and January 30, 2015, respectively. As of February 3, 2017, there was $94 million of total unrecognized stock-based compensation expense, net of estimated forfeitures, related to unvested stock options expected to be recognized over a weighted-average period of 2.4 years.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tax benefit realized from the exercise of stock options was $6 million, $1 million, and immaterial for the fiscal years ended February 3, 2017, January 29, 2016, and January 30, 2015, respectively.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EMC merger transaction and in accordance with the merger agreement, certain executives holding unvested restricted stock units of EMC ("EMC RSUs") were given the opportunity to elect to exchange each unvested EMC RSU held by such executives that would otherwise have vested in the ordinary course on or after January 1, 2017 for (a) a deferred cash award having a cash value equal to the closing price of a share of EMC common stock on the last trading day before the closing date of the EMC merger transaction, or $29.05, and (b) an option ("rollover option") to purchase a share of Class C Common Stock of Dell Technologies ("the rollover opportunity"). The rollover options have a three-year term and a per share exercise price equal to the fair market value of a share of Class C Common Stock on the date of grant, or $27.50, and, to the extent vested, may be exercised using a cashless exercise method for both the exercise price and the applicable minimum required tax withholding (subject to certain limitations). Each deferred cash award will vest, and each rollover option will vest and thereby become exercisable, on the same schedule as the EMC RSU for which they were exchanged (with any performance-vesting condition deemed satisfied at the target level of performance upon the closing of the EMC merger transaction). Pursuant to the rollover opportunity, options to purchase 1.8 million shares of Class C Common Stock were issued and have been included within the stock option activity table above as granted options.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125" w:right="23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Valuation of Service-Based Stock Option Awards </w:t>
      </w:r>
      <w:r>
        <w:rPr>
          <w:rFonts w:ascii="Arial" w:cs="Arial" w:eastAsia="Arial" w:hAnsi="Arial"/>
          <w:sz w:val="18"/>
          <w:szCs w:val="18"/>
          <w:color w:val="auto"/>
        </w:rPr>
        <w:t>— For service-based stock options granted under the 2013 Plan and the Restated Plan,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Black-Scholes option pricing model to estimate the fair value of stock options at the grant date. The Black-Scholes option pricing model incorporates various assumptions, including leveraged adjusted volatility of a public peer group, expected term, risk-free interest rates, and dividend yields. The weighted assumptions utilized for valuation of options under this model as well as the weighted-average grant date fair value of stock options granted during the respective periods are presented below.</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expected term is based on historical experience and on the terms and conditions of the stock awards granted to employees. For the periods presented, option valuations used leverage-adjusted volatility of a peer group, and the expected term was based on analysis of the Company's historical option settlement experience and on the terms and conditions of the stock awards granted.</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assumptions utilized in this model as well as the weighted-average grant date fair value of stock options granted in DHI Group Common Stock are presented below:</w:t>
      </w:r>
    </w:p>
    <w:p>
      <w:pPr>
        <w:spacing w:after="0" w:line="1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34290</wp:posOffset>
            </wp:positionV>
            <wp:extent cx="3721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29, 2016</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30, 2015</w:t>
            </w:r>
          </w:p>
        </w:tc>
      </w:tr>
      <w:tr>
        <w:trPr>
          <w:trHeight w:val="27"/>
        </w:trPr>
        <w:tc>
          <w:tcPr>
            <w:tcW w:w="5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Weighted-average grant date fair value of stock options granted per option  $</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8.75</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Valuation of Performance-Based Stock Option Awards </w:t>
      </w:r>
      <w:r>
        <w:rPr>
          <w:rFonts w:ascii="Arial" w:cs="Arial" w:eastAsia="Arial" w:hAnsi="Arial"/>
          <w:sz w:val="18"/>
          <w:szCs w:val="18"/>
          <w:color w:val="auto"/>
        </w:rPr>
        <w:t>— For performance-based stock options granted under the 2013 Plan and the Restated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utilized the Monte Carlo valuation model to simulate probabilities of achievement of the market condition and the grant date fair value. The valuation model for performance-based option grants during the fiscal years ended February 3, 2017, January 29, 2016, and January 30, 2015 used a weighted-average leverage adjusted five years peer volatility and corresponding risk free interest rate. Upon fulfillment of a ROE condition, a specific portion of the performance options become exercisable. An embedded binomial lattice option pricing model was used to determine the value of these exercisable options using the assumption that each option will be exercised at the midpoint between the date of satisfaction of a ROE condition and the expiration date of such option.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in this model as well as the weighted-average grant date fair value of stock options granted are presented below:</w:t>
      </w:r>
    </w:p>
    <w:p>
      <w:pPr>
        <w:spacing w:after="0" w:line="167"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34290</wp:posOffset>
            </wp:positionV>
            <wp:extent cx="3721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29, 2016</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30, 2015</w:t>
            </w:r>
          </w:p>
        </w:tc>
      </w:tr>
      <w:tr>
        <w:trPr>
          <w:trHeight w:val="27"/>
        </w:trPr>
        <w:tc>
          <w:tcPr>
            <w:tcW w:w="5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Weighted-average grant date fair value of stock options granted per option  $</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9.01</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The Company's restricted stock primarily consists of RSU awards granted to employees. RSUs are valued based on the Company's Class</w:t>
      </w:r>
      <w:r>
        <w:rPr>
          <w:rFonts w:ascii="Arial" w:cs="Arial" w:eastAsia="Arial" w:hAnsi="Arial"/>
          <w:sz w:val="18"/>
          <w:szCs w:val="18"/>
          <w:i w:val="1"/>
          <w:iCs w:val="1"/>
          <w:color w:val="auto"/>
        </w:rPr>
        <w:t xml:space="preserve"> </w:t>
      </w:r>
      <w:r>
        <w:rPr>
          <w:rFonts w:ascii="Arial" w:cs="Arial" w:eastAsia="Arial" w:hAnsi="Arial"/>
          <w:sz w:val="18"/>
          <w:szCs w:val="18"/>
          <w:color w:val="auto"/>
        </w:rPr>
        <w:t>C Common Stock price on the date of grant. The shares underlying the RSU awards are not issued until the RSU vests. Upon vesting, each RSU converts into one share of DHI Group Common Stock.</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restricted stock also includes performance stock unit ("PSU") awards, which have been granted to certain members of the Company's senior leadership team. The PSU awards include performance conditions and, in certain cases, a time-based vesting component. For PSU awards granted under the Restated Plan, the Company utilized the Monte Carlo valuation model to simulate the probabilities of achievement of the market condition to determine the grant date fair value. The vesting and payout of the PSU awards depends upon the return on equity achieved on various measurement dates or liquidity events.</w:t>
      </w:r>
    </w:p>
    <w:p>
      <w:pPr>
        <w:spacing w:after="0" w:line="15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following table summarizes non-vested restricted stock and restricted stock units activity settled in DHI Group Common Stock during the fiscal year ended February 3, 2017. For the fiscal years ended January 29, 2016 and January 30, 2015, the total estimated vest date fair value of restricted stock unit awards was not material.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2"/>
              </w:rPr>
              <w:t>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88"/>
              </w:rPr>
              <w:t>(per share)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 balance as of January 29, 2016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 balance as of February 3, 2017 (a)</w:t>
            </w: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6870"/>
              <w:spacing w:after="0"/>
              <w:rPr>
                <w:sz w:val="20"/>
                <w:szCs w:val="20"/>
                <w:color w:val="auto"/>
              </w:rPr>
            </w:pPr>
            <w:r>
              <w:rPr>
                <w:rFonts w:ascii="Arial" w:cs="Arial" w:eastAsia="Arial" w:hAnsi="Arial"/>
                <w:sz w:val="16"/>
                <w:szCs w:val="16"/>
                <w:color w:val="auto"/>
                <w:w w:val="89"/>
              </w:rPr>
              <w:t>_________________</w:t>
            </w: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34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  Of the 10 million non-vested restricted stock units, 6 million related to performance-based awards and 4 million related to service-based awards.</w:t>
      </w: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February 3, 2017, there was $144 million of unrecognized stock-based compensation expense, net of estimated forfeitures, related to these awards expected to be recognized over a weighted-average period of approximately 2.6 years.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Dell Technologies Shares Withheld for Taxes </w:t>
      </w:r>
      <w:r>
        <w:rPr>
          <w:rFonts w:ascii="Arial" w:cs="Arial" w:eastAsia="Arial" w:hAnsi="Arial"/>
          <w:sz w:val="17"/>
          <w:szCs w:val="17"/>
          <w:color w:val="auto"/>
        </w:rPr>
        <w:t>— Under certain situations, shares are sold to cover employee taxes for both the vesting of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exercise of stock options. For the fiscal year ended February 3, 2017, 0.2 million shares were withheld to cover $6 million of employees' tax obligations. Shares withheld for taxes for the fiscal years ended January 29, 2016 and January 30, 2015 were immaterial.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VMware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VMware Equity Plans </w:t>
      </w:r>
      <w:r>
        <w:rPr>
          <w:rFonts w:ascii="Arial" w:cs="Arial" w:eastAsia="Arial" w:hAnsi="Arial"/>
          <w:sz w:val="17"/>
          <w:szCs w:val="17"/>
          <w:color w:val="auto"/>
        </w:rPr>
        <w:t>— In June 2007, VMware adopted its 2007 Equity and Incentive Plan (the "2007 Plan"). As of February 3, 2017,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shares of VMware Class A common stock under the 2007 Plan was 122 million. The number of shares underlying outstanding equity awards that VMware assumes in the course of business acquisitions are also added to the 2007 Plan reserve on an as-converted basis. VMware has assumed 4 million shares, which accordingly have been added to the authorized shares under the 2007 Plan reserve.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Awards under the 2007 Plan may be in the form of stock-based awards such as RSUs or stock options. Generally, restricted stock grants made under the 2007 Plan have a three-year to four-year period over which they vest and vest 25% the first year and semi-annually thereafter. VMware's Compensation and Corporate Governance Committee determines the vesting schedule for all equity awards. The value of RSU grants is based on VMware's stock price on the date of grant. The shares underlying the RSU awards are not issued until the RSUs vest. Upon vesting, each RSU converts into one share of VMware Class A common stock. VMware's restricted stock also include PSU awards, which have been granted to certain VMware executives and employees. The PSU awards include performance conditions and a time-based vesting component. Upon vesting, each PSU award will convert into VMware's Class A common stock at various ratios ranging from 0.5 to 2.0 shares per PSU, depending upon the degree of achievement of the performance target designated by each individual award. If minimum performance thresholds are not achieved, then no shares will be issued.</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exercise price for a stock option awarded under the 2007 Plan may not be less than 100% of the fair market value of VMware Class A common stock on the date of grant. Most options granted under the 2007 Plan vest 25% after the first year and monthly thereafter over the following three years and expire between six and seven years from the date of grant. VMware utilizes both authorized and unissued shares to satisfy all shares issued under the 2007 Plan. As of February 3, 2017, there were an aggregate of 13 million shares of common stock available for issuance pursuant to future grants under the 2007 Plan.</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VMware Employee Stock Purchase Plan </w:t>
      </w:r>
      <w:r>
        <w:rPr>
          <w:rFonts w:ascii="Arial" w:cs="Arial" w:eastAsia="Arial" w:hAnsi="Arial"/>
          <w:sz w:val="17"/>
          <w:szCs w:val="17"/>
          <w:color w:val="auto"/>
        </w:rPr>
        <w:t>— In June 2007, VMware adopted its 2007 Employee Stock Purchase Plan (the "ESPP"), which is intended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under Section 423 of the Internal Revenue Code. As of February 3, 2017, the number of authorized shares of VMware Class A common stock under the ESPP was a total of 14 million shares. Under the ESPP, eligible VMware employees are granted options to purchase shares at the lower of 85% of the fair market value of the stock at the time of grant or 85% of the fair market value at the time of exercise.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option period is generally twelve months and includes two embedded six-month option periods. Options are exercised at the end of each embedded option period. If the fair market value of the stock is lower on the first day of the second embedded option period than it was at the time of grant, then the twelve-month option period expires and each enrolled participant is granted a new twelve-month option. As of February 3, 2017, 1 million shares of VMware Class A common stock were available for issuance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during the period from September 7, 2016 through February 3,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7, 2016 through</w:t>
            </w:r>
          </w:p>
        </w:tc>
      </w:tr>
      <w:tr>
        <w:trPr>
          <w:trHeight w:val="234"/>
        </w:trPr>
        <w:tc>
          <w:tcPr>
            <w:tcW w:w="40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February 3, 2017</w:t>
            </w:r>
          </w:p>
        </w:tc>
      </w:tr>
      <w:tr>
        <w:trPr>
          <w:trHeight w:val="27"/>
        </w:trPr>
        <w:tc>
          <w:tcPr>
            <w:tcW w:w="4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2"/>
        </w:trPr>
        <w:tc>
          <w:tcPr>
            <w:tcW w:w="40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color w:val="auto"/>
                <w:w w:val="91"/>
              </w:rPr>
              <w:t>(in millions, except per share</w:t>
            </w:r>
          </w:p>
        </w:tc>
      </w:tr>
      <w:tr>
        <w:trPr>
          <w:trHeight w:val="230"/>
        </w:trPr>
        <w:tc>
          <w:tcPr>
            <w:tcW w:w="40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color w:val="auto"/>
                <w:w w:val="87"/>
              </w:rPr>
              <w:t>amounts)</w:t>
            </w:r>
          </w:p>
        </w:tc>
      </w:tr>
      <w:tr>
        <w:trPr>
          <w:trHeight w:val="27"/>
        </w:trPr>
        <w:tc>
          <w:tcPr>
            <w:tcW w:w="4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w:t>
            </w:r>
          </w:p>
        </w:tc>
        <w:tc>
          <w:tcPr>
            <w:tcW w:w="4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Class A common shares purchased</w:t>
            </w:r>
          </w:p>
        </w:tc>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4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r>
      <w:tr>
        <w:trPr>
          <w:trHeight w:val="891"/>
        </w:trPr>
        <w:tc>
          <w:tcPr>
            <w:tcW w:w="4060" w:type="dxa"/>
            <w:vAlign w:val="bottom"/>
          </w:tcPr>
          <w:p>
            <w:pPr>
              <w:spacing w:after="0"/>
              <w:rPr>
                <w:sz w:val="24"/>
                <w:szCs w:val="24"/>
                <w:color w:val="auto"/>
              </w:rPr>
            </w:pPr>
          </w:p>
        </w:tc>
        <w:tc>
          <w:tcPr>
            <w:tcW w:w="4740" w:type="dxa"/>
            <w:vAlign w:val="bottom"/>
          </w:tcPr>
          <w:p>
            <w:pPr>
              <w:jc w:val="right"/>
              <w:ind w:right="287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VMware Stock Options </w:t>
      </w:r>
      <w:r>
        <w:rPr>
          <w:rFonts w:ascii="Arial" w:cs="Arial" w:eastAsia="Arial" w:hAnsi="Arial"/>
          <w:sz w:val="18"/>
          <w:szCs w:val="18"/>
          <w:color w:val="auto"/>
        </w:rPr>
        <w:t>— The following table summarizes stock option activity for VMware employees in VMware stock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September 7,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February 3, 2017 (a)</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189"/>
        </w:trPr>
        <w:tc>
          <w:tcPr>
            <w:tcW w:w="42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Vested and expected to vest (net of estimated forfeitures)</w:t>
            </w: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February 3,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Exercisable as of February 3, 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8"/>
        </w:trPr>
        <w:tc>
          <w:tcPr>
            <w:tcW w:w="4240" w:type="dxa"/>
            <w:vAlign w:val="bottom"/>
          </w:tcPr>
          <w:p>
            <w:pPr>
              <w:spacing w:after="0"/>
              <w:rPr>
                <w:sz w:val="20"/>
                <w:szCs w:val="20"/>
                <w:color w:val="auto"/>
              </w:rPr>
            </w:pPr>
            <w:r>
              <w:rPr>
                <w:rFonts w:ascii="Arial" w:cs="Arial" w:eastAsia="Arial" w:hAnsi="Arial"/>
                <w:sz w:val="16"/>
                <w:szCs w:val="16"/>
                <w:color w:val="auto"/>
              </w:rPr>
              <w:t>_________________</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left="340" w:right="800" w:hanging="332"/>
        <w:spacing w:after="0" w:line="259" w:lineRule="auto"/>
        <w:tabs>
          <w:tab w:leader="none" w:pos="236" w:val="left"/>
        </w:tabs>
        <w:numPr>
          <w:ilvl w:val="0"/>
          <w:numId w:val="60"/>
        </w:numPr>
        <w:rPr>
          <w:rFonts w:ascii="Arial" w:cs="Arial" w:eastAsia="Arial" w:hAnsi="Arial"/>
          <w:sz w:val="16"/>
          <w:szCs w:val="16"/>
          <w:color w:val="auto"/>
        </w:rPr>
      </w:pPr>
      <w:r>
        <w:rPr>
          <w:rFonts w:ascii="Arial" w:cs="Arial" w:eastAsia="Arial" w:hAnsi="Arial"/>
          <w:sz w:val="18"/>
          <w:szCs w:val="18"/>
          <w:color w:val="auto"/>
        </w:rPr>
        <w:t>Stock option activity during the period was immaterial. The ending weighted-average exercise price was calculated based on underlying options outstanding as of February 3, 2017.</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above table includes stock options granted in conjunction with unvested stock options assumed in business combinations. As a result, the weighted-average exercise price per share may vary from the VMware stock price at time of grant. Aggregate intrinsic values represent the total pretax intrinsic values based on VMware's closing stock price of $88.95 as of February 3, 2017 as reported on the NYSE, which would have been received by the option holders had all in-the-money options been exercised as of that date. The total fair value of VMware stock options that vested during the period from September 7, 2016 through February 3, 2017 was $13 million. The intrinsic value of the options exercised during the period from September 7, 2016 through February 3, 2017 was $13 million. During the period from September 7, 2016 through February 3, 2017, $4 million in cash was received from the stock option exercises.</w:t>
      </w:r>
    </w:p>
    <w:p>
      <w:pPr>
        <w:spacing w:after="0" w:line="16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tax benefit realized from the exercise of stock options was $4 million from the period from September 7, 2016 through February 3, 2017. As of February 3, 2017, there was $15 million of total unrecognized stock-based compensation expense, net of estimated forfeitures, related to unvested stock options expected to be recognized over a weighted-average period of less than one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Fair Value of VMware Options </w:t>
      </w:r>
      <w:r>
        <w:rPr>
          <w:rFonts w:ascii="Arial" w:cs="Arial" w:eastAsia="Arial" w:hAnsi="Arial"/>
          <w:sz w:val="16"/>
          <w:szCs w:val="16"/>
          <w:color w:val="auto"/>
        </w:rPr>
        <w:t>— The fair value of each option to acquire VMware Class A common stock granted is estimated on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weighted-average assumptions: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Fiscal Year Ended February</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3, 2017</w:t>
            </w:r>
          </w:p>
        </w:tc>
        <w:tc>
          <w:tcPr>
            <w:tcW w:w="0" w:type="dxa"/>
            <w:vAlign w:val="bottom"/>
          </w:tcPr>
          <w:p>
            <w:pPr>
              <w:spacing w:after="0"/>
              <w:rPr>
                <w:sz w:val="1"/>
                <w:szCs w:val="1"/>
                <w:color w:val="auto"/>
              </w:rPr>
            </w:pPr>
          </w:p>
        </w:tc>
      </w:tr>
      <w:tr>
        <w:trPr>
          <w:trHeight w:val="27"/>
        </w:trPr>
        <w:tc>
          <w:tcPr>
            <w:tcW w:w="9180" w:type="dxa"/>
            <w:vAlign w:val="bottom"/>
            <w:gridSpan w:val="3"/>
            <w:vMerge w:val="restart"/>
          </w:tcPr>
          <w:p>
            <w:pPr>
              <w:ind w:left="40"/>
              <w:spacing w:after="0"/>
              <w:rPr>
                <w:sz w:val="20"/>
                <w:szCs w:val="20"/>
                <w:color w:val="auto"/>
              </w:rPr>
            </w:pPr>
            <w:r>
              <w:rPr>
                <w:rFonts w:ascii="Arial" w:cs="Arial" w:eastAsia="Arial" w:hAnsi="Arial"/>
                <w:sz w:val="18"/>
                <w:szCs w:val="18"/>
                <w:i w:val="1"/>
                <w:iCs w:val="1"/>
                <w:color w:val="auto"/>
              </w:rPr>
              <w:t>VMware Employee Stock Purchase Plan</w:t>
            </w: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18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0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43"/>
        </w:trPr>
        <w:tc>
          <w:tcPr>
            <w:tcW w:w="9180" w:type="dxa"/>
            <w:vAlign w:val="bottom"/>
            <w:gridSpan w:val="3"/>
          </w:tcPr>
          <w:p>
            <w:pPr>
              <w:ind w:left="40"/>
              <w:spacing w:after="0"/>
              <w:rPr>
                <w:sz w:val="20"/>
                <w:szCs w:val="20"/>
                <w:color w:val="auto"/>
              </w:rPr>
            </w:pPr>
            <w:r>
              <w:rPr>
                <w:rFonts w:ascii="Arial" w:cs="Arial" w:eastAsia="Arial" w:hAnsi="Arial"/>
                <w:sz w:val="18"/>
                <w:szCs w:val="18"/>
                <w:color w:val="auto"/>
              </w:rPr>
              <w:t>Expected term (in years)</w:t>
            </w:r>
          </w:p>
        </w:tc>
        <w:tc>
          <w:tcPr>
            <w:tcW w:w="48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918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weighted-average grant date fair value of VMware stock options can fluctuate from period to period primarily due to higher valued options assumed through business combinations with exercise prices lower than the fair market value of VMware's stock on the date of grant.</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equity awards granted, volatility is based on an analysis of historical stock prices and implied volatilities of VMware's Class A common stock. The expected term is based on historical exercise patterns and post-vesting termination behavior, the term of the option period for grants made under VMware's ESPP, or the weighted-average remaining term for options assumed in acquisitions. VMware's expected dividend yield input was zero as it has not historically paid, nor expects in the future to pay, cash dividends on its common stock. The risk-free interest rate is based on a U.S. Treasury instrument whose term is consistent with the expected term of the stock options.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3"/>
          </w:tcPr>
          <w:p>
            <w:pPr>
              <w:spacing w:after="0"/>
              <w:rPr>
                <w:sz w:val="20"/>
                <w:szCs w:val="20"/>
                <w:color w:val="auto"/>
              </w:rPr>
            </w:pPr>
            <w:r>
              <w:rPr>
                <w:rFonts w:ascii="Arial" w:cs="Arial" w:eastAsia="Arial" w:hAnsi="Arial"/>
                <w:sz w:val="18"/>
                <w:szCs w:val="18"/>
                <w:color w:val="auto"/>
              </w:rPr>
              <w:t>There were no stock options granted during the period from September 7, 2016 through February 3, 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520" w:type="dxa"/>
            <w:vAlign w:val="bottom"/>
            <w:gridSpan w:val="3"/>
          </w:tcPr>
          <w:p>
            <w:pPr>
              <w:spacing w:after="0"/>
              <w:rPr>
                <w:sz w:val="20"/>
                <w:szCs w:val="20"/>
                <w:color w:val="auto"/>
              </w:rPr>
            </w:pPr>
            <w:r>
              <w:rPr>
                <w:rFonts w:ascii="Arial" w:cs="Arial" w:eastAsia="Arial" w:hAnsi="Arial"/>
                <w:sz w:val="18"/>
                <w:szCs w:val="18"/>
                <w:i w:val="1"/>
                <w:iCs w:val="1"/>
                <w:color w:val="auto"/>
                <w:w w:val="98"/>
              </w:rPr>
              <w:t xml:space="preserve">VMware Restricted Stock </w:t>
            </w:r>
            <w:r>
              <w:rPr>
                <w:rFonts w:ascii="Arial" w:cs="Arial" w:eastAsia="Arial" w:hAnsi="Arial"/>
                <w:sz w:val="18"/>
                <w:szCs w:val="18"/>
                <w:color w:val="auto"/>
                <w:w w:val="98"/>
              </w:rPr>
              <w:t>— The following table summarizes VMware's restricted stock activity since September 7, 2016: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2"/>
              </w:rPr>
              <w:t>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88"/>
              </w:rPr>
              <w:t>(per share)</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 balance as of September 7, 2016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67.01</w:t>
            </w:r>
          </w:p>
        </w:tc>
      </w:tr>
      <w:tr>
        <w:trPr>
          <w:trHeight w:val="243"/>
        </w:trPr>
        <w:tc>
          <w:tcPr>
            <w:tcW w:w="40" w:type="dxa"/>
            <w:vAlign w:val="bottom"/>
          </w:tcPr>
          <w:p>
            <w:pPr>
              <w:spacing w:after="0"/>
              <w:rPr>
                <w:sz w:val="21"/>
                <w:szCs w:val="21"/>
                <w:color w:val="auto"/>
              </w:rPr>
            </w:pPr>
          </w:p>
        </w:tc>
        <w:tc>
          <w:tcPr>
            <w:tcW w:w="948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79.81</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72.94</w:t>
            </w:r>
          </w:p>
        </w:tc>
      </w:tr>
      <w:tr>
        <w:trPr>
          <w:trHeight w:val="243"/>
        </w:trPr>
        <w:tc>
          <w:tcPr>
            <w:tcW w:w="40" w:type="dxa"/>
            <w:vAlign w:val="bottom"/>
          </w:tcPr>
          <w:p>
            <w:pPr>
              <w:spacing w:after="0"/>
              <w:rPr>
                <w:sz w:val="21"/>
                <w:szCs w:val="21"/>
                <w:color w:val="auto"/>
              </w:rPr>
            </w:pPr>
          </w:p>
        </w:tc>
        <w:tc>
          <w:tcPr>
            <w:tcW w:w="948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69.19</w:t>
            </w: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 balance as of February 3, 2017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67.41</w:t>
            </w:r>
          </w:p>
        </w:tc>
      </w:tr>
      <w:tr>
        <w:trPr>
          <w:trHeight w:val="20"/>
        </w:trPr>
        <w:tc>
          <w:tcPr>
            <w:tcW w:w="4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52525"/>
        </w:rPr>
        <w:t xml:space="preserve">As of February 3, 2017, restricted stock representing 20 million shares of VMware's Class A common stock was outstanding, with an aggregate intrinsic value of </w:t>
      </w:r>
      <w:r>
        <w:rPr>
          <w:rFonts w:ascii="Arial" w:cs="Arial" w:eastAsia="Arial" w:hAnsi="Arial"/>
          <w:sz w:val="18"/>
          <w:szCs w:val="18"/>
          <w:color w:val="000000"/>
        </w:rPr>
        <w:t>$1,819 million based on VMware's closing stock price as of February 3, 2017 as reported on the NYSE.</w:t>
      </w:r>
      <w:r>
        <w:rPr>
          <w:rFonts w:ascii="Arial" w:cs="Arial" w:eastAsia="Arial" w:hAnsi="Arial"/>
          <w:sz w:val="18"/>
          <w:szCs w:val="18"/>
          <w:color w:val="252525"/>
        </w:rPr>
        <w:t xml:space="preserve"> The total fair value of VMware restricted stock awards that vested during the period from </w:t>
      </w:r>
      <w:r>
        <w:rPr>
          <w:rFonts w:ascii="Arial" w:cs="Arial" w:eastAsia="Arial" w:hAnsi="Arial"/>
          <w:sz w:val="18"/>
          <w:szCs w:val="18"/>
          <w:color w:val="000000"/>
        </w:rPr>
        <w:t>September 7, 2016 through February 3, 2017</w:t>
      </w:r>
      <w:r>
        <w:rPr>
          <w:rFonts w:ascii="Arial" w:cs="Arial" w:eastAsia="Arial" w:hAnsi="Arial"/>
          <w:sz w:val="18"/>
          <w:szCs w:val="18"/>
          <w:color w:val="252525"/>
        </w:rPr>
        <w:t xml:space="preserve"> was $203 million and the intrinsic value was $218 million. As of February 3, 2017, there was $973 million of unrecognized stock-based compensation expense, net of estimated forfeitures, related to these awards expected to be recognized over a weighted-average period of approximately 1.4 years.</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VMware Shares Withheld for Taxes </w:t>
      </w:r>
      <w:r>
        <w:rPr>
          <w:rFonts w:ascii="Arial" w:cs="Arial" w:eastAsia="Arial" w:hAnsi="Arial"/>
          <w:sz w:val="17"/>
          <w:szCs w:val="17"/>
          <w:color w:val="auto"/>
        </w:rPr>
        <w:t>— For the fiscal year ended February 3, 2017, VMware repurchased and retired or withheld 1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$77 million to cover tax withholding obligations. These amounts may differ from the amounts of cash remitted for tax withholding obligations on the consolidated statements of cash flows due to the timing of payments. Pursuant to the respective award agreements, these shares were withheld in conjunction with the net share settlement upon the vesting of restricted stock and restricted stock units during the period. The value of the withheld shares, including restricted stock units, was classified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plans disclosed above, the Company has issued equity grants settling in its Class V Common Stock as well as classes of stock of its subsidiaries, including SecureWorks. The stock option and restricted stock unit activity under these plans was not material during the fiscal years ended February 3, 2017, January 29, 2016, and January 30,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REDEEMABLE SHARES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Awards under the Company's stock incentive plans include certain rights that allow the holder to exercise a put feature for the underlying Classes of A and C Common Stock after a six-month holding period following the issuance of such common stock, requiring the Company to purchase the stock at its fair market value. Accordingly, these awards and common stock are subject to reclassification from equity to temporary equity, and the Company determines the award amounts to be classified as temporary equity as follows:</w:t>
      </w:r>
    </w:p>
    <w:p>
      <w:pPr>
        <w:spacing w:after="0" w:line="79" w:lineRule="exact"/>
        <w:rPr>
          <w:sz w:val="20"/>
          <w:szCs w:val="20"/>
          <w:color w:val="auto"/>
        </w:rPr>
      </w:pPr>
    </w:p>
    <w:p>
      <w:pPr>
        <w:ind w:left="660" w:right="80" w:hanging="328"/>
        <w:spacing w:after="0" w:line="274"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stock options subject to service requirements, the intrinsic value of the option is multiplied by the portion of the options for which services have been rendered. Upon exercise of the option(s), the amount in temporary equity represents the fair value of the Class C Common Stock.</w:t>
      </w:r>
    </w:p>
    <w:p>
      <w:pPr>
        <w:ind w:left="660" w:right="44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SARs, RSUs, and RSAs, any of which stock award types are subject to service requirements, the fair value of the share is multiplied by the portion of the shares for which services have been rendered.</w:t>
      </w:r>
    </w:p>
    <w:p>
      <w:pPr>
        <w:ind w:left="660" w:right="240" w:hanging="328"/>
        <w:spacing w:after="0" w:line="26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share-based arrangements that are subject to the occurrence of a contingent event, those amounts are not reclassified to temporary equity until the contingency has been satisfied.</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amount of redeemable shares classified as temporary equity as of February 3, 2017 and January 29, 2016 was $231 million and $106 million, respectively. As of February 3, 2017, the redeemable shares consisted of 1.1 million issued and outstanding common shares, 0.4 million RSUs, 0.1 million RSAs, and 13.7 million outstanding stock options. As of January 29, 2016, the redeemable shares consisted of 0.9 million issued and outstanding common shares, 0.1 million unvested restricted stock units, and 18.6 million outstanding stock options.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RETIREMENT PLAN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EMC merger transaction completed on September 7, 2016, the Company assumed all of EMC's defined benefit obligations and related plan assets, including a noncontributory defined benefit pension plan (the "Pension Plan") which was assumed as a result of EMC's prior acquisition of Data General. Certain of the Company's foreign subsidiaries also have defined benefit pension plans which were assumed as part of the EMC merger transaction and do not have a material impact on the results of operations or financial position of the Company.</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Benefits under the Pension Plan are generally based on either career average or final average salaries and creditable years of service as defined in the plan. The annual cost for the Pension Plan is determined using the projected unit credit actuarial cost method that includes actuarial assumptions and estimates which are subject to change. As of December 1999, this plan was frozen, so employees no longer accrue pension benefits for future services. The measurement date for the Pension Plan is the end of the Company's fiscal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The following table presents a reconciliation of the Pension Plan benefit obligation:</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Benefit Obligation</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 of September 7,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 of February 3,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 weighted-average basis, the assumed discount rate used to determine the benefit obligations at February 3, 2017 and September 7, 2016 was 4.1% and 3.4%,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The following table presents a reconciliation of the fair value of plan assets:</w:t>
            </w: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Plan Assets</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as of September 7,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r>
      <w:tr>
        <w:trPr>
          <w:trHeight w:val="243"/>
        </w:trPr>
        <w:tc>
          <w:tcPr>
            <w:tcW w:w="40" w:type="dxa"/>
            <w:vAlign w:val="bottom"/>
          </w:tcPr>
          <w:p>
            <w:pPr>
              <w:spacing w:after="0"/>
              <w:rPr>
                <w:sz w:val="21"/>
                <w:szCs w:val="21"/>
                <w:color w:val="auto"/>
              </w:rPr>
            </w:pPr>
          </w:p>
        </w:tc>
        <w:tc>
          <w:tcPr>
            <w:tcW w:w="908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40" w:type="dxa"/>
            <w:vAlign w:val="bottom"/>
          </w:tcPr>
          <w:p>
            <w:pPr>
              <w:spacing w:after="0"/>
              <w:rPr>
                <w:sz w:val="22"/>
                <w:szCs w:val="22"/>
                <w:color w:val="auto"/>
              </w:rPr>
            </w:pPr>
          </w:p>
        </w:tc>
        <w:tc>
          <w:tcPr>
            <w:tcW w:w="9080" w:type="dxa"/>
            <w:vAlign w:val="bottom"/>
          </w:tcPr>
          <w:p>
            <w:pPr>
              <w:ind w:left="20"/>
              <w:spacing w:after="0"/>
              <w:rPr>
                <w:sz w:val="20"/>
                <w:szCs w:val="20"/>
                <w:color w:val="auto"/>
              </w:rPr>
            </w:pPr>
            <w:r>
              <w:rPr>
                <w:rFonts w:ascii="Arial" w:cs="Arial" w:eastAsia="Arial" w:hAnsi="Arial"/>
                <w:sz w:val="18"/>
                <w:szCs w:val="18"/>
                <w:color w:val="auto"/>
              </w:rPr>
              <w:t>Fair value of plan assets as of February 3, 2017</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under-funded status of the Pension Plan at February 3, 2017 was $65 million and is classified as a component of other long-term liabilities in the Consolidated Statements of Financial Position. The Company does not expect to make any significant contributions to the Pension Plan in Fiscal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periodic benefit cost recognized in the period presented: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Expected return on plan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Recognized actuarial loss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7, 2016 through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2140" w:type="dxa"/>
            <w:vAlign w:val="bottom"/>
          </w:tcPr>
          <w:p>
            <w:pPr>
              <w:jc w:val="right"/>
              <w:ind w:right="770"/>
              <w:spacing w:after="0"/>
              <w:rPr>
                <w:sz w:val="20"/>
                <w:szCs w:val="20"/>
                <w:color w:val="auto"/>
              </w:rPr>
            </w:pPr>
            <w:r>
              <w:rPr>
                <w:rFonts w:ascii="Arial" w:cs="Arial" w:eastAsia="Arial" w:hAnsi="Arial"/>
                <w:sz w:val="18"/>
                <w:szCs w:val="18"/>
                <w:color w:val="auto"/>
              </w:rPr>
              <w:t>(in millions)</w:t>
            </w:r>
          </w:p>
        </w:tc>
      </w:tr>
      <w:tr>
        <w:trPr>
          <w:trHeight w:val="270"/>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4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8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-719455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-376555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1420"/>
          </w:cols>
          <w:pgMar w:left="240" w:top="125" w:right="23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discount rate and expected long-term rate of return on plan assets used in the accounting for the Pension Plan to determine the net periodic benefit cost for the period from September 7, 2016 through February 3, 2017 was 3.4% and 6.5%, respectively. During the period from September 7, 2016 through February 3, 2017, the Pension Plan had net gains of $24 million that were primarily the result of an increase in the discount rate and the rate of return on plan assets. The net gains were recognized in accumulated other comprehensive loss.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were no reclassifications from accumulated other comprehensive loss to a component of net periodic benefit cost during the period from September 7, 2016 through February 3, 2017. Additionally, the Company expects that none of the total balance included in accumulated other comprehensive loss at February 3, 2017 will be recognized as a component of net periodic benefit cost in Fiscal 2018.</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February 3, 2017, future benefit payments are expected to be paid as follows: $26 million in Fiscal 2018; $27 million in Fiscal 2019; $29 million in Fiscal 2020; $31 million in Fiscal 2021; $32 million in Fiscal 2022; and $174 million thereafter.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Fair Value of Plan Assets </w:t>
      </w:r>
      <w:r>
        <w:rPr>
          <w:rFonts w:ascii="Arial" w:cs="Arial" w:eastAsia="Arial" w:hAnsi="Arial"/>
          <w:sz w:val="18"/>
          <w:szCs w:val="18"/>
          <w:color w:val="auto"/>
        </w:rPr>
        <w:t>— The following table presents the fair value of each class of plan assets by level within the fair value hierarchy as of February 3,</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6"/>
          </w:tcPr>
          <w:p>
            <w:pPr>
              <w:jc w:val="right"/>
              <w:ind w:right="1230"/>
              <w:spacing w:after="0"/>
              <w:rPr>
                <w:sz w:val="20"/>
                <w:szCs w:val="20"/>
                <w:color w:val="auto"/>
              </w:rPr>
            </w:pPr>
            <w:r>
              <w:rPr>
                <w:rFonts w:ascii="Arial" w:cs="Arial" w:eastAsia="Arial" w:hAnsi="Arial"/>
                <w:sz w:val="18"/>
                <w:szCs w:val="18"/>
                <w:b w:val="1"/>
                <w:bCs w:val="1"/>
                <w:color w:val="auto"/>
              </w:rPr>
              <w:t>February 3,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42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trusts (a)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 (b)</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payables, net of accrued interest and dividends (c)</w:t>
            </w:r>
          </w:p>
        </w:tc>
        <w:tc>
          <w:tcPr>
            <w:tcW w:w="1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 net</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4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Common collective trusts are valued at the net asset value calculated by the fund manager based on the underlying investments and are classified within Level 2 of the fair value hierarchy.</w:t>
      </w:r>
    </w:p>
    <w:p>
      <w:pPr>
        <w:ind w:left="340" w:right="140" w:hanging="332"/>
        <w:spacing w:after="0" w:line="250"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Corporate debt securities are valued daily at the closing price reported in active U.S. financial markets and are classified within Level 2 of the fair value hierarchy.</w:t>
      </w:r>
    </w:p>
    <w:p>
      <w:pPr>
        <w:ind w:left="340" w:hanging="33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Dividends, accrued interest and net plan payables are not material to the plan assets and therefore have not been classified into the fair value hierarchy.</w:t>
      </w:r>
    </w:p>
    <w:p>
      <w:pPr>
        <w:spacing w:after="0" w:line="2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Investment Strategy </w:t>
      </w:r>
      <w:r>
        <w:rPr>
          <w:rFonts w:ascii="Arial" w:cs="Arial" w:eastAsia="Arial" w:hAnsi="Arial"/>
          <w:sz w:val="16"/>
          <w:szCs w:val="16"/>
          <w:color w:val="auto"/>
        </w:rPr>
        <w:t>— The Pension Plan's assets are managed by outside investment managers. The Company's investment strategy with respect to plan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is to achieve a long-term growth of capital, consistent with an appropriate level of risk. The expected long-term rate of return on the plan assets considers the current level of expected returns on risk-free investments (primarily government bonds), the historical level of the risk premium associated with the other asset classes in which the portfolio is invested and the expectations for future returns of each asset class. The expected return for each asset class was weighted based on the target asset allocation to develop the expected long-term rate of return on assets. As market conditions permit, the Company expects to shift the asset allocation to lower the percentage of investments in equities and increase the percentage of investments in long-duration fixed-income securities. The changes could result in a reduction in the long-term rate of return on the plan assets and increase future pension expense.</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February 3, 2017, the long-term weighted-average target asset allocations are as follows: 17% U.S. large capitalization equity securities; 4% U.S. small capitalization equity securities; 4% foreign equity securities; and 75% U.S. long-duration fixed income securities.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At February 3, 2017, the actual allocation of plan assets is as follows: 27% U.S. large capitalization equity securities; 5% U.S. small capitalization equity securities; 7% foreign equity securities; 57% U.S. long-duration fixed income securities; and 4% below investment grade corporate fixed income securities.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Dell 401(k) Plan </w:t>
      </w:r>
      <w:r>
        <w:rPr>
          <w:rFonts w:ascii="Arial" w:cs="Arial" w:eastAsia="Arial" w:hAnsi="Arial"/>
          <w:sz w:val="18"/>
          <w:szCs w:val="18"/>
          <w:color w:val="auto"/>
        </w:rPr>
        <w:t>— The Company has a defined contribution retirement plan (the "401(k) Plan") that complies with Section 401(k)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Substantially all Dell employees in the United States before the completion of the EMC merger transaction are eligible to participate in the 401(k) Plan. Effective January 1, 2008, the Company matches 100% of each participant's voluntary contributions, subject to a maximum contribution of 5% of the participant's eligible compensation, and participants vest immediately in all contributions to the 401(k) Plan. The Company's contributions during the fiscal years ended February 3, 2017, January 29, 2016, and January 30, 2015 were $158 million, $169 million, and $162 million, respectively. The Company's matching contributions as well as participants' voluntary contributions are invested according to each participant's elections in the investment options provided under the 401(k)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EMC employee benefit plan was assumed on September 7, 2016 in connection with the EMC merger transaction: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EMC 401(k) Plan </w:t>
      </w:r>
      <w:r>
        <w:rPr>
          <w:rFonts w:ascii="Arial" w:cs="Arial" w:eastAsia="Arial" w:hAnsi="Arial"/>
          <w:sz w:val="17"/>
          <w:szCs w:val="17"/>
          <w:color w:val="auto"/>
        </w:rPr>
        <w:t>— The Company has a defined contribution program that complies with Section 401(k) of the Internal Revenue Code for certain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who were EMC employees before the completion of the EMC merger transaction. EMC matches pre-tax employee contributions up to 6% of eligible compensation during each pay period (subject to a $750 maximum match each quarter). EMC also provides a supplemental matching contribution up to an additional $3,000 at the end of the calendar year. All participants vest in the Company's matching contributions based on the number of years of continuous service over a three-year vesting period. The Company's matching contributions and participants voluntary contributions are invested according to each participant's elections in the investment options provided under the 401(k) Plan. VMware also has a defined contribution program for certain employees that complies with Section 401(k) of the Internal Revenue Code. The Company's contributions during the period from September 7, 2016 through February 3, 2017 to the EMC program were $31 million. On February 15, 2017, subsequent to the fiscal year ended February 3, 2017, the Company contributed an additional $47 million to such program as part of its supplemental matching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125"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INFORMATION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With the closing of the EMC merger transaction on September 7, 2016 and the classification of Dell Services and DSG as discontinued operations during the fiscal year ended February 3, 2017, the Company now has three reportable segments that are based on the following business units: Client Solutions Group ("CSG"); Infrastructure Solutions Group ("ISG"); and VMware. The ISG segment represents the Company's previous Enterprise Solutions Group ("ESG") segment and EMC's Information Storage segment. There was no change in the way Dell's legacy business results are allocated between the CSG and ESG (now referred to as ISG) segments as a result of the EMC merger transaction.</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CSG includes sales to commercial and consumer customers of desktops, thin client products, and notebooks, as well as services and third-party software and peripherals closely tied to the sale of CSG hardware. ISG includes servers, networking, and storage, as well as services and third-party software and peripherals that are closely tied to the sale of ISG hardware. VMware includes a broad portfolio of virtualization technologies across three main product groups: software-defined data center; hybrid cloud computing; and end-user computing.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operating income for management reporting purposes excludes the impact of other businesses, purchase accounting, amortization of intangible assets, unallocated corporate transactions, severance and facility action costs, and transaction-related expenses. The Company does not allocate assets to the above reportable segments for internal reporting purposes.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125"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a reconciliation of net revenue by the Company's reportable segments to the Company's consolidated net revenue as well as a reconciliation of consolidated segment operating income (loss) to the Company's consolidated operating income (loss):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36,754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35,877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39,634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54,348</w:t>
            </w:r>
          </w:p>
        </w:tc>
        <w:tc>
          <w:tcPr>
            <w:tcW w:w="0" w:type="dxa"/>
            <w:vAlign w:val="bottom"/>
          </w:tcPr>
          <w:p>
            <w:pPr>
              <w:spacing w:after="0"/>
              <w:rPr>
                <w:sz w:val="1"/>
                <w:szCs w:val="1"/>
                <w:color w:val="auto"/>
              </w:rPr>
            </w:pP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61,642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5720" w:type="dxa"/>
            <w:vAlign w:val="bottom"/>
          </w:tcPr>
          <w:p>
            <w:pPr>
              <w:ind w:left="500"/>
              <w:spacing w:after="0"/>
              <w:rPr>
                <w:sz w:val="20"/>
                <w:szCs w:val="20"/>
                <w:color w:val="auto"/>
              </w:rPr>
            </w:pPr>
            <w:r>
              <w:rPr>
                <w:rFonts w:ascii="Arial" w:cs="Arial" w:eastAsia="Arial" w:hAnsi="Arial"/>
                <w:sz w:val="18"/>
                <w:szCs w:val="18"/>
                <w:color w:val="auto"/>
              </w:rPr>
              <w:t>Total operating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40" w:hanging="332"/>
        <w:spacing w:after="0" w:line="24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businesses consist of RSA Information Security, SecureWorks, Pivotal, and Boomi offerings, and do not constitute a reportable segment, either individually or collectively, as the results of the businesses are not material to the Company's overall results and the businesses do not meet the criteria for reportable segments.</w:t>
      </w:r>
    </w:p>
    <w:p>
      <w:pPr>
        <w:spacing w:after="0" w:line="2"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Unallocated transactions includes long-term incentives, certain short-term incentive compensation expenses, and other corporate items that are not allocated to Dell Technologies' reportable segments.</w:t>
      </w:r>
    </w:p>
    <w:p>
      <w:pPr>
        <w:ind w:left="340" w:right="220" w:hanging="332"/>
        <w:spacing w:after="0" w:line="25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Impact of purchase accounting includes non-cash purchase accounting adjustments that are primarily related to the EMC merger transaction, as well as the going-private transaction.</w:t>
      </w: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Transaction-related expenses includes acquisition and integration-related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corporate expenses includes severance and facility action costs as well as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following table presents net revenue by business unit categories: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 (a):</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28,754</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39,634</w:t>
            </w:r>
          </w:p>
        </w:tc>
        <w:tc>
          <w:tcPr>
            <w:tcW w:w="0" w:type="dxa"/>
            <w:vAlign w:val="bottom"/>
          </w:tcPr>
          <w:p>
            <w:pPr>
              <w:spacing w:after="0"/>
              <w:rPr>
                <w:sz w:val="1"/>
                <w:szCs w:val="1"/>
                <w:color w:val="auto"/>
              </w:rPr>
            </w:pPr>
          </w:p>
        </w:tc>
      </w:tr>
      <w:tr>
        <w:trPr>
          <w:trHeight w:val="291"/>
        </w:trPr>
        <w:tc>
          <w:tcPr>
            <w:tcW w:w="5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Servers and networking</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Storage</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37"/>
        </w:trPr>
        <w:tc>
          <w:tcPr>
            <w:tcW w:w="5720" w:type="dxa"/>
            <w:vAlign w:val="bottom"/>
          </w:tcPr>
          <w:p>
            <w:pPr>
              <w:ind w:left="60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7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54,348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0" w:hanging="332"/>
        <w:spacing w:after="0" w:line="25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fiscal year ended February 3, 2017, the Company redefined the categories within the Client Solutions Group business unit. None of these changes impacted the Company's consolidated or total business unit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net revenue and property, plant, and equipment, net allocated between the United States and foreign countries: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30,699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24,309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25,099</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29,043</w:t>
            </w:r>
          </w:p>
        </w:tc>
      </w:tr>
      <w:tr>
        <w:trPr>
          <w:trHeight w:val="257"/>
        </w:trPr>
        <w:tc>
          <w:tcPr>
            <w:tcW w:w="5720" w:type="dxa"/>
            <w:vAlign w:val="bottom"/>
          </w:tcPr>
          <w:p>
            <w:pPr>
              <w:ind w:left="28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61,642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54,142</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1,649</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allocation between domestic and foreign net revenue is based on the location of the customers. Net revenue from any single foreign country did not constitute more than 10% of the Company's consolidated net revenue for the fiscal year ended February 3, 2017, January 29, 2016, or January 30, 2015. Property, plant, and equipment, net from any single foreign country did not constitute more than 10% of the Company's consolidated property, plant, and equipment, net as of February 3, 2017 or January 29,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125" w:right="2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ADDITIONAL CONSOLIDATED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Consolidated Statements of Financial Position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on selected accounts included in the Consolidated Statements of Financial Position as of February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 and January 29,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3, 2017</w:t>
            </w:r>
          </w:p>
        </w:tc>
        <w:tc>
          <w:tcPr>
            <w:tcW w:w="26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29, 2016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4"/>
          </w:tcPr>
          <w:p>
            <w:pPr>
              <w:jc w:val="right"/>
              <w:ind w:right="15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Gross accounts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9,759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Allowance for customer returns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Prepaid expenses (a)</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Total prepaid expenses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buildings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Machinery and other equipment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Accrued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and other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and other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Unrecognized tax benefits, net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Prepaid expenses are included in other current assets in the Consolidated Statements of Financial Position.</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fiscal years ended February 3, 2017, January 29, 2016, and January 30, 2015 the Company recognized $1,158 million, $523 million, and $516 million, respectively, in depreciation expense.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420"/>
          </w:cols>
          <w:pgMar w:left="240" w:top="125" w:right="23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Consolidated Statements of Income (Loss)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details of interest and other, net for the fiscal years ended February 3, 2017, January 29, 2016, and January 30,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Fiscal Year Ended</w:t>
            </w: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3, 2017</w:t>
            </w:r>
          </w:p>
        </w:tc>
        <w:tc>
          <w:tcPr>
            <w:tcW w:w="24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January 29, 2016</w:t>
            </w:r>
          </w:p>
        </w:tc>
        <w:tc>
          <w:tcPr>
            <w:tcW w:w="280" w:type="dxa"/>
            <w:vAlign w:val="bottom"/>
          </w:tcPr>
          <w:p>
            <w:pPr>
              <w:spacing w:after="0"/>
              <w:rPr>
                <w:sz w:val="20"/>
                <w:szCs w:val="20"/>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January 30, 2015</w:t>
            </w: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(in millions)</w:t>
            </w: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Interest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Investment income, primarily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(loss) on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Debt extinguishment</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466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125"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22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Dell Technologies Inc. has no material assets or standalone operations other than its ownership in its consolidated subsidiaries. There are restrictions under credit agreements and indentures governing the First Lien Notes and the Senior Notes on the Company's ability to obtain funds from any of its subsidiaries through dividends, loans, or advances. As of February 3, 2017, the Company had certain consolidated subsidiaries that were designated as unrestricted subsidiaries for all purposes of the applicable credit agreements and such indentures. As of February 3, 2017, substantially all of the net assets of the Company's consolidated subsidiaries were restricted, with the exception of the Company's unrestricted subsidiaries, primarily VMware and SecureWorks. Accordingly, this condensed financial information is presented on a "Parent-only" basis. Under a Parent-only presentation, Dell Technologies Inc.'s investments in its consolidated subsidiaries are presented under the equity method of accounting.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position of Dell Technologies Inc. (Parent) as of February 3, 2017 and January 29, 2016: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and 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and capital in excess of $.01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Retained earnings (deficit)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redeemable shares,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connection with the acquisition of Dell by Dell Technologies, Dell Technologies issued a $2.0 billion subordinated note to Microsoft Global Finance, a subsidiary of Microsoft Corporation. As of February 3, 2017 and January 29, 2016, the outstanding principal amount of the Microsoft Note was $26 million, payable at maturity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125"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 presents a reconciliation of (1) the equity in net loss of subsidiaries to the net loss attributable to Dell Technologies Inc. and (2) consolidated net loss to comprehensive net loss attributable to Dell Technologies Inc. for the fiscal years ended February 3, 2017, January 29, 2016, and January 30,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Equity in net loss from continuing operations of subsidiaries attributable to</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Technologies Inc.</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5"/>
              </w:rPr>
              <w:t>Equity in net income (loss) from discontinued operations of subsidiaries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Equity in net loss of subsidiaries attributable to Dell Technologies Inc.</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32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Parent - Interest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Parent - Income tax benefit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net loss attributable to Dell Technologies Inc.</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attributable to Dell Technologies Inc.</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of subsidiaries attributable to Dell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Technologies 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attributable to Dell Technologies Inc.</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cash flows of Dell Technologies Inc. (Parent) for the fiscal years ended February 3, 2017, January 29, 2016, and January 30,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4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investing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Transfer to/from subsidiary</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35,935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Change in cash from investing activities</w:t>
            </w:r>
          </w:p>
        </w:tc>
        <w:tc>
          <w:tcPr>
            <w:tcW w:w="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Cash flow from financing activities: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DHI Group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Repurchases of DHI Group Common Stock</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Class V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Issuance of common stock under employee plans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Receipt of capital from subsidiaries</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Capital investment in subsidiaries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318"/>
        </w:trPr>
        <w:tc>
          <w:tcPr>
            <w:tcW w:w="4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period</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period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Valuation and Qualifying Accounts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2016</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 2015</w:t>
            </w: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Bad debt write-offs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1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customer returns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Sales returns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1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93"/>
              </w:rPr>
              <w:t>Customer Financing Receivables - Allowance for financing receivable losses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Charge-offs, net of recoveries (a)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1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Tax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Charged to 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Allowance acquired</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22"/>
        </w:trPr>
        <w:tc>
          <w:tcPr>
            <w:tcW w:w="13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r>
    </w:tbl>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Charge-offs to the allowance for financing receivable losses for customer financing receivables includes principal and interest.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166</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UNAUDITED QUARTERLY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selected unaudited consolidated statements of income (loss) for each quarter of Fiscal 2017 and Fiscal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Q1 (a)</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Q2 (b)</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2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Q4 (c)</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9"/>
          </w:tcPr>
          <w:p>
            <w:pPr>
              <w:jc w:val="right"/>
              <w:ind w:right="50"/>
              <w:spacing w:after="0"/>
              <w:rPr>
                <w:sz w:val="20"/>
                <w:szCs w:val="20"/>
                <w:color w:val="auto"/>
              </w:rPr>
            </w:pPr>
            <w:r>
              <w:rPr>
                <w:rFonts w:ascii="Arial" w:cs="Arial" w:eastAsia="Arial" w:hAnsi="Arial"/>
                <w:sz w:val="18"/>
                <w:szCs w:val="18"/>
                <w:color w:val="auto"/>
              </w:rPr>
              <w:t>(in millions, except per share data)</w:t>
            </w:r>
          </w:p>
        </w:tc>
        <w:tc>
          <w:tcPr>
            <w:tcW w:w="8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20,074</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4,531</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Net income from continuing operations attributable to Class V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attributable to DHI Group</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7"/>
        </w:trPr>
        <w:tc>
          <w:tcPr>
            <w:tcW w:w="2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97"/>
        </w:trPr>
        <w:tc>
          <w:tcPr>
            <w:tcW w:w="20" w:type="dxa"/>
            <w:vAlign w:val="bottom"/>
          </w:tcPr>
          <w:p>
            <w:pPr>
              <w:spacing w:after="0"/>
              <w:rPr>
                <w:sz w:val="24"/>
                <w:szCs w:val="24"/>
                <w:color w:val="auto"/>
              </w:rPr>
            </w:pPr>
          </w:p>
        </w:tc>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Dell Technologies Inc.</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311"/>
        </w:trPr>
        <w:tc>
          <w:tcPr>
            <w:tcW w:w="20" w:type="dxa"/>
            <w:vAlign w:val="bottom"/>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Continuing operations - Class V Common Stock -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Continuing operations - DHI Group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 - DHI Group -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Continuing operations - Class V Common Stock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Continuing operations - DHI Group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 - DHI Group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118"/>
        </w:trPr>
        <w:tc>
          <w:tcPr>
            <w:tcW w:w="20" w:type="dxa"/>
            <w:vAlign w:val="bottom"/>
          </w:tcPr>
          <w:p>
            <w:pPr>
              <w:spacing w:after="0"/>
              <w:rPr>
                <w:sz w:val="10"/>
                <w:szCs w:val="10"/>
                <w:color w:val="auto"/>
              </w:rPr>
            </w:pPr>
          </w:p>
        </w:tc>
        <w:tc>
          <w:tcPr>
            <w:tcW w:w="6960" w:type="dxa"/>
            <w:vAlign w:val="bottom"/>
          </w:tcPr>
          <w:p>
            <w:pPr>
              <w:spacing w:after="0" w:line="118" w:lineRule="exact"/>
              <w:rPr>
                <w:sz w:val="20"/>
                <w:szCs w:val="20"/>
                <w:color w:val="auto"/>
              </w:rPr>
            </w:pPr>
            <w:r>
              <w:rPr>
                <w:rFonts w:ascii="Arial" w:cs="Arial" w:eastAsia="Arial" w:hAnsi="Arial"/>
                <w:sz w:val="11"/>
                <w:szCs w:val="11"/>
                <w:color w:val="auto"/>
              </w:rPr>
              <w:t>_________________</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ind w:left="340" w:right="100" w:hanging="332"/>
        <w:spacing w:after="0" w:line="24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presented for the three months ended April 29, 2016 are different from those previously reported on Form 10-Q primarily because DSG met the criteria for discontinued operations reporting as of June 29, 2016, and therefore the Company recast the associated financial results as discontinued operations in the Consolidated Statements of Income (Loss).</w:t>
      </w:r>
    </w:p>
    <w:p>
      <w:pPr>
        <w:spacing w:after="0" w:line="1" w:lineRule="exact"/>
        <w:rPr>
          <w:rFonts w:ascii="Arial" w:cs="Arial" w:eastAsia="Arial" w:hAnsi="Arial"/>
          <w:sz w:val="17"/>
          <w:szCs w:val="17"/>
          <w:color w:val="auto"/>
        </w:rPr>
      </w:pPr>
    </w:p>
    <w:p>
      <w:pPr>
        <w:ind w:left="340" w:right="40" w:hanging="332"/>
        <w:spacing w:after="0" w:line="24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presented for the three months ended July 29, 2016 are different from those previously reported on Form 10-Q because the Company reclassified an immaterial amount of financial results from discontinued operations to continuing operations to reflect the updated terms as the result of continued negotiations and finalization of terms of the sale.</w:t>
      </w:r>
    </w:p>
    <w:p>
      <w:pPr>
        <w:spacing w:after="0" w:line="1" w:lineRule="exact"/>
        <w:rPr>
          <w:rFonts w:ascii="Arial" w:cs="Arial" w:eastAsia="Arial" w:hAnsi="Arial"/>
          <w:sz w:val="17"/>
          <w:szCs w:val="17"/>
          <w:color w:val="auto"/>
        </w:rPr>
      </w:pPr>
    </w:p>
    <w:p>
      <w:pPr>
        <w:ind w:left="340" w:right="100" w:hanging="332"/>
        <w:spacing w:after="0" w:line="257"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Income (loss) from discontinued operations for the three months ended February 3, 2017 includes the impact of the net gain on sale of the divested businesses of $1.9 billion, net of tax expense of $0.4 billion.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Q4</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9"/>
          </w:tcPr>
          <w:p>
            <w:pPr>
              <w:jc w:val="right"/>
              <w:ind w:right="110"/>
              <w:spacing w:after="0"/>
              <w:rPr>
                <w:sz w:val="20"/>
                <w:szCs w:val="20"/>
                <w:color w:val="auto"/>
              </w:rPr>
            </w:pPr>
            <w:r>
              <w:rPr>
                <w:rFonts w:ascii="Arial" w:cs="Arial" w:eastAsia="Arial" w:hAnsi="Arial"/>
                <w:sz w:val="18"/>
                <w:szCs w:val="18"/>
                <w:color w:val="auto"/>
              </w:rPr>
              <w:t>(in millions, except per share data)</w:t>
            </w: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2,254</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Discontinued operations - 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Continuing operations - DHI Group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Discontinued operations - DHI Group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6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25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Dell Technologies is a large global organization which engages in millions of purchase, sales, and other transactions during the fiscal year. The Company enters into purchase and sales transactions with other publicly-traded and privately-held companies, universities, hospitals, and not-for-profit organizations with which members of the Company's board of directors or executive officers are affiliated. The Company enters into these arrangements in the ordinary course of its business. Transactions with related parties were immaterial for the fiscal years ended February 3, 2017, January 29, 2016, and January 30, 2015.</w:t>
      </w:r>
    </w:p>
    <w:p>
      <w:pPr>
        <w:spacing w:after="0" w:line="1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From time to time, the Company makes strategic investments in publicly-traded and privately-held companies that develop software, hardware and other technologies or provide services supporting the Company's technologies. The Company may purchase from or make sales to these organizations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Refinancing of Term Loan B Facility </w:t>
      </w:r>
      <w:r>
        <w:rPr>
          <w:rFonts w:ascii="Arial" w:cs="Arial" w:eastAsia="Arial" w:hAnsi="Arial"/>
          <w:sz w:val="18"/>
          <w:szCs w:val="18"/>
          <w:color w:val="auto"/>
        </w:rPr>
        <w:t>— On March 8, 2017, the Company refinanced the Term Loan B Facility to reduce the interest rate margin by 0.75%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increase outstanding principal by $500 million.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Repayment of Margin Bridge Facility </w:t>
      </w:r>
      <w:r>
        <w:rPr>
          <w:rFonts w:ascii="Arial" w:cs="Arial" w:eastAsia="Arial" w:hAnsi="Arial"/>
          <w:sz w:val="18"/>
          <w:szCs w:val="18"/>
          <w:color w:val="auto"/>
        </w:rPr>
        <w:t>— On March 8, 2017, the Company applied cash proceeds from the Term Loan B Facility refinancing to repay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principal amount of the Margin Bridge Facility, without premium or penalty, and accrued and unpaid interest thereon.</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Amendment of Class V Common Stock Repurchase Program </w:t>
      </w:r>
      <w:r>
        <w:rPr>
          <w:rFonts w:ascii="Arial" w:cs="Arial" w:eastAsia="Arial" w:hAnsi="Arial"/>
          <w:sz w:val="17"/>
          <w:szCs w:val="17"/>
          <w:color w:val="auto"/>
        </w:rPr>
        <w:t>— On March 27, 2017, the Company's board of directors approved an amendment to the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 Group Repurchase Program authorizing the Company to use assets of the Company's Class V Group to repurchase up to an additional $300 million of shares of the Company's Class V Common Stock from time to time over a period of six months from the date of the approval.</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Stock Purchase Agreement for Sale of VMware Class A Common Stock </w:t>
      </w:r>
      <w:r>
        <w:rPr>
          <w:rFonts w:ascii="Arial" w:cs="Arial" w:eastAsia="Arial" w:hAnsi="Arial"/>
          <w:sz w:val="18"/>
          <w:szCs w:val="18"/>
          <w:color w:val="auto"/>
        </w:rPr>
        <w:t>— On March 29, 2017, the Company entered into a stock purchase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VMware pursuant to which VMware agreed to purchase for cash $300 million of shares of VMware Class A common stock from a subsidiary of the Company. The Company expects to apply the proceeds from the sale to the repurchase of shares of the Company's Class V Common Stock under the amended Class V Group Repurchase Program described above.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the balance sheet date and up until the date of the issuance of this report that would materially affect the information presented herein.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20"/>
          </w:cols>
          <w:pgMar w:left="240" w:top="126" w:right="2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or Exchange Act. See Exhibits 31.1 and 31.2 filed with this report. This Item 9A includes information concerning the controls and control evaluations referred to in those certifications.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registered public accounting firm in reliance on the transition period exemption established by SEC rules for newly public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to allow timely decisions regarding required disclosures.</w:t>
      </w:r>
    </w:p>
    <w:p>
      <w:pPr>
        <w:spacing w:after="0" w:line="18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February 3, 2017. Based on that evaluation, our management has concluded that our disclosure controls and procedures were effective as of February 3,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September 7, 2016, we completed our acquisition by merger of EMC Corporation as described elsewhere in this report. Revenues of approximately $9.2 billion and net loss of approximately $2.1 billion attributable to EMC were included in the Consolidated Statements of Income (Loss) for the period from September 7, 2016 through February 3, 2017.</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integrate policies, processes, people, technology, and operations relating to this transaction, and will continue to evaluate the impact of any related changes to our internal control over financial reporting. Except for any changes related to the integration of EMC, there were no changes in our internal control over financial reporting during the fiscal quarter ended February 3, 2017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of 2012</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Set forth below is a description of matters reported by us pursuant to Section 219 of the Iran Threat Reduction and Syria Human Rights Act of 2012 and Section 13(r) of the Exchange Act. Concurrently with the filing of this annual report, we are filing a notice pursuant to Section 13(r) of the Exchange Act that such matters have been disclosed in this annual report.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information disclosed under "Part II </w:t>
      </w:r>
      <w:r>
        <w:rPr>
          <w:rFonts w:ascii="Arial" w:cs="Arial" w:eastAsia="Arial" w:hAnsi="Arial"/>
          <w:sz w:val="18"/>
          <w:szCs w:val="18"/>
          <w:i w:val="1"/>
          <w:iCs w:val="1"/>
          <w:color w:val="auto"/>
        </w:rPr>
        <w:t>—</w:t>
      </w:r>
      <w:r>
        <w:rPr>
          <w:rFonts w:ascii="Arial" w:cs="Arial" w:eastAsia="Arial" w:hAnsi="Arial"/>
          <w:sz w:val="18"/>
          <w:szCs w:val="18"/>
          <w:color w:val="auto"/>
        </w:rPr>
        <w:t xml:space="preserve"> Item 5 — Other Information" in our Quarterly Report on Form 10-Q for the quarter ended October 28, 2016 is incorporated by reference herein.</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June 2016, the Embassy of the Government of Iran located in the Republic of Ireland placed an order for Dell desktop computers, computer stands, and a server for a total purchase price of approximately 8,816 Euros (approximately $9,941 at the exchange rate for U.S. dollars at the date of such order). We did not accept the order, but such embassy subsequently deposited prepaid funds in the amount of its purchase order in a local bank for our account. These funds remain blocked at the local bank, and we do not intend to engage in future activity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60"/>
          </w:cols>
          <w:pgMar w:left="240" w:top="125" w:right="2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adopted a code of ethics applicable to our principal executive officer and our other senior financial officers. The code of ethics, which we refer to as our Code of Ethics for Senior Financial Officers, is available on the Investors page of our website at www.delltechnologies.com. To the extent required by SEC rules, we intend to disclose any amendments to this code and any waiver of a provision of the code for the benefit of any senior financial officer on our website within any period that may be required under SEC rules from time to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See "Part I — Item 1 — Business — Executive Officers of Dell Technologies" for information about our executive officers, which is incorporated by reference in this Item 10. Other information required by this Item 10 is incorporated herein by reference to our definitive proxy statement for our 2017 annual meeting of stockholders, referred to as the "2017 proxy statement," which we will file with the SEC on or before 120 days after our 2017 fiscal year-end, and which will appear in the 2017 proxy statement under the captions "Proposal 1 — Election of Directors" and "Additional Information — Section 16(a) Beneficial Ownership Reporting Compliance."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about the members of our board of directors and the principal occupation or employment of each director is provided as of the date of this report.</w:t>
      </w:r>
    </w:p>
    <w:p>
      <w:pPr>
        <w:spacing w:after="0" w:line="116"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3"/>
              </w:rPr>
              <w:t>Michael S. Dell</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William D. Green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Chairman and Chief Executive Officer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Dell Technologies Inc.</w:t>
            </w:r>
          </w:p>
        </w:tc>
        <w:tc>
          <w:tcPr>
            <w:tcW w:w="3140" w:type="dxa"/>
            <w:vAlign w:val="bottom"/>
          </w:tcPr>
          <w:p>
            <w:pPr>
              <w:spacing w:after="0"/>
              <w:rPr>
                <w:sz w:val="20"/>
                <w:szCs w:val="20"/>
                <w:color w:val="auto"/>
              </w:rPr>
            </w:pPr>
          </w:p>
        </w:tc>
      </w:tr>
      <w:tr>
        <w:trPr>
          <w:trHeight w:val="58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David W. Dorman</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4"/>
              </w:rPr>
              <w:t>Ellen J. Kullman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89"/>
              </w:rPr>
              <w:t>Founding Partner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0"/>
              </w:rPr>
              <w:t>Centerview Capital Technology Management, L.P.</w:t>
            </w:r>
          </w:p>
        </w:tc>
        <w:tc>
          <w:tcPr>
            <w:tcW w:w="3140" w:type="dxa"/>
            <w:vAlign w:val="bottom"/>
          </w:tcPr>
          <w:p>
            <w:pPr>
              <w:spacing w:after="0"/>
              <w:rPr>
                <w:sz w:val="20"/>
                <w:szCs w:val="20"/>
                <w:color w:val="auto"/>
              </w:rPr>
            </w:pPr>
          </w:p>
        </w:tc>
      </w:tr>
      <w:tr>
        <w:trPr>
          <w:trHeight w:val="58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0"/>
              </w:rPr>
              <w:t>Egon Durban</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88"/>
              </w:rPr>
              <w:t>Simon Patterson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89"/>
              </w:rPr>
              <w:t>Managing Partner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Managing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1"/>
              </w:rPr>
              <w:t>Silver Lake Partners</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0"/>
              </w:rPr>
              <w:t>Silver Lake Partners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Information required by this Item 11 is incorporated herein by reference to the 2017 proxy statement, including the information in the 2017 proxy statement appearing under the captions "Proposal 1 — Election of Directors — Director Compensation" and "Executive Compensation."</w:t>
      </w:r>
    </w:p>
    <w:p>
      <w:pPr>
        <w:spacing w:after="0" w:line="143" w:lineRule="exact"/>
        <w:rPr>
          <w:sz w:val="20"/>
          <w:szCs w:val="20"/>
          <w:color w:val="auto"/>
        </w:rPr>
      </w:pPr>
    </w:p>
    <w:p>
      <w:pPr>
        <w:ind w:left="980" w:right="540" w:hanging="971"/>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Information required by this Item 12 is incorporated herein by reference to the 2017 proxy statement, including the information in the 2017 proxy statement appearing under the captions "Security Ownership of Certain Beneficial Owners and Management" and "Executive Compensation — Equity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21"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Information required by this Item 13 is incorporated herein by reference to the 2017 proxy statement, including the information in the 2017 proxy statement appearing under the captions "Proposal 1 — Elections of Directors" and "Additional Information — Certain Relationships and Related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9"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2017 proxy statement, including the information in the 2017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125"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660" w:right="2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financial statements are filed as part of this report under "Part II — Item 8 —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Financial Position at February 3, 2017 and January 29, 2016</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(Loss) for the fiscal years ended February 3, 2017, January 29, 2016, and January 30, 2015</w:t>
      </w:r>
    </w:p>
    <w:p>
      <w:pPr>
        <w:spacing w:after="0" w:line="9" w:lineRule="exact"/>
        <w:rPr>
          <w:rFonts w:ascii="Arial" w:cs="Arial" w:eastAsia="Arial" w:hAnsi="Arial"/>
          <w:sz w:val="18"/>
          <w:szCs w:val="18"/>
          <w:color w:val="auto"/>
        </w:rPr>
      </w:pPr>
    </w:p>
    <w:p>
      <w:pPr>
        <w:ind w:left="660"/>
        <w:spacing w:after="0" w:line="265"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(Loss) for the fiscal years ended February 3, 2017, January 29, 2016, and January 30, 2015 Consolidated Statements of Cash Flows for the fiscal years ended February 3, 2017, January 29, 2016, and January 30, 2015</w:t>
      </w:r>
    </w:p>
    <w:p>
      <w:pPr>
        <w:ind w:left="660" w:right="720"/>
        <w:spacing w:after="0" w:line="261"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February 3, 2017, January 29, 2016, and January 30, 2015 Notes to Consolidated Financial Statements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The following financial statement schedules are included in Note 23 of the Notes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under "Part II — Item 8 — Financial Statements and Supplementary Data":</w:t>
      </w:r>
    </w:p>
    <w:p>
      <w:pPr>
        <w:spacing w:after="0" w:line="170" w:lineRule="exact"/>
        <w:rPr>
          <w:rFonts w:ascii="Arial" w:cs="Arial" w:eastAsia="Arial" w:hAnsi="Arial"/>
          <w:sz w:val="18"/>
          <w:szCs w:val="18"/>
          <w:color w:val="auto"/>
        </w:rPr>
      </w:pPr>
    </w:p>
    <w:p>
      <w:pPr>
        <w:ind w:left="660" w:right="5420"/>
        <w:spacing w:after="0" w:line="277" w:lineRule="auto"/>
        <w:rPr>
          <w:rFonts w:ascii="Arial" w:cs="Arial" w:eastAsia="Arial" w:hAnsi="Arial"/>
          <w:sz w:val="18"/>
          <w:szCs w:val="18"/>
          <w:color w:val="auto"/>
        </w:rPr>
      </w:pPr>
      <w:r>
        <w:rPr>
          <w:rFonts w:ascii="Arial" w:cs="Arial" w:eastAsia="Arial" w:hAnsi="Arial"/>
          <w:sz w:val="18"/>
          <w:szCs w:val="18"/>
          <w:color w:val="auto"/>
        </w:rPr>
        <w:t>Schedule I — Condensed Financial Information of Parent Company Schedule II — Valuation and Qualifying Accounts</w:t>
      </w:r>
    </w:p>
    <w:p>
      <w:pPr>
        <w:spacing w:after="0" w:line="170" w:lineRule="exact"/>
        <w:rPr>
          <w:rFonts w:ascii="Arial" w:cs="Arial" w:eastAsia="Arial" w:hAnsi="Arial"/>
          <w:sz w:val="18"/>
          <w:szCs w:val="18"/>
          <w:color w:val="auto"/>
        </w:rPr>
      </w:pPr>
    </w:p>
    <w:p>
      <w:pPr>
        <w:ind w:left="660" w:right="26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they are not applicable or the required information is otherwise included in the Consolidated Financial Statements or Notes thereto.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Index to Exhibits immediately following the signature page to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0"/>
          </w:cols>
          <w:pgMar w:left="240" w:top="125" w:right="6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r>
      <w:tr>
        <w:trPr>
          <w:trHeight w:val="27"/>
        </w:trPr>
        <w:tc>
          <w:tcPr>
            <w:tcW w:w="4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4"/>
              </w:rPr>
              <w:t>(Duly Authorized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31,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Signature</w:t>
            </w:r>
          </w:p>
        </w:tc>
        <w:tc>
          <w:tcPr>
            <w:tcW w:w="4200" w:type="dxa"/>
            <w:vAlign w:val="bottom"/>
          </w:tcPr>
          <w:p>
            <w:pPr>
              <w:ind w:left="3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S. Dell</w:t>
            </w:r>
          </w:p>
        </w:tc>
        <w:tc>
          <w:tcPr>
            <w:tcW w:w="4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DAVID W. DORMAN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EGON DURBAN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color w:val="auto"/>
                <w:w w:val="92"/>
              </w:rPr>
              <w:t>Egon Durban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WILLIAM D. GREEN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color w:val="auto"/>
                <w:w w:val="95"/>
              </w:rPr>
              <w:t>William D. Green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9"/>
              </w:rPr>
              <w:t>/s/ ELLEN J. KULLMAN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color w:val="auto"/>
                <w:w w:val="94"/>
              </w:rPr>
              <w:t>Ellen J. Kullman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SIMON PATTERSON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color w:val="auto"/>
                <w:w w:val="88"/>
              </w:rPr>
              <w:t>Simon Patterson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MAYA MCREYNOLDS</w:t>
            </w:r>
          </w:p>
        </w:tc>
        <w:tc>
          <w:tcPr>
            <w:tcW w:w="4200" w:type="dxa"/>
            <w:vAlign w:val="bottom"/>
          </w:tcPr>
          <w:p>
            <w:pPr>
              <w:ind w:left="360"/>
              <w:spacing w:after="0"/>
              <w:rPr>
                <w:sz w:val="20"/>
                <w:szCs w:val="20"/>
                <w:color w:val="auto"/>
              </w:rPr>
            </w:pPr>
            <w:r>
              <w:rPr>
                <w:rFonts w:ascii="Arial" w:cs="Arial" w:eastAsia="Arial" w:hAnsi="Arial"/>
                <w:sz w:val="18"/>
                <w:szCs w:val="18"/>
                <w:color w:val="auto"/>
              </w:rPr>
              <w:t>Senior Vice President, Corporate Finance and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3"/>
              </w:rPr>
              <w:t>Maya McReynolds</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ectPr>
          <w:pgSz w:w="11900" w:h="16838" w:orient="portrait"/>
          <w:cols w:equalWidth="0" w:num="1">
            <w:col w:w="11180"/>
          </w:cols>
          <w:pgMar w:left="240" w:top="125" w:right="479" w:bottom="481" w:gutter="0" w:footer="0" w:header="0"/>
        </w:sectPr>
      </w:pPr>
    </w:p>
    <w:bookmarkStart w:id="172" w:name="page173"/>
    <w:bookmarkEnd w:id="172"/>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9019"/>
          </w:cols>
          <w:pgMar w:left="1440" w:top="585" w:right="1440"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59" w:lineRule="exact"/>
        <w:rPr>
          <w:sz w:val="20"/>
          <w:szCs w:val="20"/>
          <w:color w:val="auto"/>
        </w:rPr>
      </w:pPr>
    </w:p>
    <w:tbl>
      <w:tblPr>
        <w:tblLayout w:type="fixed"/>
        <w:tblInd w:w="190" w:type="dxa"/>
        <w:tblCellMar>
          <w:top w:w="0" w:type="dxa"/>
          <w:left w:w="0" w:type="dxa"/>
          <w:bottom w:w="0" w:type="dxa"/>
          <w:right w:w="0" w:type="dxa"/>
        </w:tblCellMar>
      </w:tblPr>
      <w:tr>
        <w:trPr>
          <w:trHeight w:val="256"/>
        </w:trPr>
        <w:tc>
          <w:tcPr>
            <w:tcW w:w="134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Exhibit</w:t>
            </w:r>
          </w:p>
        </w:tc>
        <w:tc>
          <w:tcPr>
            <w:tcW w:w="9760" w:type="dxa"/>
            <w:vAlign w:val="bottom"/>
            <w:tcBorders>
              <w:top w:val="single" w:sz="8" w:color="auto"/>
              <w:right w:val="single" w:sz="8" w:color="auto"/>
            </w:tcBorders>
          </w:tcPr>
          <w:p>
            <w:pPr>
              <w:spacing w:after="0"/>
              <w:rPr>
                <w:sz w:val="22"/>
                <w:szCs w:val="22"/>
                <w:color w:val="auto"/>
              </w:rPr>
            </w:pPr>
          </w:p>
        </w:tc>
      </w:tr>
      <w:tr>
        <w:trPr>
          <w:trHeight w:val="291"/>
        </w:trPr>
        <w:tc>
          <w:tcPr>
            <w:tcW w:w="134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Number</w:t>
            </w:r>
          </w:p>
        </w:tc>
        <w:tc>
          <w:tcPr>
            <w:tcW w:w="9760" w:type="dxa"/>
            <w:vAlign w:val="bottom"/>
            <w:tcBorders>
              <w:bottom w:val="single" w:sz="8" w:color="auto"/>
              <w:right w:val="single" w:sz="8" w:color="auto"/>
            </w:tcBorders>
          </w:tcPr>
          <w:p>
            <w:pPr>
              <w:ind w:left="442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34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0"/>
                <w:szCs w:val="20"/>
                <w:color w:val="auto"/>
              </w:rPr>
              <w:t>2.1†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Agreement and Plan of Merger, dated as of October 12, 2015, as amended by the First Amendment to Agreement and Plan of Merger,</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dated as of May 16, 2016, among Denali Holding Inc. (known as Dell Technologies Inc. from and after August 25, 2016) (the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“Company”), Dell Inc., Universal Acquisition Co. and EMC Corporation (incorporated by reference to Annex A to the Company’s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proxy statement/prospectus, forming part of the Company’s Registration Statement on Form S-4 (the “2016 Form S-4”)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Securities and Exchange Commission (the “Commission”) on June 6,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3.1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Fourth Amended and Restated Certificate of Incorporation of Dell Technologies Inc. (incorporated by reference to Exhibit 3.1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7,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3.2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Amended and Restated Bylaws of Dell Technologies Inc. (incorporated by reference to Exhibit 3.2 to the Company’s Current Report</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Form 8-K filed with the Commission on September 7,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Indenture, dated as of April 27, 1998, between Dell Computer Corporation and Chase Bank of Texas, National Association, as trustee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“1998 Indenture”) (incorporated by reference to Exhibit 99.2 of Dell Inc.’s Current Report on Form 8-K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April 28, 1998)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Indenture, dated as of April 17, 2008, between Dell Inc. and The Bank of New York Mellon Trust Company, N.A. (formerly The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Bank of New York Trust Company, N.A.), as trustee (including the form of notes) (incorporated by reference to Exhibit 4.1 of Dell</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Inc.’s Current Report on Form 8-K filed with the Commission on April 17, 2008)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Indenture, dated as of April 6, 2009, between Dell Inc. and The Bank of New York Mellon Trust Company, N.A., as trustee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(incorporated by reference to Exhibit 4.1 of Dell Inc.’s Current Report on Form 8-K filed with the Commision on April 6, 2009)</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First Supplemental Indenture, dated April 6, 2009, between Dell Inc. and The Bank of New York Mellon Trust Company, N.A., as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trustee (incorporated by reference to Exhibit 4.2 of Dell Inc.’s Current Report on Form 8-K filed with the Commission on April 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2009)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Second Supplemental Indenture, dated June 15, 2009, between Dell Inc. and The Bank of New York Mellon Trust Company, N.A., as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trustee (incorporated by reference to Exhibit 4.1 of Dell Inc.’s Current Report on Form 8-K filed with the Commission on June 15,</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2009)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Third Supplemental Indenture, dated September 10, 2010, between Dell Inc. and The Bank of New York Mellon Trust Company,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N.A., as trustee (incorporated by reference to Exhibit 4.1 of Dell Inc.’s Current Report on Form 8-K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10, 2010)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Fourth Supplemental Indenture, dated March 31, 2011, between Dell Inc. and The Bank of New York Mellon Trust Company, N.A.,</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as trustee (incorporated by reference to Exhibit 4.1 of Dell Inc.’s Current Report on Form 8-K filed with the Commission on March</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 2011) (Commission File No. 0-17017).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Indenture, dated as of June 6, 2013, by and between EMC Corporation and Wells Fargo Bank, National Association, as trustee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(incorporated by reference to Exhibit 4.1 to EMC Corporation's Current Report on Form 8-K filed with the Commission on June 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2013) (Commission File No. 001-9853).</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Base Indenture, dated as of June 1, 2016, among Diamond 1 Finance Corporation and Diamond 2 Finance Corporation, as issuers, and</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The Bank of New York Mellon Trust Company, N.A., as trustee and collateral agent (incorporated by reference to Exhibit 4.14 of</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Amendment No. 6 to the Company’s 2016 Form S-4 filed with the Commission on June 3,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4.10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2019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4.15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4.11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2021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4.17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669"/>
        </w:trPr>
        <w:tc>
          <w:tcPr>
            <w:tcW w:w="1340" w:type="dxa"/>
            <w:vAlign w:val="bottom"/>
          </w:tcPr>
          <w:p>
            <w:pPr>
              <w:spacing w:after="0"/>
              <w:rPr>
                <w:sz w:val="24"/>
                <w:szCs w:val="24"/>
                <w:color w:val="auto"/>
              </w:rPr>
            </w:pPr>
          </w:p>
        </w:tc>
        <w:tc>
          <w:tcPr>
            <w:tcW w:w="9760" w:type="dxa"/>
            <w:vAlign w:val="bottom"/>
          </w:tcPr>
          <w:p>
            <w:pPr>
              <w:ind w:left="4060"/>
              <w:spacing w:after="0"/>
              <w:rPr>
                <w:sz w:val="20"/>
                <w:szCs w:val="20"/>
                <w:color w:val="auto"/>
              </w:rPr>
            </w:pPr>
            <w:r>
              <w:rPr>
                <w:rFonts w:ascii="Arial" w:cs="Arial" w:eastAsia="Arial" w:hAnsi="Arial"/>
                <w:sz w:val="18"/>
                <w:szCs w:val="18"/>
                <w:color w:val="auto"/>
              </w:rPr>
              <w:t>173</w:t>
            </w:r>
          </w:p>
        </w:tc>
      </w:tr>
    </w:tbl>
    <w:p>
      <w:pPr>
        <w:sectPr>
          <w:pgSz w:w="11900" w:h="16838" w:orient="portrait"/>
          <w:cols w:equalWidth="0" w:num="1">
            <w:col w:w="11280"/>
          </w:cols>
          <w:pgMar w:left="240" w:top="125" w:right="3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1340" w:type="dxa"/>
            <w:vAlign w:val="bottom"/>
            <w:tcBorders>
              <w:top w:val="single" w:sz="8" w:color="auto"/>
              <w:left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w w:val="92"/>
              </w:rPr>
              <w:t>4.12</w:t>
            </w:r>
          </w:p>
        </w:tc>
        <w:tc>
          <w:tcPr>
            <w:tcW w:w="9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2023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4.19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2026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4.21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2036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4.23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2046 Notes Supplemental Indenture No. 1, dated June 1,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Exhibit 4.25 of Amendment No. 6 to the Company’s 2016 Form S-4 filed with the Commission on June 3,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Base Indenture, dated as of June 22, 2016, among Diamond 1 Finance Corporation and Diamond 2 Finance Corporation, as issuers,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and The Bank of New York Mellon Trust Company, N.A., as trustee (incorporated by reference to Exhibit 4.1 to the Company’s</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Current Report on Form 8-K filed with the Commission on June 22, 2016) (Commission File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2021 Notes Supplemental Indenture No. 1, dated June 22,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and The Bank of New York Mellon Trust Company, N.A., as trustee (incorporated by reference to Exhibit 4.2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Current Report on Form 8-K filed with the Commission on June 22, 2016) (Commission File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2024 Notes Supplemental Indenture No. 1, dated June 22, 2016,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and The Bank of New York Mellon Trust Company, N.A., as trustee (incorporated by reference to Exhibit 4.3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Current Report on Form 8-K filed with the Commission on June 22, 2016) (Commission File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4.19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First Supplemental Indenture, dated as of September 6, 2016, by and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Corporation and The Bank of New York Mellon Trust Company, N.A., as trustee and collateral agent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Exhibit 4.1 to the Company’s Current Report on Form 8-K filed with the Commission on September 9, 2016) (Commission File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4.20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2019 Notes Supplemental Indenture No. 2, 2021 Notes Supplemental Indenture No. 2, 2023 Notes Supplemental Indenture No. 2,</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2026 Notes Supplemental Indenture No. 2, 2036 Notes Supplemental Indenture No. 2 and 2046 Notes Supplemental Indenture No. 2,</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dated as of September 7, 2016, by and among Dell International L.L.C., EMC Corporation, New Dell International LLC and The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Bank of New York Mellon Trust Company, N.A., as trustee and collateral agent (incorporated by reference to Exhibit 4.2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4.21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2019 Notes Supplemental Indenture No. 3, 2021 Notes Supplemental Indenture No. 3, 2023 Notes Supplemental Indenture No. 3,</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2026 Notes Supplemental Indenture No. 3, 2036 Notes Supplemental Indenture No. 3 and 2046 Notes Supplemental Indenture No. 3,</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dated as of September 7, 2016, by and among Dell International L.L.C., EMC Corporation, Dell Technologies Inc., Denali</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Intermediate Inc., Dell Inc., the other guarantors named therein and The Bank of New York Mellon Trust Company, N.A., as trustee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collateral agent (incorporated by reference to Exhibit 4.3 to the Company’s Current Report on Form 8-K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4.22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Registration Rights Agreement, dated as of June 1, 2016, among Diamond 1 Finance Corporation, Diamond 2 Finance Corporation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and J.P. Morgan Securities LLC, Credit Suisse Securities (USA) LLC, Merrill Lynch, Pierce, Fenner &amp; Smith Incorporated, Barclays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Capital Inc., Citigroup Global Markets Inc., Goldman, Sachs &amp; Co., Deutsche Bank Securities Inc. and RBC Capital Markets, LLC,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as the representatives of the several initial purchasers (incorporated by reference to Exhibit 4.4 to the Company’s Current Report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jc w:val="right"/>
              <w:ind w:right="861"/>
              <w:spacing w:after="0" w:line="222" w:lineRule="exact"/>
              <w:rPr>
                <w:sz w:val="20"/>
                <w:szCs w:val="20"/>
                <w:color w:val="auto"/>
              </w:rPr>
            </w:pPr>
            <w:r>
              <w:rPr>
                <w:rFonts w:ascii="Arial" w:cs="Arial" w:eastAsia="Arial" w:hAnsi="Arial"/>
                <w:sz w:val="20"/>
                <w:szCs w:val="20"/>
                <w:color w:val="auto"/>
                <w:w w:val="92"/>
              </w:rPr>
              <w:t>4.23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Joinder Agreement to Registration Rights Agreement, dated as of September 7, 2016, among Dell International L.L.C., EMC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Corporation, Dell Technologies Inc., Denali Intermediate Inc., Dell Inc., the other guarantors named therein and J.P. Morgan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Securities LLC, Credit Suisse Securities (USA) LLC, Merrill Lynch, Pierce, Fenner &amp; Smith Incorporated, Barclays Capital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Citigroup Global Markets Inc., Goldman, Sachs &amp; Co., Deutsche Bank Securities Inc. and RBC Capital Markets, LLC, as the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representatives of the several initial purchasers (incorporated by reference to Exhibit 4.5 to the Company’s Current Report on Form 8-</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669"/>
        </w:trPr>
        <w:tc>
          <w:tcPr>
            <w:tcW w:w="1340" w:type="dxa"/>
            <w:vAlign w:val="bottom"/>
          </w:tcPr>
          <w:p>
            <w:pPr>
              <w:spacing w:after="0"/>
              <w:rPr>
                <w:sz w:val="24"/>
                <w:szCs w:val="24"/>
                <w:color w:val="auto"/>
              </w:rPr>
            </w:pPr>
          </w:p>
        </w:tc>
        <w:tc>
          <w:tcPr>
            <w:tcW w:w="9760" w:type="dxa"/>
            <w:vAlign w:val="bottom"/>
          </w:tcPr>
          <w:p>
            <w:pPr>
              <w:ind w:left="4060"/>
              <w:spacing w:after="0"/>
              <w:rPr>
                <w:sz w:val="20"/>
                <w:szCs w:val="20"/>
                <w:color w:val="auto"/>
              </w:rPr>
            </w:pPr>
            <w:r>
              <w:rPr>
                <w:rFonts w:ascii="Arial" w:cs="Arial" w:eastAsia="Arial" w:hAnsi="Arial"/>
                <w:sz w:val="18"/>
                <w:szCs w:val="18"/>
                <w:color w:val="auto"/>
              </w:rPr>
              <w:t>174</w:t>
            </w:r>
          </w:p>
        </w:tc>
      </w:tr>
    </w:tbl>
    <w:p>
      <w:pPr>
        <w:sectPr>
          <w:pgSz w:w="11900" w:h="16838" w:orient="portrait"/>
          <w:cols w:equalWidth="0" w:num="1">
            <w:col w:w="11280"/>
          </w:cols>
          <w:pgMar w:left="240" w:top="125" w:right="3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1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4.24</w:t>
            </w:r>
          </w:p>
        </w:tc>
        <w:tc>
          <w:tcPr>
            <w:tcW w:w="9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First Supplemental Indenture, dated as of September 6, 2016, by and among Diamond 1 Finance Corporation, Diamond 2 Finance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and The Bank of New York Mellon Trust Company, N.A., as trustee (incorporated by reference to Exhibit 4.6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2021 Notes Supplemental Indenture No. 2, dated as of September 7, 2016, by and among Dell International L.L.C., EMC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Corporation, New Dell International LLC and The Bank of New York Mellon Trust Company, N.A., as trustee (incorporated by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reference to Exhibit 4.7 to the Company’s Current Report on Form 8-K filed with the Commission on September 9,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2021 Notes Supplemental Indenture No. 3, dated as of September 7, 2016, by and among Dell International L.L.C., EMC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Corporation, Dell Technologies Inc., Denali Intermediate Inc., Dell Inc., the other guarantors named therein and The Bank of New</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York Mellon Trust Company, N.A., as trustee (incorporated by reference to Exhibit 4.8 to the Company’s Current Report on Form 8-</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2024 Notes Supplemental Indenture No. 2, dated as of September 7, 2016, by and among Dell International L.L.C., EMC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Corporation, New Dell International LLC and The Bank of New York Mellon Trust Company, N.A., as trustee (incorporated by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reference to Exhibit 4.9 to the Company’s Current Report on Form 8-K filed with the Commission on September 9,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2024 Notes Supplemental Indenture No 3. dated as of September 7, 2016, by and among Dell International L.L.C., EMC Corporation,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Dell Technologies Inc., Denali Intermediate Inc., Dell Inc., the other guarantors named therein and The Bank of New York Mellon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Trust Company, N.A., as trustee (incorporated by reference to Exhibit 4.10 to the Company’s Current Report on Form 8-K filed with</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4.29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Security Agreement, dated as of September 7, 2016, among Dell International L.L.C., EMC Corporation, Denali Intermediate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Dell Inc., the other grantors party thereto and The Bank of New York Mellon Trust Company, N.A., as notes collateral agent</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(incorporated by reference to Exhibit 4.11 to the Company’s Quarterly Report on Form 10-Q filed with the Commission on December</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Dell Technologies Inc. 2012 Long-Term Incentive Plan (formerly known as Dell Inc. 2012 Long-Term Incentive Plan) (incorporated</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by reference to Exhibit 10.11 to the Company’s Current Report on Form 8-K filed with the Commission on September 9,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Form of Dell Inc. Long-Term Cash Incentive and Retention Award for Fiscal 2016 awards under the Dell Technologies Inc. 2012</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Long-Term Incentive Plan (incorporated by reference to Exhibit 10.13 of Amendment No. 3 to the Company’s 2016 Form S-4 filed</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the 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Form of Dell Inc. Long-Term Cash Incentive and Retention Award Agreement, under the Dell Technologies Inc. 2012 Long-Term</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Incentive Plan, between Dell Inc. and each of Jeremy Burton, Howard D. Elias and David I. Goulden.</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Form of Dell Inc. Deferred Cash Replacement Agreement under the Dell Technologies Inc. 2012 Long-Term Incentive Plan.</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Dell Inc. Annual Bonus Plan (incorporated by reference to Exhibit 10.5 of Amendment No. 3 to the Company’s 2016 Form S-4 filed</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the 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Dell Inc. Special Incentive Bonus Plan (incorporated by reference to Exhibit 10.6 of Amendment No. 3 to the Company’s 2016 Form</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S-4 filed with the 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Employment Agreement, dated October 29, 2013, by and among Dell Inc., the Company and Michael S. Dell (incorporated by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reference to Exhibit 10.7 of Amendment No. 3 to the Company’s 2016 Form S-4 filed with the Commission on April 11,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Stock Option Agreement, dated as of November 25, 2013, between Michael S. Dell and the Company for grant to Michael S. Dell</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under the Dell Technologies Inc. 2013 Stock Incentive Plan (incorporated by reference to Exhibit 10.8 of Amendment No. 3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2016 Form S-4 filed with the 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Form of Stock Option Agreement – Performance Vesting Option for grants to executive officers under the Dell Technologies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2013 Stock Incentive Plan (incorporated by reference to Exhibit 10.9 of Amendment No. 3 to the Company’s 2016 Form S-4 filed</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the 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Form of Stock Option Agreement – Performance Vesting Option for grants to employees under the Dell Technologies Inc. 2013 Stock</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Incentive Plan (incorporated by reference to Exhibit 10.10 of Amendment No. 3 to the Company’s 2016 Form S-4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669"/>
        </w:trPr>
        <w:tc>
          <w:tcPr>
            <w:tcW w:w="1340" w:type="dxa"/>
            <w:vAlign w:val="bottom"/>
          </w:tcPr>
          <w:p>
            <w:pPr>
              <w:spacing w:after="0"/>
              <w:rPr>
                <w:sz w:val="24"/>
                <w:szCs w:val="24"/>
                <w:color w:val="auto"/>
              </w:rPr>
            </w:pPr>
          </w:p>
        </w:tc>
        <w:tc>
          <w:tcPr>
            <w:tcW w:w="9760" w:type="dxa"/>
            <w:vAlign w:val="bottom"/>
          </w:tcPr>
          <w:p>
            <w:pPr>
              <w:ind w:left="4060"/>
              <w:spacing w:after="0"/>
              <w:rPr>
                <w:sz w:val="20"/>
                <w:szCs w:val="20"/>
                <w:color w:val="auto"/>
              </w:rPr>
            </w:pPr>
            <w:r>
              <w:rPr>
                <w:rFonts w:ascii="Arial" w:cs="Arial" w:eastAsia="Arial" w:hAnsi="Arial"/>
                <w:sz w:val="18"/>
                <w:szCs w:val="18"/>
                <w:color w:val="auto"/>
              </w:rPr>
              <w:t>175</w:t>
            </w:r>
          </w:p>
        </w:tc>
      </w:tr>
    </w:tbl>
    <w:p>
      <w:pPr>
        <w:sectPr>
          <w:pgSz w:w="11900" w:h="16838" w:orient="portrait"/>
          <w:cols w:equalWidth="0" w:num="1">
            <w:col w:w="11280"/>
          </w:cols>
          <w:pgMar w:left="240" w:top="125" w:right="3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1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10.11*</w:t>
            </w:r>
          </w:p>
        </w:tc>
        <w:tc>
          <w:tcPr>
            <w:tcW w:w="9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Form of Stock Option Agreement – Time Vesting Option for grants to executive officers under the Dell Technologies Inc. 2013 Stock</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Incentive Plan (incorporated by reference to Exhibit 10.11 of Amendment No. 3 to the Company’s 2016 Form S-4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Form of Stock Option Agreement – Time Vesting Option for grants to employees under the Dell Technologies Inc. 2013 Stock</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Incentive Plan (incorporated by reference to Exhibit 10.12 of Amendment No. 3 to the Company’s 2016 Form S-4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Severance for Protection Period Agreement, dated March 19, 2015, between Dell Inc. and Rory P. Read (incorporated by reference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Exhibit 10.14 of Amendment No. 3 to the Company’s 2016 Form S-4 filed with the Commission on April 11, 2016) (Registration No.</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10.14*††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Dell Inc. Severance Pay Plan for Executive Employees.</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Protection of Sensitive Information, Noncompetition and Nonsolicitation Agreement, dated March 19, 2015, between Dell Inc. and</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Rory P. Read (incorporated by reference to Exhibit 10.15 of Amendment No. 3 to the Company’s 2016 Form S-4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April 11, 2016) (Registration No. 333-208524).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Form of Protection of Sensitive Information, Noncompetition and Nonsolicitation Agreement (incorporated by reference to Exhibit</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10.16 of Amendment No. 3 to the Company’s 2016 Form S-4 filed with the Commission on April 11, 2016) (Registration No. 333-</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208524).</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Dell Technologies Inc. 2013 Stock Incentive Plan (formerly known as Denali Holding 2013 Stock Incentive Plan) (incorporated by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reference to Exhibit 10.10 to the Company’s Current Report on Form 8-K filed with the Commission on September 9,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of Dell Time Award Agreement for Executive Officers under the Dell Technologies Inc. 2013 Stock Incentive Plan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(incorporated by reference to Exhibit 4.5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10.19*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Form of Dell Time Award Agreement for Non-Employee Directors under the Dell Technologies Inc. 2013 Stock Incentive Plan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(incorporated by reference to Exhibit 4.7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Form of Dell Deferred Time Award Agreement for Non-Employee Directors under the Dell Technologies Inc. 2013 Stock Incentive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Plan (incorporated by reference to Exhibit 4.8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Form of Dell Performance Award Agreement for Executive Officers under the Dell Technologies Inc. 2013 Stock Incentive Plan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(incorporated by reference to Exhibit 4.9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Form of Stock Option Agreement for Non-Employee Directors (Annual Grant) under the Dell Technologies Inc. 2013 Stock Incentive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Plan (incorporated by reference to Exhibit 4.11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Form of Stock Option Agreement for Non-Employee Directors (Sign-On Grant) under the Dell Technologies Inc. 2013 Stock</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Incentive Plan (incorporated by reference to Exhibit 4.12 to the Company’s Registration Statement on Form S-8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Form of Stock Option Agreement for Executive Officers (Rollover Option) under the Dell Technologies Inc. 2013 Stock Incentive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Plan (incorporated by reference to Exhibit 4.13 to the Company’s Registration Statement on Form S-8 filed with the Commission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September 6, 2016) (Registration No. 333-213515).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Dell Technologies Inc. Compensation Program for Independent Non-Employee Directors (incorporated by reference to Exhibit 10.8</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to the 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10.26*††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of Dell Technologies Inc. Deferred Cash Award Agreement.</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Form of Master Transaction Agreement between EMC Corporation and VMware, Inc. (incorporated by reference to Exhibit 10.1 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Amendment No. 2 to VMware, Inc.’s Registration Statement on Form S-1 filed with the Commission on July 9, 2007) (Registration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333-142368).</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10.28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Credit Agreement, dated as of September 7, 2016, among Denali Intermediate Inc., Dell Inc., Dell International L.L.C., New Dell</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International LLC, Universal Acquisition Co., EMC Corporation, the issuing banks and lenders party thereto, Credit Suisse AG,</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Cayman Islands Branch, as Term Loan B Administrative Agent and Collateral Agent, JPMorgan Chase Bank, N A., as Term Loan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A/Revolver Administrative Agent and Swingline Lender (incorporated by reference to Exhibit 10.1 to the Company’s Current Report</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240" w:top="125" w:right="379" w:bottom="1440" w:gutter="0" w:footer="0" w:header="0"/>
        </w:sect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280"/>
          </w:cols>
          <w:pgMar w:left="240" w:top="125" w:right="37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1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10.29</w:t>
            </w:r>
          </w:p>
        </w:tc>
        <w:tc>
          <w:tcPr>
            <w:tcW w:w="9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Credit Agreement, dated as of September 7, 2016, among Denali Intermediate Inc., Dell Inc., Dell International L.L.C., New Dell</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International LLC, Universal Acquisition Co., EMC Corporation, the lenders party thereto and JPMorgan Chase Bank, N.A., as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Administrative Agent (incorporated by reference to Exhibit 10.2 to the Company’s Current Report on Form 8-K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Credit Agreement, dated as of September 7, 2016, among Universal Acquisition Co., EMC Corporation, the lenders party thereto and</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JPMorgan Chase Bank, N.A., as Administrative Agent and Collateral Agent (incorporated by reference to Exhibit 10.3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Credit Agreement, dated as of September 7, 2016, among Universal Acquisition Co., EMC Corporation, the lenders party thereto and</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JPMorgan Chase Bank, N.A., as Administrative Agent and Collateral Agent (incorporated by reference to Exhibit 10.4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Collateral Agreement, dated as of September 7, 2016, among Dell International L.L.C., EMC Corporation, Denali Intermediate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Dell Inc., the other grantors party thereto and Credit Suisse AG, Cayman Islands Branch, as Collateral Agent (incorporated by</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reference to Exhibit 10.5 to the Company’s Quarterly Report on Form 10-Q filed with the Commission on December 9, 2016)</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10.33</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Amended and Restated Sponsor Stockholders Agreement, dated as of September 7, 2016, by and among Dell Technologies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Denali Intermediate Inc., Dell Inc., EMC Corporation, Denali Finance Corp., Dell International L.L.C., Michael S. Dell, Susan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Lieberman Dell Separate Property Trust, MSDC Denali Investors, L.P., MSDC Denali EIV, LLC, Silver Lake Partners III, L.P., Silver</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Lake Technology Investors III, L.P., Silver Lake Partners IV, L.P., Silver Lake Technology Investors IV, L.P. and SLP Denali Co-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Invest, L.P. and the other stockholders named therein (incorporated by reference to Exhibit 10.5 to the Company’s Current Report on</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10.34</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Amended and Restated Management Stockholders Agreement, dated as of September 7, 2016, by and among Dell Technologies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Michael S. Dell, Susan Lieberman Dell Separate Property Trust, MSDC Denali Investors, L.P , MSDC Denali EIV, LLC, Silver Lake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Partners III, L.P., Silver Lake Technology Investors III, L.P., Silver Lake Partners IV, L.P., Silver Lake Technology Investors IV, L.P.,</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SLP Denali Co-Invest, L.P. and the Management Stockholders (as defined therein) (incorporated by reference to Exhibit 10.6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Company’s Current Report on Form 8-K filed with the Commission on September 9, 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10.35</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Amended and Restated Class A Stockholders Agreement, dated as of September 7, 2016, by and among Dell Technologies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Michael S. Dell, Susan Lieberman Dell Separate Property Trust, MSDC Denali Investors, L.P., MSDC Denali EIV, LLC, Silver Lake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Partners III, L.P., Silver Lake Partners IV, L.P., Silver Lake Technology Investors III, L.P., Silver Lake Technology Investors IV, L.P.,</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SLP Denali Co-Invest, L.P. and the New Class A Stockholders party thereto (incorporated by reference to Exhibit (d)(4) to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Schedule TO filed with the Commission on September 14, 2016) (Commission File No. 005-89621).</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10.36</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Class C Stockholders Agreement, dated as of September 7, 2016, by and among Dell Technologies Inc., Michael S. Dell, Susan</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Lieberman Dell Separate Property Trust, MSDC Denali Investors, L.P., MSDC Denali EIV, LLC, Silver Lake Partners III, L.P., Silver</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Lake Partners IV, L.P., Silver Lake Technology Investors III, L.P., Silver Lake Technology Investors IV, L.P., SLP Denali Co-Invest,</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L.P. and Venezio Investments Pte. Ltd. (incorporated by reference to Exhibit (d)(5) to the Company’s Schedule TO filed with the</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 on September 14, 2016) (Commission File No. 005-89621).</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10.37</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Amended and Restated Registration Rights Agreement, dated as of September 7, 2016, by and among Dell Technologies Inc.,</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Michael S. Dell, Susan Lieberman Dell Separate Property Trust, MSDC Denali Investors, L.P., MSDC Denali EIV, LLC, Silver Lake</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Partners III, L.P., Silver Lake Technology Investors III, L.P., Silver Lake Partners IV, L.P., Silver Lake Technology Investors IV, L.P.,</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SLP Denali Co-Invest, L.P., Venezio Investments Pte. Ltd and the Management Stockholders identified on Schedule I thereto</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(incorporated by reference to Exhibit 10.7 to the Company’s Current Report on Form 8-K filed with the Commission on September 9,</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2016) (Commission File No. 001-37867).</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10.38*††</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of Indemnification Agreement between the Company and each member of its Board of Directors.</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10.39*††</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Form of Indemnification Agreement between EMC Corporation and each of Jeremy Burton, Howard D. Elias and David I. Goulden.</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rPr>
              <w:t>10.40*††</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Form of Indemnification Agreement between Dell Inc. and each of Jeffrey W. Clarke, Marius Haas, Steven H. Price, Karen H.</w:t>
            </w: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Quintos, Rory Read, Richard J. Rothberg and Thomas W. Sweet.</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10.41*††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Form of EMC Corporation Deferred Compensation Retirement Plan, as amended and restated, effective as of January 1, 2016.</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10.42*††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of Dell Deferred Compensation Plan, effective as of January 1, 2017.</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21.1††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Subsidiaries of Dell Technologies Inc.</w:t>
            </w:r>
          </w:p>
        </w:tc>
      </w:tr>
      <w:tr>
        <w:trPr>
          <w:trHeight w:val="2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669"/>
        </w:trPr>
        <w:tc>
          <w:tcPr>
            <w:tcW w:w="1340" w:type="dxa"/>
            <w:vAlign w:val="bottom"/>
          </w:tcPr>
          <w:p>
            <w:pPr>
              <w:spacing w:after="0"/>
              <w:rPr>
                <w:sz w:val="24"/>
                <w:szCs w:val="24"/>
                <w:color w:val="auto"/>
              </w:rPr>
            </w:pPr>
          </w:p>
        </w:tc>
        <w:tc>
          <w:tcPr>
            <w:tcW w:w="9760" w:type="dxa"/>
            <w:vAlign w:val="bottom"/>
          </w:tcPr>
          <w:p>
            <w:pPr>
              <w:ind w:left="4060"/>
              <w:spacing w:after="0"/>
              <w:rPr>
                <w:sz w:val="20"/>
                <w:szCs w:val="20"/>
                <w:color w:val="auto"/>
              </w:rPr>
            </w:pPr>
            <w:r>
              <w:rPr>
                <w:rFonts w:ascii="Arial" w:cs="Arial" w:eastAsia="Arial" w:hAnsi="Arial"/>
                <w:sz w:val="18"/>
                <w:szCs w:val="18"/>
                <w:color w:val="auto"/>
              </w:rPr>
              <w:t>177</w:t>
            </w:r>
          </w:p>
        </w:tc>
      </w:tr>
    </w:tbl>
    <w:p>
      <w:pPr>
        <w:sectPr>
          <w:pgSz w:w="11900" w:h="16838" w:orient="portrait"/>
          <w:cols w:equalWidth="0" w:num="1">
            <w:col w:w="11280"/>
          </w:cols>
          <w:pgMar w:left="240" w:top="125" w:right="3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74"/>
        </w:trPr>
        <w:tc>
          <w:tcPr>
            <w:tcW w:w="13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23.1††</w:t>
            </w:r>
          </w:p>
        </w:tc>
        <w:tc>
          <w:tcPr>
            <w:tcW w:w="9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Consent of PricewaterhouseCoopers LLP, independent registered public accounting firm of Dell Technologies Inc.</w:t>
            </w:r>
          </w:p>
        </w:tc>
      </w:tr>
      <w:tr>
        <w:trPr>
          <w:trHeight w:val="23"/>
        </w:trPr>
        <w:tc>
          <w:tcPr>
            <w:tcW w:w="1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gridSpan w:val="2"/>
          </w:tcPr>
          <w:p>
            <w:pPr>
              <w:ind w:left="40"/>
              <w:spacing w:after="0" w:line="222" w:lineRule="exact"/>
              <w:rPr>
                <w:sz w:val="20"/>
                <w:szCs w:val="20"/>
                <w:color w:val="auto"/>
              </w:rPr>
            </w:pPr>
            <w:r>
              <w:rPr>
                <w:rFonts w:ascii="Arial" w:cs="Arial" w:eastAsia="Arial" w:hAnsi="Arial"/>
                <w:sz w:val="20"/>
                <w:szCs w:val="20"/>
                <w:color w:val="auto"/>
              </w:rPr>
              <w:t>31.1††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Certification of Michael S. Dell, Chairman and Chief Executive Officer, pursuant to Rule 13a-14(a) or Rule 15d-14(a) under the</w:t>
            </w:r>
          </w:p>
        </w:tc>
      </w:tr>
      <w:tr>
        <w:trPr>
          <w:trHeight w:val="230"/>
        </w:trPr>
        <w:tc>
          <w:tcPr>
            <w:tcW w:w="36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r>
      <w:tr>
        <w:trPr>
          <w:trHeight w:val="27"/>
        </w:trPr>
        <w:tc>
          <w:tcPr>
            <w:tcW w:w="1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gridSpan w:val="2"/>
          </w:tcPr>
          <w:p>
            <w:pPr>
              <w:ind w:left="40"/>
              <w:spacing w:after="0" w:line="222" w:lineRule="exact"/>
              <w:rPr>
                <w:sz w:val="20"/>
                <w:szCs w:val="20"/>
                <w:color w:val="auto"/>
              </w:rPr>
            </w:pPr>
            <w:r>
              <w:rPr>
                <w:rFonts w:ascii="Arial" w:cs="Arial" w:eastAsia="Arial" w:hAnsi="Arial"/>
                <w:sz w:val="20"/>
                <w:szCs w:val="20"/>
                <w:color w:val="auto"/>
              </w:rPr>
              <w:t>31.2††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Certification of Thomas W. Sweet, Senior Vice President and Chief Financial Officer, pursuant to Rule 13a-14(a) or Rule 15d-14(a)</w:t>
            </w:r>
          </w:p>
        </w:tc>
      </w:tr>
      <w:tr>
        <w:trPr>
          <w:trHeight w:val="230"/>
        </w:trPr>
        <w:tc>
          <w:tcPr>
            <w:tcW w:w="36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 Securities Exchange Act of 1934, as adopted pursuant to Section 302 of the Sarbanes-Oxley Act of 2002.</w:t>
            </w:r>
          </w:p>
        </w:tc>
      </w:tr>
      <w:tr>
        <w:trPr>
          <w:trHeight w:val="27"/>
        </w:trPr>
        <w:tc>
          <w:tcPr>
            <w:tcW w:w="1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gridSpan w:val="2"/>
          </w:tcPr>
          <w:p>
            <w:pPr>
              <w:ind w:left="40"/>
              <w:spacing w:after="0" w:line="222" w:lineRule="exact"/>
              <w:rPr>
                <w:sz w:val="20"/>
                <w:szCs w:val="20"/>
                <w:color w:val="auto"/>
              </w:rPr>
            </w:pPr>
            <w:r>
              <w:rPr>
                <w:rFonts w:ascii="Arial" w:cs="Arial" w:eastAsia="Arial" w:hAnsi="Arial"/>
                <w:sz w:val="20"/>
                <w:szCs w:val="20"/>
                <w:color w:val="auto"/>
              </w:rPr>
              <w:t>32.1†††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Certifications of Michael S. Dell, Chairman and Chief Executive Officer, and Thomas W. Sweet, Senior Vice President and Chief</w:t>
            </w:r>
          </w:p>
        </w:tc>
      </w:tr>
      <w:tr>
        <w:trPr>
          <w:trHeight w:val="216"/>
        </w:trPr>
        <w:tc>
          <w:tcPr>
            <w:tcW w:w="36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Officer, pursuant to Rule 13a-14(b) or Rule 15d-14(b) under the Securities Exchange Act of 1934 and 18 U.S.C.</w:t>
            </w:r>
          </w:p>
        </w:tc>
      </w:tr>
      <w:tr>
        <w:trPr>
          <w:trHeight w:val="230"/>
        </w:trPr>
        <w:tc>
          <w:tcPr>
            <w:tcW w:w="36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7"/>
        </w:trPr>
        <w:tc>
          <w:tcPr>
            <w:tcW w:w="1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99.1††</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Unaudited Attributed Financial Information for Class V Group.</w:t>
            </w:r>
          </w:p>
        </w:tc>
      </w:tr>
      <w:tr>
        <w:trPr>
          <w:trHeight w:val="23"/>
        </w:trPr>
        <w:tc>
          <w:tcPr>
            <w:tcW w:w="1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1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99.2††</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Tracking Stock Policy Statement regarding DHI Group and Class V Group Matters.</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Instance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.SCH††</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.DEF††</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.LAB††</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r>
        <w:trPr>
          <w:trHeight w:val="254"/>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89"/>
              </w:rPr>
              <w:t>101</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w:t>
            </w:r>
          </w:p>
        </w:tc>
        <w:tc>
          <w:tcPr>
            <w:tcW w:w="9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
        </w:trPr>
        <w:tc>
          <w:tcPr>
            <w:tcW w:w="36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7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222885</wp:posOffset>
            </wp:positionV>
            <wp:extent cx="7040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357" w:lineRule="exact"/>
        <w:rPr>
          <w:sz w:val="20"/>
          <w:szCs w:val="20"/>
          <w:color w:val="auto"/>
        </w:rPr>
      </w:pPr>
    </w:p>
    <w:p>
      <w:pPr>
        <w:ind w:left="640" w:right="640" w:hanging="443"/>
        <w:spacing w:after="0" w:line="317" w:lineRule="auto"/>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Annexes, schedules and exhibits have been omitted pursuant to Item 601(b)(2) of Regulation S-K. Dell Technologies Inc. agrees to furnish supplementally a copy of any omitted attachment to the Securities and Exchange Commission on a confidential basis upon request.</w:t>
      </w:r>
    </w:p>
    <w:p>
      <w:pPr>
        <w:ind w:left="640" w:hanging="443"/>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6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6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contracts or compensation plans or arrangements in which directors or executive officers participate.</w:t>
      </w:r>
    </w:p>
    <w:p>
      <w:pPr>
        <w:spacing w:after="0" w:line="63" w:lineRule="exact"/>
        <w:rPr>
          <w:sz w:val="20"/>
          <w:szCs w:val="20"/>
          <w:color w:val="auto"/>
        </w:rPr>
      </w:pPr>
    </w:p>
    <w:p>
      <w:pPr>
        <w:ind w:left="640" w:right="260" w:hanging="443"/>
        <w:spacing w:after="0" w:line="264"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Pursuant to Item 601(b)(4)(iii) of Regulation S-K, copies of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80"/>
          </w:cols>
          <w:pgMar w:left="240" w:top="125" w:right="379" w:bottom="1440" w:gutter="0" w:footer="0" w:header="0"/>
        </w:sectPr>
      </w:pPr>
    </w:p>
    <w:bookmarkStart w:id="179" w:name="page180"/>
    <w:bookmarkEnd w:id="179"/>
    <w:p>
      <w:pPr>
        <w:ind w:left="10480"/>
        <w:spacing w:after="0"/>
        <w:rPr>
          <w:sz w:val="20"/>
          <w:szCs w:val="20"/>
          <w:color w:val="auto"/>
        </w:rPr>
      </w:pPr>
      <w:r>
        <w:rPr>
          <w:rFonts w:ascii="Arial" w:cs="Arial" w:eastAsia="Arial" w:hAnsi="Arial"/>
          <w:sz w:val="16"/>
          <w:szCs w:val="16"/>
          <w:b w:val="1"/>
          <w:bCs w:val="1"/>
          <w:color w:val="auto"/>
        </w:rPr>
        <w:t>Exhibit 10.3</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Dell Inc. Long-Term Cash Incentive and Retention Award Agreement</w:t>
      </w:r>
    </w:p>
    <w:p>
      <w:pPr>
        <w:spacing w:after="0" w:line="200"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Dell Inc., a Delaware corporation, its Subsidiaries and its Affiliates (“Dell”) is pleased to offer you this Long-Term Cash Incentive and Retention Award Agreement (the “Agreement,” and the payments hereunder, the “Award”). Dell expects your future contribution to drive its continued success and wants to provide you with both the strategic tools and the financial incentive to achieve Dell’s long-term goals.</w:t>
      </w:r>
    </w:p>
    <w:p>
      <w:pPr>
        <w:spacing w:after="0" w:line="1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amount of your total Award is stated your offer letter, dated August 12, 2016, and in step one of the Stock Plan Administrator’s online grant acceptance process (“Grant Summary”). As a material inducement to Dell to grant you this Award, you agree to the following terms and conditions. You agree that you are not otherwise entitled to this Award, that Dell is providing you this Award in consideration of your promises and agreements below, and that Dell would not grant you this Award absent those promises and agreements. This Award agreement, the Grant Summary, and the Dell Inc. 2012 Long-Term Incentive Plan (the “Plan”) set forth the terms of your Award.</w:t>
      </w:r>
    </w:p>
    <w:p>
      <w:pPr>
        <w:spacing w:after="0" w:line="159" w:lineRule="exact"/>
        <w:rPr>
          <w:sz w:val="20"/>
          <w:szCs w:val="20"/>
          <w:color w:val="auto"/>
        </w:rPr>
      </w:pPr>
    </w:p>
    <w:p>
      <w:pPr>
        <w:jc w:val="both"/>
        <w:ind w:firstLine="8"/>
        <w:spacing w:after="0" w:line="271" w:lineRule="auto"/>
        <w:tabs>
          <w:tab w:leader="none" w:pos="40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Payout Schedule – </w:t>
      </w:r>
      <w:r>
        <w:rPr>
          <w:rFonts w:ascii="Arial" w:cs="Arial" w:eastAsia="Arial" w:hAnsi="Arial"/>
          <w:sz w:val="18"/>
          <w:szCs w:val="18"/>
          <w:color w:val="auto"/>
        </w:rPr>
        <w:t>Your Award will vest and you will receive cash payments in accordance with the schedule in your Grant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(“Award Payments”). You will be deemed to have earned each Award Payment on the vesting date, and Dell shall make an Award Payment as soon as administratively practical following the vesting date which shall be no later than 60 days past each vesting date regardless of whether you are still employed by Dell as of the payment date. Except as expressly set forth herein, your eligibility to receive an Award Payment is conditioned upon your continued Employment as of the applicable vesting date. If your Employment is terminated by reason of your death or Permanent Disability (as defined in the Plan), your Award fully vests and Dell shall make your Award Payment as soon as administratively practical following your death or Permanent Disability. If your Employment is terminated by Dell under conditions which do not constitute Serious Misconduct, or you resign for Good Reason (as defined in your Protection of Sensitive Information, Noncompetition and Nonsolicitation Agreement dated August 12, 2016) , you will receive the amount which would be due to you if your employment had continued through the next vesting date (</w:t>
      </w:r>
      <w:r>
        <w:rPr>
          <w:rFonts w:ascii="Arial" w:cs="Arial" w:eastAsia="Arial" w:hAnsi="Arial"/>
          <w:sz w:val="18"/>
          <w:szCs w:val="18"/>
          <w:i w:val="1"/>
          <w:iCs w:val="1"/>
          <w:color w:val="auto"/>
        </w:rPr>
        <w:t>i.e</w:t>
      </w:r>
      <w:r>
        <w:rPr>
          <w:rFonts w:ascii="Arial" w:cs="Arial" w:eastAsia="Arial" w:hAnsi="Arial"/>
          <w:sz w:val="18"/>
          <w:szCs w:val="18"/>
          <w:color w:val="auto"/>
        </w:rPr>
        <w:t>., if your employment terminated on May 1, 2018, you would receive the Award payment for February 15, 2019) and Dell shall make that Award Payment as soon as administratively practical following such termination.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used herein, the term "</w:t>
      </w:r>
      <w:r>
        <w:rPr>
          <w:rFonts w:ascii="Arial" w:cs="Arial" w:eastAsia="Arial" w:hAnsi="Arial"/>
          <w:sz w:val="19"/>
          <w:szCs w:val="19"/>
          <w:b w:val="1"/>
          <w:bCs w:val="1"/>
          <w:color w:val="auto"/>
        </w:rPr>
        <w:t>Employment</w:t>
      </w:r>
      <w:r>
        <w:rPr>
          <w:rFonts w:ascii="Arial" w:cs="Arial" w:eastAsia="Arial" w:hAnsi="Arial"/>
          <w:sz w:val="19"/>
          <w:szCs w:val="19"/>
          <w:color w:val="auto"/>
        </w:rPr>
        <w:t>" means your regular full-time or part-time employment with Dell or any of its consolidated Subsidiaries or Affiliates, and the term "</w:t>
      </w:r>
      <w:r>
        <w:rPr>
          <w:rFonts w:ascii="Arial" w:cs="Arial" w:eastAsia="Arial" w:hAnsi="Arial"/>
          <w:sz w:val="19"/>
          <w:szCs w:val="19"/>
          <w:b w:val="1"/>
          <w:bCs w:val="1"/>
          <w:color w:val="auto"/>
        </w:rPr>
        <w:t>Employer</w:t>
      </w:r>
      <w:r>
        <w:rPr>
          <w:rFonts w:ascii="Arial" w:cs="Arial" w:eastAsia="Arial" w:hAnsi="Arial"/>
          <w:sz w:val="19"/>
          <w:szCs w:val="19"/>
          <w:color w:val="auto"/>
        </w:rPr>
        <w:t xml:space="preserve">" means Dell Inc. (if you are employed by Dell Inc.) or the consolidated Subsidiary or Affiliate of Dell that employs you. As used herein, the term “Serious Misconduct” means (i) a willful, reckless or grossly negligent and material violation of (x) the Executive’s obligations regarding confidentiality or the protection of sensitive, confidential or proprietary information, or trade secrets, which results in material harm to Dell or its subsidiaries or (y) any other restrictive covenant by which Executive is bound that results in greater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harm to Dell or its Subsidiaries’ reputation or business; (ii) Executive’s conviction of, or plea of guilty or no contest to, a felony or crime that involves moral turpitude; or (iii) conduct by Executive which constitutes gross neglect, willful misconduct, or a material breach of the Code of Conduct of the Subsidiary of Dell employing Executive or a fiduciary duty to Dell, any of its Subsidiaries or the shareholders of Dell that results in material harm to Dell or its Subsidiaries’ reputation or business and that Executive has failed to cure within thirty (30) days following written notice from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your Award listed in your Grant Summary is denominated in U.S. dollars. Award Payments will be converted from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dollars into your local currency prior to your payment date in accordance with Dell policy.</w:t>
      </w:r>
    </w:p>
    <w:p>
      <w:pPr>
        <w:spacing w:after="0" w:line="194" w:lineRule="exact"/>
        <w:rPr>
          <w:sz w:val="20"/>
          <w:szCs w:val="20"/>
          <w:color w:val="auto"/>
        </w:rPr>
      </w:pPr>
    </w:p>
    <w:p>
      <w:pPr>
        <w:jc w:val="both"/>
        <w:ind w:firstLine="8"/>
        <w:spacing w:after="0" w:line="277" w:lineRule="auto"/>
        <w:tabs>
          <w:tab w:leader="none" w:pos="349"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with Respect to Taxes </w:t>
      </w:r>
      <w:r>
        <w:rPr>
          <w:rFonts w:ascii="Arial" w:cs="Arial" w:eastAsia="Arial" w:hAnsi="Arial"/>
          <w:sz w:val="18"/>
          <w:szCs w:val="18"/>
          <w:color w:val="auto"/>
        </w:rPr>
        <w:t>– You must pay any taxes that are required by law to be withheld by Dell or your Employer. You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Dell or your Employer, in its sole discretion and to the fullest extent permitted by law, shall have the right to demand that you pay such amounts in cash or deduct such amounts from any payments of any kind otherwise due to you. You agree that, subject to compliance with applicable law, Dell or your Employer may recover from you taxes which may be payable by Dell or your Employer in any jurisdiction in relation to this Award. You agree that Dell or your Employer shall be entitled to use whatever method they may deem appropriate to recover such taxes including deducting amounts from your Award Payments, recovering taxes via payroll and direct invoicing. You further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agree that Dell or your Employer may, as it reasonably considers necessary, amend or vary this agreement to facilitate such recovery of taxes.</w:t>
      </w:r>
    </w:p>
    <w:p>
      <w:pPr>
        <w:spacing w:after="0" w:line="233" w:lineRule="exact"/>
        <w:rPr>
          <w:sz w:val="20"/>
          <w:szCs w:val="20"/>
          <w:color w:val="auto"/>
        </w:rPr>
      </w:pPr>
    </w:p>
    <w:p>
      <w:pPr>
        <w:jc w:val="both"/>
        <w:ind w:firstLine="8"/>
        <w:spacing w:after="0" w:line="243" w:lineRule="auto"/>
        <w:tabs>
          <w:tab w:leader="none" w:pos="4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Award Payments </w:t>
      </w:r>
      <w:r>
        <w:rPr>
          <w:rFonts w:ascii="Arial" w:cs="Arial" w:eastAsia="Arial" w:hAnsi="Arial"/>
          <w:sz w:val="20"/>
          <w:szCs w:val="20"/>
          <w:color w:val="auto"/>
        </w:rPr>
        <w:t>— You understand and agree that the Award Payments are designed to align your long-term interests with</w:t>
      </w:r>
      <w:r>
        <w:rPr>
          <w:rFonts w:ascii="Arial" w:cs="Arial" w:eastAsia="Arial" w:hAnsi="Arial"/>
          <w:sz w:val="20"/>
          <w:szCs w:val="20"/>
          <w:b w:val="1"/>
          <w:bCs w:val="1"/>
          <w:color w:val="auto"/>
        </w:rPr>
        <w:t xml:space="preserve"> </w:t>
      </w:r>
      <w:r>
        <w:rPr>
          <w:rFonts w:ascii="Arial" w:cs="Arial" w:eastAsia="Arial" w:hAnsi="Arial"/>
          <w:sz w:val="20"/>
          <w:szCs w:val="20"/>
          <w:color w:val="auto"/>
        </w:rPr>
        <w:t>those of Dell and that having your interests aligned with Dell is a condition of retaining any Award Payment made to you. You further understand and agree that if Dell, acting through the Committee (or in the case of the determination of Serious Misconduct, Dell’s Board of Directors) , determines that you engaged in Conduct Detrimental to Dell during your Employment or during the one-year period following the termination of your Employment, you shall return to Dell, upon demand, any Award Payments you received under this Agreement in the one calendar year preceding the behavior which constitutes Conduct Detrimental to Dell. You understand and agree that the return of Award Payments under this Agreement is separate from and does not preclude Dell from seeking other relief based on your conduct that constitutes Conduct Detrimental to Dell.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provision, “Conduct Detrimental to Dell” means:</w:t>
      </w:r>
    </w:p>
    <w:p>
      <w:pPr>
        <w:spacing w:after="0" w:line="216" w:lineRule="exact"/>
        <w:rPr>
          <w:sz w:val="20"/>
          <w:szCs w:val="20"/>
          <w:color w:val="auto"/>
        </w:rPr>
      </w:pPr>
    </w:p>
    <w:p>
      <w:pPr>
        <w:ind w:left="1300" w:right="20" w:hanging="644"/>
        <w:spacing w:after="0" w:line="26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You engage in Serious Misconduct, whether or not such Serious Misconduct is discovered by Dell prior to the termination of your Employment;</w:t>
      </w:r>
    </w:p>
    <w:p>
      <w:pPr>
        <w:spacing w:after="0" w:line="176"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Except for communications made on behalf of your Employer within the scope of your Employment, you solicit any employee of Dell or its Subsidiaries for employment, consulting or other services; or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You engage in Conflicting Activities (as described below).</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this Agreement, a “Conflicting Activities” means you, without advance, express, written consent of Dell’s Senior Vice President of Human Resources:</w:t>
      </w:r>
    </w:p>
    <w:p>
      <w:pPr>
        <w:spacing w:after="0" w:line="177" w:lineRule="exact"/>
        <w:rPr>
          <w:sz w:val="20"/>
          <w:szCs w:val="20"/>
          <w:color w:val="auto"/>
        </w:rPr>
      </w:pPr>
    </w:p>
    <w:p>
      <w:pPr>
        <w:jc w:val="both"/>
        <w:ind w:left="1300" w:hanging="644"/>
        <w:spacing w:after="0" w:line="259"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are or become a principal, owner, officer, director, shareholder or other equity owner (other than a holder of less than 5% of the outstanding shares or other equity interests of a publicly traded company) of a Competitor (as defined below), except if you are a passive shareholder or other equity owner as a result of your holding such interests through a private equity firm, hedge fund, mutual fund, stock brokerage fund or similar investment which may invest in Competitors. For avoidance of doubt to be a passive investor, as used in this paragraph, you must have no decision making authority with respect to the entity’s operations other than as an ordinary stockholder or member with customary voting rights; or</w:t>
      </w:r>
    </w:p>
    <w:p>
      <w:pPr>
        <w:spacing w:after="0" w:line="178" w:lineRule="exact"/>
        <w:rPr>
          <w:rFonts w:ascii="Arial" w:cs="Arial" w:eastAsia="Arial" w:hAnsi="Arial"/>
          <w:sz w:val="19"/>
          <w:szCs w:val="19"/>
          <w:color w:val="auto"/>
        </w:rPr>
      </w:pPr>
    </w:p>
    <w:p>
      <w:pPr>
        <w:ind w:left="1300" w:right="400" w:hanging="644"/>
        <w:spacing w:after="0" w:line="250"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commence employment or service with a Competitor in a role that is similar to any role you held with Dell or any of its Subsidiaries in the twenty-four months prior to the termination of your Employment, or in a role that would likely result in your using Dell’s confidential information or trade secrets.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understand and agree that neither this provision nor any other provision of this Agreement prohibits you from engaging in Conduct Detrimental to Dell but only requires return of Award Payments if you engage in Conduct Detrimental to Dell.</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 “Competitor” means any entity, or other business concern that offers or plans to offer products or services that are materially competitive with any of the products or services being manufactured, offered, marketed, or are actively developed by Dell as of the date your Employment with Dell ends.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you desire to engage in Conflicting Activities, you agree to seek written consent from Dell’s Senior Vice President of Human Resources prior to engaging in the Conflicting Activities. If you enter into any business, employment, or service relationship during your Employment or within the twelve months following the termination of your Employment with Dell, you agree to provide Dell sufficient information regarding the relationship to enable Dell to determine whether such employment or service constitutes Conflicting Activities. You agree to provide such information to your first and second-level manager in writing within ten (10) business days of agreeing to the business, employment, or service relationship. You understand and agree that if you fail to provide sufficient information as required by this paragraph,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81" w:name="page182"/>
    <w:bookmarkEnd w:id="181"/>
    <w:p>
      <w:pPr>
        <w:jc w:val="both"/>
        <w:spacing w:after="0" w:line="260" w:lineRule="auto"/>
        <w:rPr>
          <w:sz w:val="20"/>
          <w:szCs w:val="20"/>
          <w:color w:val="auto"/>
        </w:rPr>
      </w:pPr>
      <w:r>
        <w:rPr>
          <w:rFonts w:ascii="Arial" w:cs="Arial" w:eastAsia="Arial" w:hAnsi="Arial"/>
          <w:sz w:val="20"/>
          <w:szCs w:val="20"/>
          <w:color w:val="auto"/>
        </w:rPr>
        <w:t>the Administrator will make its determination without reference to the information you failed to provide and you waive any claim or objection related to Administrator’s failure to consider the information you failed to provide.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expressly set forth herein, the Committee shall have the complete and absolute authority to construe and interpret the provision of this Agreement, including but not limited to any determination as to whether you have engaged in “Conduct Detrimental to the Company.” Any such interpretations or determinations by the Committee will be final, binding, and conclusive.</w:t>
      </w:r>
    </w:p>
    <w:p>
      <w:pPr>
        <w:spacing w:after="0" w:line="180" w:lineRule="exact"/>
        <w:rPr>
          <w:sz w:val="20"/>
          <w:szCs w:val="20"/>
          <w:color w:val="auto"/>
        </w:rPr>
      </w:pPr>
    </w:p>
    <w:p>
      <w:pPr>
        <w:jc w:val="both"/>
        <w:ind w:right="180" w:firstLine="8"/>
        <w:spacing w:after="0" w:line="266" w:lineRule="auto"/>
        <w:tabs>
          <w:tab w:leader="none" w:pos="346"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Incorporation of Plan </w:t>
      </w:r>
      <w:r>
        <w:rPr>
          <w:rFonts w:ascii="Arial" w:cs="Arial" w:eastAsia="Arial" w:hAnsi="Arial"/>
          <w:sz w:val="19"/>
          <w:szCs w:val="19"/>
          <w:color w:val="auto"/>
        </w:rPr>
        <w:t>– This Award is granted under the Plan and is governed by the terms of the Plan in addition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stated herein. All terms used herein with their initial letters capitalized shall have the meanings given them in the Plan unless otherwise defined herein. A copy of the Plan is available upon request from the Dell Legal Department, One Dell Way, RR1-33, Round Rock, Texas 78682. We expressly agree that Section 2.48 of the Plan is not applicable however.</w:t>
      </w:r>
    </w:p>
    <w:p>
      <w:pPr>
        <w:spacing w:after="0" w:line="165" w:lineRule="exact"/>
        <w:rPr>
          <w:rFonts w:ascii="Arial" w:cs="Arial" w:eastAsia="Arial" w:hAnsi="Arial"/>
          <w:sz w:val="19"/>
          <w:szCs w:val="19"/>
          <w:b w:val="1"/>
          <w:bCs w:val="1"/>
          <w:color w:val="auto"/>
        </w:rPr>
      </w:pPr>
    </w:p>
    <w:p>
      <w:pPr>
        <w:jc w:val="both"/>
        <w:ind w:firstLine="8"/>
        <w:spacing w:after="0" w:line="253" w:lineRule="auto"/>
        <w:tabs>
          <w:tab w:leader="none" w:pos="427"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 You agree that notices may be given to you in writing either at your home address as shown in the records of Dell or your</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or by electronic transmission (including e-mail or reference to a website or other URL) sent to you through Dell’s normal process for communicating electronically with its employees.</w:t>
      </w:r>
    </w:p>
    <w:p>
      <w:pPr>
        <w:spacing w:after="0" w:line="177" w:lineRule="exact"/>
        <w:rPr>
          <w:rFonts w:ascii="Arial" w:cs="Arial" w:eastAsia="Arial" w:hAnsi="Arial"/>
          <w:sz w:val="20"/>
          <w:szCs w:val="20"/>
          <w:b w:val="1"/>
          <w:bCs w:val="1"/>
          <w:color w:val="auto"/>
        </w:rPr>
      </w:pPr>
    </w:p>
    <w:p>
      <w:pPr>
        <w:ind w:firstLine="8"/>
        <w:spacing w:after="0" w:line="267" w:lineRule="auto"/>
        <w:tabs>
          <w:tab w:leader="none" w:pos="42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Right to Continued Employment — </w:t>
      </w:r>
      <w:r>
        <w:rPr>
          <w:rFonts w:ascii="Arial" w:cs="Arial" w:eastAsia="Arial" w:hAnsi="Arial"/>
          <w:sz w:val="20"/>
          <w:szCs w:val="20"/>
          <w:color w:val="auto"/>
        </w:rPr>
        <w:t>This Agreement does not confer upon you any right to expectation of employment by, or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in the employment of, your Employer.</w:t>
      </w:r>
    </w:p>
    <w:p>
      <w:pPr>
        <w:spacing w:after="0" w:line="163" w:lineRule="exact"/>
        <w:rPr>
          <w:rFonts w:ascii="Arial" w:cs="Arial" w:eastAsia="Arial" w:hAnsi="Arial"/>
          <w:sz w:val="20"/>
          <w:szCs w:val="20"/>
          <w:b w:val="1"/>
          <w:bCs w:val="1"/>
          <w:color w:val="auto"/>
        </w:rPr>
      </w:pPr>
    </w:p>
    <w:p>
      <w:pPr>
        <w:jc w:val="both"/>
        <w:ind w:firstLine="8"/>
        <w:spacing w:after="0" w:line="259" w:lineRule="auto"/>
        <w:tabs>
          <w:tab w:leader="none" w:pos="346"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 By accepting this Agreement, you expressly acknowledge that (a) your acceptance of this Agreement is voluntary and is</w:t>
      </w:r>
      <w:r>
        <w:rPr>
          <w:rFonts w:ascii="Arial" w:cs="Arial" w:eastAsia="Arial" w:hAnsi="Arial"/>
          <w:sz w:val="19"/>
          <w:szCs w:val="19"/>
          <w:b w:val="1"/>
          <w:bCs w:val="1"/>
          <w:color w:val="auto"/>
        </w:rPr>
        <w:t xml:space="preserve"> </w:t>
      </w:r>
      <w:r>
        <w:rPr>
          <w:rFonts w:ascii="Arial" w:cs="Arial" w:eastAsia="Arial" w:hAnsi="Arial"/>
          <w:sz w:val="19"/>
          <w:szCs w:val="19"/>
          <w:color w:val="auto"/>
        </w:rPr>
        <w:t>not a condition of your Employment; (b) Award Payments are not compensation for services rendered and are an extraordinary item of compensation that is outside the scope of your employment agreement, and nothing can or must automatically be inferred from such Award Payment; (c) Award Payments are not part of normal or expected compensation for any purpose, and are not to be used for calculating any severance, resignation, redundancy, end of service payments, bonuses, long-service awards, pension or retirement benefits or similar payments, and you waive any claim on such basis; and (d) the grant of this Award is a one-time benefit that does not create any contractual or other right to receive future grants of similar awards, or benefits in lieu of similar awards.</w:t>
      </w:r>
    </w:p>
    <w:p>
      <w:pPr>
        <w:spacing w:after="0" w:line="172" w:lineRule="exact"/>
        <w:rPr>
          <w:rFonts w:ascii="Arial" w:cs="Arial" w:eastAsia="Arial" w:hAnsi="Arial"/>
          <w:sz w:val="19"/>
          <w:szCs w:val="19"/>
          <w:b w:val="1"/>
          <w:bCs w:val="1"/>
          <w:color w:val="auto"/>
        </w:rPr>
      </w:pPr>
    </w:p>
    <w:p>
      <w:pPr>
        <w:jc w:val="both"/>
        <w:ind w:firstLine="8"/>
        <w:spacing w:after="0" w:line="272" w:lineRule="auto"/>
        <w:tabs>
          <w:tab w:leader="none" w:pos="4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Data Privacy Consent </w:t>
      </w:r>
      <w:r>
        <w:rPr>
          <w:rFonts w:ascii="Arial" w:cs="Arial" w:eastAsia="Arial" w:hAnsi="Arial"/>
          <w:sz w:val="18"/>
          <w:szCs w:val="18"/>
          <w:color w:val="auto"/>
        </w:rPr>
        <w:t>— As a condition of the grant of this Award, you consent to the collection, use and transfer of personal data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paragraph. You understand that Dell and its Subsidiaries hold certain personal information about you, including your name, home address and telephone number, date of birth, social security number, salary, nationality, job title, any ownership interests or directorships held in Dell or its Subsidiaries and details of all cash incentive awards awarded or cancelled (“Data”). You further understand that Dell will transfer Data among themselves as necessary for the purposes of implementation, administration and management of your participation in the Award, and that Dell may each further transfer Data to any third parties assisting Dell in the implementation, administration and management of the Award. You understand that these recipients may be located in the Asia Pacific region, the Latin American Region, the European Economic Area, Canada or elsewhere, such as the United States. You authorize them to receive, possess, use, retain and transfer such Data as may be required for the administration of the Award, in electronic or other form, for the purposes of implementing, administering and managing your participation in the Award. You understand that you may, at any time, view such Data or require any necessary amendments to it.</w:t>
      </w:r>
    </w:p>
    <w:p>
      <w:pPr>
        <w:spacing w:after="0" w:line="166" w:lineRule="exact"/>
        <w:rPr>
          <w:rFonts w:ascii="Arial" w:cs="Arial" w:eastAsia="Arial" w:hAnsi="Arial"/>
          <w:sz w:val="18"/>
          <w:szCs w:val="18"/>
          <w:b w:val="1"/>
          <w:bCs w:val="1"/>
          <w:color w:val="auto"/>
        </w:rPr>
      </w:pPr>
    </w:p>
    <w:p>
      <w:pPr>
        <w:jc w:val="both"/>
        <w:ind w:firstLine="8"/>
        <w:spacing w:after="0" w:line="280" w:lineRule="auto"/>
        <w:tabs>
          <w:tab w:leader="none" w:pos="367"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Foreign Exchange Laws </w:t>
      </w:r>
      <w:r>
        <w:rPr>
          <w:rFonts w:ascii="Arial" w:cs="Arial" w:eastAsia="Arial" w:hAnsi="Arial"/>
          <w:sz w:val="18"/>
          <w:szCs w:val="18"/>
          <w:color w:val="auto"/>
        </w:rPr>
        <w:t>– Local foreign exchange laws may affect your Award or the vesting of your Award.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obtaining any exchange control approval that may be required in connection with such events. Dell will not be responsible for obtaining such approvals or liable for the failure on your part to obtain or abide by such approvals. This does not constitute legal or tax advice upon which you should rely. You should consult with your personal legal and tax advisers to ensure your compliance with local laws. You agree to comply with all applicable laws and pay any and all applicable taxes associated with the grant or vesting of this Award.</w:t>
      </w:r>
    </w:p>
    <w:p>
      <w:pPr>
        <w:spacing w:after="0" w:line="156" w:lineRule="exact"/>
        <w:rPr>
          <w:rFonts w:ascii="Arial" w:cs="Arial" w:eastAsia="Arial" w:hAnsi="Arial"/>
          <w:sz w:val="18"/>
          <w:szCs w:val="18"/>
          <w:b w:val="1"/>
          <w:bCs w:val="1"/>
          <w:color w:val="auto"/>
        </w:rPr>
      </w:pPr>
    </w:p>
    <w:p>
      <w:pPr>
        <w:jc w:val="both"/>
        <w:ind w:firstLine="8"/>
        <w:spacing w:after="0" w:line="253" w:lineRule="auto"/>
        <w:tabs>
          <w:tab w:leader="none" w:pos="476"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 You understand and agree that Dell is a Delaware corporation with global operations and your Award is</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a contemporaneous grant of many similar awards to individuals located in numerous jurisdictions. You agree that this Agreement and the Plan shall be governed by, and construed in accordance with,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82" w:name="page183"/>
    <w:bookmarkEnd w:id="182"/>
    <w:p>
      <w:pPr>
        <w:jc w:val="both"/>
        <w:spacing w:after="0" w:line="278" w:lineRule="auto"/>
        <w:rPr>
          <w:sz w:val="20"/>
          <w:szCs w:val="20"/>
          <w:color w:val="auto"/>
        </w:rPr>
      </w:pPr>
      <w:r>
        <w:rPr>
          <w:rFonts w:ascii="Arial" w:cs="Arial" w:eastAsia="Arial" w:hAnsi="Arial"/>
          <w:sz w:val="18"/>
          <w:szCs w:val="18"/>
          <w:color w:val="auto"/>
        </w:rPr>
        <w:t>laws of the State of Delaware, United States of America. The exclusive venue for any and all disputes arising out of or in connection with this Agreement shall be New Castle County, Delaware, United States of America, and the courts sitting exclusively in New Castle County, Delaware,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59" w:lineRule="exact"/>
        <w:rPr>
          <w:sz w:val="20"/>
          <w:szCs w:val="20"/>
          <w:color w:val="auto"/>
        </w:rPr>
      </w:pPr>
    </w:p>
    <w:p>
      <w:pPr>
        <w:jc w:val="both"/>
        <w:ind w:firstLine="8"/>
        <w:spacing w:after="0" w:line="248" w:lineRule="auto"/>
        <w:tabs>
          <w:tab w:leader="none" w:pos="475"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Internal Revenue Code Section 409A </w:t>
      </w:r>
      <w:r>
        <w:rPr>
          <w:rFonts w:ascii="Arial" w:cs="Arial" w:eastAsia="Arial" w:hAnsi="Arial"/>
          <w:sz w:val="20"/>
          <w:szCs w:val="20"/>
          <w:color w:val="auto"/>
        </w:rPr>
        <w:t>– Dell’s intent is that this Award comply with Section 409A of the Internal Revenue Code. This</w:t>
      </w:r>
      <w:r>
        <w:rPr>
          <w:rFonts w:ascii="Arial" w:cs="Arial" w:eastAsia="Arial" w:hAnsi="Arial"/>
          <w:sz w:val="20"/>
          <w:szCs w:val="20"/>
          <w:b w:val="1"/>
          <w:bCs w:val="1"/>
          <w:color w:val="auto"/>
        </w:rPr>
        <w:t xml:space="preserve"> </w:t>
      </w:r>
      <w:r>
        <w:rPr>
          <w:rFonts w:ascii="Arial" w:cs="Arial" w:eastAsia="Arial" w:hAnsi="Arial"/>
          <w:sz w:val="20"/>
          <w:szCs w:val="20"/>
          <w:color w:val="auto"/>
        </w:rPr>
        <w:t>Award is intended to be excluded from coverage under Section 409A of the Internal Revenue Code pursuant to the “short-term deferral exception” under Section 1.409A-1(b)(4). If any provision of this Award would otherwise conflict with this intent, Dell may amend this Award to the extent necessary to comply with Section 409A of the Code.</w:t>
      </w:r>
    </w:p>
    <w:p>
      <w:pPr>
        <w:spacing w:after="0" w:line="183" w:lineRule="exact"/>
        <w:rPr>
          <w:rFonts w:ascii="Arial" w:cs="Arial" w:eastAsia="Arial" w:hAnsi="Arial"/>
          <w:sz w:val="20"/>
          <w:szCs w:val="20"/>
          <w:b w:val="1"/>
          <w:bCs w:val="1"/>
          <w:color w:val="auto"/>
        </w:rPr>
      </w:pPr>
    </w:p>
    <w:p>
      <w:pPr>
        <w:jc w:val="both"/>
        <w:ind w:firstLine="8"/>
        <w:spacing w:after="0" w:line="246" w:lineRule="auto"/>
        <w:tabs>
          <w:tab w:leader="none" w:pos="448"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Acceptance of Terms and Conditions </w:t>
      </w:r>
      <w:r>
        <w:rPr>
          <w:rFonts w:ascii="Arial" w:cs="Arial" w:eastAsia="Arial" w:hAnsi="Arial"/>
          <w:sz w:val="20"/>
          <w:szCs w:val="20"/>
          <w:color w:val="auto"/>
        </w:rPr>
        <w:t>— This Award will not be effective and you may not receive any Award Payments until you have</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acknowledged and agreed to the terms and conditions set forth herein in the matter prescribed by the Company. You agree that you are not relying on any representations or promises outside of this Agreement, the Plan and the Grant Summary. You must accept your award no later than 4pm Eastern Time, five business days prior to the first vesting date or your entire award will be cancelled. You should print a copy of this Award and your Grant Summary for your records.</w:t>
      </w:r>
    </w:p>
    <w:p>
      <w:pPr>
        <w:spacing w:after="0" w:line="185" w:lineRule="exact"/>
        <w:rPr>
          <w:rFonts w:ascii="Arial" w:cs="Arial" w:eastAsia="Arial" w:hAnsi="Arial"/>
          <w:sz w:val="20"/>
          <w:szCs w:val="20"/>
          <w:b w:val="1"/>
          <w:bCs w:val="1"/>
          <w:color w:val="auto"/>
        </w:rPr>
      </w:pPr>
    </w:p>
    <w:p>
      <w:pPr>
        <w:jc w:val="both"/>
        <w:ind w:firstLine="8"/>
        <w:spacing w:after="0" w:line="245" w:lineRule="auto"/>
        <w:tabs>
          <w:tab w:leader="none" w:pos="459"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 xml:space="preserve">Survival, Assignability, and Construction </w:t>
      </w:r>
      <w:r>
        <w:rPr>
          <w:rFonts w:ascii="Arial" w:cs="Arial" w:eastAsia="Arial" w:hAnsi="Arial"/>
          <w:sz w:val="20"/>
          <w:szCs w:val="20"/>
          <w:color w:val="auto"/>
        </w:rPr>
        <w:t>– This Agreement survives any termination of your Employment, and your obligations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binding upon your heirs, executors, and administrators. This Agreement is fully assignable by Dell and will fully inure to the benefit of Dell and its successors, and assigns. The language of this Agreement shall in all cases be construed as a whole according to its fair meaning, and not strictly for or against any of the parties. The paragraph headings used in this Agreement are intended solely for convenience of reference and shall not in any manner amplify, limit, modify, or otherwise be used in the interpretation of any of the provisions hereof.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Awarded subject to the terms and conditions stated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DELL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366"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Cash Replacement Agreement</w:t>
      </w:r>
    </w:p>
    <w:p>
      <w:pPr>
        <w:spacing w:after="0" w:line="117" w:lineRule="exact"/>
        <w:rPr>
          <w:sz w:val="20"/>
          <w:szCs w:val="20"/>
          <w:color w:val="auto"/>
        </w:rPr>
      </w:pPr>
    </w:p>
    <w:p>
      <w:pPr>
        <w:jc w:val="both"/>
        <w:ind w:firstLine="8"/>
        <w:spacing w:after="0" w:line="247" w:lineRule="auto"/>
        <w:tabs>
          <w:tab w:leader="none" w:pos="279" w:val="left"/>
        </w:tabs>
        <w:numPr>
          <w:ilvl w:val="0"/>
          <w:numId w:val="7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Purpose </w:t>
      </w:r>
      <w:r>
        <w:rPr>
          <w:rFonts w:ascii="Arial" w:cs="Arial" w:eastAsia="Arial" w:hAnsi="Arial"/>
          <w:sz w:val="14"/>
          <w:szCs w:val="14"/>
          <w:color w:val="auto"/>
        </w:rPr>
        <w:t>– Dell Inc., a Delaware corporation (the “Company”), previously granted to you one or more awards of units (the “Units”) representing the right to receive shares of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stock (the “Shares”) identified in the Stock Plan Administrator’s online grant acceptance process (“Grant Summary”), under either the Dell Inc. 2012 Long-Term Incentive Plan or the Dell Inc. 2002 Long-Term Incentive Plan, as amended (each a “Plan” and together the “Plans”). In addition to the Grant Summary, each award was subject to the terms and conditions described in the applicable Stock Unit Agreement (“RSU”) or Performance-Based Stock Unit Agreement (“PSU”) between you and the Company (together, the “Stock Unit Agreements”) and the applicable Plan. The applicable Grant Summary stated the number of Units granted to you under the applicable RSU or PSU award. The Stock Unit Agreements were amended, effective as of April 17, 2013 (the “Amendment”), to provide certain benefits to you in the event of a Change in Control (as defined in the Amendment).</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On October [</w:t>
      </w:r>
      <w:r>
        <w:rPr>
          <w:rFonts w:ascii="Arial" w:cs="Arial" w:eastAsia="Arial" w:hAnsi="Arial"/>
          <w:sz w:val="14"/>
          <w:szCs w:val="14"/>
          <w:b w:val="1"/>
          <w:bCs w:val="1"/>
          <w:color w:val="auto"/>
        </w:rPr>
        <w:t>●</w:t>
      </w:r>
      <w:r>
        <w:rPr>
          <w:rFonts w:ascii="Arial" w:cs="Arial" w:eastAsia="Arial" w:hAnsi="Arial"/>
          <w:sz w:val="13"/>
          <w:szCs w:val="13"/>
          <w:color w:val="auto"/>
        </w:rPr>
        <w:t>], 2013 (the “Effective Time”), the Company consummated the transaction contemplated by that certain Agreement and Plan of Merger, dated as of February 5, 2013 and amended as of August 2, 2013, with Denali Holding Inc., a Delaware corporation (“Parent”), Denali Intermediate Inc., a Delaware corporation and a wholly-owned subsidiary of Parent (“Intermediate”), and Denali Acquiror Inc., a Delaware corporation and a wholly-owned subsidiary of Intermediate (“Merger Sub”), pursuant to which Merger Sub merged with and into the Company, with the Company surviving as a wholly-owned subsidiary of Intermediate (the “Merger”). The transaction resulted in the Company becoming a privately owned entity, and a subsidiary of Intermediate and Parent, neither of which has securities that trade on a national securities exchange. In addition, following the Effective Time, Parent is the sponsor of the Plans.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Pursuant to the terms of the merger agreement, (i) each RSU was converted into the right to receive cash equal in value to the per share consideration of $13.75 per Share (“Per Share Cash Value”) for each Unit, subject generally to continued time-based vesting as set forth in the applicable Stock Unit Agreement, and (ii) each PSU was treated as providing a fixed number of Units equal to the target number under the award, such that as of the Effective Time no additional Units could be earned under the PSU award, and each PSU thereafter was converted into the right to receive cash equal to the Per Share Cash Value for each Unit, subject generally to continued time-based vesting as set forth in the applicable Stock Unit Agreement.</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order to reflect the conversion of your Units outstanding under the Stock Unit Agreements into the right to receive cash, and the terms on which the cash consideration will be delivered or forfeited, the Company is amending and restating the Stock Unit Agreements (the “Prior Agreements”) into this Deferred Cash Replacement Agreement. You agree that each such Prior Agreement will be inapplicable to your Units treated as outstanding immediately prior to the Effective Time, and that the terms and conditions of each award is hereby superseded and replaced by this Deferred Cash Replacement Agreement as of the Effective Time.</w:t>
      </w:r>
    </w:p>
    <w:p>
      <w:pPr>
        <w:spacing w:after="0" w:line="134" w:lineRule="exact"/>
        <w:rPr>
          <w:sz w:val="20"/>
          <w:szCs w:val="20"/>
          <w:color w:val="auto"/>
        </w:rPr>
      </w:pPr>
    </w:p>
    <w:p>
      <w:pPr>
        <w:jc w:val="both"/>
        <w:ind w:firstLine="8"/>
        <w:spacing w:after="0" w:line="252" w:lineRule="auto"/>
        <w:tabs>
          <w:tab w:leader="none" w:pos="279" w:val="left"/>
        </w:tabs>
        <w:numPr>
          <w:ilvl w:val="0"/>
          <w:numId w:val="8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Vesting </w:t>
      </w:r>
      <w:r>
        <w:rPr>
          <w:rFonts w:ascii="Arial" w:cs="Arial" w:eastAsia="Arial" w:hAnsi="Arial"/>
          <w:sz w:val="14"/>
          <w:szCs w:val="14"/>
          <w:color w:val="auto"/>
        </w:rPr>
        <w:t>— The Company will pay you the Per Share Cash Value for each vested Unit, with such payment to be made on the applicable vesting date or as soon as administratively practicable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thereafter; provided that in no event shall any such payment be delivered later than the fifteenth day of the third month following the end of the calendar year with respect to which the Units were earned and not subject to forfeiture. For purposes of vesting under this Deferred Cash Replacement Award, with respect to any PSU award, you are entitled to vest in an amount no greater than the target amount of Units under the award.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Each Unit with respect to a RSU will vest, and you will receive the Per Share Cash Value for each such Unit, in accordance with the time-vesting schedule in your applicable Grant Summary. Each Unit with respect to a PSU will be deemed to vest ratably on the last day of each fiscal year during the portion of the performance period (as set forth in the applicable Grant Summary) applicable to the Units that occurs following the Effective Date, and you will receive the Per Share Cash Value for each such Unit, in accordance with this time-vesting schedule and this Paragraph 2 (Vesting).</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Notwithstanding the foregoing, if your “Employment” is terminated by the Company or your “Employer” without “Cause” (each as defined below) on or following the Effective Time and prior to the 24-month anniversary of the Effective Time, you will become 100% vested as of your date of Employment termination and the payment of the Per Share Cash Value for each Unit vesting upon the date of your Employment termination will be made within ten days following such date.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used herein, the term “Cause” means: (a) a violation of your obligations regarding confidentiality or the protection of sensitive, confidential or proprietary information, or trade secrets; (b) an act or omission by you resulting in your being charged with a criminal offense that constitutes a felony or involves moral turpitude or dishonesty; (c) conduct by you that constitutes poor performance, gross neglect, insubordination, willful misconduct, or a breach of the Company’s Code of Conduct or a fiduciary duty to the Company or its stockholders; or (d) the determination by the senior management of the Company that you violated state or federal law relating to the workplace environment, including, without limitation, laws relating to sexual harassment or age, sex, race, or other prohibited discrimination.</w:t>
      </w:r>
    </w:p>
    <w:p>
      <w:pPr>
        <w:spacing w:after="0" w:line="137" w:lineRule="exact"/>
        <w:rPr>
          <w:sz w:val="20"/>
          <w:szCs w:val="20"/>
          <w:color w:val="auto"/>
        </w:rPr>
      </w:pPr>
    </w:p>
    <w:p>
      <w:pPr>
        <w:ind w:firstLine="8"/>
        <w:spacing w:after="0" w:line="273" w:lineRule="auto"/>
        <w:tabs>
          <w:tab w:leader="none" w:pos="252" w:val="left"/>
        </w:tabs>
        <w:numPr>
          <w:ilvl w:val="0"/>
          <w:numId w:val="8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Expiration </w:t>
      </w:r>
      <w:r>
        <w:rPr>
          <w:rFonts w:ascii="Arial" w:cs="Arial" w:eastAsia="Arial" w:hAnsi="Arial"/>
          <w:sz w:val="14"/>
          <w:szCs w:val="14"/>
          <w:color w:val="auto"/>
        </w:rPr>
        <w:t>— Except as set forth in Paragraph 2 (Vesting) above, if your Employment terminates for any reason other than your death or Permanent Disability, any Units that have not vested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described above will expire at that time.</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If your Employment is terminated by reason of your death or Permanent Disability, all outstanding Units will vest immediately and automatically upon such termination of Employment and the cash value of the Shares will be paid to you as soon as administratively practical and in all events within 60 days of such termination of Employment.</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As used herein, the term "Employment" means your regular full-time or part-time employment with Parent, the Company or any Subsidiary of Parent, and the term "Employer" means Parent, the Company or the Subsidiary of Parent that employs you.</w:t>
      </w:r>
    </w:p>
    <w:p>
      <w:pPr>
        <w:spacing w:after="0" w:line="120" w:lineRule="exact"/>
        <w:rPr>
          <w:sz w:val="20"/>
          <w:szCs w:val="20"/>
          <w:color w:val="auto"/>
        </w:rPr>
      </w:pPr>
    </w:p>
    <w:p>
      <w:pPr>
        <w:jc w:val="both"/>
        <w:ind w:firstLine="8"/>
        <w:spacing w:after="0" w:line="249" w:lineRule="auto"/>
        <w:tabs>
          <w:tab w:leader="none" w:pos="268" w:val="left"/>
        </w:tabs>
        <w:numPr>
          <w:ilvl w:val="0"/>
          <w:numId w:val="8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Rights as a Holder; Supplemental Cash Payment </w:t>
      </w:r>
      <w:r>
        <w:rPr>
          <w:rFonts w:ascii="Arial" w:cs="Arial" w:eastAsia="Arial" w:hAnsi="Arial"/>
          <w:sz w:val="14"/>
          <w:szCs w:val="14"/>
          <w:color w:val="auto"/>
        </w:rPr>
        <w:t>— You will have no rights as a stockholder with respect to the Units. Each Unit has a fixed cash value equal to the Per Share Cash Value.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addition, for each Unit that vests you will receive a supplemental cash payment (“Dividend Equivalent”) at the same time as the Per Share Cash Value equal to the sum of (i) any unpaid dividend equivalents credited on your behalf to the Unit with respect to the payment by the Company of ordinary dividends on Shares prior to the Effective Time; and (ii) $0.13, which represents the special dividend equivalent payable in respect of the special dividend on Shares paid to stockholders of record of the Company as of October 28, 2013, subject to and contingent upon the payment of the special dividend.</w:t>
      </w:r>
    </w:p>
    <w:p>
      <w:pPr>
        <w:spacing w:after="0" w:line="56" w:lineRule="exact"/>
        <w:rPr>
          <w:rFonts w:ascii="Arial" w:cs="Arial" w:eastAsia="Arial" w:hAnsi="Arial"/>
          <w:sz w:val="14"/>
          <w:szCs w:val="14"/>
          <w:b w:val="1"/>
          <w:bCs w:val="1"/>
          <w:i w:val="1"/>
          <w:iCs w:val="1"/>
          <w:color w:val="auto"/>
        </w:rPr>
      </w:pPr>
    </w:p>
    <w:p>
      <w:pPr>
        <w:jc w:val="both"/>
        <w:ind w:firstLine="8"/>
        <w:spacing w:after="0" w:line="257" w:lineRule="auto"/>
        <w:tabs>
          <w:tab w:leader="none" w:pos="334" w:val="left"/>
        </w:tabs>
        <w:numPr>
          <w:ilvl w:val="0"/>
          <w:numId w:val="8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Agreement With Respect to Taxes </w:t>
      </w:r>
      <w:r>
        <w:rPr>
          <w:rFonts w:ascii="Arial" w:cs="Arial" w:eastAsia="Arial" w:hAnsi="Arial"/>
          <w:sz w:val="14"/>
          <w:szCs w:val="14"/>
          <w:color w:val="auto"/>
        </w:rPr>
        <w:t>— You must pay any taxes that are required to be withheld by the Company or your Employer. You may pay such amounts in cash or make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arrangements satisfactory to the Company or your Employer for the payment of such amounts. You agree the Company or your Employer, at its sole discretion and to the fullest extent permitted by law, shall have the right to demand that you pay such amounts in cash or deduct such amounts from any payments of any kind otherwise due to you.</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You agree that, subject to compliance with applicable law, the Company or your Employer may recover from you taxes that may be payable by the Company or your Employer in any jurisdiction in relation to this award. You agree that the Company or your Employer shall be entitled to use whatever method they may deem appropriate to recover such taxes, including the withholding of the Per Share Cash Value or Dividend Equivalents, paying you a net amount of cash, recovering the taxes via payroll and direct invoicing. You further agree that the Company or your Employer may, as it reasonably considers necessary, amend or vary this Agreement to facilitate such recovery of taxes.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85" w:name="page186"/>
    <w:bookmarkEnd w:id="185"/>
    <w:p>
      <w:pPr>
        <w:ind w:firstLine="8"/>
        <w:spacing w:after="0" w:line="273" w:lineRule="auto"/>
        <w:tabs>
          <w:tab w:leader="none" w:pos="252" w:val="left"/>
        </w:tabs>
        <w:numPr>
          <w:ilvl w:val="0"/>
          <w:numId w:val="8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Leaves of Absence </w:t>
      </w:r>
      <w:r>
        <w:rPr>
          <w:rFonts w:ascii="Arial" w:cs="Arial" w:eastAsia="Arial" w:hAnsi="Arial"/>
          <w:sz w:val="14"/>
          <w:szCs w:val="14"/>
          <w:color w:val="auto"/>
        </w:rPr>
        <w:t>— Subject to the Units remaining exempt from Code Section 409A or being compliant with Code Section 409A, if you take a leave of absence from active Employment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been approved by the Company or your Employer or is one to which you are legally entitled regardless of such approval, the following provisions will apply:</w:t>
      </w:r>
    </w:p>
    <w:p>
      <w:pPr>
        <w:spacing w:after="0" w:line="93" w:lineRule="exact"/>
        <w:rPr>
          <w:sz w:val="20"/>
          <w:szCs w:val="20"/>
          <w:color w:val="auto"/>
        </w:rPr>
      </w:pPr>
    </w:p>
    <w:p>
      <w:pPr>
        <w:jc w:val="both"/>
        <w:ind w:firstLine="8"/>
        <w:spacing w:after="0" w:line="277" w:lineRule="auto"/>
        <w:tabs>
          <w:tab w:leader="none" w:pos="277" w:val="left"/>
        </w:tabs>
        <w:numPr>
          <w:ilvl w:val="0"/>
          <w:numId w:val="84"/>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Vesting During Leave </w:t>
      </w:r>
      <w:r>
        <w:rPr>
          <w:rFonts w:ascii="Arial" w:cs="Arial" w:eastAsia="Arial" w:hAnsi="Arial"/>
          <w:sz w:val="13"/>
          <w:szCs w:val="13"/>
          <w:color w:val="auto"/>
        </w:rPr>
        <w:t>— Notwithstanding the vesting schedule set forth above, no Units will vest during a leave of absence other than an approved employee medical, FMLA or military leave.</w:t>
      </w:r>
      <w:r>
        <w:rPr>
          <w:rFonts w:ascii="Arial" w:cs="Arial" w:eastAsia="Arial" w:hAnsi="Arial"/>
          <w:sz w:val="13"/>
          <w:szCs w:val="13"/>
          <w:i w:val="1"/>
          <w:iCs w:val="1"/>
          <w:color w:val="auto"/>
        </w:rPr>
        <w:t xml:space="preserve"> </w:t>
      </w:r>
      <w:r>
        <w:rPr>
          <w:rFonts w:ascii="Arial" w:cs="Arial" w:eastAsia="Arial" w:hAnsi="Arial"/>
          <w:sz w:val="13"/>
          <w:szCs w:val="13"/>
          <w:color w:val="auto"/>
        </w:rPr>
        <w:t>Notwithstanding the preceding sentence, vesting shall not be deferred for any approved leave of absence of less than 30 days. The vesting that would have otherwise occurred during a leave of absence other than an approved employee medical, FMLA or military leave will be deferred by the number of days you are on a leave of absence. For example, if your Units are scheduled to vest on August 1, 2014 through August 1, 2018, and you are on a 40 day leave of absence, the dates on which the vesting occurs will be deferred to September 10, 2014 through September 10, 2018.</w:t>
      </w:r>
    </w:p>
    <w:p>
      <w:pPr>
        <w:spacing w:after="0" w:line="120" w:lineRule="exact"/>
        <w:rPr>
          <w:rFonts w:ascii="Arial" w:cs="Arial" w:eastAsia="Arial" w:hAnsi="Arial"/>
          <w:sz w:val="13"/>
          <w:szCs w:val="13"/>
          <w:i w:val="1"/>
          <w:iCs w:val="1"/>
          <w:color w:val="auto"/>
        </w:rPr>
      </w:pPr>
    </w:p>
    <w:p>
      <w:pPr>
        <w:ind w:firstLine="8"/>
        <w:spacing w:after="0" w:line="273" w:lineRule="auto"/>
        <w:tabs>
          <w:tab w:leader="none" w:pos="349"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Effect of Termination During Leave </w:t>
      </w:r>
      <w:r>
        <w:rPr>
          <w:rFonts w:ascii="Arial" w:cs="Arial" w:eastAsia="Arial" w:hAnsi="Arial"/>
          <w:sz w:val="14"/>
          <w:szCs w:val="14"/>
          <w:color w:val="auto"/>
        </w:rPr>
        <w:t>— If your Employment is terminated during the leave of absence, the Units will expire or vest in accordance with the terms stated in Paragraph 3</w:t>
      </w:r>
      <w:r>
        <w:rPr>
          <w:rFonts w:ascii="Arial" w:cs="Arial" w:eastAsia="Arial" w:hAnsi="Arial"/>
          <w:sz w:val="14"/>
          <w:szCs w:val="14"/>
          <w:i w:val="1"/>
          <w:iCs w:val="1"/>
          <w:color w:val="auto"/>
        </w:rPr>
        <w:t xml:space="preserve"> </w:t>
      </w:r>
      <w:r>
        <w:rPr>
          <w:rFonts w:ascii="Arial" w:cs="Arial" w:eastAsia="Arial" w:hAnsi="Arial"/>
          <w:sz w:val="14"/>
          <w:szCs w:val="14"/>
          <w:color w:val="auto"/>
        </w:rPr>
        <w:t>(Expiration) above.</w:t>
      </w:r>
    </w:p>
    <w:p>
      <w:pPr>
        <w:spacing w:after="0" w:line="120" w:lineRule="exact"/>
        <w:rPr>
          <w:sz w:val="20"/>
          <w:szCs w:val="20"/>
          <w:color w:val="auto"/>
        </w:rPr>
      </w:pPr>
    </w:p>
    <w:p>
      <w:pPr>
        <w:jc w:val="both"/>
        <w:ind w:firstLine="8"/>
        <w:spacing w:after="0" w:line="252" w:lineRule="auto"/>
        <w:tabs>
          <w:tab w:leader="none" w:pos="252" w:val="left"/>
        </w:tabs>
        <w:numPr>
          <w:ilvl w:val="0"/>
          <w:numId w:val="8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Return of Value </w:t>
      </w:r>
      <w:r>
        <w:rPr>
          <w:rFonts w:ascii="Arial" w:cs="Arial" w:eastAsia="Arial" w:hAnsi="Arial"/>
          <w:sz w:val="14"/>
          <w:szCs w:val="14"/>
          <w:color w:val="auto"/>
        </w:rPr>
        <w:t>— By accepting this award, you agree that if the Company determines that you engaged in “Conduct Detrimental to the Company” (as defined below) during your Employment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during the 12-month period following the termination of your Employment, you shall be required, upon demand, to return to the Company, in the form of a cash payment, the gross value of the payments that were issued to you pursuant to this Agreement including any associated Dividend Equivalents (together, the “Returnable Value”). You understand and agree that the repayment of the Returnable Value is in addition to and separate from any other relief available to the Company due to your Conduct Detrimental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this Agreement, you will be considered to have engaged in “Conduct Detrimental to the Company” if:</w:t>
      </w:r>
    </w:p>
    <w:p>
      <w:pPr>
        <w:spacing w:after="0" w:line="163" w:lineRule="exact"/>
        <w:rPr>
          <w:sz w:val="20"/>
          <w:szCs w:val="20"/>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you engage in serious misconduct (whether or not such serious misconduct is discovered by the Company prior to the termination of your Employment);</w:t>
      </w:r>
    </w:p>
    <w:p>
      <w:pPr>
        <w:spacing w:after="0" w:line="13" w:lineRule="exact"/>
        <w:rPr>
          <w:rFonts w:ascii="Arial" w:cs="Arial" w:eastAsia="Arial" w:hAnsi="Arial"/>
          <w:sz w:val="14"/>
          <w:szCs w:val="14"/>
          <w:color w:val="auto"/>
        </w:rPr>
      </w:pPr>
    </w:p>
    <w:p>
      <w:pPr>
        <w:ind w:firstLine="8"/>
        <w:spacing w:after="0" w:line="241" w:lineRule="auto"/>
        <w:tabs>
          <w:tab w:leader="none" w:pos="225" w:val="left"/>
        </w:tabs>
        <w:numPr>
          <w:ilvl w:val="0"/>
          <w:numId w:val="86"/>
        </w:numPr>
        <w:rPr>
          <w:rFonts w:ascii="Arial" w:cs="Arial" w:eastAsia="Arial" w:hAnsi="Arial"/>
          <w:sz w:val="14"/>
          <w:szCs w:val="14"/>
          <w:color w:val="auto"/>
        </w:rPr>
      </w:pPr>
      <w:r>
        <w:rPr>
          <w:rFonts w:ascii="Arial" w:cs="Arial" w:eastAsia="Arial" w:hAnsi="Arial"/>
          <w:sz w:val="14"/>
          <w:szCs w:val="14"/>
          <w:color w:val="auto"/>
        </w:rPr>
        <w:t>you breach your obligations to the Company or another Employer with respect to confidential and proprietary information or trade secrets or breach any agreement between you and the Company or another Employer relating to confidential and proprietary information or trade secrets;</w:t>
      </w: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you compete with Company (as described below); or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you solicit Company’s Employees (as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this provision, you shall be deemed to “compete” with the Company if you, directly or indirectly:</w:t>
      </w:r>
    </w:p>
    <w:p>
      <w:pPr>
        <w:spacing w:after="0" w:line="13" w:lineRule="exact"/>
        <w:rPr>
          <w:sz w:val="20"/>
          <w:szCs w:val="20"/>
          <w:color w:val="auto"/>
        </w:rPr>
      </w:pPr>
    </w:p>
    <w:p>
      <w:pPr>
        <w:ind w:left="180" w:hanging="172"/>
        <w:spacing w:after="0" w:line="241" w:lineRule="auto"/>
        <w:tabs>
          <w:tab w:leader="none" w:pos="1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Are a principal, owner, officer, director, stockholder or other equity owner (other than a holder of less than 5% of the outstanding shares or other equity interests of a publicly traded company) of a Direct Competitor (as defined below);</w:t>
      </w:r>
    </w:p>
    <w:p>
      <w:pPr>
        <w:ind w:left="180" w:hanging="172"/>
        <w:spacing w:after="0"/>
        <w:tabs>
          <w:tab w:leader="none" w:pos="1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Are a partner or joint venturer in any business or other enterprise or undertaking with a Direct Competitor; or</w:t>
      </w:r>
    </w:p>
    <w:p>
      <w:pPr>
        <w:spacing w:after="0" w:line="1" w:lineRule="exact"/>
        <w:rPr>
          <w:rFonts w:ascii="Arial" w:cs="Arial" w:eastAsia="Arial" w:hAnsi="Arial"/>
          <w:sz w:val="14"/>
          <w:szCs w:val="14"/>
          <w:color w:val="auto"/>
        </w:rPr>
      </w:pPr>
    </w:p>
    <w:p>
      <w:pPr>
        <w:ind w:left="180" w:right="20" w:hanging="172"/>
        <w:spacing w:after="0" w:line="255" w:lineRule="auto"/>
        <w:tabs>
          <w:tab w:leader="none" w:pos="1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Serve or perform work (including consulting or advisory services) for a Direct Competitor that is similar in any material way to the work you performed for your Employer during the 12-month period preceding the termination of your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You understand and agree that this provision does not prohibit you from competing with the Company but only requires repayment of the Returnable Value in the event of such competition.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For purposes of this provision, a “Company’s Employee” means any person employed by Parent, the Company or any of Parent’s Subsidiaries and “solicit Company’s Employees” means that you communicate in any way with any other person regarding (a) a Company Employee leaving the employ of Parent or any of its Subsidiaries; or (b) a Company Employee seeking employment with any other employer. This provision does not apply to those communications that are within the scope of your Employment that are made on behalf of your Employer.</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term “Direct Competitor” means any entity, or other business concern that offers or plans to offer products or services that are materially competitive with any of the products or services being manufactured, offered, marketed, or are actively developed by any Employer as of the date your Employment ends. By way of illustration, and not by limitation, at the time of execution of this Agreement, the following companies are currently Direct Competitors: Hewlett-Packard, Lenovo, IBM, Gateway, Apple, Acer, CDW, Cisco, NetApp, Juniper, Wipro, Tata Consulting Services, Xerox, Cognizant, EMC, Software House International, Insight (Software Spectrum), Softchoice, Computer Sciences Corporation and Digital River. You understand and agree that the foregoing list of Direct Competitors represents a current list of representative examples of Direct Competitors as of the date of execution of this Agreement and that other entities may become Direct Competitors in the future.</w:t>
      </w:r>
    </w:p>
    <w:p>
      <w:pPr>
        <w:spacing w:after="0" w:line="140" w:lineRule="exact"/>
        <w:rPr>
          <w:sz w:val="20"/>
          <w:szCs w:val="20"/>
          <w:color w:val="auto"/>
        </w:rPr>
      </w:pPr>
    </w:p>
    <w:p>
      <w:pPr>
        <w:jc w:val="both"/>
        <w:ind w:right="140"/>
        <w:spacing w:after="0" w:line="257" w:lineRule="auto"/>
        <w:rPr>
          <w:sz w:val="20"/>
          <w:szCs w:val="20"/>
          <w:color w:val="auto"/>
        </w:rPr>
      </w:pPr>
      <w:r>
        <w:rPr>
          <w:rFonts w:ascii="Arial" w:cs="Arial" w:eastAsia="Arial" w:hAnsi="Arial"/>
          <w:sz w:val="14"/>
          <w:szCs w:val="14"/>
          <w:color w:val="auto"/>
        </w:rPr>
        <w:t>The Company shall have complete and absolute authority to construe and interpret the provisions of this Agreement, including but not limited to any determination as to whether you have engaged in “Conduct Detrimental to the Company.” Any such interpretations or determinations by the Company will be final, binding, and conclusive. Parent’s compensation committee, or its designee, is authorized to make determination under this Section 6 on behalf of the Company.</w:t>
      </w:r>
    </w:p>
    <w:p>
      <w:pPr>
        <w:spacing w:after="0" w:line="131"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Transferability — </w:t>
      </w:r>
      <w:r>
        <w:rPr>
          <w:rFonts w:ascii="Arial" w:cs="Arial" w:eastAsia="Arial" w:hAnsi="Arial"/>
          <w:sz w:val="14"/>
          <w:szCs w:val="14"/>
          <w:color w:val="auto"/>
        </w:rPr>
        <w:t>The Units are not transferable other than by will or the laws of descent and distribution.</w:t>
      </w:r>
    </w:p>
    <w:p>
      <w:pPr>
        <w:spacing w:after="0" w:line="163" w:lineRule="exact"/>
        <w:rPr>
          <w:rFonts w:ascii="Arial" w:cs="Arial" w:eastAsia="Arial" w:hAnsi="Arial"/>
          <w:sz w:val="14"/>
          <w:szCs w:val="14"/>
          <w:b w:val="1"/>
          <w:bCs w:val="1"/>
          <w:i w:val="1"/>
          <w:iCs w:val="1"/>
          <w:color w:val="auto"/>
        </w:rPr>
      </w:pPr>
    </w:p>
    <w:p>
      <w:pPr>
        <w:ind w:firstLine="8"/>
        <w:spacing w:after="0" w:line="273" w:lineRule="auto"/>
        <w:tabs>
          <w:tab w:leader="none" w:pos="260" w:val="left"/>
        </w:tabs>
        <w:numPr>
          <w:ilvl w:val="0"/>
          <w:numId w:val="8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Section 280G – </w:t>
      </w:r>
      <w:r>
        <w:rPr>
          <w:rFonts w:ascii="Arial" w:cs="Arial" w:eastAsia="Arial" w:hAnsi="Arial"/>
          <w:sz w:val="14"/>
          <w:szCs w:val="14"/>
          <w:color w:val="auto"/>
        </w:rPr>
        <w:t>Section 15 of the Plan shall apply to all of your long-term incentive plan awards, including any awards under the Dell Computer Corporation 2002 Long-Term Incentive Plan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plan as amended and restated as the Dell Inc. Amended and Restated 2002 Long-Term Incentive Plan.</w:t>
      </w:r>
    </w:p>
    <w:p>
      <w:pPr>
        <w:spacing w:after="0" w:line="119" w:lineRule="exact"/>
        <w:rPr>
          <w:rFonts w:ascii="Arial" w:cs="Arial" w:eastAsia="Arial" w:hAnsi="Arial"/>
          <w:sz w:val="14"/>
          <w:szCs w:val="14"/>
          <w:b w:val="1"/>
          <w:bCs w:val="1"/>
          <w:i w:val="1"/>
          <w:iCs w:val="1"/>
          <w:color w:val="auto"/>
        </w:rPr>
      </w:pPr>
    </w:p>
    <w:p>
      <w:pPr>
        <w:jc w:val="both"/>
        <w:ind w:firstLine="8"/>
        <w:spacing w:after="0" w:line="257" w:lineRule="auto"/>
        <w:tabs>
          <w:tab w:leader="none" w:pos="436" w:val="left"/>
        </w:tabs>
        <w:numPr>
          <w:ilvl w:val="0"/>
          <w:numId w:val="8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Incorporation of Plan </w:t>
      </w:r>
      <w:r>
        <w:rPr>
          <w:rFonts w:ascii="Arial" w:cs="Arial" w:eastAsia="Arial" w:hAnsi="Arial"/>
          <w:sz w:val="14"/>
          <w:szCs w:val="14"/>
          <w:color w:val="auto"/>
        </w:rPr>
        <w:t>— This award is made in settlement of the RSU or PSU award granted under the applicable Plan and is intended to incorporate the terms and conditions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applicable Plan that governed the applicable RSU or PSU. All terms used herein with their initial letters capitalized shall have the meanings given them in such Plan unless otherwise defined herein. A copy of the applicable Plan is available upon request from the Company's Stock Plan Administrator.</w:t>
      </w:r>
    </w:p>
    <w:p>
      <w:pPr>
        <w:spacing w:after="0" w:line="131" w:lineRule="exact"/>
        <w:rPr>
          <w:rFonts w:ascii="Arial" w:cs="Arial" w:eastAsia="Arial" w:hAnsi="Arial"/>
          <w:sz w:val="14"/>
          <w:szCs w:val="14"/>
          <w:b w:val="1"/>
          <w:bCs w:val="1"/>
          <w:i w:val="1"/>
          <w:iCs w:val="1"/>
          <w:color w:val="auto"/>
        </w:rPr>
      </w:pPr>
    </w:p>
    <w:p>
      <w:pPr>
        <w:ind w:firstLine="8"/>
        <w:spacing w:after="0" w:line="273" w:lineRule="auto"/>
        <w:tabs>
          <w:tab w:leader="none" w:pos="316" w:val="left"/>
        </w:tabs>
        <w:numPr>
          <w:ilvl w:val="0"/>
          <w:numId w:val="8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Notice — </w:t>
      </w:r>
      <w:r>
        <w:rPr>
          <w:rFonts w:ascii="Arial" w:cs="Arial" w:eastAsia="Arial" w:hAnsi="Arial"/>
          <w:sz w:val="14"/>
          <w:szCs w:val="14"/>
          <w:color w:val="auto"/>
        </w:rPr>
        <w:t>You agree that notices may be given to you in writing either at your home address as shown in the records of the Company or your Employer, or by electronic transmission (including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email or reference to a website or other URL) sent to you through the Company’s normal process for communicating electronically with its employees.</w:t>
      </w:r>
    </w:p>
    <w:p>
      <w:pPr>
        <w:spacing w:after="0" w:line="119" w:lineRule="exact"/>
        <w:rPr>
          <w:rFonts w:ascii="Arial" w:cs="Arial" w:eastAsia="Arial" w:hAnsi="Arial"/>
          <w:sz w:val="14"/>
          <w:szCs w:val="14"/>
          <w:b w:val="1"/>
          <w:bCs w:val="1"/>
          <w:i w:val="1"/>
          <w:iCs w:val="1"/>
          <w:color w:val="auto"/>
        </w:rPr>
      </w:pPr>
    </w:p>
    <w:p>
      <w:pPr>
        <w:ind w:left="340" w:hanging="332"/>
        <w:spacing w:after="0"/>
        <w:tabs>
          <w:tab w:leader="none" w:pos="340" w:val="left"/>
        </w:tabs>
        <w:numPr>
          <w:ilvl w:val="0"/>
          <w:numId w:val="8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No Right to Continued Employment — </w:t>
      </w:r>
      <w:r>
        <w:rPr>
          <w:rFonts w:ascii="Arial" w:cs="Arial" w:eastAsia="Arial" w:hAnsi="Arial"/>
          <w:sz w:val="13"/>
          <w:szCs w:val="13"/>
          <w:color w:val="auto"/>
        </w:rPr>
        <w:t>The granting of Units does not confer upon you any right to expectation of employment by, or to continue in the employment of, your Employer.</w:t>
      </w:r>
    </w:p>
    <w:p>
      <w:pPr>
        <w:spacing w:after="0" w:line="174" w:lineRule="exact"/>
        <w:rPr>
          <w:rFonts w:ascii="Arial" w:cs="Arial" w:eastAsia="Arial" w:hAnsi="Arial"/>
          <w:sz w:val="13"/>
          <w:szCs w:val="13"/>
          <w:b w:val="1"/>
          <w:bCs w:val="1"/>
          <w:i w:val="1"/>
          <w:iCs w:val="1"/>
          <w:color w:val="auto"/>
        </w:rPr>
      </w:pPr>
    </w:p>
    <w:p>
      <w:pPr>
        <w:jc w:val="both"/>
        <w:ind w:firstLine="8"/>
        <w:spacing w:after="0" w:line="268" w:lineRule="auto"/>
        <w:tabs>
          <w:tab w:leader="none" w:pos="351" w:val="left"/>
        </w:tabs>
        <w:numPr>
          <w:ilvl w:val="0"/>
          <w:numId w:val="8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Limitation on Rights</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No Right to Future Grants; Extraordinary Item of Compensation </w:t>
      </w:r>
      <w:r>
        <w:rPr>
          <w:rFonts w:ascii="Arial" w:cs="Arial" w:eastAsia="Arial" w:hAnsi="Arial"/>
          <w:sz w:val="13"/>
          <w:szCs w:val="13"/>
          <w:color w:val="auto"/>
        </w:rPr>
        <w:t>— By having previously accepted the RSU or PSU award, you expressly acknowledged, and now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renew your acknowledgment, that (a) the Plan is discretionary in nature and may be suspended or terminated by Parent at any time; (b) the grant of Units is a one-time benefit that does not create any contractual or other right to receive future grants of Units, or benefits in lieu of Units; (c) all determinations with respect to future grants, if any, including the grant date, the number of Units granted and the vesting dates, will be at the sole discretion of the Company; (d) your participation in the Plan is voluntary; (e) the value of the Units is an extraordinary item of compensation that is outside the scope of your employment contract, if any, and nothing can or must automatically be inferred from such employment contract or its consequences; (f) Units are not part of normal or expected compensation for any purpose, and are not to be used for calculating any severance, resignation, redundancy, end of service payments, bonuses, long-service awards, pension or retirement benefits or similar payments, and you waive any claim on such basis; (g) the grant of this award gives rise to the Company’s need (on behalf of itself and its stockholders)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86" w:name="page187"/>
    <w:bookmarkEnd w:id="186"/>
    <w:p>
      <w:pPr>
        <w:jc w:val="both"/>
        <w:spacing w:after="0" w:line="252" w:lineRule="auto"/>
        <w:rPr>
          <w:sz w:val="20"/>
          <w:szCs w:val="20"/>
          <w:color w:val="auto"/>
        </w:rPr>
      </w:pPr>
      <w:r>
        <w:rPr>
          <w:rFonts w:ascii="Arial" w:cs="Arial" w:eastAsia="Arial" w:hAnsi="Arial"/>
          <w:sz w:val="14"/>
          <w:szCs w:val="14"/>
          <w:color w:val="auto"/>
        </w:rPr>
        <w:t>to protect itself from Conduct Detrimental to the Company, and your promises described in Paragraph 7 (Return of Value) above are designed to protect the Company and its stockholders from Conduct Detrimental to the Company; (h) vesting of Units ceases upon termination of Employment for any reason except as may otherwise be explicitly provided in the Plan or in this Agreement; and (i) you understand, acknowledge and agree that you will have no rights to compensation or damages related to Units in consequence of the termination of your Employment for any reason whatsoever and whether or not in breach of contract.</w:t>
      </w:r>
    </w:p>
    <w:p>
      <w:pPr>
        <w:spacing w:after="0" w:line="134" w:lineRule="exact"/>
        <w:rPr>
          <w:sz w:val="20"/>
          <w:szCs w:val="20"/>
          <w:color w:val="auto"/>
        </w:rPr>
      </w:pPr>
    </w:p>
    <w:p>
      <w:pPr>
        <w:jc w:val="both"/>
        <w:ind w:firstLine="8"/>
        <w:spacing w:after="0" w:line="267" w:lineRule="auto"/>
        <w:tabs>
          <w:tab w:leader="none" w:pos="351" w:val="left"/>
        </w:tabs>
        <w:numPr>
          <w:ilvl w:val="0"/>
          <w:numId w:val="8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Data Privacy Consent </w:t>
      </w:r>
      <w:r>
        <w:rPr>
          <w:rFonts w:ascii="Arial" w:cs="Arial" w:eastAsia="Arial" w:hAnsi="Arial"/>
          <w:sz w:val="13"/>
          <w:szCs w:val="13"/>
          <w:color w:val="auto"/>
        </w:rPr>
        <w:t>— As a condition of the grant of the Units evidenced by this Agreement, you previously consented and now renew your consent to the collection, use and transfer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personal data as described in this paragraph. You understand that Parent and its Subsidiaries hold certain personal information about you, including your name, home address and telephone number, date of birth, social security number, salary, nationality, job title, ownership interests or directorships held in Parent or its Subsidiaries, and details of all Units, Shares, stock options or other equity awards, cancelled, exercised, vested or unvested (“Data”). You further understand that Parent and its Subsidiaries will transfer Data amongst themselves as necessary for the purposes of implementation, administration and management of your participation in the Plan, and that Parent and any of its Subsidiaries may each further transfer Data to any third parties assisting Parent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in electronic or other form, for the purposes of implementing, administering and managing your participation in the Plan. You understand that you may, at any time, view such Data or require any necessary amendments to it.</w:t>
      </w:r>
    </w:p>
    <w:p>
      <w:pPr>
        <w:spacing w:after="0" w:line="128" w:lineRule="exact"/>
        <w:rPr>
          <w:rFonts w:ascii="Arial" w:cs="Arial" w:eastAsia="Arial" w:hAnsi="Arial"/>
          <w:sz w:val="13"/>
          <w:szCs w:val="13"/>
          <w:b w:val="1"/>
          <w:bCs w:val="1"/>
          <w:i w:val="1"/>
          <w:iCs w:val="1"/>
          <w:color w:val="auto"/>
        </w:rPr>
      </w:pPr>
    </w:p>
    <w:p>
      <w:pPr>
        <w:jc w:val="both"/>
        <w:ind w:firstLine="8"/>
        <w:spacing w:after="0" w:line="249" w:lineRule="auto"/>
        <w:tabs>
          <w:tab w:leader="none" w:pos="339" w:val="left"/>
        </w:tabs>
        <w:numPr>
          <w:ilvl w:val="0"/>
          <w:numId w:val="8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Governing Law and Venue </w:t>
      </w:r>
      <w:r>
        <w:rPr>
          <w:rFonts w:ascii="Arial" w:cs="Arial" w:eastAsia="Arial" w:hAnsi="Arial"/>
          <w:sz w:val="14"/>
          <w:szCs w:val="14"/>
          <w:color w:val="auto"/>
        </w:rPr>
        <w:t>— This Agreement shall be governed by, and construed in accordance with, the laws of the State of Delaware, United States of America. The exclusive venue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and all disputes arising out of or in connection with this Agreement shall be New Castle County, Delaware, United States of America, and the courts sitting exclusively in New Castle County, Delaware,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37" w:lineRule="exact"/>
        <w:rPr>
          <w:rFonts w:ascii="Arial" w:cs="Arial" w:eastAsia="Arial" w:hAnsi="Arial"/>
          <w:sz w:val="14"/>
          <w:szCs w:val="14"/>
          <w:b w:val="1"/>
          <w:bCs w:val="1"/>
          <w:i w:val="1"/>
          <w:iCs w:val="1"/>
          <w:color w:val="auto"/>
        </w:rPr>
      </w:pPr>
    </w:p>
    <w:p>
      <w:pPr>
        <w:jc w:val="both"/>
        <w:ind w:firstLine="8"/>
        <w:spacing w:after="0" w:line="257" w:lineRule="auto"/>
        <w:tabs>
          <w:tab w:leader="none" w:pos="355" w:val="left"/>
        </w:tabs>
        <w:numPr>
          <w:ilvl w:val="0"/>
          <w:numId w:val="8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Effect of Invalid Provisions </w:t>
      </w:r>
      <w:r>
        <w:rPr>
          <w:rFonts w:ascii="Arial" w:cs="Arial" w:eastAsia="Arial" w:hAnsi="Arial"/>
          <w:sz w:val="14"/>
          <w:szCs w:val="14"/>
          <w:color w:val="auto"/>
        </w:rPr>
        <w:t>— If any of the promises, terms or conditions set forth herein are determined by a court of competent jurisdiction to be unenforceable, any Units that have not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vested as described above will expire at that time and you agree to return to the Company an amount of cash equal to the Returnable Value of all payments theretofore made to you pursuant to this Agreement.</w:t>
      </w:r>
    </w:p>
    <w:p>
      <w:pPr>
        <w:spacing w:after="0" w:line="131" w:lineRule="exact"/>
        <w:rPr>
          <w:rFonts w:ascii="Arial" w:cs="Arial" w:eastAsia="Arial" w:hAnsi="Arial"/>
          <w:sz w:val="14"/>
          <w:szCs w:val="14"/>
          <w:b w:val="1"/>
          <w:bCs w:val="1"/>
          <w:i w:val="1"/>
          <w:iCs w:val="1"/>
          <w:color w:val="auto"/>
        </w:rPr>
      </w:pPr>
    </w:p>
    <w:p>
      <w:pPr>
        <w:jc w:val="both"/>
        <w:ind w:firstLine="8"/>
        <w:spacing w:after="0" w:line="257" w:lineRule="auto"/>
        <w:tabs>
          <w:tab w:leader="none" w:pos="351" w:val="left"/>
        </w:tabs>
        <w:numPr>
          <w:ilvl w:val="0"/>
          <w:numId w:val="8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Consent to Electronic Communications </w:t>
      </w:r>
      <w:r>
        <w:rPr>
          <w:rFonts w:ascii="Arial" w:cs="Arial" w:eastAsia="Arial" w:hAnsi="Arial"/>
          <w:sz w:val="14"/>
          <w:szCs w:val="14"/>
          <w:color w:val="auto"/>
        </w:rPr>
        <w:t>— You agree that the Company may provide you with any communications associated with this award in electronic format. Your consent to receive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electronic communications includes, but is not limited to, all legal and regulatory disclosures and communications associated with this award or notices or disclosures about a change in the terms and conditions of this award.</w:t>
      </w:r>
    </w:p>
    <w:p>
      <w:pPr>
        <w:spacing w:after="0" w:line="131" w:lineRule="exact"/>
        <w:rPr>
          <w:rFonts w:ascii="Arial" w:cs="Arial" w:eastAsia="Arial" w:hAnsi="Arial"/>
          <w:sz w:val="14"/>
          <w:szCs w:val="14"/>
          <w:b w:val="1"/>
          <w:bCs w:val="1"/>
          <w:i w:val="1"/>
          <w:iCs w:val="1"/>
          <w:color w:val="auto"/>
        </w:rPr>
      </w:pPr>
    </w:p>
    <w:p>
      <w:pPr>
        <w:jc w:val="both"/>
        <w:ind w:firstLine="8"/>
        <w:spacing w:after="0" w:line="246" w:lineRule="auto"/>
        <w:tabs>
          <w:tab w:leader="none" w:pos="333" w:val="left"/>
        </w:tabs>
        <w:numPr>
          <w:ilvl w:val="0"/>
          <w:numId w:val="8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Code Section 409A </w:t>
      </w:r>
      <w:r>
        <w:rPr>
          <w:rFonts w:ascii="Arial" w:cs="Arial" w:eastAsia="Arial" w:hAnsi="Arial"/>
          <w:sz w:val="14"/>
          <w:szCs w:val="14"/>
          <w:color w:val="auto"/>
        </w:rPr>
        <w:t>— This Agreement is not intended to constitute a “nonqualified deferred compensation plan” for purposes of Code Section 409A. Neither you nor the Company shall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right to accelerate or defer the vesting and/or delivery of any Units if such action would cause this Agreement to be subject to Code Section 409A. The Company makes no representations or warranty and shall have no liability to you or any other person if any provisions of or payments under this Agreement are determined to constitute nonqualified deferred compensation subject to Code Section 409A but not to satisfy the conditions of that section.</w:t>
      </w:r>
    </w:p>
    <w:p>
      <w:pPr>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__________________________________________________________________________________________________________________________________</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auto"/>
        </w:rPr>
        <w:t>Awarded subject to the terms and conditions stated above: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DENALI HOLDING INC.</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________________________</w:t>
      </w:r>
    </w:p>
    <w:p>
      <w:pPr>
        <w:spacing w:after="0" w:line="39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26"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47"/>
          <w:szCs w:val="47"/>
          <w:b w:val="1"/>
          <w:bCs w:val="1"/>
          <w:color w:val="auto"/>
        </w:rPr>
        <w:t>DELL INC.</w:t>
      </w:r>
    </w:p>
    <w:p>
      <w:pPr>
        <w:spacing w:after="0" w:line="200" w:lineRule="exact"/>
        <w:rPr>
          <w:sz w:val="20"/>
          <w:szCs w:val="20"/>
          <w:color w:val="auto"/>
        </w:rPr>
      </w:pPr>
    </w:p>
    <w:p>
      <w:pPr>
        <w:spacing w:after="0" w:line="367" w:lineRule="exact"/>
        <w:rPr>
          <w:sz w:val="20"/>
          <w:szCs w:val="20"/>
          <w:color w:val="auto"/>
        </w:rPr>
      </w:pPr>
    </w:p>
    <w:p>
      <w:pPr>
        <w:jc w:val="center"/>
        <w:ind w:right="1200"/>
        <w:spacing w:after="0"/>
        <w:rPr>
          <w:sz w:val="20"/>
          <w:szCs w:val="20"/>
          <w:color w:val="auto"/>
        </w:rPr>
      </w:pPr>
      <w:r>
        <w:rPr>
          <w:rFonts w:ascii="Arial" w:cs="Arial" w:eastAsia="Arial" w:hAnsi="Arial"/>
          <w:sz w:val="47"/>
          <w:szCs w:val="47"/>
          <w:b w:val="1"/>
          <w:bCs w:val="1"/>
          <w:color w:val="auto"/>
        </w:rPr>
        <w:t>SEVERANCE PAY PLAN</w:t>
      </w:r>
    </w:p>
    <w:p>
      <w:pPr>
        <w:spacing w:after="0" w:line="67" w:lineRule="exact"/>
        <w:rPr>
          <w:sz w:val="20"/>
          <w:szCs w:val="20"/>
          <w:color w:val="auto"/>
        </w:rPr>
      </w:pPr>
    </w:p>
    <w:p>
      <w:pPr>
        <w:jc w:val="center"/>
        <w:ind w:right="1200"/>
        <w:spacing w:after="0"/>
        <w:rPr>
          <w:sz w:val="20"/>
          <w:szCs w:val="20"/>
          <w:color w:val="auto"/>
        </w:rPr>
      </w:pPr>
      <w:r>
        <w:rPr>
          <w:rFonts w:ascii="Arial" w:cs="Arial" w:eastAsia="Arial" w:hAnsi="Arial"/>
          <w:sz w:val="47"/>
          <w:szCs w:val="47"/>
          <w:b w:val="1"/>
          <w:bCs w:val="1"/>
          <w:color w:val="auto"/>
        </w:rPr>
        <w:t>FOR EXECUTIVE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and Restated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Effective July 14, 2010</w:t>
      </w: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365"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9"/>
          <w:szCs w:val="29"/>
          <w:b w:val="1"/>
          <w:bCs w:val="1"/>
          <w:color w:val="auto"/>
        </w:rPr>
        <w:t>DELL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SEVERANCE PAY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EXECUTIVE EMPLOYEES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July 14, 2010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 AND SCOPE</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DELL INC. (the “Company”) previously adopted the Dell Inc. Severance Pay Plan to provide severance benefits under the terms and conditions specified in such plan. In connection with a general review of the Company’s severance policies, the Company has elected to amend and restate this “Dell Inc. Severance Pay Plan for Executive Employees” for periods on and after July 14, 2010.</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Company intends for the Plan to qualify as an “employee welfare benefit plan” within the meaning of section 3(1) of the Employee Retirement Income Security Act of 1974, as amended (“ERISA”). The Plan is created as a component of the Dell Inc. Comprehensive Welfare Benefits Plan; plan number 501. The Plan shall, at all times, be interpreted and administered in accordance with ERISA and any other pertinent provisions of Federal law. Except as specified in the Plan, no employee of the Company or any other person shall have any right to severance benefits under the Plan or otherwise as a result of their performance of services for the Company or any of its related or affiliated entities. These Severance Benefits may be modified or eliminated at any time in accordance with ERISA.</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22"/>
          <w:szCs w:val="22"/>
          <w:u w:val="single" w:color="auto"/>
          <w:color w:val="auto"/>
        </w:rPr>
        <w:t>PURPOSE</w:t>
      </w:r>
    </w:p>
    <w:p>
      <w:pPr>
        <w:spacing w:after="0" w:line="2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Plan provides Eligible Executives with severance benefits designed to mitigate the effects of unemployment in the event that their employment is terminated by the Company as a result of a Qualifying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Wherever used herein, the following terms have the following meanings unless the context clearly requires a different meaning:</w:t>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“Administrator” </w:t>
      </w:r>
      <w:r>
        <w:rPr>
          <w:rFonts w:ascii="Arial" w:cs="Arial" w:eastAsia="Arial" w:hAnsi="Arial"/>
          <w:sz w:val="19"/>
          <w:szCs w:val="19"/>
          <w:color w:val="auto"/>
        </w:rPr>
        <w:t>means the Company’s Administration and Investment Committee, as may be appointed from time to</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 xml:space="preserve">“Base Salary” </w:t>
      </w:r>
      <w:r>
        <w:rPr>
          <w:rFonts w:ascii="Arial" w:cs="Arial" w:eastAsia="Arial" w:hAnsi="Arial"/>
          <w:sz w:val="19"/>
          <w:szCs w:val="19"/>
          <w:color w:val="auto"/>
        </w:rPr>
        <w:t>means compensation equal to: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7" w:right="239" w:bottom="1440" w:gutter="0" w:footer="0" w:header="0"/>
        </w:sectPr>
      </w:pPr>
    </w:p>
    <w:bookmarkStart w:id="190" w:name="page191"/>
    <w:bookmarkEnd w:id="190"/>
    <w:p>
      <w:pPr>
        <w:jc w:val="both"/>
        <w:ind w:left="660" w:firstLine="645"/>
        <w:spacing w:after="0" w:line="250" w:lineRule="auto"/>
        <w:tabs>
          <w:tab w:leader="none" w:pos="21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annual base salary reported in the Company’s HR Direct system (or any subsequent human resources database) as in effect on the last day on which the Eligible Executive was actively performing services for the Company prior to his or her Separation Date (not including shift differentials, commissions, bonuses, incentive payments, benefits, perks, or overtime compensation); divided by</w:t>
      </w:r>
    </w:p>
    <w:p>
      <w:pPr>
        <w:spacing w:after="0" w:line="228" w:lineRule="exact"/>
        <w:rPr>
          <w:rFonts w:ascii="Arial" w:cs="Arial" w:eastAsia="Arial" w:hAnsi="Arial"/>
          <w:sz w:val="22"/>
          <w:szCs w:val="22"/>
          <w:color w:val="auto"/>
        </w:rPr>
      </w:pPr>
    </w:p>
    <w:p>
      <w:pPr>
        <w:ind w:left="2220" w:hanging="915"/>
        <w:spacing w:after="0"/>
        <w:tabs>
          <w:tab w:leader="none" w:pos="22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12, for computations of monthly Base Salary, or 52, for computations of weekly Base Salary.</w:t>
      </w:r>
    </w:p>
    <w:p>
      <w:pPr>
        <w:spacing w:after="0" w:line="254"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2.3 “</w:t>
      </w:r>
      <w:r>
        <w:rPr>
          <w:rFonts w:ascii="Arial" w:cs="Arial" w:eastAsia="Arial" w:hAnsi="Arial"/>
          <w:sz w:val="19"/>
          <w:szCs w:val="19"/>
          <w:b w:val="1"/>
          <w:bCs w:val="1"/>
          <w:color w:val="auto"/>
        </w:rPr>
        <w:t>Beneficiary</w:t>
      </w:r>
      <w:r>
        <w:rPr>
          <w:rFonts w:ascii="Arial" w:cs="Arial" w:eastAsia="Arial" w:hAnsi="Arial"/>
          <w:sz w:val="19"/>
          <w:szCs w:val="19"/>
          <w:color w:val="auto"/>
        </w:rPr>
        <w:t xml:space="preserve">” means the first surviving person of the following: (i) surviving spouse, (ii) the lineal descendants </w:t>
      </w:r>
      <w:r>
        <w:rPr>
          <w:rFonts w:ascii="Arial" w:cs="Arial" w:eastAsia="Arial" w:hAnsi="Arial"/>
          <w:sz w:val="19"/>
          <w:szCs w:val="19"/>
          <w:u w:val="single" w:color="auto"/>
          <w:color w:val="auto"/>
        </w:rPr>
        <w:t>per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stirpes</w:t>
      </w:r>
      <w:r>
        <w:rPr>
          <w:rFonts w:ascii="Arial" w:cs="Arial" w:eastAsia="Arial" w:hAnsi="Arial"/>
          <w:sz w:val="19"/>
          <w:szCs w:val="19"/>
          <w:color w:val="auto"/>
        </w:rPr>
        <w:t>, (iii) parents in equal shares, (iv) brother and sisters in equal shares, or (v) executor or administrator of his estate.</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“Casual Employee”</w:t>
      </w:r>
      <w:r>
        <w:rPr>
          <w:rFonts w:ascii="Arial" w:cs="Arial" w:eastAsia="Arial" w:hAnsi="Arial"/>
          <w:sz w:val="22"/>
          <w:szCs w:val="22"/>
          <w:color w:val="auto"/>
        </w:rPr>
        <w:t xml:space="preserve"> means an employee hired to supplement the work force during temporary periods or on an intermittent basis, usually due to unusual or emergency workload.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Dell Inc., any successor entity that adopts the Plan, or any subsidiary or affiliate of the Company, which is designated by the Administrator as having adopted the Plan.</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color w:val="auto"/>
        </w:rPr>
        <w:t>“Comparable Job”</w:t>
      </w:r>
      <w:r>
        <w:rPr>
          <w:rFonts w:ascii="Arial" w:cs="Arial" w:eastAsia="Arial" w:hAnsi="Arial"/>
          <w:sz w:val="22"/>
          <w:szCs w:val="22"/>
          <w:color w:val="auto"/>
        </w:rPr>
        <w:t xml:space="preserve"> means a job with the Company where (i) the Base Salary to be paid by the Company is not materially reduced from the Base Salary previously paid by the Company to such executive; (ii) the grade level offered is not less than the grade level the executive held immediately prior to the date the executive was offered the job; and (iii) the executive’s principal place of work is not changed on or before the first date of employment in the new job to a location that is a material distance (but not less than fifty (50) miles) from the executive’s principal place of work immediately prior to the date the executive was offered the job, without the prior consent of the executive.</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January 1, 2010. The effective date of this amendment and restatement is July 14, 2010.</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Eligible Executive</w:t>
      </w:r>
      <w:r>
        <w:rPr>
          <w:rFonts w:ascii="Arial" w:cs="Arial" w:eastAsia="Arial" w:hAnsi="Arial"/>
          <w:sz w:val="19"/>
          <w:szCs w:val="19"/>
          <w:color w:val="auto"/>
        </w:rPr>
        <w:t>” means an individual who is classified as an Executive Employee and:</w:t>
      </w:r>
    </w:p>
    <w:p>
      <w:pPr>
        <w:spacing w:after="0" w:line="280" w:lineRule="exact"/>
        <w:rPr>
          <w:sz w:val="20"/>
          <w:szCs w:val="20"/>
          <w:color w:val="auto"/>
        </w:rPr>
      </w:pPr>
    </w:p>
    <w:p>
      <w:pPr>
        <w:ind w:left="660" w:firstLine="645"/>
        <w:spacing w:after="0" w:line="263" w:lineRule="auto"/>
        <w:tabs>
          <w:tab w:leader="none" w:pos="21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who is designated by the Administrator, in its sole and absolute discretion, as having experienced a Qualifying Termination;</w:t>
      </w:r>
    </w:p>
    <w:p>
      <w:pPr>
        <w:spacing w:after="0" w:line="215" w:lineRule="exact"/>
        <w:rPr>
          <w:rFonts w:ascii="Arial" w:cs="Arial" w:eastAsia="Arial" w:hAnsi="Arial"/>
          <w:sz w:val="22"/>
          <w:szCs w:val="22"/>
          <w:color w:val="auto"/>
        </w:rPr>
      </w:pPr>
    </w:p>
    <w:p>
      <w:pPr>
        <w:ind w:left="660" w:firstLine="645"/>
        <w:spacing w:after="0" w:line="263" w:lineRule="auto"/>
        <w:tabs>
          <w:tab w:leader="none" w:pos="2221"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who is notified in writing by the Company or its duly authorized representative that his or her employment with the Company will be terminated as part of a Qualifying Termination; and</w:t>
      </w:r>
    </w:p>
    <w:p>
      <w:pPr>
        <w:spacing w:after="0" w:line="215" w:lineRule="exact"/>
        <w:rPr>
          <w:rFonts w:ascii="Arial" w:cs="Arial" w:eastAsia="Arial" w:hAnsi="Arial"/>
          <w:sz w:val="22"/>
          <w:szCs w:val="22"/>
          <w:color w:val="auto"/>
        </w:rPr>
      </w:pPr>
    </w:p>
    <w:p>
      <w:pPr>
        <w:ind w:left="660" w:right="20" w:firstLine="645"/>
        <w:spacing w:after="0" w:line="263" w:lineRule="auto"/>
        <w:tabs>
          <w:tab w:leader="none" w:pos="2281"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who was previously employed by the Company to perform services for the Company in a capacity of a regular employee of the Company; and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91" w:name="page192"/>
    <w:bookmarkEnd w:id="191"/>
    <w:p>
      <w:pPr>
        <w:ind w:left="2260" w:hanging="955"/>
        <w:spacing w:after="0"/>
        <w:tabs>
          <w:tab w:leader="none" w:pos="2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whose employment with the Company was in fact terminated as a result of such Qualifying Termination.</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term “Eligible Executive” shall not include: (i) an Independent Contractor; (ii) a Casual Employee; or (iii) a Temporary Employee.</w:t>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 from time to time.</w:t>
      </w:r>
    </w:p>
    <w:p>
      <w:pPr>
        <w:spacing w:after="0" w:line="274" w:lineRule="exact"/>
        <w:rPr>
          <w:sz w:val="20"/>
          <w:szCs w:val="20"/>
          <w:color w:val="auto"/>
        </w:rPr>
      </w:pPr>
    </w:p>
    <w:p>
      <w:pPr>
        <w:ind w:left="80" w:firstLine="648"/>
        <w:spacing w:after="0" w:line="282"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b w:val="1"/>
          <w:bCs w:val="1"/>
          <w:color w:val="auto"/>
        </w:rPr>
        <w:t>Executive Employee</w:t>
      </w:r>
      <w:r>
        <w:rPr>
          <w:rFonts w:ascii="Arial" w:cs="Arial" w:eastAsia="Arial" w:hAnsi="Arial"/>
          <w:sz w:val="22"/>
          <w:szCs w:val="22"/>
          <w:color w:val="auto"/>
        </w:rPr>
        <w:t>” means an employee of the Company who is designated as having a status of Director (grade level D3) or Vice President (grade level E1 or higher).</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b w:val="1"/>
          <w:bCs w:val="1"/>
          <w:color w:val="auto"/>
        </w:rPr>
        <w:t>“Independent Contractor”</w:t>
      </w:r>
      <w:r>
        <w:rPr>
          <w:rFonts w:ascii="Arial" w:cs="Arial" w:eastAsia="Arial" w:hAnsi="Arial"/>
          <w:sz w:val="21"/>
          <w:szCs w:val="21"/>
          <w:color w:val="auto"/>
        </w:rPr>
        <w:t xml:space="preserve"> means a person the Company engaged to perform services with the intention that those services would be performed in a capacity other than that of a common law employee, regardless of whether or not the actual facts and circumstances under which such person actually renders services to the Company could be construed to establish that the person was or could be considered for any purpose to be a common law employee.</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color w:val="auto"/>
        </w:rPr>
        <w:t>“Plan</w:t>
      </w:r>
      <w:r>
        <w:rPr>
          <w:rFonts w:ascii="Arial" w:cs="Arial" w:eastAsia="Arial" w:hAnsi="Arial"/>
          <w:sz w:val="22"/>
          <w:szCs w:val="22"/>
          <w:color w:val="auto"/>
        </w:rPr>
        <w:t>” means the Dell Inc. Severance Pay Plan For Executive Employees, as set forth herein, as may be amended from time to time.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the termination of employment of a Severance Benefit Employee due to Workforce Reduction.</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color w:val="auto"/>
        </w:rPr>
        <w:t>“Separation Agreement and Release”</w:t>
      </w:r>
      <w:r>
        <w:rPr>
          <w:rFonts w:ascii="Arial" w:cs="Arial" w:eastAsia="Arial" w:hAnsi="Arial"/>
          <w:sz w:val="22"/>
          <w:szCs w:val="22"/>
          <w:color w:val="auto"/>
        </w:rPr>
        <w:t xml:space="preserve"> means the agreement that an Eligible Executive must execute prior to receiving any benefits under the Plan. The Administrator will provide a copy of the Separation Agreement and Release to the Eligible Executive when he or she is designated as a Severance Benefit Employee under the Plan.</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b w:val="1"/>
          <w:bCs w:val="1"/>
          <w:color w:val="auto"/>
        </w:rPr>
        <w:t>Separation Date</w:t>
      </w:r>
      <w:r>
        <w:rPr>
          <w:rFonts w:ascii="Arial" w:cs="Arial" w:eastAsia="Arial" w:hAnsi="Arial"/>
          <w:sz w:val="22"/>
          <w:szCs w:val="22"/>
          <w:color w:val="auto"/>
        </w:rPr>
        <w:t>” means the date designated by the Administrator on which the Eligible Executive’s employment is terminated.</w:t>
      </w:r>
    </w:p>
    <w:p>
      <w:pPr>
        <w:spacing w:after="0" w:line="18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 xml:space="preserve">“Severance Benefit Employee” </w:t>
      </w:r>
      <w:r>
        <w:rPr>
          <w:rFonts w:ascii="Arial" w:cs="Arial" w:eastAsia="Arial" w:hAnsi="Arial"/>
          <w:sz w:val="19"/>
          <w:szCs w:val="19"/>
          <w:color w:val="auto"/>
        </w:rPr>
        <w:t>means an Executive Employee who:</w:t>
      </w:r>
    </w:p>
    <w:p>
      <w:pPr>
        <w:spacing w:after="0" w:line="280" w:lineRule="exact"/>
        <w:rPr>
          <w:sz w:val="20"/>
          <w:szCs w:val="20"/>
          <w:color w:val="auto"/>
        </w:rPr>
      </w:pPr>
    </w:p>
    <w:p>
      <w:pPr>
        <w:ind w:left="2160" w:hanging="855"/>
        <w:spacing w:after="0"/>
        <w:tabs>
          <w:tab w:leader="none" w:pos="21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is designated by the Administrator, in its sole discretion, as a Severance Benefit Employee;</w:t>
      </w:r>
    </w:p>
    <w:p>
      <w:pPr>
        <w:spacing w:after="0" w:line="260" w:lineRule="exact"/>
        <w:rPr>
          <w:rFonts w:ascii="Arial" w:cs="Arial" w:eastAsia="Arial" w:hAnsi="Arial"/>
          <w:sz w:val="22"/>
          <w:szCs w:val="22"/>
          <w:color w:val="auto"/>
        </w:rPr>
      </w:pPr>
    </w:p>
    <w:p>
      <w:pPr>
        <w:ind w:left="660" w:firstLine="645"/>
        <w:spacing w:after="0" w:line="263" w:lineRule="auto"/>
        <w:tabs>
          <w:tab w:leader="none" w:pos="22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continued to perform all of his or her job responsibilities, in a manner acceptable to the Company, through his or her Separation Date;</w:t>
      </w:r>
    </w:p>
    <w:p>
      <w:pPr>
        <w:spacing w:after="0" w:line="215" w:lineRule="exact"/>
        <w:rPr>
          <w:rFonts w:ascii="Arial" w:cs="Arial" w:eastAsia="Arial" w:hAnsi="Arial"/>
          <w:sz w:val="22"/>
          <w:szCs w:val="22"/>
          <w:color w:val="auto"/>
        </w:rPr>
      </w:pPr>
    </w:p>
    <w:p>
      <w:pPr>
        <w:ind w:left="660" w:firstLine="645"/>
        <w:spacing w:after="0" w:line="263" w:lineRule="auto"/>
        <w:tabs>
          <w:tab w:leader="none" w:pos="2281" w:val="left"/>
        </w:tabs>
        <w:numPr>
          <w:ilvl w:val="0"/>
          <w:numId w:val="93"/>
        </w:numPr>
        <w:rPr>
          <w:rFonts w:ascii="Arial" w:cs="Arial" w:eastAsia="Arial" w:hAnsi="Arial"/>
          <w:sz w:val="22"/>
          <w:szCs w:val="22"/>
          <w:color w:val="auto"/>
        </w:rPr>
      </w:pPr>
      <w:r>
        <w:rPr>
          <w:rFonts w:ascii="Arial" w:cs="Arial" w:eastAsia="Arial" w:hAnsi="Arial"/>
          <w:sz w:val="22"/>
          <w:szCs w:val="22"/>
          <w:color w:val="auto"/>
        </w:rPr>
        <w:t>ceased to be an employee of the Company on his or her Separation Date solely as a result of the Qualifying Termination;</w:t>
      </w:r>
    </w:p>
    <w:p>
      <w:pPr>
        <w:spacing w:after="0" w:line="215" w:lineRule="exact"/>
        <w:rPr>
          <w:rFonts w:ascii="Arial" w:cs="Arial" w:eastAsia="Arial" w:hAnsi="Arial"/>
          <w:sz w:val="22"/>
          <w:szCs w:val="22"/>
          <w:color w:val="auto"/>
        </w:rPr>
      </w:pPr>
    </w:p>
    <w:p>
      <w:pPr>
        <w:ind w:left="660" w:firstLine="645"/>
        <w:spacing w:after="0" w:line="263" w:lineRule="auto"/>
        <w:tabs>
          <w:tab w:leader="none" w:pos="22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did not, at any time subsequent to the Company’s decision to terminate the employee receive an offer for continued employment in a Comparable Job;</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92" w:name="page193"/>
    <w:bookmarkEnd w:id="192"/>
    <w:p>
      <w:pPr>
        <w:ind w:left="660" w:firstLine="645"/>
        <w:spacing w:after="0" w:line="263" w:lineRule="auto"/>
        <w:tabs>
          <w:tab w:leader="none" w:pos="2209" w:val="left"/>
        </w:tabs>
        <w:numPr>
          <w:ilvl w:val="0"/>
          <w:numId w:val="94"/>
        </w:numPr>
        <w:rPr>
          <w:rFonts w:ascii="Arial" w:cs="Arial" w:eastAsia="Arial" w:hAnsi="Arial"/>
          <w:sz w:val="22"/>
          <w:szCs w:val="22"/>
          <w:color w:val="auto"/>
        </w:rPr>
      </w:pPr>
      <w:r>
        <w:rPr>
          <w:rFonts w:ascii="Arial" w:cs="Arial" w:eastAsia="Arial" w:hAnsi="Arial"/>
          <w:sz w:val="22"/>
          <w:szCs w:val="22"/>
          <w:color w:val="auto"/>
        </w:rPr>
        <w:t>did not, at any time subsequent to the Company’s decision to terminate the employee, receive an offer for employment in a Similar Job, which was in any way arranged for or facilitated by the Company;</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0"/>
          <w:numId w:val="94"/>
        </w:numPr>
        <w:rPr>
          <w:rFonts w:ascii="Arial" w:cs="Arial" w:eastAsia="Arial" w:hAnsi="Arial"/>
          <w:sz w:val="22"/>
          <w:szCs w:val="22"/>
          <w:color w:val="auto"/>
        </w:rPr>
      </w:pPr>
      <w:r>
        <w:rPr>
          <w:rFonts w:ascii="Arial" w:cs="Arial" w:eastAsia="Arial" w:hAnsi="Arial"/>
          <w:sz w:val="22"/>
          <w:szCs w:val="22"/>
          <w:color w:val="auto"/>
        </w:rPr>
        <w:t>prior to the date of the Company’s notification of the termination of employment, did not voluntarily terminate employment or notify the Company of his intention or election to do so at some future date by resignation, failure to appear for work, retirement, or otherwise;</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329" w:val="left"/>
        </w:tabs>
        <w:numPr>
          <w:ilvl w:val="0"/>
          <w:numId w:val="94"/>
        </w:numPr>
        <w:rPr>
          <w:rFonts w:ascii="Arial" w:cs="Arial" w:eastAsia="Arial" w:hAnsi="Arial"/>
          <w:sz w:val="22"/>
          <w:szCs w:val="22"/>
          <w:color w:val="auto"/>
        </w:rPr>
      </w:pPr>
      <w:r>
        <w:rPr>
          <w:rFonts w:ascii="Arial" w:cs="Arial" w:eastAsia="Arial" w:hAnsi="Arial"/>
          <w:sz w:val="22"/>
          <w:szCs w:val="22"/>
          <w:color w:val="auto"/>
        </w:rPr>
        <w:t>did not make any statements or engage in any actions that directly or indirectly defamed, disparaged, or detracted from the Company’s reputation; damage or destroy any of the Company’s property; or otherwise injure or damage the Company; and</w:t>
      </w:r>
    </w:p>
    <w:p>
      <w:pPr>
        <w:spacing w:after="0" w:line="226" w:lineRule="exact"/>
        <w:rPr>
          <w:rFonts w:ascii="Arial" w:cs="Arial" w:eastAsia="Arial" w:hAnsi="Arial"/>
          <w:sz w:val="22"/>
          <w:szCs w:val="22"/>
          <w:color w:val="auto"/>
        </w:rPr>
      </w:pPr>
    </w:p>
    <w:p>
      <w:pPr>
        <w:ind w:left="660" w:firstLine="645"/>
        <w:spacing w:after="0" w:line="263" w:lineRule="auto"/>
        <w:tabs>
          <w:tab w:leader="none" w:pos="2389"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maintained the confidentiality of any and all confidential or proprietary information of the Company at all times during his employment with the Company.</w:t>
      </w:r>
    </w:p>
    <w:p>
      <w:pPr>
        <w:spacing w:after="0" w:line="2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 xml:space="preserve">“Severance Benefits” </w:t>
      </w:r>
      <w:r>
        <w:rPr>
          <w:rFonts w:ascii="Arial" w:cs="Arial" w:eastAsia="Arial" w:hAnsi="Arial"/>
          <w:sz w:val="19"/>
          <w:szCs w:val="19"/>
          <w:color w:val="auto"/>
        </w:rPr>
        <w:t>means the benefits, if any, provided under Article III to a Severance Benefit Executive.</w:t>
      </w:r>
    </w:p>
    <w:p>
      <w:pPr>
        <w:spacing w:after="0" w:line="2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b w:val="1"/>
          <w:bCs w:val="1"/>
          <w:color w:val="auto"/>
        </w:rPr>
        <w:t>“Similar Job”</w:t>
      </w:r>
      <w:r>
        <w:rPr>
          <w:rFonts w:ascii="Arial" w:cs="Arial" w:eastAsia="Arial" w:hAnsi="Arial"/>
          <w:sz w:val="22"/>
          <w:szCs w:val="22"/>
          <w:color w:val="auto"/>
        </w:rPr>
        <w:t xml:space="preserve"> mean a job with a new employer where (i) the compensation offered by the new employer to the executive is not materially less than the Base Salary previously paid by the Company to the executive; (ii) the general nature of the executive’s anticipated duties for the new employer are similar to the general nature of the duties the executive performed by the Company; (iii) the executive’s principal place of work is not changed by the new employer on or before the first day of employment with the new employer to any location that is a material distance (but not less than fifty (50) miles) from the executive’s principal place of work on the date prior to the date the executive was offered the job, without the prior consent of the executive.</w:t>
      </w:r>
    </w:p>
    <w:p>
      <w:pPr>
        <w:spacing w:after="0" w:line="22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21"/>
          <w:szCs w:val="21"/>
          <w:b w:val="1"/>
          <w:bCs w:val="1"/>
          <w:color w:val="auto"/>
        </w:rPr>
        <w:t>“Temporary Employee”</w:t>
      </w:r>
      <w:r>
        <w:rPr>
          <w:rFonts w:ascii="Arial" w:cs="Arial" w:eastAsia="Arial" w:hAnsi="Arial"/>
          <w:sz w:val="21"/>
          <w:szCs w:val="21"/>
          <w:color w:val="auto"/>
        </w:rPr>
        <w:t xml:space="preserve"> means a person that the Company contracted with through a temporary service, agency, employee leasing company, staffing company, or a person individually who supplements the work force as a temporary employee, or is otherwise hired to perform services for the Company other than as an employee.</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b w:val="1"/>
          <w:bCs w:val="1"/>
          <w:color w:val="auto"/>
        </w:rPr>
        <w:t>Workforce Reduction</w:t>
      </w:r>
      <w:r>
        <w:rPr>
          <w:rFonts w:ascii="Arial" w:cs="Arial" w:eastAsia="Arial" w:hAnsi="Arial"/>
          <w:sz w:val="22"/>
          <w:szCs w:val="22"/>
          <w:color w:val="auto"/>
        </w:rPr>
        <w:t>” means the reduction of the Company’s workforce as part of a designated cost reduction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SEVERANCE BENEFITS</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Cash Severance Benefits</w:t>
      </w:r>
      <w:r>
        <w:rPr>
          <w:rFonts w:ascii="Arial" w:cs="Arial" w:eastAsia="Arial" w:hAnsi="Arial"/>
          <w:sz w:val="22"/>
          <w:szCs w:val="22"/>
          <w:color w:val="auto"/>
        </w:rPr>
        <w:t>. A Severance Benefit Employee shall receive a cash Severance Benefit equal to the greater of (i) the amount listed on the applicable Exhibit A to this Plan, or (ii) if applicable, the cash severance benefit amount listed in any separate written agreement between the Eligible Executive and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193" w:name="page194"/>
    <w:bookmarkEnd w:id="193"/>
    <w:p>
      <w:pPr>
        <w:jc w:val="both"/>
        <w:ind w:firstLine="648"/>
        <w:spacing w:after="0" w:line="25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Form of Payment</w:t>
      </w:r>
      <w:r>
        <w:rPr>
          <w:rFonts w:ascii="Arial" w:cs="Arial" w:eastAsia="Arial" w:hAnsi="Arial"/>
          <w:sz w:val="21"/>
          <w:szCs w:val="21"/>
          <w:color w:val="auto"/>
        </w:rPr>
        <w:t>. Unless otherwise provided in a Separation Agreement and Release, the cash severance benefit shall be paid in a single lump sum payment within thirty (30) business days after Dell receives the executed Severance Agreement and Release; provided, however, that all such amounts shall be paid not later than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calendar year immediately following the calendar year during which an Eligible Executive’s Separation Date occurs. In the event that an Eligible Executive’s Separation Agreement and Release provides that payments shall be made in installments, such payments shall be structured in a manner that causes the payments to not be subject to Code Section 409A. Payments under the Plan shall be delivered in the form of a check or, at the Company’s discretion, through any other payment delivery method used to make payroll payments to an Eligible Executive.</w:t>
      </w:r>
    </w:p>
    <w:p>
      <w:pPr>
        <w:spacing w:after="0" w:line="22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Additional Severance Benefits</w:t>
      </w:r>
      <w:r>
        <w:rPr>
          <w:rFonts w:ascii="Arial" w:cs="Arial" w:eastAsia="Arial" w:hAnsi="Arial"/>
          <w:sz w:val="22"/>
          <w:szCs w:val="22"/>
          <w:color w:val="auto"/>
        </w:rPr>
        <w:t>. A Severance Benefit Employee shall receive such other severance benefits as are listed in Exhibit A.</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Benefits Are Not Salary</w:t>
      </w:r>
      <w:r>
        <w:rPr>
          <w:rFonts w:ascii="Arial" w:cs="Arial" w:eastAsia="Arial" w:hAnsi="Arial"/>
          <w:sz w:val="22"/>
          <w:szCs w:val="22"/>
          <w:color w:val="auto"/>
        </w:rPr>
        <w:t>. Any Severance Benefits paid under the Plan are not considered as salary for any employee benefit plan purposes. The number of weeks of Severance Benefits provided to a Severance Benefit Employee shall not be considered in calculating his entitlement, if any, to vacation, sick leave, bonus, incentive salary, retirement or other benefits except as is specifically provided in the Company’s other employee benefit plans.</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Re-employment</w:t>
      </w:r>
      <w:r>
        <w:rPr>
          <w:rFonts w:ascii="Arial" w:cs="Arial" w:eastAsia="Arial" w:hAnsi="Arial"/>
          <w:sz w:val="22"/>
          <w:szCs w:val="22"/>
          <w:color w:val="auto"/>
        </w:rPr>
        <w:t>. Any Eligible Executive who received a Severance Benefit under the Plan will not have any right to be re-employed by the Company. If an Eligible Executive is re-employed by the Company within twelve (12) months from the date of his or her Separation Date, such Eligible Executive may, as a condition of reemployment, be required to repay to the Company a portion of his or her Severance Benefits.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DEDUCTIONS &amp; FORFEITURES</w:t>
      </w:r>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Deductions.</w:t>
      </w:r>
      <w:r>
        <w:rPr>
          <w:rFonts w:ascii="Arial" w:cs="Arial" w:eastAsia="Arial" w:hAnsi="Arial"/>
          <w:sz w:val="22"/>
          <w:szCs w:val="22"/>
          <w:color w:val="auto"/>
        </w:rPr>
        <w:t xml:space="preserve"> To the extent permissible under federal or state law, the following items and amounts will be deducted from the amount of Severance Benefits otherwise payable to an Eligible Executive under the Plan:</w:t>
      </w:r>
    </w:p>
    <w:p>
      <w:pPr>
        <w:spacing w:after="0" w:line="195" w:lineRule="exact"/>
        <w:rPr>
          <w:sz w:val="20"/>
          <w:szCs w:val="20"/>
          <w:color w:val="auto"/>
        </w:rPr>
      </w:pPr>
    </w:p>
    <w:p>
      <w:pPr>
        <w:jc w:val="both"/>
        <w:ind w:left="660" w:firstLine="645"/>
        <w:spacing w:after="0" w:line="265" w:lineRule="auto"/>
        <w:tabs>
          <w:tab w:leader="none" w:pos="216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salary or other payments that the Eligible Executive receives (or may be entitled to receive) on termination of employment pursuant to any rights or entitlements that the Eligible Executive possesses or asserts pursuant to a written or oral employment agreement with the Company or any successor thereto, regardless of whether the term of such agreement is expired or unexpired as of the Eligible Executive’s Separation Date;</w:t>
      </w:r>
    </w:p>
    <w:p>
      <w:pPr>
        <w:spacing w:after="0" w:line="216" w:lineRule="exact"/>
        <w:rPr>
          <w:rFonts w:ascii="Arial" w:cs="Arial" w:eastAsia="Arial" w:hAnsi="Arial"/>
          <w:sz w:val="21"/>
          <w:szCs w:val="21"/>
          <w:color w:val="auto"/>
        </w:rPr>
      </w:pPr>
    </w:p>
    <w:p>
      <w:pPr>
        <w:ind w:left="2220" w:hanging="915"/>
        <w:spacing w:after="0"/>
        <w:tabs>
          <w:tab w:leader="none" w:pos="22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amounts that an Eligible Executive owes to the Company;</w:t>
      </w:r>
    </w:p>
    <w:p>
      <w:pPr>
        <w:spacing w:after="0" w:line="260" w:lineRule="exact"/>
        <w:rPr>
          <w:rFonts w:ascii="Arial" w:cs="Arial" w:eastAsia="Arial" w:hAnsi="Arial"/>
          <w:sz w:val="22"/>
          <w:szCs w:val="22"/>
          <w:color w:val="auto"/>
        </w:rPr>
      </w:pPr>
    </w:p>
    <w:p>
      <w:pPr>
        <w:ind w:left="660" w:firstLine="645"/>
        <w:spacing w:after="0" w:line="263" w:lineRule="auto"/>
        <w:tabs>
          <w:tab w:leader="none" w:pos="2281"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severance pay or other wage replacement benefits payable or previously paid to the Eligible Executive or his beneficiary from this Plan or any other plan or program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6"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21"/>
          <w:szCs w:val="21"/>
          <w:color w:val="auto"/>
        </w:rPr>
        <w:t>maintained by the Company (other than any benefits payable from any pension, profit sharing, or stock bonus plan);</w:t>
      </w:r>
    </w:p>
    <w:p>
      <w:pPr>
        <w:spacing w:after="0" w:line="272" w:lineRule="exact"/>
        <w:rPr>
          <w:sz w:val="20"/>
          <w:szCs w:val="20"/>
          <w:color w:val="auto"/>
        </w:rPr>
      </w:pPr>
    </w:p>
    <w:p>
      <w:pPr>
        <w:jc w:val="both"/>
        <w:ind w:left="660" w:firstLine="645"/>
        <w:spacing w:after="0" w:line="253" w:lineRule="auto"/>
        <w:tabs>
          <w:tab w:leader="none" w:pos="22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amount of garnished earnings which would have been withheld from the Eligible Executive’s pay, if the Company has been garnishing the Eligible Executive’s earnings pursuant to an order of garnishment, child support or tax lien;</w:t>
      </w:r>
    </w:p>
    <w:p>
      <w:pPr>
        <w:spacing w:after="0" w:line="226" w:lineRule="exact"/>
        <w:rPr>
          <w:rFonts w:ascii="Arial" w:cs="Arial" w:eastAsia="Arial" w:hAnsi="Arial"/>
          <w:sz w:val="22"/>
          <w:szCs w:val="22"/>
          <w:color w:val="auto"/>
        </w:rPr>
      </w:pPr>
    </w:p>
    <w:p>
      <w:pPr>
        <w:ind w:left="660" w:firstLine="645"/>
        <w:spacing w:after="0" w:line="263" w:lineRule="auto"/>
        <w:tabs>
          <w:tab w:leader="none" w:pos="220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Company shall have the authority to withhold or to cause to have withheld applicable taxes from any payments under or in accordance with the Plan to the extent required by law.</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color w:val="auto"/>
        </w:rPr>
        <w:t>Forfeitures.</w:t>
      </w:r>
      <w:r>
        <w:rPr>
          <w:rFonts w:ascii="Arial" w:cs="Arial" w:eastAsia="Arial" w:hAnsi="Arial"/>
          <w:sz w:val="22"/>
          <w:szCs w:val="22"/>
          <w:color w:val="auto"/>
        </w:rPr>
        <w:t xml:space="preserve"> An Eligible Executive shall forfeit any and all rights to Severance Benefits under the Plan, and shall be obligated to repay any such benefits previously paid under the Plan, if the Administrator, in its sole discretion, determines that the Eligible Executive:</w:t>
      </w:r>
    </w:p>
    <w:p>
      <w:pPr>
        <w:spacing w:after="0" w:line="217" w:lineRule="exact"/>
        <w:rPr>
          <w:sz w:val="20"/>
          <w:szCs w:val="20"/>
          <w:color w:val="auto"/>
        </w:rPr>
      </w:pPr>
    </w:p>
    <w:p>
      <w:pPr>
        <w:ind w:left="660" w:firstLine="645"/>
        <w:spacing w:after="0" w:line="263" w:lineRule="auto"/>
        <w:tabs>
          <w:tab w:leader="none" w:pos="21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does not timely submit, and the Administrator does not actually receive, a valid and fully enforceable Separation Agreement and Release from the Eligible Executive;</w:t>
      </w:r>
    </w:p>
    <w:p>
      <w:pPr>
        <w:spacing w:after="0" w:line="215" w:lineRule="exact"/>
        <w:rPr>
          <w:rFonts w:ascii="Arial" w:cs="Arial" w:eastAsia="Arial" w:hAnsi="Arial"/>
          <w:sz w:val="22"/>
          <w:szCs w:val="22"/>
          <w:color w:val="auto"/>
        </w:rPr>
      </w:pPr>
    </w:p>
    <w:p>
      <w:pPr>
        <w:ind w:left="660" w:firstLine="645"/>
        <w:spacing w:after="0" w:line="263" w:lineRule="auto"/>
        <w:tabs>
          <w:tab w:leader="none" w:pos="2221" w:val="left"/>
        </w:tabs>
        <w:numPr>
          <w:ilvl w:val="0"/>
          <w:numId w:val="97"/>
        </w:numPr>
        <w:rPr>
          <w:rFonts w:ascii="Arial" w:cs="Arial" w:eastAsia="Arial" w:hAnsi="Arial"/>
          <w:sz w:val="22"/>
          <w:szCs w:val="22"/>
          <w:color w:val="auto"/>
        </w:rPr>
      </w:pPr>
      <w:r>
        <w:rPr>
          <w:rFonts w:ascii="Arial" w:cs="Arial" w:eastAsia="Arial" w:hAnsi="Arial"/>
          <w:sz w:val="22"/>
          <w:szCs w:val="22"/>
          <w:color w:val="auto"/>
        </w:rPr>
        <w:t>fails or has failed to fulfill any requirement of the Plan or otherwise violates any of the terms and conditions of either the Plan or the Separation Agreement and Release;</w:t>
      </w:r>
    </w:p>
    <w:p>
      <w:pPr>
        <w:spacing w:after="0" w:line="215" w:lineRule="exact"/>
        <w:rPr>
          <w:rFonts w:ascii="Arial" w:cs="Arial" w:eastAsia="Arial" w:hAnsi="Arial"/>
          <w:sz w:val="22"/>
          <w:szCs w:val="22"/>
          <w:color w:val="auto"/>
        </w:rPr>
      </w:pPr>
    </w:p>
    <w:p>
      <w:pPr>
        <w:jc w:val="both"/>
        <w:ind w:left="660" w:firstLine="645"/>
        <w:spacing w:after="0" w:line="312" w:lineRule="auto"/>
        <w:tabs>
          <w:tab w:leader="none" w:pos="2281" w:val="left"/>
        </w:tabs>
        <w:numPr>
          <w:ilvl w:val="0"/>
          <w:numId w:val="97"/>
        </w:numPr>
        <w:rPr>
          <w:rFonts w:ascii="Arial" w:cs="Arial" w:eastAsia="Arial" w:hAnsi="Arial"/>
          <w:sz w:val="19"/>
          <w:szCs w:val="19"/>
          <w:color w:val="auto"/>
        </w:rPr>
      </w:pPr>
      <w:r>
        <w:rPr>
          <w:rFonts w:ascii="Arial" w:cs="Arial" w:eastAsia="Arial" w:hAnsi="Arial"/>
          <w:sz w:val="19"/>
          <w:szCs w:val="19"/>
          <w:color w:val="auto"/>
        </w:rPr>
        <w:t>prior to his Separation Date or thereafter makes any statements or engages in any actions that directly or indirectly defame, disparage, or detract from the Company’ s reputation, damage or destroy any of Company’s property, otherwise injure or damage the Company, or discloses any confidential or proprietary information regarding the Company;</w:t>
      </w:r>
    </w:p>
    <w:p>
      <w:pPr>
        <w:spacing w:after="0" w:line="174" w:lineRule="exact"/>
        <w:rPr>
          <w:rFonts w:ascii="Arial" w:cs="Arial" w:eastAsia="Arial" w:hAnsi="Arial"/>
          <w:sz w:val="19"/>
          <w:szCs w:val="19"/>
          <w:color w:val="auto"/>
        </w:rPr>
      </w:pPr>
    </w:p>
    <w:p>
      <w:pPr>
        <w:ind w:left="660" w:firstLine="645"/>
        <w:spacing w:after="0" w:line="263" w:lineRule="auto"/>
        <w:tabs>
          <w:tab w:leader="none" w:pos="2268" w:val="left"/>
        </w:tabs>
        <w:numPr>
          <w:ilvl w:val="0"/>
          <w:numId w:val="97"/>
        </w:numPr>
        <w:rPr>
          <w:rFonts w:ascii="Arial" w:cs="Arial" w:eastAsia="Arial" w:hAnsi="Arial"/>
          <w:sz w:val="22"/>
          <w:szCs w:val="22"/>
          <w:color w:val="auto"/>
        </w:rPr>
      </w:pPr>
      <w:r>
        <w:rPr>
          <w:rFonts w:ascii="Arial" w:cs="Arial" w:eastAsia="Arial" w:hAnsi="Arial"/>
          <w:sz w:val="22"/>
          <w:szCs w:val="22"/>
          <w:color w:val="auto"/>
        </w:rPr>
        <w:t>subsequently revokes or otherwise takes action to set aside, avoid, or violate the Separation Agreement and Release or the Plan’s terms.</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By accepting any benefits under the Plan’s terms, an Eligible Executive shall be deemed to have agreed to adhere to all terms of the Plan. The Eligible Executive also shall be deemed to agree that the Eligible Executive will repay any benefits that the Administrator determines he has received from the Plan in excess of the amount provided under the Plan. Additionally, the Eligible Executive must repay all Severance Benefits that the Eligible Executive is paid or receives if the Eligible Executive asserts that he is or may be entitled to receive compensation or other payments on termination of employment pursuant to any rights or entitlements that he possesses or asserts pursuant to a written or oral employment agreement with Dell or any successor thereto, regardless of whether the term of such agreement is expired or unexpired as of his Separation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REQUIREMENT FOR RECEIPT OF SEVERANCE BENEFITS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order to receive payment of any Severance Benefits under the Plan, the Eligible Executive must comply with all requirements of this Section V.</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95" w:name="page196"/>
    <w:bookmarkEnd w:id="195"/>
    <w:p>
      <w:pPr>
        <w:jc w:val="both"/>
        <w:ind w:firstLine="648"/>
        <w:spacing w:after="0" w:line="29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Execution of Separation Agreement and Release</w:t>
      </w:r>
      <w:r>
        <w:rPr>
          <w:rFonts w:ascii="Arial" w:cs="Arial" w:eastAsia="Arial" w:hAnsi="Arial"/>
          <w:sz w:val="19"/>
          <w:szCs w:val="19"/>
          <w:color w:val="auto"/>
        </w:rPr>
        <w:t>. In order for an Eligible Executive to receive his Severance Benefit, the Eligible Executive must first execute the Separation Agreement and Release within the particular time period specified in the Separation Agreement and Release, which shall be no later than forty-five (45) days following the Eligible Executive’s receipt of the Separation Agreement and Release or such earlier date as required by the Separation Agreement and Release (such deadline, the “</w:t>
      </w:r>
      <w:r>
        <w:rPr>
          <w:rFonts w:ascii="Arial" w:cs="Arial" w:eastAsia="Arial" w:hAnsi="Arial"/>
          <w:sz w:val="19"/>
          <w:szCs w:val="19"/>
          <w:u w:val="single" w:color="auto"/>
          <w:color w:val="auto"/>
        </w:rPr>
        <w:t>Release Deadline</w:t>
      </w:r>
      <w:r>
        <w:rPr>
          <w:rFonts w:ascii="Arial" w:cs="Arial" w:eastAsia="Arial" w:hAnsi="Arial"/>
          <w:sz w:val="19"/>
          <w:szCs w:val="19"/>
          <w:color w:val="auto"/>
        </w:rPr>
        <w:t>”). The executed Separation Agreement and Release must actually be received by the Administrator, or its duly authorized representative, at the address specified by the Administrator, within seven (7) days after the Release Deadline to be considered timely. Notwithstanding the preceding, if the Eligible Executive does not properly execute the Separation Agreement and Release by the applicable deadline, or revokes an executed Separation Agreement and Release, the Eligible Executive will receive only those benefits required by applicable law. If the Eligible Executive’s Severance Date and the Release Deadline fall in two separate taxable years, any payments required to be made to Eligible Executive that are treated as nonqualified deferred compensation for purposes of Code Section 409A shall be made in the later taxable year.</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Right to Recovery</w:t>
      </w:r>
      <w:r>
        <w:rPr>
          <w:rFonts w:ascii="Arial" w:cs="Arial" w:eastAsia="Arial" w:hAnsi="Arial"/>
          <w:sz w:val="19"/>
          <w:szCs w:val="19"/>
          <w:color w:val="auto"/>
        </w:rPr>
        <w:t>. The Company shall have the right to recover any payment made to an Eligible Executive in excess of the amount to which the Eligible Executive is entitled to under the terms of the Plan. Such recovery may be from the Eligible Executive, the Beneficiary, or any insurer or other organization or entity thereby enriched. In the event such repayment is not made by the Eligible Executive, such repayment shall be made either by (i) reducing or suspending any future payments hereunder to the Eligible Executive, or (ii) requiring an assignment of a portion of the Eligible Executive’s earnings, until the amount of such excess payments are fully recovered. The Company shall also have the right to recover any payment made to an Eligible Executive under the Plan if he later asserts to be entitled to compensation or other payments on termination of employment pursuant to any rights or entitlements that he possesses or asserts pursuant to a written or oral employment agreement with the Company or any successor thereto, regardless of whether the term of such agreement is expired or unexpired as of his Separation Date.</w:t>
      </w:r>
    </w:p>
    <w:p>
      <w:pPr>
        <w:spacing w:after="0" w:line="1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Payment of Severance Benefits</w:t>
      </w:r>
      <w:r>
        <w:rPr>
          <w:rFonts w:ascii="Arial" w:cs="Arial" w:eastAsia="Arial" w:hAnsi="Arial"/>
          <w:sz w:val="19"/>
          <w:szCs w:val="19"/>
          <w:color w:val="auto"/>
        </w:rPr>
        <w:t>. Severance Benefits provided under the Plan shall be paid to the Eligible Executive within the timeframe provided for in Section 3.2, but no earlier than the day following the expiration of the revocation period outlined in the Separation Agreement and Release, if applicable, assuming such Separation Agreement and Release has not been revoked. If the Eligible Executive is, in the opinion of the Administrator, not competent to affect a valid release for payment of any benefit due him under the Plan and if no request for payment has been received by the Administrator from a duly appointed guardian or other legally appointed representative of the Eligible Executive, the Company may make direct payment to the individual or institution appearing to the Administrator to have assumed custody or the principal support of the Eligible Executive. If the Eligible Executive dies before receipt of his Severance Benefits to which he is entitled under the Plan, such benefits shall be paid to the Eligible Executive’s Beneficiary, if not otherwise required by law.</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Acceptance of Severance Benefit</w:t>
      </w:r>
      <w:r>
        <w:rPr>
          <w:rFonts w:ascii="Arial" w:cs="Arial" w:eastAsia="Arial" w:hAnsi="Arial"/>
          <w:sz w:val="22"/>
          <w:szCs w:val="22"/>
          <w:color w:val="auto"/>
        </w:rPr>
        <w:t>. By accepting any Severance Benefits from the Plan, the Eligible Executive shall be deemed to have agreed to adhere to all terms of the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9" w:right="239" w:bottom="1440" w:gutter="0" w:footer="0" w:header="0"/>
        </w:sectPr>
      </w:pPr>
    </w:p>
    <w:bookmarkStart w:id="196" w:name="page197"/>
    <w:bookmarkEnd w:id="196"/>
    <w:p>
      <w:pPr>
        <w:jc w:val="center"/>
        <w:ind w:right="40"/>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CLAIMS AND APPEAL PROCEDURES</w:t>
      </w:r>
    </w:p>
    <w:p>
      <w:pPr>
        <w:spacing w:after="0" w:line="25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Claims Procedures</w:t>
      </w:r>
      <w:r>
        <w:rPr>
          <w:rFonts w:ascii="Arial" w:cs="Arial" w:eastAsia="Arial" w:hAnsi="Arial"/>
          <w:sz w:val="19"/>
          <w:szCs w:val="19"/>
          <w:color w:val="auto"/>
        </w:rPr>
        <w:t>. Severance Benefits under the Plan will be automatically paid to an Eligible Executive who qualifies for such benefits, and signs and does not revoke the Separation Agreement and Release. An Eligible Executive who believes he or she is entitled to Severance Benefits under this Plan and has not been provided such benefits must file a written claim for such benefits with the Administrator. The Administrator shall render a written decision concerning the claim not later than ninety (90) days after its receipt, unless special circumstances require an extension of time for processing the claim, in which case a decision will be rendered not later than one hundred twenty (120) days after receipt of the claim. Written notice of the extension will be furnished to the Eligible Executive prior to the expiration of the initial ninety (90)-day period and will indicate (i) the special circumstances requiring an extension of time for processing the claim, and (ii) the date the Administrator expects to render its decision. For purposes of this Section 6.1, any payment of Severance Benefits under this Plan shall be treated as the issuance of a written decision by the Administrator to approve the claim for benefits.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the claim is denied, in whole or in part, such decision shall include (i) the specific reasons for the denial; (ii) a reference to the Plan provision(s) constituting the basis of the denial; (iii) a description of any additional material or information necessary for the Eligible Executive to perfect his claim; (iv) an explanation as to why such additional material or information is necessary; and (v) a description of how the claim review procedure is administered. If the notice of denial is not furnished in accordance with the above procedure the claim shall be deemed denied and the Eligible Executive is then permitted to appeal the decision.</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Appeal Procedure</w:t>
      </w:r>
      <w:r>
        <w:rPr>
          <w:rFonts w:ascii="Arial" w:cs="Arial" w:eastAsia="Arial" w:hAnsi="Arial"/>
          <w:sz w:val="19"/>
          <w:szCs w:val="19"/>
          <w:color w:val="auto"/>
        </w:rPr>
        <w:t>. If the Eligible Executive’s claim is denied, in whole or in part, he then has sixty (60) days to appeal the decision. An appeal must be submitted in writing to the Administrator. The Eligible Executive may also submit a written request to review copies of the pertinent Plan documents in connection with his appeal. The Administrator will review the appeal and determine if a meeting with the Eligible Executive is necessary to reach a decision. If the Administrator determines a meeting is necessary, the Eligible Executive must submit a written “statement of position” containing all pertinent details of the appeal and the supporting reasons, as well as any questions the Eligible Executive may have regarding the appeal. The statement of position must be received by the Administrator at least fourteen (14) days before the scheduled meeting. If the statement of position is not received in a timely manner, the Administrator may cancel the meeting. No action may be brought for Severance Benefits provided under the Plan or any amendment or modification thereof, or to enforce any right thereunder, until a claim has been submitted and the appeal rights under the Plan have been exhausted.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PLAN ADMINISTRATION</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In General</w:t>
      </w:r>
      <w:r>
        <w:rPr>
          <w:rFonts w:ascii="Arial" w:cs="Arial" w:eastAsia="Arial" w:hAnsi="Arial"/>
          <w:sz w:val="22"/>
          <w:szCs w:val="22"/>
          <w:color w:val="auto"/>
        </w:rPr>
        <w:t xml:space="preserve"> The general administration of the Plan and the duty to carry out its provisions shall be vested in the Administrator, which shall be the named fiduciary of the Plan for purposes of ERISA. The Administrator shall administer the Plan and any Severance Benefits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197" w:name="page198"/>
    <w:bookmarkEnd w:id="197"/>
    <w:p>
      <w:pPr>
        <w:jc w:val="both"/>
        <w:spacing w:after="0" w:line="260" w:lineRule="exact"/>
        <w:rPr>
          <w:sz w:val="20"/>
          <w:szCs w:val="20"/>
          <w:color w:val="auto"/>
        </w:rPr>
      </w:pPr>
      <w:r>
        <w:rPr>
          <w:rFonts w:ascii="Arial" w:cs="Arial" w:eastAsia="Arial" w:hAnsi="Arial"/>
          <w:sz w:val="19"/>
          <w:szCs w:val="19"/>
          <w:color w:val="auto"/>
        </w:rPr>
        <w:t>provided under the Plan. The Administrator may, in its discretion, secure the services of other parties, including agents and/or employees to carry out the day</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day functions necessary to an efficient operation of the Plan. The Administrator shall have the exclusive, discretionary right to interpret the terms of the Plan, to determine eligibility for coverage and benefits, and to make such other determinations and to exercise such other powers and responsibilities as shall be provided for in the Plan or shall be necessary or helpful with respect thereto and its good faith interpretations and decisions shall be binding and conclusive upon all persons.</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Reimbursement and Compensation</w:t>
      </w:r>
      <w:r>
        <w:rPr>
          <w:rFonts w:ascii="Arial" w:cs="Arial" w:eastAsia="Arial" w:hAnsi="Arial"/>
          <w:sz w:val="22"/>
          <w:szCs w:val="22"/>
          <w:color w:val="auto"/>
        </w:rPr>
        <w:t>. The Administrator shall receive no compensation for its services as Administrator, but it shall be entitled to reimbursement for all sums reasonably and necessarily expended by it in the performance of such duties.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b w:val="1"/>
          <w:bCs w:val="1"/>
          <w:color w:val="auto"/>
        </w:rPr>
        <w:t>Rulemaking Powers</w:t>
      </w:r>
      <w:r>
        <w:rPr>
          <w:rFonts w:ascii="Arial" w:cs="Arial" w:eastAsia="Arial" w:hAnsi="Arial"/>
          <w:sz w:val="19"/>
          <w:szCs w:val="19"/>
          <w:color w:val="auto"/>
        </w:rPr>
        <w:t>. The Administrator shall have the discretionary power to make reasonable rules and regulations required in the administration of the Plan; make all determinations necessary for the Plan’s administration, except those determinations which the Plan requires others to make; construe and interpret the Plan wherever necessary to carry out its intent and purpose and to facilitate its administration. The Administrator shall have the exclusive right to determine, in its discretion, eligibility for coverage and benefits under the Plan and waive any requirements under the Plan’s terms, and the Administrator’s good faith interpretation of the Plan shall be binding and conclusive on all persons. Any dispute as to eligibility, type, amount, or duration of benefits under the Plan or any amendment or modification thereof shall be resolved by the Administrator under and pursuant to the Plan, in its sole and absolute discretion, and its decision of the dispute shall be binding and final on all parties to the dispute. In the exercise of such discretionary powers, the Administrator shall treat all similarly situated Eligible Executives uniformly and equitably under the Plan. The Administrator will be the named fiduciary for purposes of Section 402(a)(1) of ERISA with respect to all duties and powers assigned to the Administrator hereunder and will be responsible for complying with all reporting and disclosure requirements of Part I of Subtitle B of Title I of ERISA.</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b w:val="1"/>
          <w:bCs w:val="1"/>
          <w:color w:val="auto"/>
        </w:rPr>
        <w:t>Indemnification</w:t>
      </w:r>
      <w:r>
        <w:rPr>
          <w:rFonts w:ascii="Arial" w:cs="Arial" w:eastAsia="Arial" w:hAnsi="Arial"/>
          <w:sz w:val="22"/>
          <w:szCs w:val="22"/>
          <w:color w:val="auto"/>
        </w:rPr>
        <w:t>. To the extent permitted by law, the Company shall indemnify any persons acting on its behalf in fulfilling its duties as Administrator against any and all claims, losses, damages, expenses, or liabilities arising from its responsibilities in connection with the Plan, unless the same is deemed to be due to gross negligence or intentional misconduct or such indemnification is prohibited by ERISA.</w:t>
      </w:r>
    </w:p>
    <w:p>
      <w:pPr>
        <w:spacing w:after="0" w:line="21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color w:val="auto"/>
        </w:rPr>
        <w:t>Governmental Compliance</w:t>
      </w:r>
      <w:r>
        <w:rPr>
          <w:rFonts w:ascii="Arial" w:cs="Arial" w:eastAsia="Arial" w:hAnsi="Arial"/>
          <w:sz w:val="19"/>
          <w:szCs w:val="19"/>
          <w:color w:val="auto"/>
        </w:rPr>
        <w:t>. The Administrator shall prepare, or cause to be prepared and distributed to Eligible Executives or their Beneficiaries, and filed with appropriate governmental agencies, such reports, disclosures, and forms as are required by said governmental agencies, if any, and shall retain all such reports, disclosures and forms in the Administrator’s files.</w:t>
      </w:r>
    </w:p>
    <w:p>
      <w:pPr>
        <w:spacing w:after="0" w:line="16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22"/>
          <w:szCs w:val="22"/>
          <w:u w:val="single" w:color="auto"/>
          <w:color w:val="auto"/>
        </w:rPr>
        <w:t>MISCELLANEOUS</w:t>
      </w:r>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Amendment and Termination.</w:t>
      </w:r>
      <w:r>
        <w:rPr>
          <w:rFonts w:ascii="Arial" w:cs="Arial" w:eastAsia="Arial" w:hAnsi="Arial"/>
          <w:sz w:val="22"/>
          <w:szCs w:val="22"/>
          <w:color w:val="auto"/>
        </w:rPr>
        <w:t xml:space="preserve"> The Company, acting through its chief executive officer or such other person or committee appointed by its board of directors, reserves the right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198" w:name="page199"/>
    <w:bookmarkEnd w:id="198"/>
    <w:p>
      <w:pPr>
        <w:jc w:val="both"/>
        <w:spacing w:after="0" w:line="259" w:lineRule="auto"/>
        <w:rPr>
          <w:sz w:val="20"/>
          <w:szCs w:val="20"/>
          <w:color w:val="auto"/>
        </w:rPr>
      </w:pPr>
      <w:r>
        <w:rPr>
          <w:rFonts w:ascii="Arial" w:cs="Arial" w:eastAsia="Arial" w:hAnsi="Arial"/>
          <w:sz w:val="21"/>
          <w:szCs w:val="21"/>
          <w:color w:val="auto"/>
        </w:rPr>
        <w:t>amend or terminate the Plan at any time it may deem advisable without the consent of any person or entity. Severance Benefits payable to an Eligible Executive or his Beneficiary under the Plan prior to the amendment or termination of the Plan shall continue to be due and payable under the Plan. Any amendment or termination shall be effective when adopted in a written instrument, and all Eligible Executives and their Beneficiaries and other persons shall be bound thereby. If the Plan is amended to improve benefits, the amendment will only apply to Eligible Executives who terminate employment after the effective date of the amendment, unless the amendment specifies that it also applies to employment terminations occurring before the effective date of the amendment. If the Plan is terminated, employment terminations that occur after the effective date of the termination of the Plan will not be covered by the Plan.</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Limitation of Rights</w:t>
      </w:r>
      <w:r>
        <w:rPr>
          <w:rFonts w:ascii="Arial" w:cs="Arial" w:eastAsia="Arial" w:hAnsi="Arial"/>
          <w:sz w:val="19"/>
          <w:szCs w:val="19"/>
          <w:color w:val="auto"/>
        </w:rPr>
        <w:t>. Neither the establishment of the Plan nor any amendment thereof, nor the payment of any benefits, will be construed as giving to any Eligible Executive, or other person, any legal or equitable right against the Company, or any person acting on behalf of the Company. Likewise, nothing appearing in or completed pursuant to the Plan shall be held or construed to create a contract of employment with any Eligible Executive, to continue the current employment status, or to modify his or her terms of employment in any way; nor shall any provision hereof restrict the right of the Company to discharge any of its employees or restrict the right of any such employee to terminate his employment with the Company.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Governing Law</w:t>
      </w:r>
      <w:r>
        <w:rPr>
          <w:rFonts w:ascii="Arial" w:cs="Arial" w:eastAsia="Arial" w:hAnsi="Arial"/>
          <w:sz w:val="22"/>
          <w:szCs w:val="22"/>
          <w:color w:val="auto"/>
        </w:rPr>
        <w:t>. The Plan shall be governed and construed in accordance with ERISA and any other applicable federal law and, to the extent not preempted by federal law, the laws of the State of Texas. Except as otherwise mandated by federal law, exclusive jurisdiction over all disputes and actions arising under, or directly or indirectly relating to the Plan, shall be in Austin, Texas.</w:t>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Funding and Source of Severance Benefits Payments.</w:t>
      </w:r>
      <w:r>
        <w:rPr>
          <w:rFonts w:ascii="Arial" w:cs="Arial" w:eastAsia="Arial" w:hAnsi="Arial"/>
          <w:sz w:val="22"/>
          <w:szCs w:val="22"/>
          <w:color w:val="auto"/>
        </w:rPr>
        <w:t xml:space="preserve"> Any Severance Benefits payable under the Plan shall be paid from the general assets of the Company.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color w:val="auto"/>
        </w:rPr>
        <w:t>Successor Employer</w:t>
      </w:r>
      <w:r>
        <w:rPr>
          <w:rFonts w:ascii="Arial" w:cs="Arial" w:eastAsia="Arial" w:hAnsi="Arial"/>
          <w:sz w:val="22"/>
          <w:szCs w:val="22"/>
          <w:color w:val="auto"/>
        </w:rPr>
        <w:t>. In the event of a merger, consolidation, dissolution, or reorganization of the Company or transfer of all or substantially all of its assets to any other corporation, partnership or association, a provision may be made by such successor corporation, partnership or association, at its election, for the continuation of the Plan created hereunder by such successor entity. Such successor shall, upon its election to continue the Plan, be substituted in place of the Company by an instrument duly authorizing such substitution.</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the Plan is held invalid or unenforceable, its validity or unenforceability shall not affect any other provisions of the Plan, and the Plan shall be construed and enforced as if such provision had not been included herein.</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b w:val="1"/>
          <w:bCs w:val="1"/>
          <w:color w:val="auto"/>
        </w:rPr>
        <w:t>Captions</w:t>
      </w:r>
      <w:r>
        <w:rPr>
          <w:rFonts w:ascii="Arial" w:cs="Arial" w:eastAsia="Arial" w:hAnsi="Arial"/>
          <w:sz w:val="22"/>
          <w:szCs w:val="22"/>
          <w:color w:val="auto"/>
        </w:rPr>
        <w:t>. The captions contained herein are inserted only as a matter of convenience and for reference and in no way define, limit, enlarge or describe the scope or intent of the Plan, nor in any way shall affect the Plan or the construction of any provision thereof.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199" w:name="page200"/>
    <w:bookmarkEnd w:id="199"/>
    <w:p>
      <w:pPr>
        <w:ind w:left="660"/>
        <w:spacing w:after="0"/>
        <w:tabs>
          <w:tab w:leader="none" w:pos="110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b w:val="1"/>
          <w:bCs w:val="1"/>
          <w:color w:val="auto"/>
        </w:rPr>
        <w:t>Gender and Numbers</w:t>
      </w:r>
      <w:r>
        <w:rPr>
          <w:rFonts w:ascii="Arial" w:cs="Arial" w:eastAsia="Arial" w:hAnsi="Arial"/>
          <w:sz w:val="19"/>
          <w:szCs w:val="19"/>
          <w:color w:val="auto"/>
        </w:rPr>
        <w:t>. Terms used in the masculine shall also include the feminine and be neutral where appropriate.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Terms in the singular shall include the plural where appropriate, and vices versa.</w:t>
      </w:r>
    </w:p>
    <w:p>
      <w:pPr>
        <w:spacing w:after="0" w:line="25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b w:val="1"/>
          <w:bCs w:val="1"/>
          <w:color w:val="auto"/>
        </w:rPr>
        <w:t>Non-transferability</w:t>
      </w:r>
      <w:r>
        <w:rPr>
          <w:rFonts w:ascii="Arial" w:cs="Arial" w:eastAsia="Arial" w:hAnsi="Arial"/>
          <w:sz w:val="19"/>
          <w:szCs w:val="19"/>
          <w:color w:val="auto"/>
        </w:rPr>
        <w:t>. No benefit, right or interest of any Eligible Executive hereunder shall be subject to anticipation, alienation, sale, transfer, assignment, pledge, encumbrance or charge, seizure, attachment or legal, equitable or other process or be liable for, or subject to, the debts, liabilities or other obligations of such persons, except as otherwise required by law.</w:t>
      </w:r>
    </w:p>
    <w:p>
      <w:pPr>
        <w:spacing w:after="0" w:line="15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b w:val="1"/>
          <w:bCs w:val="1"/>
          <w:color w:val="auto"/>
        </w:rPr>
        <w:t>Limitations</w:t>
      </w:r>
      <w:r>
        <w:rPr>
          <w:rFonts w:ascii="Arial" w:cs="Arial" w:eastAsia="Arial" w:hAnsi="Arial"/>
          <w:sz w:val="19"/>
          <w:szCs w:val="19"/>
          <w:color w:val="auto"/>
        </w:rPr>
        <w:t>. No action may be brought for benefits provided by this Plan or any amendment or modification thereof, or to enforce any right thereunder, until after the claim has been submitted to and determined by the Administrator, and thereafter the only action which may be brought is one to enforce the decision of the Administrator. Any legal action must commence within twelve (12) calendar months immediately following the date of such Administrator's decision made pursuant to Section 6.2 above.</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b w:val="1"/>
          <w:bCs w:val="1"/>
          <w:color w:val="auto"/>
        </w:rPr>
        <w:t>Information Requested</w:t>
      </w:r>
      <w:r>
        <w:rPr>
          <w:rFonts w:ascii="Arial" w:cs="Arial" w:eastAsia="Arial" w:hAnsi="Arial"/>
          <w:sz w:val="22"/>
          <w:szCs w:val="22"/>
          <w:color w:val="auto"/>
        </w:rPr>
        <w:t>. The Eligible Executive or other persons shall provide the Company, the Administrator, or their authorized representatives with such information and evidence, and shall sign such documents, as may reasonably be requested from time to time for the purpose of administration of the Plan.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b w:val="1"/>
          <w:bCs w:val="1"/>
          <w:color w:val="auto"/>
        </w:rPr>
        <w:t>Mistaken Payments</w:t>
      </w:r>
      <w:r>
        <w:rPr>
          <w:rFonts w:ascii="Arial" w:cs="Arial" w:eastAsia="Arial" w:hAnsi="Arial"/>
          <w:sz w:val="21"/>
          <w:szCs w:val="21"/>
          <w:color w:val="auto"/>
        </w:rPr>
        <w:t>. Any amounts paid to an Eligible Executive or other person in excess of the amount to which he is entitled hereunder shall be repaid by the Eligible Executive or other person promptly following the sooner of: receipt by the Eligible Executive or other person of a notice of such excess payments or when such person has knowledge of the excess payments. In the event such repayment is not made by the Eligible Executive or other person, such repayment shall be made, at the discretion of the Administrator, either by reducing or suspending future payments hereunder to the Eligible Executive or other person, or by requiring an assignment of a portion of the Eligible Executive or other person's earnings, until the amount of such excess payments are recovered by the Administrator.</w:t>
      </w:r>
    </w:p>
    <w:p>
      <w:pPr>
        <w:spacing w:after="0" w:line="214" w:lineRule="exact"/>
        <w:rPr>
          <w:sz w:val="20"/>
          <w:szCs w:val="20"/>
          <w:color w:val="auto"/>
        </w:rPr>
      </w:pPr>
    </w:p>
    <w:p>
      <w:pPr>
        <w:jc w:val="both"/>
        <w:ind w:left="80" w:firstLine="648"/>
        <w:spacing w:after="0" w:line="291" w:lineRule="auto"/>
        <w:rPr>
          <w:sz w:val="20"/>
          <w:szCs w:val="20"/>
          <w:color w:val="auto"/>
        </w:rPr>
      </w:pPr>
      <w:r>
        <w:rPr>
          <w:rFonts w:ascii="Arial" w:cs="Arial" w:eastAsia="Arial" w:hAnsi="Arial"/>
          <w:sz w:val="19"/>
          <w:szCs w:val="19"/>
          <w:color w:val="auto"/>
        </w:rPr>
        <w:t xml:space="preserve">8.13 </w:t>
      </w:r>
      <w:r>
        <w:rPr>
          <w:rFonts w:ascii="Arial" w:cs="Arial" w:eastAsia="Arial" w:hAnsi="Arial"/>
          <w:sz w:val="19"/>
          <w:szCs w:val="19"/>
          <w:b w:val="1"/>
          <w:bCs w:val="1"/>
          <w:color w:val="auto"/>
        </w:rPr>
        <w:t>Integration with WARN Act</w:t>
      </w:r>
      <w:r>
        <w:rPr>
          <w:rFonts w:ascii="Arial" w:cs="Arial" w:eastAsia="Arial" w:hAnsi="Arial"/>
          <w:sz w:val="19"/>
          <w:szCs w:val="19"/>
          <w:color w:val="auto"/>
        </w:rPr>
        <w:t>. To the extent that any federal, state or local law, including, without limitation, any so-called “plant closing” laws, requires the Company to give advanced notice or make payment of any kind of to an Eligible Executive because of his or her involuntary termination due to a layoff, reduction in force, plant or facility closing, sale of business, change of control or any other similar event or reason, the Severance Benefits provided under this Plan may either be reduced or eliminated. The benefits provided under this Plan are intended to satisfy any and all statutory obligations that may arise out of any Eligible Executive’s involuntary termination for any of the foregoing reasons, and the Administrator shall construe and implement the terms of this Plan in its sole discretion. Included in the scope of the foregoing, (i) if an Eligible Executive receives notice from the Company pursuant to the Workers Adjustment and Retraining Notification (WARN) Act, and remains employed during the WARN notice period, then the Severance Benefits payable to the Eligible Executive may be reduced by the pay and benefits received by such Eligible Executive during the WARN notice period, and (ii) if an Eligible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9" w:right="239" w:bottom="1440" w:gutter="0" w:footer="0" w:header="0"/>
        </w:sectPr>
      </w:pPr>
    </w:p>
    <w:bookmarkStart w:id="200" w:name="page201"/>
    <w:bookmarkEnd w:id="200"/>
    <w:p>
      <w:pPr>
        <w:jc w:val="both"/>
        <w:ind w:left="80"/>
        <w:spacing w:after="0" w:line="261" w:lineRule="auto"/>
        <w:rPr>
          <w:sz w:val="20"/>
          <w:szCs w:val="20"/>
          <w:color w:val="auto"/>
        </w:rPr>
      </w:pPr>
      <w:r>
        <w:rPr>
          <w:rFonts w:ascii="Arial" w:cs="Arial" w:eastAsia="Arial" w:hAnsi="Arial"/>
          <w:sz w:val="21"/>
          <w:szCs w:val="21"/>
          <w:color w:val="auto"/>
        </w:rPr>
        <w:t>Executive receives notice from the Company pursuant to the Workers Adjustment and Retraining Notification (WARN) Act, and does not remain employed during some or all of the WARN notice period, then the Severance Benefits payable to the Eligible Executive shall be reduced any amount the Company is required to pay to such Eligible Executive as compensation for its failure to provide timely notice under the WARN Act. An Eligible Executive shall not be required to sign a Severance Agreement and Release solely with respect to the portion of any payment under this Plan which must be paid pursuant to the Workers Adjustment and Retraining Notification (WARN) Act or any other comparable law.</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b w:val="1"/>
          <w:bCs w:val="1"/>
          <w:color w:val="auto"/>
        </w:rPr>
        <w:t>Section 409A Limitation</w:t>
      </w:r>
      <w:r>
        <w:rPr>
          <w:rFonts w:ascii="Arial" w:cs="Arial" w:eastAsia="Arial" w:hAnsi="Arial"/>
          <w:sz w:val="20"/>
          <w:szCs w:val="20"/>
          <w:color w:val="auto"/>
        </w:rPr>
        <w:t>. Each payment of Severance Benefits, including any outplacement benefits or continued medical benefits, shall be treated as a separate payment for purposes of the short-term deferral rules under Treasury Regulation Section 1.409A-1(b)(4)(i)(F), the exemption for involuntary terminations under separation pay plans under Treasury Regulation Section 1.409A-1(b)(9)(iii), the exemption for medical expense reimbursements under Treasury Regulation Section 1.409A-1(b)(9) (v)(B) and the exemption for in-kind benefits under Treasury Regulation Section 1.409A-1(b)(9)(v)(C). No amount shall be payable under this Plan unless such amount (i) is paid on or before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calendar year immediately following the applicable Separation Date, or (ii) is paid on or before the last day of the second calendar year following the year during which an Eligible Executive’s Separation Date occurred and is includable in a group of payments which does not exceed the lesser of two times the Eligible Executive’s annual Base Salary in the year prior to the year during which the Separation Date occurred or two times the limit under Code Section 401(a)(17) as then in effect.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8.15 </w:t>
      </w:r>
      <w:r>
        <w:rPr>
          <w:rFonts w:ascii="Arial" w:cs="Arial" w:eastAsia="Arial" w:hAnsi="Arial"/>
          <w:sz w:val="21"/>
          <w:szCs w:val="21"/>
          <w:b w:val="1"/>
          <w:bCs w:val="1"/>
          <w:color w:val="auto"/>
        </w:rPr>
        <w:t>Entire Document</w:t>
      </w:r>
      <w:r>
        <w:rPr>
          <w:rFonts w:ascii="Arial" w:cs="Arial" w:eastAsia="Arial" w:hAnsi="Arial"/>
          <w:sz w:val="21"/>
          <w:szCs w:val="21"/>
          <w:color w:val="auto"/>
        </w:rPr>
        <w:t>. THE BENEFITS DESCRIBED IN THE PLAN ARE INTENDED TO BE THE ENTIRE BENEFITS PAYABLE TO AN ELIGIBLE EXECUTIVE WHOSE EMPLOYMENT IS TERMINATED SOLELY AS A RESULT OF A QUALIFYING TERMINATION, OTHER THAN BENEFITS PROVIDED BY ANOTHER EMPLOYEE BENEFIT PLAN OF THE COMPANY. BY ELECTING TO PARTICIPATE IN THE PLAN AND SIGNING THE SEPARATION AGREEMENT AND RELEASE ON THE FORM PROVIDED TO THE ELIGIBLE EXECUTIVE BY THE COMPANY, THE ELIGIBLE EXECUTIVE WAIVES HIS RIGHT TO BENEFITS UNDER ANY AND ALL PRIOR SEVERANCE AGREEMENTS, UNDERSTANDINGS, EMPLOYMENT OR OTHER AGREEMENTS, DESCRIPTIONS OR ARRANGEMENTS.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Attached]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201" w:name="page202"/>
    <w:bookmarkEnd w:id="201"/>
    <w:p>
      <w:pPr>
        <w:ind w:firstLine="648"/>
        <w:spacing w:after="0" w:line="263" w:lineRule="auto"/>
        <w:rPr>
          <w:sz w:val="20"/>
          <w:szCs w:val="20"/>
          <w:color w:val="auto"/>
        </w:rPr>
      </w:pPr>
      <w:r>
        <w:rPr>
          <w:rFonts w:ascii="Arial" w:cs="Arial" w:eastAsia="Arial" w:hAnsi="Arial"/>
          <w:sz w:val="22"/>
          <w:szCs w:val="22"/>
          <w:color w:val="auto"/>
        </w:rPr>
        <w:t>IN WITNESS WHEREOF, the Company has caused the Plan to be executed in its name and on its behalf amended and restated effective as of July 14, 2010, by a duly authorized officer.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Dell Inc.</w:t>
      </w: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-17780</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1" w:right="239" w:bottom="1440" w:gutter="0" w:footer="0" w:header="0"/>
        </w:sectPr>
      </w:pPr>
    </w:p>
    <w:bookmarkStart w:id="202" w:name="page203"/>
    <w:bookmarkEnd w:id="202"/>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DESCRIPTION OF SEVERANCE BENEFITS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(Attached)</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369"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color w:val="auto"/>
        </w:rPr>
        <w:t>Schedule A-1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Severance Benefits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(Individuals Described in Any Other Schedule to Exhibit A Excluded)</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Schedule A-1 to Exhibit A to the Dell Inc. Severance Pay Plan for Executive Employees lists the Severance Benefits provided to Severance Benefit Employees under the Plan’s terms; provided that the benefits described in Sections 3 and 4 shall not apply to any Executive Employee who is classified as a "Covered Employee" for purposes of Section 162(m)(3) of the Code. Individuals eligible to receive benefits under any other Schedule to Exhibit A shall not be eligible to receive benefits under this Schedule A-1.</w:t>
      </w:r>
    </w:p>
    <w:p>
      <w:pPr>
        <w:spacing w:after="0" w:line="177" w:lineRule="exact"/>
        <w:rPr>
          <w:sz w:val="20"/>
          <w:szCs w:val="20"/>
          <w:color w:val="auto"/>
        </w:rPr>
      </w:pPr>
    </w:p>
    <w:p>
      <w:pPr>
        <w:jc w:val="both"/>
        <w:ind w:left="660" w:hanging="652"/>
        <w:spacing w:after="0" w:line="249" w:lineRule="auto"/>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Pay</w:t>
      </w:r>
      <w:r>
        <w:rPr>
          <w:rFonts w:ascii="Arial" w:cs="Arial" w:eastAsia="Arial" w:hAnsi="Arial"/>
          <w:sz w:val="22"/>
          <w:szCs w:val="22"/>
          <w:color w:val="auto"/>
        </w:rPr>
        <w:t>. If an Eligible Executive signs and does not revoke a Separation Agreement and Release, he or she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receive Severance Pay in the amount of (i) six months of Base Salary, plus (ii) an additional one week of Base Salary for each whole year of service with the Company, calculated from the Eligible Executive’s service date to the scheduled Separation Date, with a one week minimum. This payment will not include 401(k) or any other benefits related deductions. However, all applicable taxes will be withheld.</w:t>
      </w:r>
    </w:p>
    <w:p>
      <w:pPr>
        <w:spacing w:after="0" w:line="233" w:lineRule="exact"/>
        <w:rPr>
          <w:rFonts w:ascii="Arial" w:cs="Arial" w:eastAsia="Arial" w:hAnsi="Arial"/>
          <w:sz w:val="22"/>
          <w:szCs w:val="22"/>
          <w:b w:val="1"/>
          <w:bCs w:val="1"/>
          <w:color w:val="auto"/>
        </w:rPr>
      </w:pPr>
    </w:p>
    <w:p>
      <w:pPr>
        <w:jc w:val="both"/>
        <w:ind w:left="6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If an Eligible Executive does not sign the Separation Agreement and Release, or if the Eligible Executive revokes a signed Separation Agreement and Release, the only benefits payable hereunder shall be such amounts as are required by applicable law.</w:t>
      </w:r>
    </w:p>
    <w:p>
      <w:pPr>
        <w:spacing w:after="0" w:line="220" w:lineRule="exact"/>
        <w:rPr>
          <w:rFonts w:ascii="Arial" w:cs="Arial" w:eastAsia="Arial" w:hAnsi="Arial"/>
          <w:sz w:val="22"/>
          <w:szCs w:val="22"/>
          <w:b w:val="1"/>
          <w:bCs w:val="1"/>
          <w:color w:val="auto"/>
        </w:rPr>
      </w:pPr>
    </w:p>
    <w:p>
      <w:pPr>
        <w:jc w:val="both"/>
        <w:ind w:left="660" w:hanging="652"/>
        <w:spacing w:after="0" w:line="249" w:lineRule="auto"/>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COBRA Benefits Payment Coverage</w:t>
      </w:r>
      <w:r>
        <w:rPr>
          <w:rFonts w:ascii="Arial" w:cs="Arial" w:eastAsia="Arial" w:hAnsi="Arial"/>
          <w:sz w:val="22"/>
          <w:szCs w:val="22"/>
          <w:color w:val="auto"/>
        </w:rPr>
        <w:t>. If an Eligible Executive signs and does not revoke a Separation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and he or she enrolls in COBRA coverage, the Company will pay the first six (6) months of the Eligible Executive’s COBRA premiums. If the Eligible Executive is eligible to participate in the Dell Inc. Retiree Medical Plan and enrolls in such plan, then the Company will instead pay the first six (6) months of the Eligible Executive’s Retiree Medical Plan premiums.</w:t>
      </w:r>
    </w:p>
    <w:p>
      <w:pPr>
        <w:spacing w:after="0" w:line="233" w:lineRule="exact"/>
        <w:rPr>
          <w:rFonts w:ascii="Arial" w:cs="Arial" w:eastAsia="Arial" w:hAnsi="Arial"/>
          <w:sz w:val="22"/>
          <w:szCs w:val="22"/>
          <w:b w:val="1"/>
          <w:bCs w:val="1"/>
          <w:color w:val="auto"/>
        </w:rPr>
      </w:pPr>
    </w:p>
    <w:p>
      <w:pPr>
        <w:jc w:val="both"/>
        <w:ind w:left="6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If an Eligible Executive does not sign the Separation Agreement and Release, or if the Eligible Executive revokes a signed Separation Agreement and Release, the only COBRA benefits or Retiree Medical Plan benefits payable hereunder shall be those benefits required by applicable law.</w:t>
      </w:r>
    </w:p>
    <w:p>
      <w:pPr>
        <w:spacing w:after="0" w:line="220" w:lineRule="exact"/>
        <w:rPr>
          <w:rFonts w:ascii="Arial" w:cs="Arial" w:eastAsia="Arial" w:hAnsi="Arial"/>
          <w:sz w:val="22"/>
          <w:szCs w:val="22"/>
          <w:b w:val="1"/>
          <w:bCs w:val="1"/>
          <w:color w:val="auto"/>
        </w:rPr>
      </w:pPr>
    </w:p>
    <w:p>
      <w:pPr>
        <w:jc w:val="both"/>
        <w:ind w:left="660" w:hanging="652"/>
        <w:spacing w:after="0" w:line="252" w:lineRule="auto"/>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Short-Term Incentive Plan Payments</w:t>
      </w:r>
      <w:r>
        <w:rPr>
          <w:rFonts w:ascii="Arial" w:cs="Arial" w:eastAsia="Arial" w:hAnsi="Arial"/>
          <w:sz w:val="22"/>
          <w:szCs w:val="22"/>
          <w:color w:val="auto"/>
        </w:rPr>
        <w:t>. If an Eligible Executive signs and does not revoke a Separation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and such Eligible Executive is participating in the Incentive Bonus Plan (IBP) on his or her Separation Date, the Eligible Executive will receive an additional severance benefit equal to a prorated award payout. This payout amount will be calculated using:</w:t>
      </w:r>
    </w:p>
    <w:p>
      <w:pPr>
        <w:spacing w:after="0" w:line="226" w:lineRule="exact"/>
        <w:rPr>
          <w:rFonts w:ascii="Arial" w:cs="Arial" w:eastAsia="Arial" w:hAnsi="Arial"/>
          <w:sz w:val="22"/>
          <w:szCs w:val="22"/>
          <w:b w:val="1"/>
          <w:bCs w:val="1"/>
          <w:color w:val="auto"/>
        </w:rPr>
      </w:pPr>
    </w:p>
    <w:p>
      <w:pPr>
        <w:ind w:left="1960" w:hanging="655"/>
        <w:spacing w:after="0"/>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 payout modifier of 75%.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9" w:right="239" w:bottom="1440" w:gutter="0" w:footer="0" w:header="0"/>
        </w:sectPr>
      </w:pPr>
    </w:p>
    <w:bookmarkStart w:id="204" w:name="page205"/>
    <w:bookmarkEnd w:id="204"/>
    <w:p>
      <w:pPr>
        <w:ind w:left="1960" w:hanging="655"/>
        <w:spacing w:after="0" w:line="263" w:lineRule="auto"/>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proration factor based on the number of days in the fiscal year that the Eligible Executive was employed by the Company through his or her Separation Date.</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Eligible Executive’s Base Salary on [his or her Separation Date].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plan target for the Eligible Executive’s grade.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Assumed corporate performance and individual modifiers of 100%.</w:t>
      </w:r>
    </w:p>
    <w:p>
      <w:pPr>
        <w:spacing w:after="0" w:line="260"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Amounts payable under this Section 3 will be paid to the Eligible Executive through direct deposit (if available) within thirty (30) business days after the Administrator’s receipt of the signed Separation Agreement and Release.</w:t>
      </w:r>
    </w:p>
    <w:p>
      <w:pPr>
        <w:spacing w:after="0" w:line="192"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If an Eligible Executive does not sign the Separation Agreement and Release, or if the Eligible Executive revokes a signed Separation Agreement and Release, the Eligible Executive will not receive any short-term incentive plan payments.</w:t>
      </w:r>
    </w:p>
    <w:p>
      <w:pPr>
        <w:spacing w:after="0" w:line="139" w:lineRule="exact"/>
        <w:rPr>
          <w:sz w:val="20"/>
          <w:szCs w:val="20"/>
          <w:color w:val="auto"/>
        </w:rPr>
      </w:pPr>
    </w:p>
    <w:p>
      <w:pPr>
        <w:jc w:val="both"/>
        <w:ind w:left="660" w:hanging="652"/>
        <w:spacing w:after="0" w:line="249" w:lineRule="auto"/>
        <w:tabs>
          <w:tab w:leader="none" w:pos="6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Long-Term Incentive Plan Payments. </w:t>
      </w:r>
      <w:r>
        <w:rPr>
          <w:rFonts w:ascii="Arial" w:cs="Arial" w:eastAsia="Arial" w:hAnsi="Arial"/>
          <w:sz w:val="22"/>
          <w:szCs w:val="22"/>
          <w:color w:val="auto"/>
        </w:rPr>
        <w:t>If an Eligible Executive signs and does not revoke a Separation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and such Eligible Executive holds unvested long-term incentive grants which are due to vest within 90 days following his or her Separation Date, such Eligible Executive will receive an additional severance benefit equal to a prorated portion of the value of such grants. This payout amount will be calculated using the following calculation formula as applicable:</w:t>
      </w:r>
    </w:p>
    <w:p>
      <w:pPr>
        <w:spacing w:after="0" w:line="233" w:lineRule="exact"/>
        <w:rPr>
          <w:rFonts w:ascii="Arial" w:cs="Arial" w:eastAsia="Arial" w:hAnsi="Arial"/>
          <w:sz w:val="22"/>
          <w:szCs w:val="22"/>
          <w:b w:val="1"/>
          <w:bCs w:val="1"/>
          <w:color w:val="auto"/>
        </w:rPr>
      </w:pPr>
    </w:p>
    <w:p>
      <w:pPr>
        <w:jc w:val="both"/>
        <w:ind w:left="1960" w:hanging="655"/>
        <w:spacing w:after="0" w:line="271" w:lineRule="auto"/>
        <w:tabs>
          <w:tab w:leader="none" w:pos="1960"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Stock Options</w:t>
      </w:r>
      <w:r>
        <w:rPr>
          <w:rFonts w:ascii="Arial" w:cs="Arial" w:eastAsia="Arial" w:hAnsi="Arial"/>
          <w:sz w:val="21"/>
          <w:szCs w:val="21"/>
          <w:color w:val="auto"/>
        </w:rPr>
        <w:t>: 75% TIMES number of options due to vest within ninety (90) days after separation TIMES (Dell average closing price for the week prior to the week of separation MINUS option exercise price). If this value is negative, it will be excluded from the payment calculation.</w:t>
      </w:r>
    </w:p>
    <w:p>
      <w:pPr>
        <w:spacing w:after="0" w:line="208"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Restricted (and Performance Based) Stock Units</w:t>
      </w:r>
      <w:r>
        <w:rPr>
          <w:rFonts w:ascii="Arial" w:cs="Arial" w:eastAsia="Arial" w:hAnsi="Arial"/>
          <w:sz w:val="22"/>
          <w:szCs w:val="22"/>
          <w:color w:val="auto"/>
        </w:rPr>
        <w:t>: 75% TIMES number of units due to vest within 90 days after separation TIMES Dell average closing price for the week prior to the week of the Eligible Executive’s Separation Date.</w:t>
      </w:r>
    </w:p>
    <w:p>
      <w:pPr>
        <w:spacing w:after="0" w:line="226"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Long-Term Cash</w:t>
      </w:r>
      <w:r>
        <w:rPr>
          <w:rFonts w:ascii="Arial" w:cs="Arial" w:eastAsia="Arial" w:hAnsi="Arial"/>
          <w:sz w:val="22"/>
          <w:szCs w:val="22"/>
          <w:color w:val="auto"/>
        </w:rPr>
        <w:t>: 75% TIMES value of cash due to vest within 90 days after the Eligible Executive’s Separation Date.</w:t>
      </w:r>
    </w:p>
    <w:p>
      <w:pPr>
        <w:spacing w:after="0" w:line="21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Amounts payable under this Section 4 will be paid to the Eligible Executive through direct deposit (if available) within thirty (30) business days after the Administrator’s receipt of the signed Separation Agreement and Release.</w:t>
      </w:r>
    </w:p>
    <w:p>
      <w:pPr>
        <w:spacing w:after="0" w:line="192"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If an Eligible Executive does not sign the Separation Agreement and Release, or if the Eligible Executive revokes a signed Separation Agreement and Release, the Eligible Executive will not receive any long-term incentive plan payments.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205" w:name="page206"/>
    <w:bookmarkEnd w:id="205"/>
    <w:p>
      <w:pPr>
        <w:jc w:val="both"/>
        <w:ind w:left="4"/>
        <w:spacing w:after="0" w:line="267" w:lineRule="auto"/>
        <w:rPr>
          <w:sz w:val="20"/>
          <w:szCs w:val="20"/>
          <w:color w:val="auto"/>
        </w:rPr>
      </w:pPr>
      <w:r>
        <w:rPr>
          <w:rFonts w:ascii="Arial" w:cs="Arial" w:eastAsia="Arial" w:hAnsi="Arial"/>
          <w:sz w:val="21"/>
          <w:szCs w:val="21"/>
          <w:b w:val="1"/>
          <w:bCs w:val="1"/>
          <w:color w:val="auto"/>
        </w:rPr>
        <w:t xml:space="preserve">NOTE: </w:t>
      </w:r>
      <w:r>
        <w:rPr>
          <w:rFonts w:ascii="Arial" w:cs="Arial" w:eastAsia="Arial" w:hAnsi="Arial"/>
          <w:sz w:val="21"/>
          <w:szCs w:val="21"/>
          <w:color w:val="auto"/>
        </w:rPr>
        <w:t>The terms and conditions of an Eligible Executive’s Long-Term Incentive award agreements remain in full force</w:t>
      </w:r>
      <w:r>
        <w:rPr>
          <w:rFonts w:ascii="Arial" w:cs="Arial" w:eastAsia="Arial" w:hAnsi="Arial"/>
          <w:sz w:val="21"/>
          <w:szCs w:val="21"/>
          <w:b w:val="1"/>
          <w:bCs w:val="1"/>
          <w:color w:val="auto"/>
        </w:rPr>
        <w:t xml:space="preserve"> </w:t>
      </w:r>
      <w:r>
        <w:rPr>
          <w:rFonts w:ascii="Arial" w:cs="Arial" w:eastAsia="Arial" w:hAnsi="Arial"/>
          <w:sz w:val="21"/>
          <w:szCs w:val="21"/>
          <w:color w:val="auto"/>
        </w:rPr>
        <w:t>and effect following the termination of his or her employment. An Eligible Executive’s agreements may require the Eligible Executive to return shares of stock, share value, option proceeds, or cash award payments if he or she engages in certain conduct detrimental to the company after the Eligible Executive’s termination of employment.</w:t>
      </w:r>
    </w:p>
    <w:p>
      <w:pPr>
        <w:spacing w:after="0" w:line="208" w:lineRule="exact"/>
        <w:rPr>
          <w:sz w:val="20"/>
          <w:szCs w:val="20"/>
          <w:color w:val="auto"/>
        </w:rPr>
      </w:pPr>
    </w:p>
    <w:p>
      <w:pPr>
        <w:jc w:val="both"/>
        <w:ind w:left="4" w:hanging="4"/>
        <w:spacing w:after="0" w:line="256" w:lineRule="auto"/>
        <w:tabs>
          <w:tab w:leader="none" w:pos="393"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Outplacement Benefits. </w:t>
      </w:r>
      <w:r>
        <w:rPr>
          <w:rFonts w:ascii="Arial" w:cs="Arial" w:eastAsia="Arial" w:hAnsi="Arial"/>
          <w:sz w:val="22"/>
          <w:szCs w:val="22"/>
          <w:color w:val="auto"/>
        </w:rPr>
        <w:t>If an Eligible Executive signs and does not revoke a Separation Agreement and Release, such</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Executive will receive six (6) months of executive outplacement services, provided the Eligible Executive commences use of such benefits within sixty (60) days following his or her Separation Date.</w:t>
      </w:r>
    </w:p>
    <w:p>
      <w:pPr>
        <w:spacing w:after="0" w:line="223" w:lineRule="exact"/>
        <w:rPr>
          <w:sz w:val="20"/>
          <w:szCs w:val="20"/>
          <w:color w:val="auto"/>
        </w:rPr>
      </w:pPr>
    </w:p>
    <w:p>
      <w:pPr>
        <w:ind w:left="4"/>
        <w:spacing w:after="0" w:line="287" w:lineRule="auto"/>
        <w:rPr>
          <w:sz w:val="20"/>
          <w:szCs w:val="20"/>
          <w:color w:val="auto"/>
        </w:rPr>
      </w:pPr>
      <w:r>
        <w:rPr>
          <w:rFonts w:ascii="Arial" w:cs="Arial" w:eastAsia="Arial" w:hAnsi="Arial"/>
          <w:sz w:val="21"/>
          <w:szCs w:val="21"/>
          <w:color w:val="auto"/>
        </w:rPr>
        <w:t>If an Eligible Executive does not sign the Separation Agreement and Release, or if the Eligible Executive revokes a signed Separation Agreement and Release, the Eligible Executive will not receive any outplacement benefits.</w:t>
      </w:r>
    </w:p>
    <w:p>
      <w:pPr>
        <w:spacing w:after="0" w:line="200" w:lineRule="exact"/>
        <w:rPr>
          <w:sz w:val="20"/>
          <w:szCs w:val="20"/>
          <w:color w:val="auto"/>
        </w:rPr>
      </w:pPr>
    </w:p>
    <w:p>
      <w:pPr>
        <w:spacing w:after="0" w:line="22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4"/>
          </w:cols>
          <w:pgMar w:left="896" w:top="6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Cash Award Agreement</w:t>
      </w:r>
    </w:p>
    <w:p>
      <w:pPr>
        <w:spacing w:after="0" w:line="167" w:lineRule="exact"/>
        <w:rPr>
          <w:sz w:val="20"/>
          <w:szCs w:val="20"/>
          <w:color w:val="auto"/>
        </w:rPr>
      </w:pPr>
    </w:p>
    <w:p>
      <w:pPr>
        <w:jc w:val="both"/>
        <w:ind w:firstLine="8"/>
        <w:spacing w:after="0" w:line="391" w:lineRule="auto"/>
        <w:tabs>
          <w:tab w:leader="none" w:pos="756" w:val="left"/>
        </w:tabs>
        <w:numPr>
          <w:ilvl w:val="0"/>
          <w:numId w:val="10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Purpose </w:t>
      </w:r>
      <w:r>
        <w:rPr>
          <w:rFonts w:ascii="Arial" w:cs="Arial" w:eastAsia="Arial" w:hAnsi="Arial"/>
          <w:sz w:val="14"/>
          <w:szCs w:val="14"/>
          <w:color w:val="auto"/>
        </w:rPr>
        <w:t>– EMC Corporation, a Massachusetts corporation (“</w:t>
      </w:r>
      <w:r>
        <w:rPr>
          <w:rFonts w:ascii="Arial" w:cs="Arial" w:eastAsia="Arial" w:hAnsi="Arial"/>
          <w:sz w:val="14"/>
          <w:szCs w:val="14"/>
          <w:b w:val="1"/>
          <w:bCs w:val="1"/>
          <w:color w:val="auto"/>
        </w:rPr>
        <w:t>EMC</w:t>
      </w:r>
      <w:r>
        <w:rPr>
          <w:rFonts w:ascii="Arial" w:cs="Arial" w:eastAsia="Arial" w:hAnsi="Arial"/>
          <w:sz w:val="14"/>
          <w:szCs w:val="14"/>
          <w:color w:val="auto"/>
        </w:rPr>
        <w:t>”), previously granted to you one or more awards of units (the “</w:t>
      </w:r>
      <w:r>
        <w:rPr>
          <w:rFonts w:ascii="Arial" w:cs="Arial" w:eastAsia="Arial" w:hAnsi="Arial"/>
          <w:sz w:val="14"/>
          <w:szCs w:val="14"/>
          <w:b w:val="1"/>
          <w:bCs w:val="1"/>
          <w:color w:val="auto"/>
        </w:rPr>
        <w:t>EMC Units</w:t>
      </w:r>
      <w:r>
        <w:rPr>
          <w:rFonts w:ascii="Arial" w:cs="Arial" w:eastAsia="Arial" w:hAnsi="Arial"/>
          <w:sz w:val="14"/>
          <w:szCs w:val="14"/>
          <w:color w:val="auto"/>
        </w:rPr>
        <w:t>”) representing the right to receive shares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EMC’s common stock (the “</w:t>
      </w:r>
      <w:r>
        <w:rPr>
          <w:rFonts w:ascii="Arial" w:cs="Arial" w:eastAsia="Arial" w:hAnsi="Arial"/>
          <w:sz w:val="14"/>
          <w:szCs w:val="14"/>
          <w:b w:val="1"/>
          <w:bCs w:val="1"/>
          <w:color w:val="auto"/>
        </w:rPr>
        <w:t>EMC Shares</w:t>
      </w:r>
      <w:r>
        <w:rPr>
          <w:rFonts w:ascii="Arial" w:cs="Arial" w:eastAsia="Arial" w:hAnsi="Arial"/>
          <w:sz w:val="14"/>
          <w:szCs w:val="14"/>
          <w:color w:val="auto"/>
        </w:rPr>
        <w:t>”) under the EMC Corporation Amended and Restated 2003 Stock Plan, as amended (the “</w:t>
      </w:r>
      <w:r>
        <w:rPr>
          <w:rFonts w:ascii="Arial" w:cs="Arial" w:eastAsia="Arial" w:hAnsi="Arial"/>
          <w:sz w:val="14"/>
          <w:szCs w:val="14"/>
          <w:b w:val="1"/>
          <w:bCs w:val="1"/>
          <w:color w:val="auto"/>
        </w:rPr>
        <w:t>EMC Plan</w:t>
      </w:r>
      <w:r>
        <w:rPr>
          <w:rFonts w:ascii="Arial" w:cs="Arial" w:eastAsia="Arial" w:hAnsi="Arial"/>
          <w:sz w:val="14"/>
          <w:szCs w:val="14"/>
          <w:color w:val="auto"/>
        </w:rPr>
        <w:t>”). In addition, each award was subject to the terms and conditions described in the applicable Restricted Stock Unit Agreement (such award, the “</w:t>
      </w:r>
      <w:r>
        <w:rPr>
          <w:rFonts w:ascii="Arial" w:cs="Arial" w:eastAsia="Arial" w:hAnsi="Arial"/>
          <w:sz w:val="14"/>
          <w:szCs w:val="14"/>
          <w:b w:val="1"/>
          <w:bCs w:val="1"/>
          <w:color w:val="auto"/>
        </w:rPr>
        <w:t>RSU</w:t>
      </w:r>
      <w:r>
        <w:rPr>
          <w:rFonts w:ascii="Arial" w:cs="Arial" w:eastAsia="Arial" w:hAnsi="Arial"/>
          <w:sz w:val="14"/>
          <w:szCs w:val="14"/>
          <w:color w:val="auto"/>
        </w:rPr>
        <w:t>”) or Performance Restricted Stock Unit Agreement (such award, the “</w:t>
      </w:r>
      <w:r>
        <w:rPr>
          <w:rFonts w:ascii="Arial" w:cs="Arial" w:eastAsia="Arial" w:hAnsi="Arial"/>
          <w:sz w:val="14"/>
          <w:szCs w:val="14"/>
          <w:b w:val="1"/>
          <w:bCs w:val="1"/>
          <w:color w:val="auto"/>
        </w:rPr>
        <w:t>PSU</w:t>
      </w:r>
      <w:r>
        <w:rPr>
          <w:rFonts w:ascii="Arial" w:cs="Arial" w:eastAsia="Arial" w:hAnsi="Arial"/>
          <w:sz w:val="14"/>
          <w:szCs w:val="14"/>
          <w:color w:val="auto"/>
        </w:rPr>
        <w:t>”) between you and EMC (together, the “</w:t>
      </w:r>
      <w:r>
        <w:rPr>
          <w:rFonts w:ascii="Arial" w:cs="Arial" w:eastAsia="Arial" w:hAnsi="Arial"/>
          <w:sz w:val="14"/>
          <w:szCs w:val="14"/>
          <w:b w:val="1"/>
          <w:bCs w:val="1"/>
          <w:color w:val="auto"/>
        </w:rPr>
        <w:t>Stock Unit Agreements</w:t>
      </w:r>
      <w:r>
        <w:rPr>
          <w:rFonts w:ascii="Arial" w:cs="Arial" w:eastAsia="Arial" w:hAnsi="Arial"/>
          <w:sz w:val="14"/>
          <w:szCs w:val="14"/>
          <w:color w:val="auto"/>
        </w:rPr>
        <w:t>”) and the EMC Plan. The applicable Stock Unit Agreement stated the number of EMC Units granted to you under the applicable RSU or PSU award.</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12, 2015, Universal Acquisition Co. (“</w:t>
      </w:r>
      <w:r>
        <w:rPr>
          <w:rFonts w:ascii="Arial" w:cs="Arial" w:eastAsia="Arial" w:hAnsi="Arial"/>
          <w:sz w:val="14"/>
          <w:szCs w:val="14"/>
          <w:b w:val="1"/>
          <w:bCs w:val="1"/>
          <w:color w:val="auto"/>
        </w:rPr>
        <w:t>Merger Sub</w:t>
      </w:r>
      <w:r>
        <w:rPr>
          <w:rFonts w:ascii="Arial" w:cs="Arial" w:eastAsia="Arial" w:hAnsi="Arial"/>
          <w:sz w:val="14"/>
          <w:szCs w:val="14"/>
          <w:color w:val="auto"/>
        </w:rPr>
        <w:t>”), Denali Holding Inc. a Delaware corporation (its successor, Dell Technologies Inc., “</w:t>
      </w:r>
      <w:r>
        <w:rPr>
          <w:rFonts w:ascii="Arial" w:cs="Arial" w:eastAsia="Arial" w:hAnsi="Arial"/>
          <w:sz w:val="14"/>
          <w:szCs w:val="14"/>
          <w:b w:val="1"/>
          <w:bCs w:val="1"/>
          <w:color w:val="auto"/>
        </w:rPr>
        <w:t>Parent</w:t>
      </w:r>
      <w:r>
        <w:rPr>
          <w:rFonts w:ascii="Arial" w:cs="Arial" w:eastAsia="Arial" w:hAnsi="Arial"/>
          <w:sz w:val="14"/>
          <w:szCs w:val="14"/>
          <w:color w:val="auto"/>
        </w:rPr>
        <w:t>”), Dell, Inc. and EMC entered into the Agreement and Plan of Merger, as amended by the First Amendment thereto dated May 16, 2016 (as further amended from time to time, the “</w:t>
      </w:r>
      <w:r>
        <w:rPr>
          <w:rFonts w:ascii="Arial" w:cs="Arial" w:eastAsia="Arial" w:hAnsi="Arial"/>
          <w:sz w:val="14"/>
          <w:szCs w:val="14"/>
          <w:b w:val="1"/>
          <w:bCs w:val="1"/>
          <w:color w:val="auto"/>
        </w:rPr>
        <w:t>Merger Agreement</w:t>
      </w:r>
      <w:r>
        <w:rPr>
          <w:rFonts w:ascii="Arial" w:cs="Arial" w:eastAsia="Arial" w:hAnsi="Arial"/>
          <w:sz w:val="14"/>
          <w:szCs w:val="14"/>
          <w:color w:val="auto"/>
        </w:rPr>
        <w:t>”), pursuant to which Merger Sub merged with and into EMC (the “</w:t>
      </w:r>
      <w:r>
        <w:rPr>
          <w:rFonts w:ascii="Arial" w:cs="Arial" w:eastAsia="Arial" w:hAnsi="Arial"/>
          <w:sz w:val="14"/>
          <w:szCs w:val="14"/>
          <w:b w:val="1"/>
          <w:bCs w:val="1"/>
          <w:color w:val="auto"/>
        </w:rPr>
        <w:t>Merger</w:t>
      </w:r>
      <w:r>
        <w:rPr>
          <w:rFonts w:ascii="Arial" w:cs="Arial" w:eastAsia="Arial" w:hAnsi="Arial"/>
          <w:sz w:val="14"/>
          <w:szCs w:val="14"/>
          <w:color w:val="auto"/>
        </w:rPr>
        <w:t>”), with EMC surviving the merger as an indirect wholly-owned subsidiary of Parent.</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the Merger and pursuant to the Election Form Related to the Rollover Opportunity submitted to Parent by you, you elected to exchange a specified portion (not to exceed 50%) of your EMC Units that would vest in the ordinary course on or after January 1, 2017 for unvested deferred cash awards (“</w:t>
      </w:r>
      <w:r>
        <w:rPr>
          <w:rFonts w:ascii="Arial" w:cs="Arial" w:eastAsia="Arial" w:hAnsi="Arial"/>
          <w:sz w:val="14"/>
          <w:szCs w:val="14"/>
          <w:b w:val="1"/>
          <w:bCs w:val="1"/>
          <w:color w:val="auto"/>
        </w:rPr>
        <w:t>Deferred Cash Awards</w:t>
      </w:r>
      <w:r>
        <w:rPr>
          <w:rFonts w:ascii="Arial" w:cs="Arial" w:eastAsia="Arial" w:hAnsi="Arial"/>
          <w:sz w:val="14"/>
          <w:szCs w:val="14"/>
          <w:color w:val="auto"/>
        </w:rPr>
        <w:t>”) and unvested options to purchase Class C common stock of Parent (“</w:t>
      </w:r>
      <w:r>
        <w:rPr>
          <w:rFonts w:ascii="Arial" w:cs="Arial" w:eastAsia="Arial" w:hAnsi="Arial"/>
          <w:sz w:val="14"/>
          <w:szCs w:val="14"/>
          <w:b w:val="1"/>
          <w:bCs w:val="1"/>
          <w:color w:val="auto"/>
        </w:rPr>
        <w:t>Rollover Options</w:t>
      </w:r>
      <w:r>
        <w:rPr>
          <w:rFonts w:ascii="Arial" w:cs="Arial" w:eastAsia="Arial" w:hAnsi="Arial"/>
          <w:sz w:val="14"/>
          <w:szCs w:val="14"/>
          <w:color w:val="auto"/>
        </w:rPr>
        <w:t>” and, together with the Deferred Cash Awards, the “</w:t>
      </w:r>
      <w:r>
        <w:rPr>
          <w:rFonts w:ascii="Arial" w:cs="Arial" w:eastAsia="Arial" w:hAnsi="Arial"/>
          <w:sz w:val="14"/>
          <w:szCs w:val="14"/>
          <w:b w:val="1"/>
          <w:bCs w:val="1"/>
          <w:color w:val="auto"/>
        </w:rPr>
        <w:t>Rollover Awards</w:t>
      </w:r>
      <w:r>
        <w:rPr>
          <w:rFonts w:ascii="Arial" w:cs="Arial" w:eastAsia="Arial" w:hAnsi="Arial"/>
          <w:sz w:val="14"/>
          <w:szCs w:val="14"/>
          <w:color w:val="auto"/>
        </w:rPr>
        <w:t>”), whereby you agreed to the following:</w:t>
      </w:r>
    </w:p>
    <w:p>
      <w:pPr>
        <w:spacing w:after="0" w:line="127" w:lineRule="exact"/>
        <w:rPr>
          <w:sz w:val="20"/>
          <w:szCs w:val="20"/>
          <w:color w:val="auto"/>
        </w:rPr>
      </w:pPr>
    </w:p>
    <w:p>
      <w:pPr>
        <w:ind w:left="660" w:hanging="274"/>
        <w:spacing w:after="0" w:line="279"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with respect to all of your EMC Units being exchanged (the “</w:t>
      </w:r>
      <w:r>
        <w:rPr>
          <w:rFonts w:ascii="Arial" w:cs="Arial" w:eastAsia="Arial" w:hAnsi="Arial"/>
          <w:sz w:val="14"/>
          <w:szCs w:val="14"/>
          <w:b w:val="1"/>
          <w:bCs w:val="1"/>
          <w:color w:val="auto"/>
        </w:rPr>
        <w:t>Exchanged EMC Units</w:t>
      </w:r>
      <w:r>
        <w:rPr>
          <w:rFonts w:ascii="Arial" w:cs="Arial" w:eastAsia="Arial" w:hAnsi="Arial"/>
          <w:sz w:val="14"/>
          <w:szCs w:val="14"/>
          <w:color w:val="auto"/>
        </w:rPr>
        <w:t>”), waive the acceleration of vesting that would otherwise occur at the Vesting Effective Time (as defined in the Merger Agreement) under the terms of the Merger Agreement, and</w:t>
      </w:r>
    </w:p>
    <w:p>
      <w:pPr>
        <w:spacing w:after="0" w:line="115" w:lineRule="exact"/>
        <w:rPr>
          <w:rFonts w:ascii="Arial" w:cs="Arial" w:eastAsia="Arial" w:hAnsi="Arial"/>
          <w:sz w:val="14"/>
          <w:szCs w:val="14"/>
          <w:color w:val="auto"/>
        </w:rPr>
      </w:pPr>
    </w:p>
    <w:p>
      <w:pPr>
        <w:ind w:left="660" w:hanging="274"/>
        <w:spacing w:after="0"/>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respect of each Exchanged EMC Unit, receive the following:</w:t>
      </w:r>
    </w:p>
    <w:p>
      <w:pPr>
        <w:spacing w:after="0" w:line="176" w:lineRule="exact"/>
        <w:rPr>
          <w:rFonts w:ascii="Arial" w:cs="Arial" w:eastAsia="Arial" w:hAnsi="Arial"/>
          <w:sz w:val="14"/>
          <w:szCs w:val="14"/>
          <w:color w:val="auto"/>
        </w:rPr>
      </w:pPr>
    </w:p>
    <w:p>
      <w:pPr>
        <w:jc w:val="both"/>
        <w:ind w:left="1360" w:hanging="326"/>
        <w:spacing w:after="0" w:line="265" w:lineRule="auto"/>
        <w:tabs>
          <w:tab w:leader="none" w:pos="1532" w:val="left"/>
        </w:tabs>
        <w:numPr>
          <w:ilvl w:val="1"/>
          <w:numId w:val="103"/>
        </w:numPr>
        <w:rPr>
          <w:rFonts w:ascii="Arial" w:cs="Arial" w:eastAsia="Arial" w:hAnsi="Arial"/>
          <w:sz w:val="15"/>
          <w:szCs w:val="15"/>
          <w:color w:val="auto"/>
        </w:rPr>
      </w:pPr>
      <w:r>
        <w:rPr>
          <w:rFonts w:ascii="Arial" w:cs="Arial" w:eastAsia="Arial" w:hAnsi="Arial"/>
          <w:sz w:val="14"/>
          <w:szCs w:val="14"/>
          <w:color w:val="auto"/>
        </w:rPr>
        <w:t>one Deferred Cash Award having a cash value equal to the per share merger consideration of $29.05 (calculated as the closing price of an EMC Share on the last trading day prior to the Merger) (the “</w:t>
      </w:r>
      <w:r>
        <w:rPr>
          <w:rFonts w:ascii="Arial" w:cs="Arial" w:eastAsia="Arial" w:hAnsi="Arial"/>
          <w:sz w:val="14"/>
          <w:szCs w:val="14"/>
          <w:b w:val="1"/>
          <w:bCs w:val="1"/>
          <w:color w:val="auto"/>
        </w:rPr>
        <w:t>Per Share Cash Value</w:t>
      </w:r>
      <w:r>
        <w:rPr>
          <w:rFonts w:ascii="Arial" w:cs="Arial" w:eastAsia="Arial" w:hAnsi="Arial"/>
          <w:sz w:val="14"/>
          <w:szCs w:val="14"/>
          <w:color w:val="auto"/>
        </w:rPr>
        <w:t>”), subject generally to the existing time-based vesting schedule that applied to the Exchanged EMC Unit, with any performance-vesting condition deemed satisfied at the target level of performance at the closing of the Merger, and further subject to the vesting acceleration, forfeiture conditions, and other terms and conditions as set forth in this Deferred Cash Award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and</w:t>
      </w:r>
    </w:p>
    <w:p>
      <w:pPr>
        <w:spacing w:after="0" w:line="140" w:lineRule="exact"/>
        <w:rPr>
          <w:rFonts w:ascii="Arial" w:cs="Arial" w:eastAsia="Arial" w:hAnsi="Arial"/>
          <w:sz w:val="15"/>
          <w:szCs w:val="15"/>
          <w:color w:val="auto"/>
        </w:rPr>
      </w:pPr>
    </w:p>
    <w:p>
      <w:pPr>
        <w:jc w:val="both"/>
        <w:ind w:left="1360" w:hanging="326"/>
        <w:spacing w:after="0" w:line="268" w:lineRule="auto"/>
        <w:tabs>
          <w:tab w:leader="none" w:pos="1542" w:val="left"/>
        </w:tabs>
        <w:numPr>
          <w:ilvl w:val="1"/>
          <w:numId w:val="103"/>
        </w:numPr>
        <w:rPr>
          <w:rFonts w:ascii="Arial" w:cs="Arial" w:eastAsia="Arial" w:hAnsi="Arial"/>
          <w:sz w:val="15"/>
          <w:szCs w:val="15"/>
          <w:color w:val="auto"/>
        </w:rPr>
      </w:pPr>
      <w:r>
        <w:rPr>
          <w:rFonts w:ascii="Arial" w:cs="Arial" w:eastAsia="Arial" w:hAnsi="Arial"/>
          <w:sz w:val="14"/>
          <w:szCs w:val="14"/>
          <w:color w:val="auto"/>
        </w:rPr>
        <w:t>A stock option giving you the right to purchase one share of Class C common stock of Parent (the terms of which will be subject to a rollover option agreement to be entered between you and Parent under the Dell Technologies Inc. 2013 Stock Incentive Plan, as amended and/or restated from time to time (the “</w:t>
      </w:r>
      <w:r>
        <w:rPr>
          <w:rFonts w:ascii="Arial" w:cs="Arial" w:eastAsia="Arial" w:hAnsi="Arial"/>
          <w:sz w:val="14"/>
          <w:szCs w:val="14"/>
          <w:b w:val="1"/>
          <w:bCs w:val="1"/>
          <w:color w:val="auto"/>
        </w:rPr>
        <w:t>Parent Plan</w:t>
      </w:r>
      <w:r>
        <w:rPr>
          <w:rFonts w:ascii="Arial" w:cs="Arial" w:eastAsia="Arial" w:hAnsi="Arial"/>
          <w:sz w:val="14"/>
          <w:szCs w:val="14"/>
          <w:color w:val="auto"/>
        </w:rPr>
        <w:t>”), which will be provided to you separately and concurrently herewith).</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Deferred Cash Award is made pursuant to and is subject to the terms and conditions of this Agreement.</w:t>
      </w:r>
    </w:p>
    <w:p>
      <w:pPr>
        <w:spacing w:after="0" w:line="217" w:lineRule="exact"/>
        <w:rPr>
          <w:sz w:val="20"/>
          <w:szCs w:val="20"/>
          <w:color w:val="auto"/>
        </w:rPr>
      </w:pPr>
    </w:p>
    <w:p>
      <w:pPr>
        <w:jc w:val="both"/>
        <w:ind w:firstLine="8"/>
        <w:spacing w:after="0" w:line="393" w:lineRule="auto"/>
        <w:tabs>
          <w:tab w:leader="none" w:pos="756" w:val="left"/>
        </w:tabs>
        <w:numPr>
          <w:ilvl w:val="0"/>
          <w:numId w:val="10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Grant of Deferred Cash Award </w:t>
      </w:r>
      <w:r>
        <w:rPr>
          <w:rFonts w:ascii="Arial" w:cs="Arial" w:eastAsia="Arial" w:hAnsi="Arial"/>
          <w:sz w:val="14"/>
          <w:szCs w:val="14"/>
          <w:color w:val="auto"/>
        </w:rPr>
        <w:t>— In accordance with the terms of your election (as described in Section 1 above), Parent hereby grants you a Deferred Cash Award in the amount set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forth in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hereto, subject to the terms and conditions set forth herein. To accept this Deferred Cash Award, please sign and print your name on the signature page attached hereto and deliver this signed Agreement, together with the other documents described in the Confidential Information Memorandum (Rollover Opportunity), dated as of June 27, 2016 (the “</w:t>
      </w:r>
      <w:r>
        <w:rPr>
          <w:rFonts w:ascii="Arial" w:cs="Arial" w:eastAsia="Arial" w:hAnsi="Arial"/>
          <w:sz w:val="14"/>
          <w:szCs w:val="14"/>
          <w:b w:val="1"/>
          <w:bCs w:val="1"/>
          <w:color w:val="auto"/>
        </w:rPr>
        <w:t>CIM</w:t>
      </w:r>
      <w:r>
        <w:rPr>
          <w:rFonts w:ascii="Arial" w:cs="Arial" w:eastAsia="Arial" w:hAnsi="Arial"/>
          <w:sz w:val="14"/>
          <w:szCs w:val="14"/>
          <w:color w:val="auto"/>
        </w:rPr>
        <w:t>”), to Dell Executive Compensation according to the instructions set forth in the CIM.</w:t>
      </w:r>
    </w:p>
    <w:p>
      <w:pPr>
        <w:spacing w:after="0" w:line="133" w:lineRule="exact"/>
        <w:rPr>
          <w:rFonts w:ascii="Arial" w:cs="Arial" w:eastAsia="Arial" w:hAnsi="Arial"/>
          <w:sz w:val="14"/>
          <w:szCs w:val="14"/>
          <w:color w:val="auto"/>
        </w:rPr>
      </w:pPr>
    </w:p>
    <w:p>
      <w:pPr>
        <w:ind w:firstLine="8"/>
        <w:spacing w:after="0" w:line="464" w:lineRule="auto"/>
        <w:tabs>
          <w:tab w:leader="none" w:pos="756" w:val="left"/>
        </w:tabs>
        <w:numPr>
          <w:ilvl w:val="0"/>
          <w:numId w:val="10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Vesting and Payment </w:t>
      </w:r>
      <w:r>
        <w:rPr>
          <w:rFonts w:ascii="Arial" w:cs="Arial" w:eastAsia="Arial" w:hAnsi="Arial"/>
          <w:sz w:val="13"/>
          <w:szCs w:val="13"/>
          <w:color w:val="auto"/>
        </w:rPr>
        <w:t>— The Deferred Cash Award will vest as provided for in</w:t>
      </w:r>
      <w:r>
        <w:rPr>
          <w:rFonts w:ascii="Arial" w:cs="Arial" w:eastAsia="Arial" w:hAnsi="Arial"/>
          <w:sz w:val="13"/>
          <w:szCs w:val="13"/>
          <w:b w:val="1"/>
          <w:bCs w:val="1"/>
          <w:i w:val="1"/>
          <w:iCs w:val="1"/>
          <w:color w:val="auto"/>
        </w:rPr>
        <w:t xml:space="preserve"> </w:t>
      </w:r>
      <w:r>
        <w:rPr>
          <w:rFonts w:ascii="Arial" w:cs="Arial" w:eastAsia="Arial" w:hAnsi="Arial"/>
          <w:sz w:val="13"/>
          <w:szCs w:val="13"/>
          <w:u w:val="single" w:color="auto"/>
          <w:color w:val="auto"/>
        </w:rPr>
        <w:t>Schedule I</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hereto, subject to your continued Employment (as defined below) on each applicable vesting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date, and the Per Share Cash Value in respect of the corresponding vested portion of the Deferred Cash Award will be paid to you within 60 days of the applicable vesting date.</w:t>
      </w:r>
    </w:p>
    <w:p>
      <w:pPr>
        <w:spacing w:after="0" w:line="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Notwithstanding the foregoing, if your “Employment” is terminated for any reason (including for “Cause”), other than a termination by you without “Good Reason” (unless due to “Retirement” (each as defined below)), the Deferred Cash Award will become 100% vested as of the date of such termination of Employment and the Per Share Cash Value in respect thereof will be paid to you within 60 days of the date of such termination of Employment. If your Employment is terminated by you without Good Reason (other than due to Retirement) before any applicable vesting date, you will immediately forfeit any remaining unpaid portion of the Deferred Cash Award as of the date of such termination of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the following capitalized terms shall have their respective meanings set forth below:</w:t>
      </w:r>
    </w:p>
    <w:p>
      <w:pPr>
        <w:spacing w:after="0" w:line="159" w:lineRule="exact"/>
        <w:rPr>
          <w:sz w:val="20"/>
          <w:szCs w:val="20"/>
          <w:color w:val="auto"/>
        </w:rPr>
      </w:pPr>
    </w:p>
    <w:p>
      <w:pPr>
        <w:jc w:val="both"/>
        <w:ind w:left="720" w:hanging="334"/>
        <w:spacing w:after="0" w:line="249" w:lineRule="auto"/>
        <w:tabs>
          <w:tab w:leader="none" w:pos="9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your willful, reckless or grossly negligent and material violation of (A) your obligations regarding confidentiality or the protection of sensitive, confidential or proprietary information, or trade secrets, which results in material harm to Parent or its subsidiaries, or (B) any other restrictive covenant by which you are bound that results in greater than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harm to Parent or its subsidiaries’ reputation or business; (ii) your conviction of, or plea of guilty or no contest to, a felony or crime that involves moral turpitude; or (iii) conduct by you which constitutes gross neglect, willful misconduct, or a material breach of the Code of Conduct of your Employer or a fiduciary duty to Parent, any of its subsidiaries or the shareholders of Parent that results in material harm to Parent or its subsidiaries’ reputation or business and that you have failed to cure within thirty (30) days following written notice from the Board of Directors of Parent.</w:t>
      </w:r>
    </w:p>
    <w:p>
      <w:pPr>
        <w:spacing w:after="0" w:line="132" w:lineRule="exact"/>
        <w:rPr>
          <w:rFonts w:ascii="Arial" w:cs="Arial" w:eastAsia="Arial" w:hAnsi="Arial"/>
          <w:sz w:val="14"/>
          <w:szCs w:val="14"/>
          <w:color w:val="auto"/>
        </w:rPr>
      </w:pPr>
    </w:p>
    <w:p>
      <w:pPr>
        <w:ind w:left="860" w:hanging="474"/>
        <w:spacing w:after="0"/>
        <w:tabs>
          <w:tab w:leader="none" w:pos="8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has the meaning ascribed to such term in the Parent Plan.</w:t>
      </w:r>
    </w:p>
    <w:p>
      <w:pPr>
        <w:spacing w:after="0" w:line="163" w:lineRule="exact"/>
        <w:rPr>
          <w:rFonts w:ascii="Arial" w:cs="Arial" w:eastAsia="Arial" w:hAnsi="Arial"/>
          <w:sz w:val="14"/>
          <w:szCs w:val="14"/>
          <w:color w:val="auto"/>
        </w:rPr>
      </w:pPr>
    </w:p>
    <w:p>
      <w:pPr>
        <w:ind w:left="860" w:hanging="474"/>
        <w:spacing w:after="0"/>
        <w:tabs>
          <w:tab w:leader="none" w:pos="8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Employer</w:t>
      </w:r>
      <w:r>
        <w:rPr>
          <w:rFonts w:ascii="Arial" w:cs="Arial" w:eastAsia="Arial" w:hAnsi="Arial"/>
          <w:sz w:val="14"/>
          <w:szCs w:val="14"/>
          <w:color w:val="auto"/>
        </w:rPr>
        <w:t>” means Parent or the subsidiary of Parent that employs you.</w:t>
      </w:r>
    </w:p>
    <w:p>
      <w:pPr>
        <w:spacing w:after="0" w:line="163" w:lineRule="exact"/>
        <w:rPr>
          <w:rFonts w:ascii="Arial" w:cs="Arial" w:eastAsia="Arial" w:hAnsi="Arial"/>
          <w:sz w:val="14"/>
          <w:szCs w:val="14"/>
          <w:color w:val="auto"/>
        </w:rPr>
      </w:pPr>
    </w:p>
    <w:p>
      <w:pPr>
        <w:ind w:left="860" w:hanging="474"/>
        <w:spacing w:after="0"/>
        <w:tabs>
          <w:tab w:leader="none" w:pos="8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Employment</w:t>
      </w:r>
      <w:r>
        <w:rPr>
          <w:rFonts w:ascii="Arial" w:cs="Arial" w:eastAsia="Arial" w:hAnsi="Arial"/>
          <w:sz w:val="14"/>
          <w:szCs w:val="14"/>
          <w:color w:val="auto"/>
        </w:rPr>
        <w:t>” means your regular full-time or part-time employment with Parent or any subsidiary of Parent.</w:t>
      </w:r>
    </w:p>
    <w:p>
      <w:pPr>
        <w:spacing w:after="0" w:line="163" w:lineRule="exact"/>
        <w:rPr>
          <w:rFonts w:ascii="Arial" w:cs="Arial" w:eastAsia="Arial" w:hAnsi="Arial"/>
          <w:sz w:val="14"/>
          <w:szCs w:val="14"/>
          <w:color w:val="auto"/>
        </w:rPr>
      </w:pPr>
    </w:p>
    <w:p>
      <w:pPr>
        <w:jc w:val="both"/>
        <w:ind w:left="720" w:hanging="334"/>
        <w:spacing w:after="0" w:line="271" w:lineRule="auto"/>
        <w:tabs>
          <w:tab w:leader="none" w:pos="904"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xml:space="preserve">” means: (i) a material reduction in your base salary or total annual incentive bonus target, (ii) any material adverse change to substantive plans and benefits in the aggregate which does not apply equally to other members of Parent’s Executive Leadership Team, (iii) a material adverse change to your title or a material reduction in your authority, duties or responsibilities, or the assignment to you of any duties or responsibilities which are inconsistent in any material adverse respect with your position, or (iv) a change in your principal place of work to a location of more than twenty-five (25) miles from your principal place of work immediately prior to such change; </w:t>
      </w:r>
      <w:r>
        <w:rPr>
          <w:rFonts w:ascii="Arial" w:cs="Arial" w:eastAsia="Arial" w:hAnsi="Arial"/>
          <w:sz w:val="13"/>
          <w:szCs w:val="13"/>
          <w:u w:val="single" w:color="auto"/>
          <w:color w:val="auto"/>
        </w:rPr>
        <w:t>provided</w:t>
      </w:r>
      <w:r>
        <w:rPr>
          <w:rFonts w:ascii="Arial" w:cs="Arial" w:eastAsia="Arial" w:hAnsi="Arial"/>
          <w:sz w:val="13"/>
          <w:szCs w:val="13"/>
          <w:color w:val="auto"/>
        </w:rPr>
        <w:t>, that you provide written notice to your Employer of the existence of any such condition within ninety (90) days of you having actual knowledge of the initial existence of such condition and your Employer fails to remedy the condition within thirty (30) days of receipt of such notice (the “</w:t>
      </w:r>
      <w:r>
        <w:rPr>
          <w:rFonts w:ascii="Arial" w:cs="Arial" w:eastAsia="Arial" w:hAnsi="Arial"/>
          <w:sz w:val="13"/>
          <w:szCs w:val="13"/>
          <w:u w:val="single" w:color="auto"/>
          <w:color w:val="auto"/>
        </w:rPr>
        <w:t>Cure Period</w:t>
      </w:r>
      <w:r>
        <w:rPr>
          <w:rFonts w:ascii="Arial" w:cs="Arial" w:eastAsia="Arial" w:hAnsi="Arial"/>
          <w:sz w:val="13"/>
          <w:szCs w:val="13"/>
          <w:color w:val="auto"/>
        </w:rPr>
        <w:t>”). In order to resign for Good Reason, you must actually terminate Employment no later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207" w:name="page208"/>
    <w:bookmarkEnd w:id="207"/>
    <w:p>
      <w:pPr>
        <w:jc w:val="both"/>
        <w:ind w:left="720"/>
        <w:spacing w:after="0" w:line="390" w:lineRule="auto"/>
        <w:rPr>
          <w:sz w:val="20"/>
          <w:szCs w:val="20"/>
          <w:color w:val="auto"/>
        </w:rPr>
      </w:pPr>
      <w:r>
        <w:rPr>
          <w:rFonts w:ascii="Arial" w:cs="Arial" w:eastAsia="Arial" w:hAnsi="Arial"/>
          <w:sz w:val="14"/>
          <w:szCs w:val="14"/>
          <w:color w:val="auto"/>
        </w:rPr>
        <w:t xml:space="preserve">than ninety (90) days following the end of such Cure Period, if the Good Reason condition remains uncured; </w:t>
      </w:r>
      <w:r>
        <w:rPr>
          <w:rFonts w:ascii="Arial" w:cs="Arial" w:eastAsia="Arial" w:hAnsi="Arial"/>
          <w:sz w:val="14"/>
          <w:szCs w:val="14"/>
          <w:u w:val="single" w:color="auto"/>
          <w:color w:val="auto"/>
        </w:rPr>
        <w:t>provided</w:t>
      </w:r>
      <w:r>
        <w:rPr>
          <w:rFonts w:ascii="Arial" w:cs="Arial" w:eastAsia="Arial" w:hAnsi="Arial"/>
          <w:sz w:val="14"/>
          <w:szCs w:val="14"/>
          <w:color w:val="auto"/>
        </w:rPr>
        <w:t>, that, if such Good Reason condition is solely the result of a material reduction in your authority, duties or responsibilities (including, for this purpose, the assignment to you of any duties or responsibilities which are inconsistent in any material adverse respect with your position) that is directly related to the occurrence of a Change in Control and such Good Reason condition remains uncured following the end of the Cure Period, you may only terminate your Employment for Good Reason during the ninety (90) day period commencing on the first date that follows the six (6) month anniversary of such Change in Control.</w:t>
      </w:r>
    </w:p>
    <w:p>
      <w:pPr>
        <w:spacing w:after="0" w:line="79" w:lineRule="exact"/>
        <w:rPr>
          <w:sz w:val="20"/>
          <w:szCs w:val="20"/>
          <w:color w:val="auto"/>
        </w:rPr>
      </w:pPr>
    </w:p>
    <w:p>
      <w:pPr>
        <w:ind w:left="720" w:hanging="334"/>
        <w:spacing w:after="0"/>
        <w:tabs>
          <w:tab w:leader="none" w:pos="7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Retirement</w:t>
      </w:r>
      <w:r>
        <w:rPr>
          <w:rFonts w:ascii="Arial" w:cs="Arial" w:eastAsia="Arial" w:hAnsi="Arial"/>
          <w:sz w:val="13"/>
          <w:szCs w:val="13"/>
          <w:color w:val="auto"/>
        </w:rPr>
        <w:t>” means your voluntary termination of Employment with Parent and its subsidiaries without Good Reason at or above the age of 60 and after having completed at least five</w:t>
      </w:r>
    </w:p>
    <w:p>
      <w:pPr>
        <w:spacing w:after="0" w:line="28" w:lineRule="exact"/>
        <w:rPr>
          <w:rFonts w:ascii="Arial" w:cs="Arial" w:eastAsia="Arial" w:hAnsi="Arial"/>
          <w:sz w:val="13"/>
          <w:szCs w:val="13"/>
          <w:color w:val="auto"/>
        </w:rPr>
      </w:pPr>
    </w:p>
    <w:p>
      <w:pPr>
        <w:ind w:left="720"/>
        <w:spacing w:after="0" w:line="255" w:lineRule="auto"/>
        <w:rPr>
          <w:rFonts w:ascii="Arial" w:cs="Arial" w:eastAsia="Arial" w:hAnsi="Arial"/>
          <w:sz w:val="13"/>
          <w:szCs w:val="13"/>
          <w:color w:val="auto"/>
        </w:rPr>
      </w:pPr>
      <w:r>
        <w:rPr>
          <w:rFonts w:ascii="Arial" w:cs="Arial" w:eastAsia="Arial" w:hAnsi="Arial"/>
          <w:sz w:val="14"/>
          <w:szCs w:val="14"/>
          <w:color w:val="auto"/>
        </w:rPr>
        <w:t xml:space="preserve">(5) years of service with Parent and its subsidiaries (which includes past service with EMC) or any other combination of your age plus years of service completed (not less than five (5)) that is at least equal to 65; </w:t>
      </w:r>
      <w:r>
        <w:rPr>
          <w:rFonts w:ascii="Arial" w:cs="Arial" w:eastAsia="Arial" w:hAnsi="Arial"/>
          <w:sz w:val="14"/>
          <w:szCs w:val="14"/>
          <w:u w:val="single" w:color="auto"/>
          <w:color w:val="auto"/>
        </w:rPr>
        <w:t>provided</w:t>
      </w:r>
      <w:r>
        <w:rPr>
          <w:rFonts w:ascii="Arial" w:cs="Arial" w:eastAsia="Arial" w:hAnsi="Arial"/>
          <w:sz w:val="14"/>
          <w:szCs w:val="14"/>
          <w:color w:val="auto"/>
        </w:rPr>
        <w:t>, that you may not be eligible for Retirement prior to August 1, 2017.</w:t>
      </w:r>
    </w:p>
    <w:p>
      <w:pPr>
        <w:spacing w:after="0" w:line="186" w:lineRule="exact"/>
        <w:rPr>
          <w:rFonts w:ascii="Arial" w:cs="Arial" w:eastAsia="Arial" w:hAnsi="Arial"/>
          <w:sz w:val="13"/>
          <w:szCs w:val="13"/>
          <w:color w:val="auto"/>
        </w:rPr>
      </w:pPr>
    </w:p>
    <w:p>
      <w:pPr>
        <w:ind w:firstLine="8"/>
        <w:spacing w:after="0" w:line="414" w:lineRule="auto"/>
        <w:tabs>
          <w:tab w:leader="none" w:pos="756" w:val="left"/>
        </w:tabs>
        <w:numPr>
          <w:ilvl w:val="0"/>
          <w:numId w:val="10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Rights as a Holder </w:t>
      </w:r>
      <w:r>
        <w:rPr>
          <w:rFonts w:ascii="Arial" w:cs="Arial" w:eastAsia="Arial" w:hAnsi="Arial"/>
          <w:sz w:val="14"/>
          <w:szCs w:val="14"/>
          <w:color w:val="auto"/>
        </w:rPr>
        <w:t>— You acknowledge and agree that you will have no rights as a shareholder with respect to the Deferred Cash Award. The Deferred Cash Award has a fixed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equal to the Per Share Cash Value.</w:t>
      </w:r>
    </w:p>
    <w:p>
      <w:pPr>
        <w:spacing w:after="0" w:line="119" w:lineRule="exact"/>
        <w:rPr>
          <w:rFonts w:ascii="Arial" w:cs="Arial" w:eastAsia="Arial" w:hAnsi="Arial"/>
          <w:sz w:val="14"/>
          <w:szCs w:val="14"/>
          <w:color w:val="auto"/>
        </w:rPr>
      </w:pPr>
    </w:p>
    <w:p>
      <w:pPr>
        <w:jc w:val="both"/>
        <w:ind w:firstLine="8"/>
        <w:spacing w:after="0" w:line="398" w:lineRule="auto"/>
        <w:tabs>
          <w:tab w:leader="none" w:pos="756" w:val="left"/>
        </w:tabs>
        <w:numPr>
          <w:ilvl w:val="0"/>
          <w:numId w:val="10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Agreement With Respect to Taxes </w:t>
      </w:r>
      <w:r>
        <w:rPr>
          <w:rFonts w:ascii="Arial" w:cs="Arial" w:eastAsia="Arial" w:hAnsi="Arial"/>
          <w:sz w:val="14"/>
          <w:szCs w:val="14"/>
          <w:color w:val="auto"/>
        </w:rPr>
        <w:t>— You must pay any taxes that are required to be withheld by Parent or your Employer. You may pay such amounts in cash or make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arrangements satisfactory to Parent or your Employer for the payment of such amounts. You agree Parent or your Employer, at its sole discretion and to the fullest extent permitted by law, shall have the right to demand that you pay such amounts in cash or deduct such amounts from any payments of any kind otherwise due to you.</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You agree that, subject to compliance with applicable law, Parent or your Employer may recover from you taxes that may be payable by Parent or your Employer in any jurisdiction in relation to this award. You agree that Parent or your Employer shall be entitled to use whatever method they may deem appropriate to recover such taxes, including the withholding of the Per Share Cash Value, paying you a net amount of cash, recovering the taxes via payroll and direct invoicing. You further agree that Parent or your Employer may, as it reasonably considers necessary, amend or vary this Agreement to facilitate such recovery of taxes.</w:t>
      </w:r>
    </w:p>
    <w:p>
      <w:pPr>
        <w:spacing w:after="0" w:line="188"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Transferability — </w:t>
      </w:r>
      <w:r>
        <w:rPr>
          <w:rFonts w:ascii="Arial" w:cs="Arial" w:eastAsia="Arial" w:hAnsi="Arial"/>
          <w:sz w:val="13"/>
          <w:szCs w:val="13"/>
          <w:color w:val="auto"/>
        </w:rPr>
        <w:t>None of your rights under this Agreement may be assigned, transferred, pledged or otherwise disposed of, other than by will or the laws of descent and distribution.</w:t>
      </w:r>
    </w:p>
    <w:p>
      <w:pPr>
        <w:spacing w:after="0" w:line="269" w:lineRule="exact"/>
        <w:rPr>
          <w:rFonts w:ascii="Arial" w:cs="Arial" w:eastAsia="Arial" w:hAnsi="Arial"/>
          <w:sz w:val="13"/>
          <w:szCs w:val="13"/>
          <w:color w:val="auto"/>
        </w:rPr>
      </w:pPr>
    </w:p>
    <w:p>
      <w:pPr>
        <w:ind w:right="20" w:firstLine="8"/>
        <w:spacing w:after="0" w:line="414" w:lineRule="auto"/>
        <w:tabs>
          <w:tab w:leader="none" w:pos="756"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Notice </w:t>
      </w:r>
      <w:r>
        <w:rPr>
          <w:rFonts w:ascii="Arial" w:cs="Arial" w:eastAsia="Arial" w:hAnsi="Arial"/>
          <w:sz w:val="14"/>
          <w:szCs w:val="14"/>
          <w:color w:val="auto"/>
        </w:rPr>
        <w:t>— You agree that notices may be given to you in writing either at your home address as shown in the records of Parent or your Employer, or by electronic transmission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email or reference to a website or other URL) sent to you through your Employer’s normal process for communicating electronically with its employees.</w:t>
      </w:r>
    </w:p>
    <w:p>
      <w:pPr>
        <w:spacing w:after="0" w:line="119" w:lineRule="exact"/>
        <w:rPr>
          <w:rFonts w:ascii="Arial" w:cs="Arial" w:eastAsia="Arial" w:hAnsi="Arial"/>
          <w:sz w:val="14"/>
          <w:szCs w:val="14"/>
          <w:color w:val="auto"/>
        </w:rPr>
      </w:pPr>
    </w:p>
    <w:p>
      <w:pPr>
        <w:ind w:left="760" w:hanging="752"/>
        <w:spacing w:after="0"/>
        <w:tabs>
          <w:tab w:leader="none" w:pos="760"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 Right to Continued Employment — </w:t>
      </w:r>
      <w:r>
        <w:rPr>
          <w:rFonts w:ascii="Arial" w:cs="Arial" w:eastAsia="Arial" w:hAnsi="Arial"/>
          <w:sz w:val="13"/>
          <w:szCs w:val="13"/>
          <w:color w:val="auto"/>
        </w:rPr>
        <w:t>Nothing in this Agreement shall confer upon you any right to expectation of employment by, or to continue in the employment of, your</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Employer.</w:t>
      </w:r>
    </w:p>
    <w:p>
      <w:pPr>
        <w:spacing w:after="0" w:line="257" w:lineRule="exact"/>
        <w:rPr>
          <w:rFonts w:ascii="Arial" w:cs="Arial" w:eastAsia="Arial" w:hAnsi="Arial"/>
          <w:sz w:val="13"/>
          <w:szCs w:val="13"/>
          <w:color w:val="auto"/>
        </w:rPr>
      </w:pPr>
    </w:p>
    <w:p>
      <w:pPr>
        <w:jc w:val="both"/>
        <w:ind w:firstLine="8"/>
        <w:spacing w:after="0" w:line="387" w:lineRule="auto"/>
        <w:tabs>
          <w:tab w:leader="none" w:pos="756"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Limitation on Rights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No Right to Future Grants; Extraordinary Item of Compensation </w:t>
      </w:r>
      <w:r>
        <w:rPr>
          <w:rFonts w:ascii="Arial" w:cs="Arial" w:eastAsia="Arial" w:hAnsi="Arial"/>
          <w:sz w:val="14"/>
          <w:szCs w:val="14"/>
          <w:color w:val="auto"/>
        </w:rPr>
        <w:t>— As a condition of the grant of the Deferred Cash Award evidenced by this Agreement, you</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hereby acknowledge that (a) the grant of the Deferred Cash Award is a one-time benefit that does not create any contractual or other right to receive future grants of awards, or benefits in lieu of award; (b) all determinations with respect to future grants of awards, if any, will be at the sole discretion of Parent; (c) the value of the Deferred Cash Award is an extraordinary item of compensation that is outside the scope of your employment contract, if any, and nothing can or must automatically be inferred from such employment contract or its consequences; (d) the Deferred Cash Award is not part of normal or expected compensation for any purpose, and are not to be used for calculating any severance, resignation, redundancy, end of service payments, bonuses, long-service awards, pension or retirement benefits or similar payments, and you waive any claim on such basis; and (e) the Deferred Cash Award will vest or be forfeited in accordance with the terms stated in Paragraph 3 (Vesting and Payment) above.</w:t>
      </w:r>
    </w:p>
    <w:p>
      <w:pPr>
        <w:spacing w:after="0" w:line="141" w:lineRule="exact"/>
        <w:rPr>
          <w:rFonts w:ascii="Arial" w:cs="Arial" w:eastAsia="Arial" w:hAnsi="Arial"/>
          <w:sz w:val="14"/>
          <w:szCs w:val="14"/>
          <w:color w:val="auto"/>
        </w:rPr>
      </w:pPr>
    </w:p>
    <w:p>
      <w:pPr>
        <w:jc w:val="both"/>
        <w:ind w:firstLine="8"/>
        <w:spacing w:after="0" w:line="419" w:lineRule="auto"/>
        <w:tabs>
          <w:tab w:leader="none" w:pos="828"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Data Privacy Consent </w:t>
      </w:r>
      <w:r>
        <w:rPr>
          <w:rFonts w:ascii="Arial" w:cs="Arial" w:eastAsia="Arial" w:hAnsi="Arial"/>
          <w:sz w:val="13"/>
          <w:szCs w:val="13"/>
          <w:color w:val="auto"/>
        </w:rPr>
        <w:t>— As a condition of the grant of the Deferred Cash Award evidenced by this Agreement, you hereby consent to the collection, use and transfer of personal data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described in this paragraph. You understand that Parent and its subsidiaries hold certain personal information about you, including your name, home address and telephone number, date of birth, social security number, salary, nationality, job title, ownership interests or directorships held in Parent or its subsidiaries, and details of the Deferred Cash Award and all stock options or other equity awards, cancelled, exercised, vested or unvested (“</w:t>
      </w:r>
      <w:r>
        <w:rPr>
          <w:rFonts w:ascii="Arial" w:cs="Arial" w:eastAsia="Arial" w:hAnsi="Arial"/>
          <w:sz w:val="13"/>
          <w:szCs w:val="13"/>
          <w:b w:val="1"/>
          <w:bCs w:val="1"/>
          <w:color w:val="auto"/>
        </w:rPr>
        <w:t>Data</w:t>
      </w:r>
      <w:r>
        <w:rPr>
          <w:rFonts w:ascii="Arial" w:cs="Arial" w:eastAsia="Arial" w:hAnsi="Arial"/>
          <w:sz w:val="13"/>
          <w:szCs w:val="13"/>
          <w:color w:val="auto"/>
        </w:rPr>
        <w:t>”). You further understand that Parent and its subsidiaries will transfer Data amongst themselves as necessary for the purposes of implementation, administration and management of your participation in the Plan, and that Parent and any of its subsidiaries may each further transfer Data to any third parties assisting Parent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this Agreement, in electronic or other form, for the purposes of implementing, administering and managing your rights under this Agreement. You understand that you may, at any time, view such Data or require any necessary amendments to it.</w:t>
      </w:r>
    </w:p>
    <w:p>
      <w:pPr>
        <w:spacing w:after="0" w:line="126" w:lineRule="exact"/>
        <w:rPr>
          <w:rFonts w:ascii="Arial" w:cs="Arial" w:eastAsia="Arial" w:hAnsi="Arial"/>
          <w:sz w:val="13"/>
          <w:szCs w:val="13"/>
          <w:color w:val="auto"/>
        </w:rPr>
      </w:pPr>
    </w:p>
    <w:p>
      <w:pPr>
        <w:jc w:val="both"/>
        <w:ind w:firstLine="8"/>
        <w:spacing w:after="0" w:line="390" w:lineRule="auto"/>
        <w:tabs>
          <w:tab w:leader="none" w:pos="823"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Governing Law and Venue </w:t>
      </w:r>
      <w:r>
        <w:rPr>
          <w:rFonts w:ascii="Arial" w:cs="Arial" w:eastAsia="Arial" w:hAnsi="Arial"/>
          <w:sz w:val="14"/>
          <w:szCs w:val="14"/>
          <w:color w:val="auto"/>
        </w:rPr>
        <w:t>— This Agreement shall be governed by, and construed in accordance with, the laws of the State of Delaware, United States of America. The exclusive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venue for any and all disputes arising out of or in connection with this Agreement shall be New Castle County, Delaware, United States of America, and the courts sitting exclusively in New Castle County, Delaware,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36" w:lineRule="exact"/>
        <w:rPr>
          <w:rFonts w:ascii="Arial" w:cs="Arial" w:eastAsia="Arial" w:hAnsi="Arial"/>
          <w:sz w:val="14"/>
          <w:szCs w:val="14"/>
          <w:color w:val="auto"/>
        </w:rPr>
      </w:pPr>
    </w:p>
    <w:p>
      <w:pPr>
        <w:jc w:val="both"/>
        <w:ind w:firstLine="8"/>
        <w:spacing w:after="0" w:line="393" w:lineRule="auto"/>
        <w:tabs>
          <w:tab w:leader="none" w:pos="828"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Electronic Delivery and Acceptance </w:t>
      </w:r>
      <w:r>
        <w:rPr>
          <w:rFonts w:ascii="Arial" w:cs="Arial" w:eastAsia="Arial" w:hAnsi="Arial"/>
          <w:sz w:val="14"/>
          <w:szCs w:val="14"/>
          <w:color w:val="auto"/>
        </w:rPr>
        <w:t>— You agree that Parent or your Employer may provide you with any communications associated with the Deferred Cash Award by electronic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means, such as through an on-line or electronic system established and maintained by Parent or a third party designated by Parent. Your consent to receive electronic communications includes, but is not limited to, all legal and regulatory disclosures and communications associated with the Deferred Cash Award or notices or disclosures about a change in the terms and conditions of the Deferred Cash Award.</w:t>
      </w:r>
    </w:p>
    <w:p>
      <w:pPr>
        <w:spacing w:after="0" w:line="133" w:lineRule="exact"/>
        <w:rPr>
          <w:rFonts w:ascii="Arial" w:cs="Arial" w:eastAsia="Arial" w:hAnsi="Arial"/>
          <w:sz w:val="14"/>
          <w:szCs w:val="14"/>
          <w:color w:val="auto"/>
        </w:rPr>
      </w:pPr>
    </w:p>
    <w:p>
      <w:pPr>
        <w:jc w:val="both"/>
        <w:ind w:firstLine="8"/>
        <w:spacing w:after="0" w:line="429" w:lineRule="auto"/>
        <w:tabs>
          <w:tab w:leader="none" w:pos="828"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Code Section 409A </w:t>
      </w:r>
      <w:r>
        <w:rPr>
          <w:rFonts w:ascii="Arial" w:cs="Arial" w:eastAsia="Arial" w:hAnsi="Arial"/>
          <w:sz w:val="13"/>
          <w:szCs w:val="13"/>
          <w:color w:val="auto"/>
        </w:rPr>
        <w:t>— This Agreement is not intended to constitute a “nonqualified deferred compensation plan” for purposes of Section 409A of the U.S. Internal Revenue Code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1986, as amended (“</w:t>
      </w:r>
      <w:r>
        <w:rPr>
          <w:rFonts w:ascii="Arial" w:cs="Arial" w:eastAsia="Arial" w:hAnsi="Arial"/>
          <w:sz w:val="13"/>
          <w:szCs w:val="13"/>
          <w:b w:val="1"/>
          <w:bCs w:val="1"/>
          <w:color w:val="auto"/>
        </w:rPr>
        <w:t>Code Section 409A</w:t>
      </w:r>
      <w:r>
        <w:rPr>
          <w:rFonts w:ascii="Arial" w:cs="Arial" w:eastAsia="Arial" w:hAnsi="Arial"/>
          <w:sz w:val="13"/>
          <w:szCs w:val="13"/>
          <w:color w:val="auto"/>
        </w:rPr>
        <w:t>”). Neither you nor Parent shall have the right to accelerate or defer the vesting and/or delivery of any Deferred Cash Awards if such action would cause this Agreement to be subject to Code Section 409A. Parent makes no representations or warranty, and shall have no liability to you or any other person, if any provisions of or payments under this Agreement are determined to constitute nonqualified deferred compensation subject to Code Section 409A but not to satisfy the conditions of that section.</w:t>
      </w:r>
    </w:p>
    <w:p>
      <w:pPr>
        <w:spacing w:after="0" w:line="119" w:lineRule="exact"/>
        <w:rPr>
          <w:rFonts w:ascii="Arial" w:cs="Arial" w:eastAsia="Arial" w:hAnsi="Arial"/>
          <w:sz w:val="13"/>
          <w:szCs w:val="13"/>
          <w:color w:val="auto"/>
        </w:rPr>
      </w:pPr>
    </w:p>
    <w:p>
      <w:pPr>
        <w:jc w:val="both"/>
        <w:ind w:firstLine="8"/>
        <w:spacing w:after="0" w:line="398" w:lineRule="auto"/>
        <w:tabs>
          <w:tab w:leader="none" w:pos="828"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 Trust Fund </w:t>
      </w:r>
      <w:r>
        <w:rPr>
          <w:rFonts w:ascii="Arial" w:cs="Arial" w:eastAsia="Arial" w:hAnsi="Arial"/>
          <w:sz w:val="14"/>
          <w:szCs w:val="14"/>
          <w:color w:val="auto"/>
        </w:rPr>
        <w:t>— This Agreement shall not be construed to create a trust or separate fund of any kind or a fiduciary relationship between Parent and any of its affiliates and you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other person. To the extent that you acquire the right to receive payments from Parent, your Employer or any of their respective affiliates under this Agreement, such right shall be no greater than the right of any unsecured general creditor of Parent.</w:t>
      </w:r>
    </w:p>
    <w:p>
      <w:pPr>
        <w:spacing w:after="0" w:line="130" w:lineRule="exact"/>
        <w:rPr>
          <w:rFonts w:ascii="Arial" w:cs="Arial" w:eastAsia="Arial" w:hAnsi="Arial"/>
          <w:sz w:val="14"/>
          <w:szCs w:val="14"/>
          <w:color w:val="auto"/>
        </w:rPr>
      </w:pPr>
    </w:p>
    <w:p>
      <w:pPr>
        <w:ind w:firstLine="8"/>
        <w:spacing w:after="0" w:line="414" w:lineRule="auto"/>
        <w:tabs>
          <w:tab w:leader="none" w:pos="828"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Successors and Assigns </w:t>
      </w:r>
      <w:r>
        <w:rPr>
          <w:rFonts w:ascii="Arial" w:cs="Arial" w:eastAsia="Arial" w:hAnsi="Arial"/>
          <w:sz w:val="14"/>
          <w:szCs w:val="14"/>
          <w:color w:val="auto"/>
        </w:rPr>
        <w:t>— This Agreement shall be binding upon, and inure to the benefit of, Parent and its successors and assigns, and upon any person acquiring, whether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merger, consolidation, purchase of assets or otherwise, all or substantially all of Parent’s assets and business.</w:t>
      </w:r>
    </w:p>
    <w:p>
      <w:pPr>
        <w:sectPr>
          <w:pgSz w:w="11900" w:h="16838" w:orient="portrait"/>
          <w:cols w:equalWidth="0" w:num="1">
            <w:col w:w="11420"/>
          </w:cols>
          <w:pgMar w:left="240" w:top="418" w:right="239" w:bottom="93" w:gutter="0" w:footer="0" w:header="0"/>
        </w:sectPr>
      </w:pPr>
    </w:p>
    <w:bookmarkStart w:id="208" w:name="page209"/>
    <w:bookmarkEnd w:id="208"/>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25" w:right="1440" w:bottom="1440" w:gutter="0" w:footer="0" w:header="0"/>
        </w:sectPr>
      </w:pPr>
    </w:p>
    <w:bookmarkStart w:id="209" w:name="page210"/>
    <w:bookmarkEnd w:id="209"/>
    <w:p>
      <w:pPr>
        <w:ind w:firstLine="8"/>
        <w:spacing w:after="0" w:line="464" w:lineRule="auto"/>
        <w:tabs>
          <w:tab w:leader="none" w:pos="828" w:val="left"/>
        </w:tabs>
        <w:numPr>
          <w:ilvl w:val="0"/>
          <w:numId w:val="10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Entire Agreement </w:t>
      </w:r>
      <w:r>
        <w:rPr>
          <w:rFonts w:ascii="Arial" w:cs="Arial" w:eastAsia="Arial" w:hAnsi="Arial"/>
          <w:sz w:val="13"/>
          <w:szCs w:val="13"/>
          <w:color w:val="auto"/>
        </w:rPr>
        <w:t>— There are no restrictions, agreements, promises, representations, warranties, covenants or undertakings with respect to the subject matter hereof other than those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expressly set forth herein. This Agreement supersedes all prior agreements and understandings between the parties with respect to such subject matter set forth herein.</w:t>
      </w:r>
    </w:p>
    <w:p>
      <w:pPr>
        <w:spacing w:after="0" w:line="97" w:lineRule="exact"/>
        <w:rPr>
          <w:rFonts w:ascii="Arial" w:cs="Arial" w:eastAsia="Arial" w:hAnsi="Arial"/>
          <w:sz w:val="13"/>
          <w:szCs w:val="13"/>
          <w:color w:val="auto"/>
        </w:rPr>
      </w:pPr>
    </w:p>
    <w:p>
      <w:pPr>
        <w:ind w:firstLine="8"/>
        <w:spacing w:after="0" w:line="414" w:lineRule="auto"/>
        <w:tabs>
          <w:tab w:leader="none" w:pos="828" w:val="left"/>
        </w:tabs>
        <w:numPr>
          <w:ilvl w:val="0"/>
          <w:numId w:val="10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Severability </w:t>
      </w:r>
      <w:r>
        <w:rPr>
          <w:rFonts w:ascii="Arial" w:cs="Arial" w:eastAsia="Arial" w:hAnsi="Arial"/>
          <w:sz w:val="14"/>
          <w:szCs w:val="14"/>
          <w:color w:val="auto"/>
        </w:rPr>
        <w:t>— The provisions of this Agreement are severable and if any one or more provisions are determined to be illegal or otherwise unenforceable, in whole or in part,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remaining provisions shall nevertheless be binding and enforceable.</w:t>
      </w:r>
    </w:p>
    <w:p>
      <w:pPr>
        <w:spacing w:after="0" w:line="119" w:lineRule="exact"/>
        <w:rPr>
          <w:rFonts w:ascii="Arial" w:cs="Arial" w:eastAsia="Arial" w:hAnsi="Arial"/>
          <w:sz w:val="14"/>
          <w:szCs w:val="14"/>
          <w:color w:val="auto"/>
        </w:rPr>
      </w:pPr>
    </w:p>
    <w:p>
      <w:pPr>
        <w:ind w:firstLine="8"/>
        <w:spacing w:after="0" w:line="414" w:lineRule="auto"/>
        <w:tabs>
          <w:tab w:leader="none" w:pos="828" w:val="left"/>
        </w:tabs>
        <w:numPr>
          <w:ilvl w:val="0"/>
          <w:numId w:val="10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Waiver </w:t>
      </w:r>
      <w:r>
        <w:rPr>
          <w:rFonts w:ascii="Arial" w:cs="Arial" w:eastAsia="Arial" w:hAnsi="Arial"/>
          <w:sz w:val="14"/>
          <w:szCs w:val="14"/>
          <w:color w:val="auto"/>
        </w:rPr>
        <w:t>— You acknowledge that a waiver by Parent of breach of any provision of this Agreement shall not operate or be construed as a waiver of any other provision of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or of any subsequent breach by you or any other grantees.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color w:val="auto"/>
        </w:rPr>
        <w:t>Awarded subject to the terms and conditions stated above: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DELL TECHNOLOGIES INC.</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By:_____________________________________________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64" w:right="1440"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color w:val="auto"/>
        </w:rPr>
        <w:t>Acknowledged and Accepted: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Signature: ______________________________________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Print Name: 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2579"/>
        <w:spacing w:after="0"/>
        <w:rPr>
          <w:sz w:val="20"/>
          <w:szCs w:val="20"/>
          <w:color w:val="auto"/>
        </w:rPr>
      </w:pPr>
      <w:r>
        <w:rPr>
          <w:rFonts w:ascii="Arial" w:cs="Arial" w:eastAsia="Arial" w:hAnsi="Arial"/>
          <w:sz w:val="18"/>
          <w:szCs w:val="18"/>
          <w:i w:val="1"/>
          <w:iCs w:val="1"/>
          <w:color w:val="auto"/>
        </w:rPr>
        <w:t>[Signature Page to Deferred Cash Award Agreement]</w:t>
      </w:r>
    </w:p>
    <w:p>
      <w:pPr>
        <w:sectPr>
          <w:pgSz w:w="11900" w:h="16838" w:orient="portrait"/>
          <w:cols w:equalWidth="0" w:num="1">
            <w:col w:w="10219"/>
          </w:cols>
          <w:pgMar w:left="240" w:top="364" w:right="1440" w:bottom="1440"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364" w:right="1440" w:bottom="1440" w:gutter="0" w:footer="0" w:header="0"/>
          <w:type w:val="continuous"/>
        </w:sectPr>
      </w:pPr>
    </w:p>
    <w:bookmarkStart w:id="212" w:name="page213"/>
    <w:bookmarkEnd w:id="212"/>
    <w:tbl>
      <w:tblPr>
        <w:tblLayout w:type="fixed"/>
        <w:tblInd w:w="1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40" w:type="dxa"/>
            <w:vAlign w:val="bottom"/>
          </w:tcPr>
          <w:p>
            <w:pPr>
              <w:jc w:val="center"/>
              <w:ind w:right="3666"/>
              <w:spacing w:after="0"/>
              <w:rPr>
                <w:sz w:val="20"/>
                <w:szCs w:val="20"/>
                <w:color w:val="auto"/>
              </w:rPr>
            </w:pPr>
            <w:r>
              <w:rPr>
                <w:rFonts w:ascii="Arial" w:cs="Arial" w:eastAsia="Arial" w:hAnsi="Arial"/>
                <w:sz w:val="14"/>
                <w:szCs w:val="14"/>
                <w:b w:val="1"/>
                <w:bCs w:val="1"/>
                <w:color w:val="auto"/>
                <w:w w:val="91"/>
              </w:rPr>
              <w:t>Schedule I</w:t>
            </w:r>
          </w:p>
        </w:tc>
      </w:tr>
      <w:tr>
        <w:trPr>
          <w:trHeight w:val="186"/>
        </w:trPr>
        <w:tc>
          <w:tcPr>
            <w:tcW w:w="4060" w:type="dxa"/>
            <w:vAlign w:val="bottom"/>
          </w:tcPr>
          <w:p>
            <w:pPr>
              <w:spacing w:after="0"/>
              <w:rPr>
                <w:sz w:val="16"/>
                <w:szCs w:val="16"/>
                <w:color w:val="auto"/>
              </w:rPr>
            </w:pPr>
          </w:p>
        </w:tc>
        <w:tc>
          <w:tcPr>
            <w:tcW w:w="6060" w:type="dxa"/>
            <w:vAlign w:val="bottom"/>
            <w:gridSpan w:val="2"/>
          </w:tcPr>
          <w:p>
            <w:pPr>
              <w:jc w:val="center"/>
              <w:ind w:right="2646"/>
              <w:spacing w:after="0"/>
              <w:rPr>
                <w:sz w:val="20"/>
                <w:szCs w:val="20"/>
                <w:color w:val="auto"/>
              </w:rPr>
            </w:pPr>
            <w:r>
              <w:rPr>
                <w:rFonts w:ascii="Arial" w:cs="Arial" w:eastAsia="Arial" w:hAnsi="Arial"/>
                <w:sz w:val="14"/>
                <w:szCs w:val="14"/>
                <w:b w:val="1"/>
                <w:bCs w:val="1"/>
                <w:color w:val="auto"/>
                <w:w w:val="93"/>
              </w:rPr>
              <w:t>(Amount and Vesting)</w:t>
            </w:r>
          </w:p>
        </w:tc>
      </w:tr>
      <w:tr>
        <w:trPr>
          <w:trHeight w:val="296"/>
        </w:trPr>
        <w:tc>
          <w:tcPr>
            <w:tcW w:w="406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5040" w:type="dxa"/>
            <w:vAlign w:val="bottom"/>
            <w:tcBorders>
              <w:bottom w:val="single" w:sz="8" w:color="00000A"/>
            </w:tcBorders>
          </w:tcPr>
          <w:p>
            <w:pPr>
              <w:spacing w:after="0"/>
              <w:rPr>
                <w:sz w:val="24"/>
                <w:szCs w:val="24"/>
                <w:color w:val="auto"/>
              </w:rPr>
            </w:pPr>
          </w:p>
        </w:tc>
      </w:tr>
      <w:tr>
        <w:trPr>
          <w:trHeight w:val="254"/>
        </w:trPr>
        <w:tc>
          <w:tcPr>
            <w:tcW w:w="4060" w:type="dxa"/>
            <w:vAlign w:val="bottom"/>
            <w:tcBorders>
              <w:left w:val="single" w:sz="8" w:color="00000A"/>
            </w:tcBorders>
          </w:tcPr>
          <w:p>
            <w:pPr>
              <w:ind w:left="2000"/>
              <w:spacing w:after="0"/>
              <w:rPr>
                <w:sz w:val="20"/>
                <w:szCs w:val="20"/>
                <w:color w:val="auto"/>
              </w:rPr>
            </w:pPr>
            <w:r>
              <w:rPr>
                <w:rFonts w:ascii="Arial" w:cs="Arial" w:eastAsia="Arial" w:hAnsi="Arial"/>
                <w:sz w:val="20"/>
                <w:szCs w:val="20"/>
                <w:b w:val="1"/>
                <w:bCs w:val="1"/>
                <w:color w:val="auto"/>
              </w:rPr>
              <w:t>Vesting Date</w:t>
            </w:r>
          </w:p>
        </w:tc>
        <w:tc>
          <w:tcPr>
            <w:tcW w:w="1020" w:type="dxa"/>
            <w:vAlign w:val="bottom"/>
            <w:tcBorders>
              <w:right w:val="single" w:sz="8" w:color="00000A"/>
            </w:tcBorders>
          </w:tcPr>
          <w:p>
            <w:pPr>
              <w:spacing w:after="0"/>
              <w:rPr>
                <w:sz w:val="22"/>
                <w:szCs w:val="22"/>
                <w:color w:val="auto"/>
              </w:rPr>
            </w:pPr>
          </w:p>
        </w:tc>
        <w:tc>
          <w:tcPr>
            <w:tcW w:w="5040" w:type="dxa"/>
            <w:vAlign w:val="bottom"/>
            <w:tcBorders>
              <w:right w:val="single" w:sz="8" w:color="00000A"/>
            </w:tcBorders>
          </w:tcPr>
          <w:p>
            <w:pPr>
              <w:jc w:val="right"/>
              <w:ind w:right="46"/>
              <w:spacing w:after="0"/>
              <w:rPr>
                <w:sz w:val="20"/>
                <w:szCs w:val="20"/>
                <w:color w:val="auto"/>
              </w:rPr>
            </w:pPr>
            <w:r>
              <w:rPr>
                <w:rFonts w:ascii="Arial" w:cs="Arial" w:eastAsia="Arial" w:hAnsi="Arial"/>
                <w:sz w:val="20"/>
                <w:szCs w:val="20"/>
                <w:b w:val="1"/>
                <w:bCs w:val="1"/>
                <w:color w:val="auto"/>
                <w:w w:val="90"/>
              </w:rPr>
              <w:t>Portion of Deferred Cash Award Vesting on Vesting Date</w:t>
            </w:r>
          </w:p>
        </w:tc>
      </w:tr>
      <w:tr>
        <w:trPr>
          <w:trHeight w:val="23"/>
        </w:trPr>
        <w:tc>
          <w:tcPr>
            <w:tcW w:w="4060" w:type="dxa"/>
            <w:vAlign w:val="bottom"/>
            <w:tcBorders>
              <w:left w:val="single" w:sz="8" w:color="00000A"/>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5040" w:type="dxa"/>
            <w:vAlign w:val="bottom"/>
            <w:tcBorders>
              <w:bottom w:val="single" w:sz="8" w:color="00000A"/>
              <w:right w:val="single" w:sz="8" w:color="00000A"/>
            </w:tcBorders>
          </w:tcPr>
          <w:p>
            <w:pPr>
              <w:spacing w:after="0"/>
              <w:rPr>
                <w:sz w:val="2"/>
                <w:szCs w:val="2"/>
                <w:color w:val="auto"/>
              </w:rPr>
            </w:pPr>
          </w:p>
        </w:tc>
      </w:tr>
      <w:tr>
        <w:trPr>
          <w:trHeight w:val="254"/>
        </w:trPr>
        <w:tc>
          <w:tcPr>
            <w:tcW w:w="4060" w:type="dxa"/>
            <w:vAlign w:val="bottom"/>
            <w:tcBorders>
              <w:left w:val="single" w:sz="8" w:color="00000A"/>
            </w:tcBorders>
          </w:tcPr>
          <w:p>
            <w:pPr>
              <w:spacing w:after="0"/>
              <w:rPr>
                <w:sz w:val="22"/>
                <w:szCs w:val="22"/>
                <w:color w:val="auto"/>
              </w:rPr>
            </w:pPr>
          </w:p>
        </w:tc>
        <w:tc>
          <w:tcPr>
            <w:tcW w:w="1020" w:type="dxa"/>
            <w:vAlign w:val="bottom"/>
            <w:tcBorders>
              <w:right w:val="single" w:sz="8" w:color="00000A"/>
            </w:tcBorders>
          </w:tcPr>
          <w:p>
            <w:pPr>
              <w:spacing w:after="0"/>
              <w:rPr>
                <w:sz w:val="22"/>
                <w:szCs w:val="22"/>
                <w:color w:val="auto"/>
              </w:rPr>
            </w:pPr>
          </w:p>
        </w:tc>
        <w:tc>
          <w:tcPr>
            <w:tcW w:w="5040" w:type="dxa"/>
            <w:vAlign w:val="bottom"/>
            <w:tcBorders>
              <w:right w:val="single" w:sz="8" w:color="00000A"/>
            </w:tcBorders>
          </w:tcPr>
          <w:p>
            <w:pPr>
              <w:jc w:val="right"/>
              <w:ind w:right="4826"/>
              <w:spacing w:after="0"/>
              <w:rPr>
                <w:sz w:val="20"/>
                <w:szCs w:val="20"/>
                <w:color w:val="auto"/>
              </w:rPr>
            </w:pPr>
            <w:r>
              <w:rPr>
                <w:rFonts w:ascii="Arial" w:cs="Arial" w:eastAsia="Arial" w:hAnsi="Arial"/>
                <w:sz w:val="20"/>
                <w:szCs w:val="20"/>
                <w:color w:val="auto"/>
                <w:w w:val="89"/>
              </w:rPr>
              <w:t>$</w:t>
            </w:r>
          </w:p>
        </w:tc>
      </w:tr>
      <w:tr>
        <w:trPr>
          <w:trHeight w:val="23"/>
        </w:trPr>
        <w:tc>
          <w:tcPr>
            <w:tcW w:w="4060" w:type="dxa"/>
            <w:vAlign w:val="bottom"/>
            <w:tcBorders>
              <w:left w:val="single" w:sz="8" w:color="00000A"/>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5040" w:type="dxa"/>
            <w:vAlign w:val="bottom"/>
            <w:tcBorders>
              <w:bottom w:val="single" w:sz="8" w:color="00000A"/>
              <w:right w:val="single" w:sz="8" w:color="00000A"/>
            </w:tcBorders>
          </w:tcPr>
          <w:p>
            <w:pPr>
              <w:spacing w:after="0"/>
              <w:rPr>
                <w:sz w:val="2"/>
                <w:szCs w:val="2"/>
                <w:color w:val="auto"/>
              </w:rPr>
            </w:pPr>
          </w:p>
        </w:tc>
      </w:tr>
      <w:tr>
        <w:trPr>
          <w:trHeight w:val="254"/>
        </w:trPr>
        <w:tc>
          <w:tcPr>
            <w:tcW w:w="4060" w:type="dxa"/>
            <w:vAlign w:val="bottom"/>
            <w:tcBorders>
              <w:left w:val="single" w:sz="8" w:color="00000A"/>
            </w:tcBorders>
          </w:tcPr>
          <w:p>
            <w:pPr>
              <w:spacing w:after="0"/>
              <w:rPr>
                <w:sz w:val="22"/>
                <w:szCs w:val="22"/>
                <w:color w:val="auto"/>
              </w:rPr>
            </w:pPr>
          </w:p>
        </w:tc>
        <w:tc>
          <w:tcPr>
            <w:tcW w:w="1020" w:type="dxa"/>
            <w:vAlign w:val="bottom"/>
            <w:tcBorders>
              <w:right w:val="single" w:sz="8" w:color="00000A"/>
            </w:tcBorders>
          </w:tcPr>
          <w:p>
            <w:pPr>
              <w:spacing w:after="0"/>
              <w:rPr>
                <w:sz w:val="22"/>
                <w:szCs w:val="22"/>
                <w:color w:val="auto"/>
              </w:rPr>
            </w:pPr>
          </w:p>
        </w:tc>
        <w:tc>
          <w:tcPr>
            <w:tcW w:w="5040" w:type="dxa"/>
            <w:vAlign w:val="bottom"/>
            <w:tcBorders>
              <w:right w:val="single" w:sz="8" w:color="00000A"/>
            </w:tcBorders>
          </w:tcPr>
          <w:p>
            <w:pPr>
              <w:jc w:val="right"/>
              <w:ind w:right="4826"/>
              <w:spacing w:after="0"/>
              <w:rPr>
                <w:sz w:val="20"/>
                <w:szCs w:val="20"/>
                <w:color w:val="auto"/>
              </w:rPr>
            </w:pPr>
            <w:r>
              <w:rPr>
                <w:rFonts w:ascii="Arial" w:cs="Arial" w:eastAsia="Arial" w:hAnsi="Arial"/>
                <w:sz w:val="20"/>
                <w:szCs w:val="20"/>
                <w:color w:val="auto"/>
                <w:w w:val="89"/>
              </w:rPr>
              <w:t>$</w:t>
            </w:r>
          </w:p>
        </w:tc>
      </w:tr>
      <w:tr>
        <w:trPr>
          <w:trHeight w:val="23"/>
        </w:trPr>
        <w:tc>
          <w:tcPr>
            <w:tcW w:w="4060" w:type="dxa"/>
            <w:vAlign w:val="bottom"/>
            <w:tcBorders>
              <w:left w:val="single" w:sz="8" w:color="00000A"/>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5040" w:type="dxa"/>
            <w:vAlign w:val="bottom"/>
            <w:tcBorders>
              <w:bottom w:val="single" w:sz="8" w:color="00000A"/>
              <w:right w:val="single" w:sz="8" w:color="00000A"/>
            </w:tcBorders>
          </w:tcPr>
          <w:p>
            <w:pPr>
              <w:spacing w:after="0"/>
              <w:rPr>
                <w:sz w:val="2"/>
                <w:szCs w:val="2"/>
                <w:color w:val="auto"/>
              </w:rPr>
            </w:pPr>
          </w:p>
        </w:tc>
      </w:tr>
      <w:tr>
        <w:trPr>
          <w:trHeight w:val="254"/>
        </w:trPr>
        <w:tc>
          <w:tcPr>
            <w:tcW w:w="4060" w:type="dxa"/>
            <w:vAlign w:val="bottom"/>
            <w:tcBorders>
              <w:left w:val="single" w:sz="8" w:color="00000A"/>
            </w:tcBorders>
          </w:tcPr>
          <w:p>
            <w:pPr>
              <w:spacing w:after="0"/>
              <w:rPr>
                <w:sz w:val="22"/>
                <w:szCs w:val="22"/>
                <w:color w:val="auto"/>
              </w:rPr>
            </w:pPr>
          </w:p>
        </w:tc>
        <w:tc>
          <w:tcPr>
            <w:tcW w:w="1020" w:type="dxa"/>
            <w:vAlign w:val="bottom"/>
            <w:tcBorders>
              <w:right w:val="single" w:sz="8" w:color="00000A"/>
            </w:tcBorders>
          </w:tcPr>
          <w:p>
            <w:pPr>
              <w:spacing w:after="0"/>
              <w:rPr>
                <w:sz w:val="22"/>
                <w:szCs w:val="22"/>
                <w:color w:val="auto"/>
              </w:rPr>
            </w:pPr>
          </w:p>
        </w:tc>
        <w:tc>
          <w:tcPr>
            <w:tcW w:w="5040" w:type="dxa"/>
            <w:vAlign w:val="bottom"/>
            <w:tcBorders>
              <w:right w:val="single" w:sz="8" w:color="00000A"/>
            </w:tcBorders>
          </w:tcPr>
          <w:p>
            <w:pPr>
              <w:jc w:val="right"/>
              <w:ind w:right="4826"/>
              <w:spacing w:after="0"/>
              <w:rPr>
                <w:sz w:val="20"/>
                <w:szCs w:val="20"/>
                <w:color w:val="auto"/>
              </w:rPr>
            </w:pPr>
            <w:r>
              <w:rPr>
                <w:rFonts w:ascii="Arial" w:cs="Arial" w:eastAsia="Arial" w:hAnsi="Arial"/>
                <w:sz w:val="20"/>
                <w:szCs w:val="20"/>
                <w:color w:val="auto"/>
                <w:w w:val="89"/>
              </w:rPr>
              <w:t>$</w:t>
            </w:r>
          </w:p>
        </w:tc>
      </w:tr>
      <w:tr>
        <w:trPr>
          <w:trHeight w:val="23"/>
        </w:trPr>
        <w:tc>
          <w:tcPr>
            <w:tcW w:w="4060" w:type="dxa"/>
            <w:vAlign w:val="bottom"/>
            <w:tcBorders>
              <w:left w:val="single" w:sz="8" w:color="00000A"/>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5040" w:type="dxa"/>
            <w:vAlign w:val="bottom"/>
            <w:tcBorders>
              <w:bottom w:val="single" w:sz="8" w:color="00000A"/>
              <w:right w:val="single" w:sz="8" w:color="00000A"/>
            </w:tcBorders>
          </w:tcPr>
          <w:p>
            <w:pPr>
              <w:spacing w:after="0"/>
              <w:rPr>
                <w:sz w:val="2"/>
                <w:szCs w:val="2"/>
                <w:color w:val="auto"/>
              </w:rPr>
            </w:pPr>
          </w:p>
        </w:tc>
      </w:tr>
      <w:tr>
        <w:trPr>
          <w:trHeight w:val="254"/>
        </w:trPr>
        <w:tc>
          <w:tcPr>
            <w:tcW w:w="4060" w:type="dxa"/>
            <w:vAlign w:val="bottom"/>
            <w:tcBorders>
              <w:left w:val="single" w:sz="8" w:color="00000A"/>
            </w:tcBorders>
          </w:tcPr>
          <w:p>
            <w:pPr>
              <w:spacing w:after="0"/>
              <w:rPr>
                <w:sz w:val="22"/>
                <w:szCs w:val="22"/>
                <w:color w:val="auto"/>
              </w:rPr>
            </w:pPr>
          </w:p>
        </w:tc>
        <w:tc>
          <w:tcPr>
            <w:tcW w:w="1020" w:type="dxa"/>
            <w:vAlign w:val="bottom"/>
            <w:tcBorders>
              <w:right w:val="single" w:sz="8" w:color="00000A"/>
            </w:tcBorders>
          </w:tcPr>
          <w:p>
            <w:pPr>
              <w:spacing w:after="0"/>
              <w:rPr>
                <w:sz w:val="22"/>
                <w:szCs w:val="22"/>
                <w:color w:val="auto"/>
              </w:rPr>
            </w:pPr>
          </w:p>
        </w:tc>
        <w:tc>
          <w:tcPr>
            <w:tcW w:w="5040" w:type="dxa"/>
            <w:vAlign w:val="bottom"/>
            <w:tcBorders>
              <w:right w:val="single" w:sz="8" w:color="00000A"/>
            </w:tcBorders>
          </w:tcPr>
          <w:p>
            <w:pPr>
              <w:jc w:val="right"/>
              <w:ind w:right="4826"/>
              <w:spacing w:after="0"/>
              <w:rPr>
                <w:sz w:val="20"/>
                <w:szCs w:val="20"/>
                <w:color w:val="auto"/>
              </w:rPr>
            </w:pPr>
            <w:r>
              <w:rPr>
                <w:rFonts w:ascii="Arial" w:cs="Arial" w:eastAsia="Arial" w:hAnsi="Arial"/>
                <w:sz w:val="20"/>
                <w:szCs w:val="20"/>
                <w:color w:val="auto"/>
                <w:w w:val="89"/>
              </w:rPr>
              <w:t>$</w:t>
            </w:r>
          </w:p>
        </w:tc>
      </w:tr>
      <w:tr>
        <w:trPr>
          <w:trHeight w:val="23"/>
        </w:trPr>
        <w:tc>
          <w:tcPr>
            <w:tcW w:w="4060" w:type="dxa"/>
            <w:vAlign w:val="bottom"/>
            <w:tcBorders>
              <w:left w:val="single" w:sz="8" w:color="00000A"/>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5040" w:type="dxa"/>
            <w:vAlign w:val="bottom"/>
            <w:tcBorders>
              <w:bottom w:val="single" w:sz="8" w:color="00000A"/>
              <w:right w:val="single" w:sz="8" w:color="00000A"/>
            </w:tcBorders>
          </w:tcPr>
          <w:p>
            <w:pPr>
              <w:spacing w:after="0"/>
              <w:rPr>
                <w:sz w:val="2"/>
                <w:szCs w:val="2"/>
                <w:color w:val="auto"/>
              </w:rPr>
            </w:pPr>
          </w:p>
        </w:tc>
      </w:tr>
      <w:tr>
        <w:trPr>
          <w:trHeight w:val="777"/>
        </w:trPr>
        <w:tc>
          <w:tcPr>
            <w:tcW w:w="4060" w:type="dxa"/>
            <w:vAlign w:val="bottom"/>
          </w:tcPr>
          <w:p>
            <w:pPr>
              <w:spacing w:after="0"/>
              <w:rPr>
                <w:sz w:val="24"/>
                <w:szCs w:val="24"/>
                <w:color w:val="auto"/>
              </w:rPr>
            </w:pPr>
          </w:p>
        </w:tc>
        <w:tc>
          <w:tcPr>
            <w:tcW w:w="6060" w:type="dxa"/>
            <w:vAlign w:val="bottom"/>
            <w:gridSpan w:val="2"/>
          </w:tcPr>
          <w:p>
            <w:pPr>
              <w:jc w:val="center"/>
              <w:ind w:right="2666"/>
              <w:spacing w:after="0"/>
              <w:rPr>
                <w:sz w:val="20"/>
                <w:szCs w:val="20"/>
                <w:color w:val="auto"/>
              </w:rPr>
            </w:pPr>
            <w:r>
              <w:rPr>
                <w:rFonts w:ascii="Arial" w:cs="Arial" w:eastAsia="Arial" w:hAnsi="Arial"/>
                <w:sz w:val="18"/>
                <w:szCs w:val="18"/>
                <w:color w:val="auto"/>
                <w:w w:val="99"/>
              </w:rPr>
              <w:t>6</w:t>
            </w:r>
          </w:p>
        </w:tc>
      </w:tr>
    </w:tbl>
    <w:p>
      <w:pPr>
        <w:sectPr>
          <w:pgSz w:w="11900" w:h="16838" w:orient="portrait"/>
          <w:cols w:equalWidth="0" w:num="1">
            <w:col w:w="10219"/>
          </w:cols>
          <w:pgMar w:left="240" w:top="360"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10.38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 AGREEMENT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This Indemnification Agreement is dated as of ______ (this “</w:t>
      </w:r>
      <w:r>
        <w:rPr>
          <w:rFonts w:ascii="Arial" w:cs="Arial" w:eastAsia="Arial" w:hAnsi="Arial"/>
          <w:sz w:val="21"/>
          <w:szCs w:val="21"/>
          <w:u w:val="single" w:color="auto"/>
          <w:color w:val="auto"/>
        </w:rPr>
        <w:t>Agreement</w:t>
      </w:r>
      <w:r>
        <w:rPr>
          <w:rFonts w:ascii="Arial" w:cs="Arial" w:eastAsia="Arial" w:hAnsi="Arial"/>
          <w:sz w:val="21"/>
          <w:szCs w:val="21"/>
          <w:color w:val="auto"/>
        </w:rPr>
        <w:t>”) and is between Denali Holding Inc., a Delaware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 (“</w:t>
      </w:r>
      <w:r>
        <w:rPr>
          <w:rFonts w:ascii="Arial" w:cs="Arial" w:eastAsia="Arial" w:hAnsi="Arial"/>
          <w:sz w:val="22"/>
          <w:szCs w:val="22"/>
          <w:u w:val="single" w:color="auto"/>
          <w:color w:val="auto"/>
        </w:rPr>
        <w:t>Indemnitee</w:t>
      </w:r>
      <w:r>
        <w:rPr>
          <w:rFonts w:ascii="Arial" w:cs="Arial" w:eastAsia="Arial" w:hAnsi="Arial"/>
          <w:sz w:val="22"/>
          <w:szCs w:val="22"/>
          <w:color w:val="auto"/>
        </w:rPr>
        <w: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Indemnitee is a director and/or officer of the Company and may also serve as a director, executive officer, employee, consultant, fiduciary or agent (collectively, the “</w:t>
      </w:r>
      <w:r>
        <w:rPr>
          <w:rFonts w:ascii="Arial" w:cs="Arial" w:eastAsia="Arial" w:hAnsi="Arial"/>
          <w:sz w:val="22"/>
          <w:szCs w:val="22"/>
          <w:u w:val="single" w:color="auto"/>
          <w:color w:val="auto"/>
        </w:rPr>
        <w:t>Indemnifiable Positions</w:t>
      </w:r>
      <w:r>
        <w:rPr>
          <w:rFonts w:ascii="Arial" w:cs="Arial" w:eastAsia="Arial" w:hAnsi="Arial"/>
          <w:sz w:val="22"/>
          <w:szCs w:val="22"/>
          <w:color w:val="auto"/>
        </w:rPr>
        <w:t>”) of other corporations, limited liability companies, partnerships, joint ventures, trusts, employee benefit plans or other enterprises controlled by the Company (collectively, the “</w:t>
      </w:r>
      <w:r>
        <w:rPr>
          <w:rFonts w:ascii="Arial" w:cs="Arial" w:eastAsia="Arial" w:hAnsi="Arial"/>
          <w:sz w:val="22"/>
          <w:szCs w:val="22"/>
          <w:u w:val="single" w:color="auto"/>
          <w:color w:val="auto"/>
        </w:rPr>
        <w:t>Controlled Entities</w:t>
      </w:r>
      <w:r>
        <w:rPr>
          <w:rFonts w:ascii="Arial" w:cs="Arial" w:eastAsia="Arial" w:hAnsi="Arial"/>
          <w:sz w:val="22"/>
          <w:szCs w:val="22"/>
          <w:color w:val="auto"/>
        </w:rPr>
        <w: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WHEREAS, in order to induce Indemnitee to continue to serve as a director and/or executive officer of the Company and/or in other Indemnifiable Positions of the Controlled Entities, the Company wishes to provide for the indemnification of, and the advancement of Expenses (as defined herein) to, Indemnitee to the maximum extent permitted by law;</w:t>
      </w:r>
    </w:p>
    <w:p>
      <w:pPr>
        <w:spacing w:after="0" w:line="168"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WHEREAS, the certificate of incorporation of the Company (the “</w:t>
      </w:r>
      <w:r>
        <w:rPr>
          <w:rFonts w:ascii="Arial" w:cs="Arial" w:eastAsia="Arial" w:hAnsi="Arial"/>
          <w:sz w:val="19"/>
          <w:szCs w:val="19"/>
          <w:u w:val="single" w:color="auto"/>
          <w:color w:val="auto"/>
        </w:rPr>
        <w:t>Charter</w:t>
      </w:r>
      <w:r>
        <w:rPr>
          <w:rFonts w:ascii="Arial" w:cs="Arial" w:eastAsia="Arial" w:hAnsi="Arial"/>
          <w:sz w:val="19"/>
          <w:szCs w:val="19"/>
          <w:color w:val="auto"/>
        </w:rPr>
        <w:t>”) provides for the indemnification of the Company’s directors and officers to the fullest extent permitted under the Delaware General Corporation Law (the “</w:t>
      </w:r>
      <w:r>
        <w:rPr>
          <w:rFonts w:ascii="Arial" w:cs="Arial" w:eastAsia="Arial" w:hAnsi="Arial"/>
          <w:sz w:val="19"/>
          <w:szCs w:val="19"/>
          <w:u w:val="single" w:color="auto"/>
          <w:color w:val="auto"/>
        </w:rPr>
        <w:t>DGCL</w:t>
      </w:r>
      <w:r>
        <w:rPr>
          <w:rFonts w:ascii="Arial" w:cs="Arial" w:eastAsia="Arial" w:hAnsi="Arial"/>
          <w:sz w:val="19"/>
          <w:szCs w:val="19"/>
          <w:color w:val="auto"/>
        </w:rPr>
        <w:t>”); and</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the Company and Indemnitee desire to enter into this Agreement to set forth their agreement regarding indemnification and the advancement of Expenses and to clarify the priority of the indemnification and advancement of Expenses with respect to certain Jointly Indemnifiable Claims (as defined herein).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NOW, THEREFORE, in consideration of Indemnitee’s service or continued service to the Company and/or the Controlled Entities and the covenants and agreements set forth below, and for other good and valuable consideration, the receipt and adequacy of which are hereby acknowledged, the parties hereto, intending to be legally bound, hereby agree as follows.</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fullest extent permitted by the DGCL:</w:t>
      </w:r>
    </w:p>
    <w:p>
      <w:pPr>
        <w:spacing w:after="0" w:line="220" w:lineRule="exact"/>
        <w:rPr>
          <w:sz w:val="20"/>
          <w:szCs w:val="20"/>
          <w:color w:val="auto"/>
        </w:rPr>
      </w:pPr>
    </w:p>
    <w:p>
      <w:pPr>
        <w:jc w:val="both"/>
        <w:ind w:firstLine="656"/>
        <w:spacing w:after="0" w:line="250" w:lineRule="auto"/>
        <w:tabs>
          <w:tab w:leader="none" w:pos="115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Company shall indemnify Indemnitee if Indemnitee was or is made or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appeals.</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15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indemnification provided by this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shall be from and against all loss and liability suffered and Expenses (including attorneys’ fees), Judgments, Fines and Amounts Paid in Settlement actually and reasonably incurred by or on behalf of Indemnitee in connection with such Action, Suit or Proceeding, including any appeals.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214" w:name="page215"/>
    <w:bookmarkEnd w:id="214"/>
    <w:p>
      <w:pPr>
        <w:jc w:val="both"/>
        <w:spacing w:after="0" w:line="246"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Payment of Expenses</w:t>
      </w:r>
      <w:r>
        <w:rPr>
          <w:rFonts w:ascii="Arial" w:cs="Arial" w:eastAsia="Arial" w:hAnsi="Arial"/>
          <w:sz w:val="22"/>
          <w:szCs w:val="22"/>
          <w:color w:val="auto"/>
        </w:rPr>
        <w:t>. To the fullest extent permitted by the DGCL, Expenses (including attorneys’ fees) incurred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Indemnitee in appearing at, participating in or defending any Action, Suit or Proceeding or in connection with an enforcement action as contemplated by </w:t>
      </w:r>
      <w:r>
        <w:rPr>
          <w:rFonts w:ascii="Arial" w:cs="Arial" w:eastAsia="Arial" w:hAnsi="Arial"/>
          <w:sz w:val="22"/>
          <w:szCs w:val="22"/>
          <w:u w:val="single" w:color="auto"/>
          <w:color w:val="auto"/>
        </w:rPr>
        <w:t>Section 3</w:t>
      </w: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xml:space="preserve">), shall be paid by the Company in advance of the final disposition of such Action, Suit or Proceeding or such enforcement action within 15 days after receipt by the Company of a statement or statements from Indemnitee requesting such advance or advances from time to time. The Indemnitee hereby undertakes to repay any amounts advanced (without interest) to the extent that it is ultimately determined that Indemnitee is not entitled under this Agreement to be indemnified by the Company in respect of such Action, Suit or Proceeding or such enforcement action as contemplated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w:t>
      </w: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xml:space="preserve">). No other form of undertaking shall be required of Indemnitee other than the execution of this Agreement.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 xml:space="preserve">) and shall not apply to any claim made by Indemnitee for which indemnity is excluded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w:t>
      </w:r>
    </w:p>
    <w:p>
      <w:pPr>
        <w:spacing w:after="0" w:line="18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Procedure for Indemnification; Notification and Defense of Claim</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85" w:lineRule="auto"/>
        <w:tabs>
          <w:tab w:leader="none" w:pos="125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Promptly after receipt by Indemnitee of actual notice of the commencement of any Action, Suit or Proceeding, Indemnitee shall, if a claim in respect thereof is to be made or could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(through the forfeiture of substantive rights or defenses) in its defense of such Action, Suit or Proceeding as a result of such failure. With respect to any Action, Suit or Proceeding of which the Company is so notified as provided in this Agreement, the Company shall, subject to the last two sentences of this paragraph and subject to the Company’s prior determination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to grant Indemnitee’s indemnification request with respect to such Action, Suit or Proceeding prior to the final disposition of such Action, Suit or Proceeding or such enforcement action, be entitled to assume the defense of such Action, Suit or Proceeding, with counsel reasonably acceptable to Indemnitee (which acceptance shall not be unreasonably withheld or delayed),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or on behalf of Indemnitee with respect to the same Action, Suit or Proceeding unless the Company does not continue to retain such counsel to defend such Action, Suit or Proceeding. Notwithstanding the foregoing, if Indemnitee, based on the advice of his or her counsel, shall have reasonably concluded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656"/>
        <w:spacing w:after="0" w:line="253" w:lineRule="auto"/>
        <w:tabs>
          <w:tab w:leader="none" w:pos="119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To obtain indemnification under this Agreement, upon final disposition of such Action, Suit or Proceeding or such enforcement action, in each case, contemplated in </w:t>
      </w:r>
      <w:r>
        <w:rPr>
          <w:rFonts w:ascii="Arial" w:cs="Arial" w:eastAsia="Arial" w:hAnsi="Arial"/>
          <w:sz w:val="22"/>
          <w:szCs w:val="22"/>
          <w:u w:val="single" w:color="auto"/>
          <w:color w:val="auto"/>
        </w:rPr>
        <w:t>Section 1</w:t>
      </w:r>
      <w:r>
        <w:rPr>
          <w:rFonts w:ascii="Arial" w:cs="Arial" w:eastAsia="Arial" w:hAnsi="Arial"/>
          <w:sz w:val="22"/>
          <w:szCs w:val="22"/>
          <w:color w:val="auto"/>
        </w:rPr>
        <w:t>, Indemnitee shall submit to the Company a written request therefor including such documentation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15" w:name="page216"/>
    <w:bookmarkEnd w:id="215"/>
    <w:p>
      <w:pPr>
        <w:jc w:val="both"/>
        <w:spacing w:after="0" w:line="250" w:lineRule="auto"/>
        <w:rPr>
          <w:sz w:val="20"/>
          <w:szCs w:val="20"/>
          <w:color w:val="auto"/>
        </w:rPr>
      </w:pPr>
      <w:r>
        <w:rPr>
          <w:rFonts w:ascii="Arial" w:cs="Arial" w:eastAsia="Arial" w:hAnsi="Arial"/>
          <w:sz w:val="22"/>
          <w:szCs w:val="22"/>
          <w:color w:val="auto"/>
        </w:rPr>
        <w:t>and information as is reasonably available to Indemnitee and, to the extent available, such documentation and information as is reasonably necessary to enable the Company to determine whether and to what extent Indemnitee is entitled to indemnification. In addition, Indemnitee shall reasonably cooperate with the Company and shall give the Company such additional information as the Company may reasonably require.</w:t>
      </w:r>
    </w:p>
    <w:p>
      <w:pPr>
        <w:spacing w:after="0" w:line="188" w:lineRule="exact"/>
        <w:rPr>
          <w:sz w:val="20"/>
          <w:szCs w:val="20"/>
          <w:color w:val="auto"/>
        </w:rPr>
      </w:pPr>
    </w:p>
    <w:p>
      <w:pPr>
        <w:jc w:val="both"/>
        <w:ind w:firstLine="656"/>
        <w:spacing w:after="0" w:line="285" w:lineRule="auto"/>
        <w:tabs>
          <w:tab w:leader="none" w:pos="118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determination whether to grant Indemnitee’s indemnification request shall be made promptly and in any event within 30 days following the Company’s receipt of a request for indemnification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w:t>
      </w:r>
      <w:r>
        <w:rPr>
          <w:rFonts w:ascii="Arial" w:cs="Arial" w:eastAsia="Arial" w:hAnsi="Arial"/>
          <w:sz w:val="19"/>
          <w:szCs w:val="19"/>
          <w:u w:val="single" w:color="auto"/>
          <w:color w:val="auto"/>
        </w:rPr>
        <w:t>a</w:t>
      </w:r>
      <w:r>
        <w:rPr>
          <w:rFonts w:ascii="Arial" w:cs="Arial" w:eastAsia="Arial" w:hAnsi="Arial"/>
          <w:sz w:val="19"/>
          <w:szCs w:val="19"/>
          <w:color w:val="auto"/>
        </w:rPr>
        <w:t>) (the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Review Period</w:t>
      </w:r>
      <w:r>
        <w:rPr>
          <w:rFonts w:ascii="Arial" w:cs="Arial" w:eastAsia="Arial" w:hAnsi="Arial"/>
          <w:sz w:val="19"/>
          <w:szCs w:val="19"/>
          <w:color w:val="auto"/>
        </w:rPr>
        <w:t xml:space="preserve">”). Prior to final disposition of the Action, Suit or Proceeding or enforcement action in respect of which the indemnification request is made, if (i) the Company’s determination of whether to grant Indemnitee’s indemnification request shall not have been made within the Indemnity Review Period or (ii) the Company denies the Indemnitee’s indemnification request during the Indemnity Review Period, then, in each case, the indemnification request shall be deemed to have been denied and the Indemnitee shall not be entitled to such indemnification during the pendency of such Action, Suit or Proceeding or enforcement action, without prejudice to any subsequent indemnification request made by the Indemnitee following final disposition of such Action, Suit or Proceeding or such enforcement action in respect of such Action, Suit or Proceeding or such enforcement action. Following final disposition of the Action, Suit or Proceeding or enforcement action in respect of which the indemnification request is made, if the Company’s determination of whether to grant Indemnitee’s indemnification request shall not have been made within the Indemnity Review Period, then the requisite determination of entitlement to indemnification shall, subject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If the Company determines that Indemnitee is entitled to such indemnification within the Indemnity Review Period, the Company will make payments to Indemnitee of any indemnifiable amounts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in each case within 30 days following any payment request from Indemnitee (for any such payment request, the applicable “</w:t>
      </w:r>
      <w:r>
        <w:rPr>
          <w:rFonts w:ascii="Arial" w:cs="Arial" w:eastAsia="Arial" w:hAnsi="Arial"/>
          <w:sz w:val="19"/>
          <w:szCs w:val="19"/>
          <w:u w:val="single" w:color="auto"/>
          <w:color w:val="auto"/>
        </w:rPr>
        <w:t>Payment Request Period</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656"/>
        <w:spacing w:after="0" w:line="288" w:lineRule="auto"/>
        <w:tabs>
          <w:tab w:leader="none" w:pos="12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event that (i) the Company determines in accordance with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that Indemnitee is not entitled to indemnification under this Agreement, (ii) the Company denies a request for indemnification, in whole or in part, or fails to respond or make a determination of entitlement to indemnification within the Indemnity Review Period, (iii) payment of any indemnifiable amounts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is not made by the Company within the applicable Payment Request Period, (iv) advancement of Expenses is not timely made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Indemnitee hereunder, Indemnitee shall be entitled to an adjudication in any court of competent jurisdiction of his or her entitlement to such indemnification or advancement of Expenses. To the extent not already advanced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Indemnitee’s Expenses (including attorneys’ fees) incurred in connection with successfully establishing Indemnitee’s right to indemnification or advancement of Expenses, in whole or in part, in any such proceeding or otherwise shall also be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216" w:name="page217"/>
    <w:bookmarkEnd w:id="216"/>
    <w:p>
      <w:pPr>
        <w:jc w:val="both"/>
        <w:spacing w:after="0" w:line="253" w:lineRule="auto"/>
        <w:rPr>
          <w:sz w:val="20"/>
          <w:szCs w:val="20"/>
          <w:color w:val="auto"/>
        </w:rPr>
      </w:pPr>
      <w:r>
        <w:rPr>
          <w:rFonts w:ascii="Arial" w:cs="Arial" w:eastAsia="Arial" w:hAnsi="Arial"/>
          <w:sz w:val="22"/>
          <w:szCs w:val="22"/>
          <w:color w:val="auto"/>
        </w:rPr>
        <w:t xml:space="preserve">indemnified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Indemnitee is successful in part and unsuccessful in part in establishing Indemnitee’s right to indemnification or advancement of Expenses hereunder, Indemnitee shall be entitled to partial indemnification of Expenses in accordance with </w:t>
      </w:r>
      <w:r>
        <w:rPr>
          <w:rFonts w:ascii="Arial" w:cs="Arial" w:eastAsia="Arial" w:hAnsi="Arial"/>
          <w:sz w:val="22"/>
          <w:szCs w:val="22"/>
          <w:u w:val="single" w:color="auto"/>
          <w:color w:val="auto"/>
        </w:rPr>
        <w:t>Section 20</w:t>
      </w:r>
      <w:r>
        <w:rPr>
          <w:rFonts w:ascii="Arial" w:cs="Arial" w:eastAsia="Arial" w:hAnsi="Arial"/>
          <w:sz w:val="22"/>
          <w:szCs w:val="22"/>
          <w:color w:val="auto"/>
        </w:rPr>
        <w:t>.</w:t>
      </w:r>
    </w:p>
    <w:p>
      <w:pPr>
        <w:spacing w:after="0" w:line="186" w:lineRule="exact"/>
        <w:rPr>
          <w:sz w:val="20"/>
          <w:szCs w:val="20"/>
          <w:color w:val="auto"/>
        </w:rPr>
      </w:pPr>
    </w:p>
    <w:p>
      <w:pPr>
        <w:jc w:val="both"/>
        <w:ind w:firstLine="656"/>
        <w:spacing w:after="0" w:line="258" w:lineRule="auto"/>
        <w:tabs>
          <w:tab w:leader="none" w:pos="110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Indemnitee shall be presumed to be entitled to advancement of Expenses and, following final disposition of the Action, Suit or Proceeding or enforcement action in respect of which the indemnification request is made, to indemnification, in each case, under this Agreement upon submission of a request therefor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of this Agreement,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 Neither the failure of the Company to have made a determination prior to the commencement of any action pursuant to this Agreement that indemnification is proper in the circumstances because Indemnitee has met the applicable standard of conduct, nor an actual determination by the Company that Indemnitee has not met such applicable standard of conduct, shall be a defense to the action or create a presumption that Indemnitee has not met the applicable standard of conduct.</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Insurance and Subrogation</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90" w:lineRule="auto"/>
        <w:tabs>
          <w:tab w:leader="none" w:pos="122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To the extent the Company maintains a policy or policies of insurance providing directors’ and officers’ liability insurance, Indemnitee shall be covered by such policy or policies, in accordance with its or their terms, to the maximum extent of the coverage provided to any other director or officer of the Company. If, at the time the Company receives from Indemnitee any notice of the commencement of an Action, Suit or Proceeding, the Company has such insurance in effect which would reasonably be expected to cover such Action, Suit or Proceeding, the Company shall give prompt notice of the commencement of such Action, Suit or Proceeding to the insurers in accordance with the procedures set forth in such policy or policies. The Company shall thereafter take all necessary or reasonably desirable action to cause such insurers to pay, on behalf of Indemnitee, all amounts payable as a result of such Action, Suit or Proceeding in accordance with the terms of such policy or policies.</w:t>
      </w:r>
    </w:p>
    <w:p>
      <w:pPr>
        <w:spacing w:after="0" w:line="156" w:lineRule="exact"/>
        <w:rPr>
          <w:rFonts w:ascii="Arial" w:cs="Arial" w:eastAsia="Arial" w:hAnsi="Arial"/>
          <w:sz w:val="19"/>
          <w:szCs w:val="19"/>
          <w:color w:val="auto"/>
        </w:rPr>
      </w:pPr>
    </w:p>
    <w:p>
      <w:pPr>
        <w:jc w:val="both"/>
        <w:ind w:firstLine="656"/>
        <w:spacing w:after="0" w:line="247" w:lineRule="auto"/>
        <w:tabs>
          <w:tab w:leader="none" w:pos="117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w:t>
      </w:r>
      <w:r>
        <w:rPr>
          <w:rFonts w:ascii="Arial" w:cs="Arial" w:eastAsia="Arial" w:hAnsi="Arial"/>
          <w:sz w:val="22"/>
          <w:szCs w:val="22"/>
          <w:color w:val="auto"/>
        </w:rPr>
        <w:t>(</w:t>
      </w:r>
      <w:r>
        <w:rPr>
          <w:rFonts w:ascii="Arial" w:cs="Arial" w:eastAsia="Arial" w:hAnsi="Arial"/>
          <w:sz w:val="22"/>
          <w:szCs w:val="22"/>
          <w:u w:val="single" w:color="auto"/>
          <w:color w:val="auto"/>
        </w:rPr>
        <w:t>b</w:t>
      </w:r>
      <w:r>
        <w:rPr>
          <w:rFonts w:ascii="Arial" w:cs="Arial" w:eastAsia="Arial" w:hAnsi="Arial"/>
          <w:sz w:val="22"/>
          <w:szCs w:val="22"/>
          <w:color w:val="auto"/>
        </w:rPr>
        <w:t>), in the event of any payment by the Company under this Agreement, the Company shall be subrogated to the extent of such payment to all of the rights of recovery of Indemnitee with respect to any insurance policy. Indemnitee shall execute all papers reasonably required and take all action reasonably necessary to secure such rights, including execution of such documents as are necessary to enable the Company to effectively bring suit to enforce such rights in accordance with the terms of such insurance policy. The Company shall pay or reimburse all Expenses incurred by Indemnitee in connection with such subrogation.</w:t>
      </w:r>
    </w:p>
    <w:p>
      <w:pPr>
        <w:spacing w:after="0" w:line="193" w:lineRule="exact"/>
        <w:rPr>
          <w:rFonts w:ascii="Arial" w:cs="Arial" w:eastAsia="Arial" w:hAnsi="Arial"/>
          <w:sz w:val="22"/>
          <w:szCs w:val="22"/>
          <w:color w:val="auto"/>
        </w:rPr>
      </w:pPr>
    </w:p>
    <w:p>
      <w:pPr>
        <w:jc w:val="both"/>
        <w:ind w:firstLine="656"/>
        <w:spacing w:after="0" w:line="250" w:lineRule="auto"/>
        <w:tabs>
          <w:tab w:leader="none" w:pos="121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w:t>
      </w:r>
      <w:r>
        <w:rPr>
          <w:rFonts w:ascii="Arial" w:cs="Arial" w:eastAsia="Arial" w:hAnsi="Arial"/>
          <w:sz w:val="22"/>
          <w:szCs w:val="22"/>
          <w:color w:val="auto"/>
        </w:rPr>
        <w:t>(</w:t>
      </w:r>
      <w:r>
        <w:rPr>
          <w:rFonts w:ascii="Arial" w:cs="Arial" w:eastAsia="Arial" w:hAnsi="Arial"/>
          <w:sz w:val="22"/>
          <w:szCs w:val="22"/>
          <w:u w:val="single" w:color="auto"/>
          <w:color w:val="auto"/>
        </w:rPr>
        <w:t>b</w:t>
      </w:r>
      <w:r>
        <w:rPr>
          <w:rFonts w:ascii="Arial" w:cs="Arial" w:eastAsia="Arial" w:hAnsi="Arial"/>
          <w:sz w:val="22"/>
          <w:szCs w:val="22"/>
          <w:color w:val="auto"/>
        </w:rPr>
        <w:t>), the Company shall not be liable under this Agreement to make any payment of amounts otherwise indemnifiable hereunder (including, but not limited to, Judgments, Fines and Amounts Paid in Settlement, and ERISA excise taxes or penalties) if and to the extent that Indemnitee has otherwise actually received such payment under this Agreement or any insurance policy, contract, agreement or otherwise.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217" w:name="page218"/>
    <w:bookmarkEnd w:id="217"/>
    <w:p>
      <w:pPr>
        <w:spacing w:after="0"/>
        <w:tabs>
          <w:tab w:leader="none" w:pos="11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For purposes of this Agreement, the following definitions shall apply:</w:t>
      </w:r>
    </w:p>
    <w:p>
      <w:pPr>
        <w:spacing w:after="0" w:line="226" w:lineRule="exact"/>
        <w:rPr>
          <w:sz w:val="20"/>
          <w:szCs w:val="20"/>
          <w:color w:val="auto"/>
        </w:rPr>
      </w:pPr>
    </w:p>
    <w:p>
      <w:pPr>
        <w:jc w:val="both"/>
        <w:ind w:firstLine="656"/>
        <w:spacing w:after="0" w:line="259" w:lineRule="auto"/>
        <w:tabs>
          <w:tab w:leader="none" w:pos="132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Action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Suit or Proceeding</w:t>
      </w:r>
      <w:r>
        <w:rPr>
          <w:rFonts w:ascii="Arial" w:cs="Arial" w:eastAsia="Arial" w:hAnsi="Arial"/>
          <w:sz w:val="21"/>
          <w:szCs w:val="21"/>
          <w:color w:val="auto"/>
        </w:rPr>
        <w:t>” shall be broadly construed and shall include, without limitation, the investigation, preparation, prosecution, defense, settlement, arbitration and appeal of, and the giving of testimony in, any threatened, pending or completed claim, action, suit, arbitration, investigation, inquiry, alternative dispute mechanism or proceeding, whether civil (including intentional and unintentional tort claims), criminal, administrative or investigative, in each case, by reason of the service of Indemnitee as a director and/or officer of the Company and/or in other Indemnifiable Positions of the Controlled Entities, or by reason of any action alleged to have been taken or omitted in any such capacity, and whether pursuant to any alleged breach of any fiduciary duty owed by, or failure to meet any standard of care applicable to, any such Indemnitee in respect of the Company or any Controlled Entity, or otherwise.</w:t>
      </w:r>
    </w:p>
    <w:p>
      <w:pPr>
        <w:spacing w:after="0" w:line="184" w:lineRule="exact"/>
        <w:rPr>
          <w:rFonts w:ascii="Arial" w:cs="Arial" w:eastAsia="Arial" w:hAnsi="Arial"/>
          <w:sz w:val="21"/>
          <w:szCs w:val="21"/>
          <w:color w:val="auto"/>
        </w:rPr>
      </w:pPr>
    </w:p>
    <w:p>
      <w:pPr>
        <w:jc w:val="both"/>
        <w:ind w:firstLine="656"/>
        <w:spacing w:after="0" w:line="248" w:lineRule="auto"/>
        <w:tabs>
          <w:tab w:leader="none" w:pos="125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Expenses</w:t>
      </w:r>
      <w:r>
        <w:rPr>
          <w:rFonts w:ascii="Arial" w:cs="Arial" w:eastAsia="Arial" w:hAnsi="Arial"/>
          <w:sz w:val="22"/>
          <w:szCs w:val="22"/>
          <w:color w:val="auto"/>
        </w:rPr>
        <w:t>” shall include all out-of-pocket costs of any type or nature whatsoever (including, without limitation, all attorneys’ fees and related disbursements), in each case, actually and reasonably incurred by or on behalf of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11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Judgments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Fines and Amounts Paid in Settlement</w:t>
      </w:r>
      <w:r>
        <w:rPr>
          <w:rFonts w:ascii="Arial" w:cs="Arial" w:eastAsia="Arial" w:hAnsi="Arial"/>
          <w:sz w:val="22"/>
          <w:szCs w:val="22"/>
          <w:color w:val="auto"/>
        </w:rPr>
        <w:t>” shall be broadly construed and shall mean any direct or indirect payments of any type or nature whatsoever owing or paid in connection with an Action, Suit or Proceeding, including without limitation, all judgments, awards, fines, penalties and amounts in settlement, as well as any penalties or excise taxes assessed on a person with respect to an employee benefit plan.</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Limitation on Indemnification</w:t>
      </w:r>
      <w:r>
        <w:rPr>
          <w:rFonts w:ascii="Arial" w:cs="Arial" w:eastAsia="Arial" w:hAnsi="Arial"/>
          <w:sz w:val="22"/>
          <w:szCs w:val="22"/>
          <w:color w:val="auto"/>
        </w:rPr>
        <w:t>. Notwithstanding any other provision herein to the contrary, the Company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obligated pursuant to this Agreement:</w:t>
      </w:r>
    </w:p>
    <w:p>
      <w:pPr>
        <w:spacing w:after="0" w:line="168" w:lineRule="exact"/>
        <w:rPr>
          <w:sz w:val="20"/>
          <w:szCs w:val="20"/>
          <w:color w:val="auto"/>
        </w:rPr>
      </w:pPr>
    </w:p>
    <w:p>
      <w:pPr>
        <w:jc w:val="both"/>
        <w:ind w:firstLine="656"/>
        <w:spacing w:after="0" w:line="284" w:lineRule="auto"/>
        <w:tabs>
          <w:tab w:leader="none" w:pos="1212"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Claims Initiated by Indemnitee</w:t>
      </w:r>
      <w:r>
        <w:rPr>
          <w:rFonts w:ascii="Arial" w:cs="Arial" w:eastAsia="Arial" w:hAnsi="Arial"/>
          <w:sz w:val="19"/>
          <w:szCs w:val="19"/>
          <w:color w:val="auto"/>
        </w:rPr>
        <w:t xml:space="preserve">. To indemnify or advance Expenses to Indemnitee with respect to any threatened, pending or completed claim, action, suit, arbitration, investigation, inquiry, alternative dispute mechanism or proceeding, whether civil (including intentional and unintentional tort claims), criminal, administrative or investigative, however denominated, initiated or brought voluntarily by Indemnitee whether by way of defense, counterclaim or cross claim or otherwise, other than (i) an action brought to establish or enforce a right to indemnification or advancement of Expenses under this Agreement (which shall be governed by the provisions of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of this Agreement), a claim, action, suit, arbitration, investigation, inquiry, alternative dispute mechanism or proceeding that was authorized or consented to by the Board of Directors of the Company, it being understood and agreed that such authorization or consent shall not be unreasonably withheld in connection with any compulsory counterclaim brought by Indemnitee in response to an Action, Suit or Proceeding otherwise indemnifiable under this Agreement or</w:t>
      </w:r>
    </w:p>
    <w:p>
      <w:pPr>
        <w:ind w:left="320" w:hanging="312"/>
        <w:spacing w:after="0"/>
        <w:tabs>
          <w:tab w:leader="none" w:pos="3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as otherwise required under the DGCL.</w:t>
      </w:r>
    </w:p>
    <w:p>
      <w:pPr>
        <w:spacing w:after="0" w:line="201" w:lineRule="exact"/>
        <w:rPr>
          <w:rFonts w:ascii="Arial" w:cs="Arial" w:eastAsia="Arial" w:hAnsi="Arial"/>
          <w:sz w:val="22"/>
          <w:szCs w:val="22"/>
          <w:color w:val="auto"/>
        </w:rPr>
      </w:pPr>
    </w:p>
    <w:p>
      <w:pPr>
        <w:ind w:right="20" w:firstLine="656"/>
        <w:spacing w:after="0" w:line="263" w:lineRule="auto"/>
        <w:tabs>
          <w:tab w:leader="none" w:pos="1211"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Action for Indemnification</w:t>
      </w:r>
      <w:r>
        <w:rPr>
          <w:rFonts w:ascii="Arial" w:cs="Arial" w:eastAsia="Arial" w:hAnsi="Arial"/>
          <w:sz w:val="22"/>
          <w:szCs w:val="22"/>
          <w:color w:val="auto"/>
        </w:rPr>
        <w:t>. To indemnify Indemnitee for any Expenses incurred by Indemnitee with respect to an action instituted by Indemnitee to enforce or interpret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218" w:name="page219"/>
    <w:bookmarkEnd w:id="218"/>
    <w:p>
      <w:pPr>
        <w:jc w:val="both"/>
        <w:spacing w:after="0" w:line="250" w:lineRule="auto"/>
        <w:rPr>
          <w:sz w:val="20"/>
          <w:szCs w:val="20"/>
          <w:color w:val="auto"/>
        </w:rPr>
      </w:pPr>
      <w:r>
        <w:rPr>
          <w:rFonts w:ascii="Arial" w:cs="Arial" w:eastAsia="Arial" w:hAnsi="Arial"/>
          <w:sz w:val="22"/>
          <w:szCs w:val="22"/>
          <w:color w:val="auto"/>
        </w:rPr>
        <w:t xml:space="preserve">if Indemnitee is not successful in such enforcement action in establishing Indemnitee’s right, in whole or in part, to indemnification or advancement of Expenses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Indemnitee is successful in part and unsuccessful in part in establishing Indemnitee’s right to indemnification or advancement of Expenses hereunder, Indemnitee shall be entitled to partial indemnification of Expenses in accordance with </w:t>
      </w:r>
      <w:r>
        <w:rPr>
          <w:rFonts w:ascii="Arial" w:cs="Arial" w:eastAsia="Arial" w:hAnsi="Arial"/>
          <w:sz w:val="22"/>
          <w:szCs w:val="22"/>
          <w:u w:val="single" w:color="auto"/>
          <w:color w:val="auto"/>
        </w:rPr>
        <w:t>Section 20</w:t>
      </w:r>
      <w:r>
        <w:rPr>
          <w:rFonts w:ascii="Arial" w:cs="Arial" w:eastAsia="Arial" w:hAnsi="Arial"/>
          <w:sz w:val="22"/>
          <w:szCs w:val="22"/>
          <w:color w:val="auto"/>
        </w:rPr>
        <w:t>.</w:t>
      </w:r>
    </w:p>
    <w:p>
      <w:pPr>
        <w:spacing w:after="0" w:line="188" w:lineRule="exact"/>
        <w:rPr>
          <w:sz w:val="20"/>
          <w:szCs w:val="20"/>
          <w:color w:val="auto"/>
        </w:rPr>
      </w:pPr>
    </w:p>
    <w:p>
      <w:pPr>
        <w:jc w:val="both"/>
        <w:ind w:firstLine="656"/>
        <w:spacing w:after="0" w:line="248" w:lineRule="auto"/>
        <w:tabs>
          <w:tab w:leader="none" w:pos="115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Matters</w:t>
      </w:r>
      <w:r>
        <w:rPr>
          <w:rFonts w:ascii="Arial" w:cs="Arial" w:eastAsia="Arial" w:hAnsi="Arial"/>
          <w:sz w:val="22"/>
          <w:szCs w:val="22"/>
          <w:color w:val="auto"/>
        </w:rPr>
        <w:t>. To indemnify Indemnitee on account of any Action, Suit or Proceeding in which judgment is rendered against Indemnitee for disgorgement of profits made from the purchase or sale by Indemnitee of securities of the Company pursuant to the provisions of Section 16(b) of the Securities Exchange Act of 1934, as amended (excluding any purchase or sale deemed to be made in connection with any merger, consolidation, reorganization or other transaction undertaken by the Company).</w:t>
      </w:r>
    </w:p>
    <w:p>
      <w:pPr>
        <w:spacing w:after="0" w:line="192" w:lineRule="exact"/>
        <w:rPr>
          <w:rFonts w:ascii="Arial" w:cs="Arial" w:eastAsia="Arial" w:hAnsi="Arial"/>
          <w:sz w:val="22"/>
          <w:szCs w:val="22"/>
          <w:color w:val="auto"/>
        </w:rPr>
      </w:pPr>
    </w:p>
    <w:p>
      <w:pPr>
        <w:jc w:val="both"/>
        <w:ind w:firstLine="656"/>
        <w:spacing w:after="0" w:line="246" w:lineRule="auto"/>
        <w:tabs>
          <w:tab w:leader="none" w:pos="1143"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Fraud or Willful Misconduct</w:t>
      </w:r>
      <w:r>
        <w:rPr>
          <w:rFonts w:ascii="Arial" w:cs="Arial" w:eastAsia="Arial" w:hAnsi="Arial"/>
          <w:sz w:val="22"/>
          <w:szCs w:val="22"/>
          <w:color w:val="auto"/>
        </w:rPr>
        <w:t>. To indemnify Indemnitee on account of conduct by Indemnitee where such conduct has been determined to have been knowingly fraudulent or constitute willful misconduct by a final (not interlocutory) judgment or other adjudication of a court or arbitration or administrative body of competent jurisdiction as to which there is no further right or option of appeal or the time within which an appeal must be filed has expired without such filing. For the avoidance of doubt, each of the Company and Indemnitee acknowledge and agree that any actions or omissions by Indemnitee that are permitted by Section 6.2 of that Certain Sponsor Stockholders Agreement, dated October, 29, 2013, by and among the Company and the investors signatory thereto, and that do not otherwise constitute willful misconduct shall not be considered willful misconduct for purposes of this Agreement.</w:t>
      </w:r>
    </w:p>
    <w:p>
      <w:pPr>
        <w:spacing w:after="0" w:line="194" w:lineRule="exact"/>
        <w:rPr>
          <w:rFonts w:ascii="Arial" w:cs="Arial" w:eastAsia="Arial" w:hAnsi="Arial"/>
          <w:sz w:val="22"/>
          <w:szCs w:val="22"/>
          <w:color w:val="auto"/>
        </w:rPr>
      </w:pPr>
    </w:p>
    <w:p>
      <w:pPr>
        <w:jc w:val="both"/>
        <w:ind w:firstLine="656"/>
        <w:spacing w:after="0" w:line="250" w:lineRule="auto"/>
        <w:tabs>
          <w:tab w:leader="none" w:pos="111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Prohibited by Law</w:t>
      </w:r>
      <w:r>
        <w:rPr>
          <w:rFonts w:ascii="Arial" w:cs="Arial" w:eastAsia="Arial" w:hAnsi="Arial"/>
          <w:sz w:val="22"/>
          <w:szCs w:val="22"/>
          <w:color w:val="auto"/>
        </w:rPr>
        <w:t>. To indemnify Indemnitee in any circumstance where such indemnification has been determined to be prohibited by law by a final (not interlocutory) judgment or other adjudication of a court or arbitration or administrative body of competent jurisdiction as to which there is no further right or option of appeal or the time within which an appeal must be filed has expired without such filing.</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25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Unauthorized Settlement</w:t>
      </w:r>
      <w:r>
        <w:rPr>
          <w:rFonts w:ascii="Arial" w:cs="Arial" w:eastAsia="Arial" w:hAnsi="Arial"/>
          <w:sz w:val="22"/>
          <w:szCs w:val="22"/>
          <w:color w:val="auto"/>
        </w:rPr>
        <w:t xml:space="preserve">. To indemnify Indemnitee for any amounts paid in settlement of any Action, Suit or Proceeding without the Company’s prior written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will not unreasonably withhold or delay its consent to any proposed settlement.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21"/>
          <w:szCs w:val="21"/>
          <w:b w:val="1"/>
          <w:bCs w:val="1"/>
          <w:u w:val="single" w:color="auto"/>
          <w:color w:val="auto"/>
        </w:rPr>
        <w:t>Certain Settlement Provisions</w:t>
      </w:r>
      <w:r>
        <w:rPr>
          <w:rFonts w:ascii="Arial" w:cs="Arial" w:eastAsia="Arial" w:hAnsi="Arial"/>
          <w:sz w:val="21"/>
          <w:szCs w:val="21"/>
          <w:color w:val="auto"/>
        </w:rPr>
        <w:t>. The Company shall be permitted to settle any Action, Suit or Proceeding, except that</w:t>
      </w:r>
      <w:r>
        <w:rPr>
          <w:rFonts w:ascii="Arial" w:cs="Arial" w:eastAsia="Arial" w:hAnsi="Arial"/>
          <w:sz w:val="21"/>
          <w:szCs w:val="21"/>
          <w:b w:val="1"/>
          <w:bCs w:val="1"/>
          <w:color w:val="auto"/>
        </w:rPr>
        <w:t xml:space="preserve"> </w:t>
      </w:r>
      <w:r>
        <w:rPr>
          <w:rFonts w:ascii="Arial" w:cs="Arial" w:eastAsia="Arial" w:hAnsi="Arial"/>
          <w:sz w:val="21"/>
          <w:szCs w:val="21"/>
          <w:color w:val="auto"/>
        </w:rPr>
        <w:t>it shall not settle any Action, Suit or Proceeding in any manner that would impose any penalty (unless the only penalty imposed is a monetary payment that will be paid in full by the Company (or its insurers)) or limitations or constitute any admission of wrongdoing or which may compromise, or may adversely affect, the defense of the Indemnitee in any other Action, Suit or Proceeding, whether civil or criminal, without Indemnitee’s prior written consent. Indemnitee will not unreasonably withhold or delay his or, her consent to any proposed settlement.</w:t>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Savings Clause</w:t>
      </w:r>
      <w:r>
        <w:rPr>
          <w:rFonts w:ascii="Arial" w:cs="Arial" w:eastAsia="Arial" w:hAnsi="Arial"/>
          <w:sz w:val="22"/>
          <w:szCs w:val="22"/>
          <w:color w:val="auto"/>
        </w:rPr>
        <w:t>. If any provision or provisions (or portion thereof) of this Agreement shall be invalidated on any</w:t>
      </w:r>
      <w:r>
        <w:rPr>
          <w:rFonts w:ascii="Arial" w:cs="Arial" w:eastAsia="Arial" w:hAnsi="Arial"/>
          <w:sz w:val="22"/>
          <w:szCs w:val="22"/>
          <w:b w:val="1"/>
          <w:bCs w:val="1"/>
          <w:color w:val="auto"/>
        </w:rPr>
        <w:t xml:space="preserve"> </w:t>
      </w:r>
      <w:r>
        <w:rPr>
          <w:rFonts w:ascii="Arial" w:cs="Arial" w:eastAsia="Arial" w:hAnsi="Arial"/>
          <w:sz w:val="22"/>
          <w:szCs w:val="22"/>
          <w:color w:val="auto"/>
        </w:rPr>
        <w:t>ground by any court of competent jurisdiction, then the Company shall nevertheless indemnify Indemnitee if Indemnitee was or is made or is threatened to be made a party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219" w:name="page220"/>
    <w:bookmarkEnd w:id="219"/>
    <w:p>
      <w:pPr>
        <w:jc w:val="both"/>
        <w:spacing w:after="0" w:line="297" w:lineRule="auto"/>
        <w:rPr>
          <w:sz w:val="20"/>
          <w:szCs w:val="20"/>
          <w:color w:val="auto"/>
        </w:rPr>
      </w:pPr>
      <w:r>
        <w:rPr>
          <w:rFonts w:ascii="Arial" w:cs="Arial" w:eastAsia="Arial" w:hAnsi="Arial"/>
          <w:sz w:val="19"/>
          <w:szCs w:val="19"/>
          <w:color w:val="auto"/>
        </w:rPr>
        <w:t>or is otherwise involved in any threatened, pending or completed Action, Suit or Proceeding (brought in the right of the Company or otherwise), whether civil, criminal, administrative or investigative and whether formal or informal, including appeals, from and against all loss and liability suffered and Expenses (including attorneys’ fees), Judgments, Fines and Amounts Paid in Settlement actually and reasonably incurred by or on behalf of Indemnitee in connection with such Action, Suit or Proceeding, including any appeals, to the fullest extent permitted by any applicable portion of this Agreement that shall not have been invalidated.</w:t>
      </w:r>
    </w:p>
    <w:p>
      <w:pPr>
        <w:spacing w:after="0" w:line="14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Contribution/Jointly Indemnifiable Claims</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92" w:lineRule="auto"/>
        <w:tabs>
          <w:tab w:leader="none" w:pos="12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In order to provide for just and equitable contribution in circumstances in which the indemnification provided for herein is held by a court of competent jurisdiction to be unavailable to Indemnitee in whole or in part, it is agreed that, in such event, the Company shall, to the fullest extent permitted by law, contribute to the payment of all of Indemnitee’s loss and liability suffered and Expenses (including attorneys’ fees), Judgments, Fines and Amounts Paid in Settlement actually and reasonably incurred by or on behalf of Indemnitee in connection with any Action, Suit or Proceeding, including any appeals, in an amount that is just and equitable in the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the generality of the foregoing, such contribution shall not be required where such holding by the court is due to any limitation on indemnification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6, or 7 hereof.</w:t>
      </w:r>
    </w:p>
    <w:p>
      <w:pPr>
        <w:spacing w:after="0" w:line="151" w:lineRule="exact"/>
        <w:rPr>
          <w:rFonts w:ascii="Arial" w:cs="Arial" w:eastAsia="Arial" w:hAnsi="Arial"/>
          <w:sz w:val="19"/>
          <w:szCs w:val="19"/>
          <w:color w:val="auto"/>
        </w:rPr>
      </w:pPr>
    </w:p>
    <w:p>
      <w:pPr>
        <w:jc w:val="both"/>
        <w:ind w:firstLine="656"/>
        <w:spacing w:after="0" w:line="285" w:lineRule="auto"/>
        <w:tabs>
          <w:tab w:leader="none" w:pos="116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Given that certain Jointly Indemnifiable Claims by reason of the service of Indemnitee as a director of the Company and/or in other Indemnifiable Positions of the Controlled Entities, or by reason of any action alleged to have been taken or omitted in any such capacity, the Company acknowledges and agrees that the Company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(i) the DGCL, (ii) the Charter, (iii) this Agreement, (iv) any other agreement between the Company or any Controlled Entity and the Indemnitee pursuant to which the Indemnitee is indemnified, (v) the laws of the jurisdiction of incorporation or organization of any Controlled Entity and/or (vi) the certificate of incorporation, certificate of organization, bylaws, partnership agreement, operating agreement, certificate of formation, certificate of limited partnership or other organizational or governing documents of any Controlled Entity ((i) through (vii) collectively, the “</w:t>
      </w:r>
      <w:r>
        <w:rPr>
          <w:rFonts w:ascii="Arial" w:cs="Arial" w:eastAsia="Arial" w:hAnsi="Arial"/>
          <w:sz w:val="19"/>
          <w:szCs w:val="19"/>
          <w:u w:val="single" w:color="auto"/>
          <w:color w:val="auto"/>
        </w:rPr>
        <w:t>Indemnification Sources</w:t>
      </w:r>
      <w:r>
        <w:rPr>
          <w:rFonts w:ascii="Arial" w:cs="Arial" w:eastAsia="Arial" w:hAnsi="Arial"/>
          <w:sz w:val="19"/>
          <w:szCs w:val="19"/>
          <w:color w:val="auto"/>
        </w:rPr>
        <w:t>”), irrespective of any right of recovery the Indemnitee may have from the Indemnitee-Related Entities. Under no circumstance shall the Company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Controlled Entity under the Indemnification Sources. In the event that any of the Indemnitee-Related Entities shall make any payment to the Indemnitee in respect of indemnification or advancement of Expenses with respect to any Jointly Indemnifiable Claim, (i) the Company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Company and/or any Controlled Entity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220" w:name="page221"/>
    <w:bookmarkEnd w:id="220"/>
    <w:p>
      <w:pPr>
        <w:jc w:val="both"/>
        <w:spacing w:after="0" w:line="289" w:lineRule="auto"/>
        <w:rPr>
          <w:sz w:val="20"/>
          <w:szCs w:val="20"/>
          <w:color w:val="auto"/>
        </w:rPr>
      </w:pPr>
      <w:r>
        <w:rPr>
          <w:rFonts w:ascii="Arial" w:cs="Arial" w:eastAsia="Arial" w:hAnsi="Arial"/>
          <w:sz w:val="19"/>
          <w:szCs w:val="19"/>
          <w:color w:val="auto"/>
        </w:rPr>
        <w:t xml:space="preserve">pursuant to clause (i), the Indemnitee-Related Entity making such payment shall be subrogated to the extent of the outstanding balance of such payment to all of the rights of recovery of the Indemnitee against the Company and/or any Controlled Entity or under any insurance policy, as applicable, and (iii) Indemnitee and the Company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xml:space="preserve">), entitled to enforce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though each such Indemnitee-Related Entity were a party to this Agreement. The Company shall cause each of the Controlled Entities to perform the terms and obligations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though each such Controlled Entity was a party to this Agreement. For purposes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 the following terms shall have the following meanings:</w:t>
      </w:r>
    </w:p>
    <w:p>
      <w:pPr>
        <w:spacing w:after="0" w:line="200" w:lineRule="exact"/>
        <w:rPr>
          <w:sz w:val="20"/>
          <w:szCs w:val="20"/>
          <w:color w:val="auto"/>
        </w:rPr>
      </w:pPr>
    </w:p>
    <w:p>
      <w:pPr>
        <w:spacing w:after="0" w:line="214" w:lineRule="exact"/>
        <w:rPr>
          <w:sz w:val="20"/>
          <w:szCs w:val="20"/>
          <w:color w:val="auto"/>
        </w:rPr>
      </w:pPr>
    </w:p>
    <w:p>
      <w:pPr>
        <w:jc w:val="both"/>
        <w:ind w:left="660" w:hanging="4"/>
        <w:spacing w:after="0" w:line="263" w:lineRule="auto"/>
        <w:tabs>
          <w:tab w:leader="none" w:pos="110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Indemnitee-Related Entities</w:t>
      </w:r>
      <w:r>
        <w:rPr>
          <w:rFonts w:ascii="Arial" w:cs="Arial" w:eastAsia="Arial" w:hAnsi="Arial"/>
          <w:sz w:val="21"/>
          <w:szCs w:val="21"/>
          <w:color w:val="auto"/>
        </w:rPr>
        <w:t>” means any company, corporation, limited liability company, partnership, joint venture, trust, employee benefit plan or other enterprise (other than the Company, any Controlled Entity or the insurer under and pursuant to an insurance policy of the Company or any Controlled Entity) from whom an Indemnitee may be entitled to indemnification or advancement of Expenses with respect to which, in whole or in part, the Company or any Controlled Entity may also have an indemnification or advancement obligation.</w:t>
      </w:r>
    </w:p>
    <w:p>
      <w:pPr>
        <w:spacing w:after="0" w:line="175" w:lineRule="exact"/>
        <w:rPr>
          <w:rFonts w:ascii="Arial" w:cs="Arial" w:eastAsia="Arial" w:hAnsi="Arial"/>
          <w:sz w:val="21"/>
          <w:szCs w:val="21"/>
          <w:color w:val="auto"/>
        </w:rPr>
      </w:pPr>
    </w:p>
    <w:p>
      <w:pPr>
        <w:jc w:val="both"/>
        <w:ind w:left="660" w:hanging="4"/>
        <w:spacing w:after="0" w:line="259" w:lineRule="auto"/>
        <w:tabs>
          <w:tab w:leader="none" w:pos="115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Jointly Indemnifiable Claims</w:t>
      </w:r>
      <w:r>
        <w:rPr>
          <w:rFonts w:ascii="Arial" w:cs="Arial" w:eastAsia="Arial" w:hAnsi="Arial"/>
          <w:sz w:val="21"/>
          <w:szCs w:val="21"/>
          <w:color w:val="auto"/>
        </w:rPr>
        <w:t>” shall be broadly construed and shall include, without limitation, any Action, Suit or Proceeding for which the Indemnitee shall be entitled to indemnification or advancement of Expenses from both (i) the Company and/or any Controlled Entity pursuant to the Indemnification Sources, on the one hand, and (ii)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Section 10. </w:t>
      </w:r>
      <w:r>
        <w:rPr>
          <w:rFonts w:ascii="Arial" w:cs="Arial" w:eastAsia="Arial" w:hAnsi="Arial"/>
          <w:sz w:val="21"/>
          <w:szCs w:val="21"/>
          <w:b w:val="1"/>
          <w:bCs w:val="1"/>
          <w:u w:val="single" w:color="auto"/>
          <w:color w:val="auto"/>
        </w:rPr>
        <w:t>Form and Delivery of Communications</w:t>
      </w:r>
      <w:r>
        <w:rPr>
          <w:rFonts w:ascii="Arial" w:cs="Arial" w:eastAsia="Arial" w:hAnsi="Arial"/>
          <w:sz w:val="21"/>
          <w:szCs w:val="21"/>
          <w:color w:val="auto"/>
        </w:rPr>
        <w:t>. All notices, requests, demands and other communications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in writing and shall be deemed to have been duly given if (a) delivered by hand, upon receipt by the party to whom said notice or other communication shall have been directed, (b)mailed by certified or registered mail with postage prepaid, on the third business day after the date on which it is so mailed, (c) mailed by reputable overnight courier, one day after deposit with such courier and with written verification of receipt or (d) sent by email or facsimile transmission, with receipt of oral confirmation that such transmission has been received. Addresses for notice to either party are shown on the signature page of this Agreement, or as subsequently modified by written notice.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221" w:name="page222"/>
    <w:bookmarkEnd w:id="221"/>
    <w:p>
      <w:pPr>
        <w:jc w:val="both"/>
        <w:spacing w:after="0" w:line="264"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b w:val="1"/>
          <w:bCs w:val="1"/>
          <w:u w:val="single" w:color="auto"/>
          <w:color w:val="auto"/>
        </w:rPr>
        <w:t>Nonexclusivity</w:t>
      </w:r>
      <w:r>
        <w:rPr>
          <w:rFonts w:ascii="Arial" w:cs="Arial" w:eastAsia="Arial" w:hAnsi="Arial"/>
          <w:sz w:val="21"/>
          <w:szCs w:val="21"/>
          <w:color w:val="auto"/>
        </w:rPr>
        <w:t>. The provisions for indemnification and advancement of Expenses set forth in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deemed exclusive of any other rights which Indemnitee may have under any provision of law, in any court in which a proceeding is brought, other agreements or otherwise, and Indemnitee’s rights hereunder shall inure to the benefit of the heirs, executors and administrators of Indemnitee. No amendment or alteration of the Charter or the Company’s bylaws or any other agreement shall adversely affect the rights provided to Indemnitee under this Agreement.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No Construction as Employment Agreement; Duration of Agreement</w:t>
      </w:r>
      <w:r>
        <w:rPr>
          <w:rFonts w:ascii="Arial" w:cs="Arial" w:eastAsia="Arial" w:hAnsi="Arial"/>
          <w:sz w:val="22"/>
          <w:szCs w:val="22"/>
          <w:color w:val="auto"/>
        </w:rPr>
        <w:t>. Nothing contained herein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as giving Indemnitee any right to be retained as a director and/or officer of the Company or in other Indemnifiable Positions of the Controlled Entities or in the employ of the Company or any of the Controlled Entities. For the avoidance of doubt, the indemnification and advancement of Expenses provided under this Agreement shall continue as to the Indemnitee even though he may have ceased to be a director and/or officer of the Company and/or in other Indemnifiable Positions of the Controlled Entities.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Section 13. </w:t>
      </w:r>
      <w:r>
        <w:rPr>
          <w:rFonts w:ascii="Arial" w:cs="Arial" w:eastAsia="Arial" w:hAnsi="Arial"/>
          <w:sz w:val="21"/>
          <w:szCs w:val="21"/>
          <w:b w:val="1"/>
          <w:bCs w:val="1"/>
          <w:u w:val="single" w:color="auto"/>
          <w:color w:val="auto"/>
        </w:rPr>
        <w:t>Interpretation of Agreement</w:t>
      </w:r>
      <w:r>
        <w:rPr>
          <w:rFonts w:ascii="Arial" w:cs="Arial" w:eastAsia="Arial" w:hAnsi="Arial"/>
          <w:sz w:val="21"/>
          <w:szCs w:val="21"/>
          <w:color w:val="auto"/>
        </w:rPr>
        <w:t>. It is understood that the parties hereto intend this Agreement to be interpreted and</w:t>
      </w:r>
      <w:r>
        <w:rPr>
          <w:rFonts w:ascii="Arial" w:cs="Arial" w:eastAsia="Arial" w:hAnsi="Arial"/>
          <w:sz w:val="21"/>
          <w:szCs w:val="21"/>
          <w:b w:val="1"/>
          <w:bCs w:val="1"/>
          <w:color w:val="auto"/>
        </w:rPr>
        <w:t xml:space="preserve"> </w:t>
      </w:r>
      <w:r>
        <w:rPr>
          <w:rFonts w:ascii="Arial" w:cs="Arial" w:eastAsia="Arial" w:hAnsi="Arial"/>
          <w:sz w:val="21"/>
          <w:szCs w:val="21"/>
          <w:color w:val="auto"/>
        </w:rPr>
        <w:t>enforced so as to provide indemnification to Indemnitee to the fullest extent now or hereafter permitted by the DGCL notwithstanding that such indemnification may not be specifically authorized by the Charter or the Company’s bylaws, or by statute as of the date hereof. In the event of any change after the date of this Agreement in any applicable law, statute or rule which expands the right of a Delaware corporation to indemnify a member of its board of directors or an officer, employee, consultant, fiduciary or agent, it is the intent of the parties hereto that Indemnitee shall enjoy by this Agreement the greater benefits afforded by such change. In the event of any change in any applicable law, statute or rule which narrows the right of a Delaware corporation to indemnify a member of its board of directors or an officer, employee, consultant, fiduciary or agent, such change, to the extent not otherwise required by such law, statute or rule to be applied to this Agreement, shall have no effect on this Agreement or the parties’ rights and obligations hereunder.</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Section 14. </w:t>
      </w: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Without limiting any of the rights of Indemnitee under the Charter and/or the Company’s bylaws,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b w:val="1"/>
          <w:bCs w:val="1"/>
          <w:u w:val="single" w:color="auto"/>
          <w:color w:val="auto"/>
        </w:rPr>
        <w:t>Modification and Waiver</w:t>
      </w:r>
      <w:r>
        <w:rPr>
          <w:rFonts w:ascii="Arial" w:cs="Arial" w:eastAsia="Arial" w:hAnsi="Arial"/>
          <w:sz w:val="19"/>
          <w:szCs w:val="19"/>
          <w:color w:val="auto"/>
        </w:rPr>
        <w:t>. No supplement, modification, waiver or amendment of this Agreement shall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unless executed in 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Successor and Assigns</w:t>
      </w:r>
      <w:r>
        <w:rPr>
          <w:rFonts w:ascii="Arial" w:cs="Arial" w:eastAsia="Arial" w:hAnsi="Arial"/>
          <w:sz w:val="22"/>
          <w:szCs w:val="22"/>
          <w:color w:val="auto"/>
        </w:rPr>
        <w:t>. All of the terms and provisions of this Agreement shall be binding upon, shall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and shall be enforceable by the parties hereto and their respective successors, assigns, spouses, heirs, executors, administrators and legal representatives. The Company shall require and cause any direct or indirect successor (whether by purchase, merger,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9" w:right="239" w:bottom="1440" w:gutter="0" w:footer="0" w:header="0"/>
        </w:sectPr>
      </w:pPr>
    </w:p>
    <w:bookmarkStart w:id="222" w:name="page223"/>
    <w:bookmarkEnd w:id="222"/>
    <w:p>
      <w:pPr>
        <w:jc w:val="both"/>
        <w:spacing w:after="0" w:line="312" w:lineRule="auto"/>
        <w:rPr>
          <w:sz w:val="20"/>
          <w:szCs w:val="20"/>
          <w:color w:val="auto"/>
        </w:rPr>
      </w:pPr>
      <w:r>
        <w:rPr>
          <w:rFonts w:ascii="Arial" w:cs="Arial" w:eastAsia="Arial" w:hAnsi="Arial"/>
          <w:sz w:val="19"/>
          <w:szCs w:val="19"/>
          <w:color w:val="auto"/>
        </w:rPr>
        <w:t>consolidation or otherwise) to all or substantially all of the business 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b w:val="1"/>
          <w:bCs w:val="1"/>
          <w:u w:val="single" w:color="auto"/>
          <w:color w:val="auto"/>
        </w:rPr>
        <w:t>Service of Process and Venue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Indemnitee hereby irrevocably and unconditionally (i)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any action or proceeding arising out of or in connection with this Agreement shall be brought only in the Chancery Court of the State of Delaware (the “</w:t>
      </w:r>
      <w:r>
        <w:rPr>
          <w:rFonts w:ascii="Arial" w:cs="Arial" w:eastAsia="Arial" w:hAnsi="Arial"/>
          <w:sz w:val="19"/>
          <w:szCs w:val="19"/>
          <w:u w:val="single" w:color="auto"/>
          <w:color w:val="auto"/>
        </w:rPr>
        <w:t>Delaware Court</w:t>
      </w:r>
      <w:r>
        <w:rPr>
          <w:rFonts w:ascii="Arial" w:cs="Arial" w:eastAsia="Arial" w:hAnsi="Arial"/>
          <w:sz w:val="19"/>
          <w:szCs w:val="19"/>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Section 18.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If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b w:val="1"/>
          <w:bCs w:val="1"/>
          <w:u w:val="single" w:color="auto"/>
          <w:color w:val="auto"/>
        </w:rPr>
        <w:t>Injunctive Relief</w:t>
      </w:r>
      <w:r>
        <w:rPr>
          <w:rFonts w:ascii="Arial" w:cs="Arial" w:eastAsia="Arial" w:hAnsi="Arial"/>
          <w:sz w:val="22"/>
          <w:szCs w:val="22"/>
          <w:color w:val="auto"/>
        </w:rPr>
        <w:t>. The parties hereto agree that each party hereto may enforce this Agreement by seeking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hereof, without any necessity of showing irreparable harm or posting a bond, which requirements are hereby waived, and that by seeking specific performance, Indemnitee shall not be precluded from seeking or obtaining any other relief to which he or she may be entitled.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Section 20. </w:t>
      </w:r>
      <w:r>
        <w:rPr>
          <w:rFonts w:ascii="Arial" w:cs="Arial" w:eastAsia="Arial" w:hAnsi="Arial"/>
          <w:sz w:val="21"/>
          <w:szCs w:val="21"/>
          <w:b w:val="1"/>
          <w:bCs w:val="1"/>
          <w:u w:val="single" w:color="auto"/>
          <w:color w:val="auto"/>
        </w:rPr>
        <w:t>Partial Indemnification</w:t>
      </w:r>
      <w:r>
        <w:rPr>
          <w:rFonts w:ascii="Arial" w:cs="Arial" w:eastAsia="Arial" w:hAnsi="Arial"/>
          <w:sz w:val="21"/>
          <w:szCs w:val="21"/>
          <w:color w:val="auto"/>
        </w:rPr>
        <w:t>. If Indemnitee is entitled under any provision of this Agreement to indemnification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some or a portion of loss and liability suffered and Expenses (including attorneys’ fees), Judgments, Fines and Amounts Paid in Settlement actually and reasonably incurred by or on behalf of Indemnitee in connection with an Action, Suit or Proceeding, including any appeals, but not, however, for the total amount thereof, the Company shall nevertheless indemnify Indemnitee for the portion of such amounts otherwise payable hereunder.</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b w:val="1"/>
          <w:bCs w:val="1"/>
          <w:u w:val="single" w:color="auto"/>
          <w:color w:val="auto"/>
        </w:rPr>
        <w:t>Mutual Acknowledgement</w:t>
      </w:r>
      <w:r>
        <w:rPr>
          <w:rFonts w:ascii="Arial" w:cs="Arial" w:eastAsia="Arial" w:hAnsi="Arial"/>
          <w:sz w:val="22"/>
          <w:szCs w:val="22"/>
          <w:color w:val="auto"/>
        </w:rPr>
        <w:t>. Both the Company and Indemnitee acknowledge that in certain instances, federal law or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public policy may prohibit the Company from indemnifying its directors, officers, employees, consultants, fiduciaries or agents under this Agreement or otherwise. Indemnitee understands and acknowledges that the Company may be required to submit the question of indemnification to a court in certain circumstances for a determination of the Company’s right, under public policy, to indemnify Indemnitee.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or more counterparts, each of which shall be deemed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and all of which together shall be deemed to be one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the same instrument, notwithstanding that both parties are not signatories to the original or same counterpart.</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23.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section and subsection headings contained in this Agreement are for reference purposes only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affect in any way the meaning or interpretation of this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Indemnification Agreement has been duly executed and delivered to be effective as of the date stated above.</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DELL TECHNOLOGIES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823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One Dell Way, Round Rock, Texas 78682</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470535</wp:posOffset>
            </wp:positionV>
            <wp:extent cx="8235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 Agreement]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10.39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 AGREEMENT</w:t>
      </w:r>
    </w:p>
    <w:p>
      <w:pPr>
        <w:spacing w:after="0" w:line="200" w:lineRule="exact"/>
        <w:rPr>
          <w:sz w:val="20"/>
          <w:szCs w:val="20"/>
          <w:color w:val="auto"/>
        </w:rPr>
      </w:pPr>
    </w:p>
    <w:p>
      <w:pPr>
        <w:spacing w:after="0" w:line="228"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AGREEMENT effective as of [INSERT DATE] (the “Effective Date”), between EMC Corporation, a Massachusetts corporation (the “Company”), and [NAME] (the “Indemnitee”).</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it is essential to the Company to retain and attract as directors and officers the most capable persons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available; and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Indemnitee is a director or an officer of the Company; and</w:t>
      </w:r>
    </w:p>
    <w:p>
      <w:pPr>
        <w:spacing w:after="0" w:line="200" w:lineRule="exact"/>
        <w:rPr>
          <w:sz w:val="20"/>
          <w:szCs w:val="20"/>
          <w:color w:val="auto"/>
        </w:rPr>
      </w:pPr>
    </w:p>
    <w:p>
      <w:pPr>
        <w:spacing w:after="0" w:line="236"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2"/>
          <w:szCs w:val="22"/>
          <w:color w:val="auto"/>
        </w:rPr>
        <w:t>WHEREAS, both the Company and the Indemnitee recognize the increased risk of litigation and other claims being asserted against directors and officers of public companies in today’s environment; and</w:t>
      </w:r>
    </w:p>
    <w:p>
      <w:pPr>
        <w:spacing w:after="0" w:line="391" w:lineRule="exact"/>
        <w:rPr>
          <w:sz w:val="20"/>
          <w:szCs w:val="20"/>
          <w:color w:val="auto"/>
        </w:rPr>
      </w:pPr>
    </w:p>
    <w:p>
      <w:pPr>
        <w:ind w:right="680" w:firstLine="1297"/>
        <w:spacing w:after="0" w:line="263" w:lineRule="auto"/>
        <w:rPr>
          <w:sz w:val="20"/>
          <w:szCs w:val="20"/>
          <w:color w:val="auto"/>
        </w:rPr>
      </w:pPr>
      <w:r>
        <w:rPr>
          <w:rFonts w:ascii="Arial" w:cs="Arial" w:eastAsia="Arial" w:hAnsi="Arial"/>
          <w:sz w:val="22"/>
          <w:szCs w:val="22"/>
          <w:color w:val="auto"/>
        </w:rPr>
        <w:t>WHEREAS, as of the Effective Date the Company is subject to the provisions of the Massachusetts Business Corporation Act (the “Act”); and</w:t>
      </w:r>
    </w:p>
    <w:p>
      <w:pPr>
        <w:spacing w:after="0" w:line="391" w:lineRule="exact"/>
        <w:rPr>
          <w:sz w:val="20"/>
          <w:szCs w:val="20"/>
          <w:color w:val="auto"/>
        </w:rPr>
      </w:pPr>
    </w:p>
    <w:p>
      <w:pPr>
        <w:ind w:right="60" w:firstLine="1297"/>
        <w:spacing w:after="0" w:line="263" w:lineRule="auto"/>
        <w:rPr>
          <w:sz w:val="20"/>
          <w:szCs w:val="20"/>
          <w:color w:val="auto"/>
        </w:rPr>
      </w:pPr>
      <w:r>
        <w:rPr>
          <w:rFonts w:ascii="Arial" w:cs="Arial" w:eastAsia="Arial" w:hAnsi="Arial"/>
          <w:sz w:val="21"/>
          <w:szCs w:val="21"/>
          <w:color w:val="auto"/>
        </w:rPr>
        <w:t>WHEREAS, in recognition of the Indemnitee’s need for substantial protection against personal liability in order to enhance the Indemnitee’s continued service to the Company in an effective manner, and in part to provide the Indemnitee with specific contractual assurance that all protections permitted by the Act will be available to the Indemnitee, the Company wishes to provide in this Agreement for the indemnification of and the advancing of expenses to the Indemnitee to the fullest extent (whether partial or complete) permitted by law and as set forth in this Agreement; and</w:t>
      </w:r>
    </w:p>
    <w:p>
      <w:pPr>
        <w:spacing w:after="0" w:line="392"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WHEREAS, the Board of Directors of the Company wishes to provide the Indemnitee with rights to indemnification to the fullest extent permitted by the Act and as set forth in this Agreement and has approved this agreement for the purposes of the Act, including for the purpose of obligating the Company in advance of any act or omission giving rise to a proceeding to provide indemnification;</w:t>
      </w:r>
    </w:p>
    <w:p>
      <w:pPr>
        <w:spacing w:after="0" w:line="200" w:lineRule="exact"/>
        <w:rPr>
          <w:sz w:val="20"/>
          <w:szCs w:val="20"/>
          <w:color w:val="auto"/>
        </w:rPr>
      </w:pPr>
    </w:p>
    <w:p>
      <w:pPr>
        <w:spacing w:after="0" w:line="205" w:lineRule="exact"/>
        <w:rPr>
          <w:sz w:val="20"/>
          <w:szCs w:val="20"/>
          <w:color w:val="auto"/>
        </w:rPr>
      </w:pPr>
    </w:p>
    <w:p>
      <w:pPr>
        <w:ind w:right="520" w:firstLine="1297"/>
        <w:spacing w:after="0" w:line="343" w:lineRule="auto"/>
        <w:rPr>
          <w:sz w:val="20"/>
          <w:szCs w:val="20"/>
          <w:color w:val="auto"/>
        </w:rPr>
      </w:pPr>
      <w:r>
        <w:rPr>
          <w:rFonts w:ascii="Arial" w:cs="Arial" w:eastAsia="Arial" w:hAnsi="Arial"/>
          <w:sz w:val="19"/>
          <w:szCs w:val="19"/>
          <w:color w:val="auto"/>
        </w:rPr>
        <w:t>NOW, THEREFORE, in consideration of the premises and of the Indemnitee continuing to serve the Company directly or, at its request, another enterprise, and intending to be legally bound hereby, the parties hereto agree as follows:</w:t>
      </w:r>
    </w:p>
    <w:p>
      <w:pPr>
        <w:spacing w:after="0" w:line="321" w:lineRule="exact"/>
        <w:rPr>
          <w:sz w:val="20"/>
          <w:szCs w:val="20"/>
          <w:color w:val="auto"/>
        </w:rPr>
      </w:pPr>
    </w:p>
    <w:p>
      <w:pPr>
        <w:ind w:left="1460" w:hanging="804"/>
        <w:spacing w:after="0"/>
        <w:tabs>
          <w:tab w:leader="none" w:pos="146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Basic Indemnification Arrangement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80" w:firstLine="1305"/>
        <w:spacing w:after="0" w:line="297" w:lineRule="auto"/>
        <w:tabs>
          <w:tab w:leader="none" w:pos="171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In accordance with the provisions of the Act, the Company shall, to the extent legally permissible, indemnify the Indemnitee against all liabilities and expenses, including amounts paid in satisfaction of judgments, in compromise or as fines and penalties, and attorneys’ fees or other costs paid or incurred by the Indemnitee in connection with the defense or disposition of any threatened, pending or completed action, suit or other proceeding, whether civil, criminal, administrative, arbitrative or investigative and whether formal or informal, or any appeal therefrom, in which the Indemnitee may be involved or with which the Indemnitee was, is or is threatened to be made, while in office or thereafter, a defendant or respondent by reason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the Indemnitee being or having been a director or an officer of the Company (any such proceeding, a “Proceeding”).</w:t>
      </w:r>
    </w:p>
    <w:p>
      <w:pPr>
        <w:spacing w:after="0" w:line="200" w:lineRule="exact"/>
        <w:rPr>
          <w:sz w:val="20"/>
          <w:szCs w:val="20"/>
          <w:color w:val="auto"/>
        </w:rPr>
      </w:pPr>
    </w:p>
    <w:p>
      <w:pPr>
        <w:spacing w:after="0" w:line="236" w:lineRule="exact"/>
        <w:rPr>
          <w:sz w:val="20"/>
          <w:szCs w:val="20"/>
          <w:color w:val="auto"/>
        </w:rPr>
      </w:pPr>
    </w:p>
    <w:p>
      <w:pPr>
        <w:ind w:right="100" w:firstLine="1305"/>
        <w:spacing w:after="0" w:line="254" w:lineRule="auto"/>
        <w:tabs>
          <w:tab w:leader="none" w:pos="1728" w:val="left"/>
        </w:tabs>
        <w:numPr>
          <w:ilvl w:val="1"/>
          <w:numId w:val="122"/>
        </w:numPr>
        <w:rPr>
          <w:rFonts w:ascii="Arial" w:cs="Arial" w:eastAsia="Arial" w:hAnsi="Arial"/>
          <w:sz w:val="22"/>
          <w:szCs w:val="22"/>
          <w:color w:val="auto"/>
        </w:rPr>
      </w:pPr>
      <w:r>
        <w:rPr>
          <w:rFonts w:ascii="Arial" w:cs="Arial" w:eastAsia="Arial" w:hAnsi="Arial"/>
          <w:sz w:val="22"/>
          <w:szCs w:val="22"/>
          <w:color w:val="auto"/>
        </w:rPr>
        <w:t>Within a reasonably prompt period after receipt by the Indemnitee of notice of the commencement of any Proceeding, the Indemnitee shall, if a claim in respect thereof is intended to be made against the Company under this Agreement, notify the Company of the commencement thereof; however, the failure to notify the Company will not relieve the Company from any liability that it may have to the Indemnitee.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40" w:firstLine="1305"/>
        <w:spacing w:after="0" w:line="291" w:lineRule="auto"/>
        <w:tabs>
          <w:tab w:leader="none" w:pos="171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If so requested by the Indemnitee, the Company shall advance (within five business days of such request) any and all expenses, including attorneys’ fees or other costs, paid or incurred by the Indemnitee in connection with the defense or disposition of any such action, suit or other proceeding (“Expenses”), to the Indemnitee (an “Expense Advance”) upon receipt by the Company of (i) a written affirmation of the Indemnitee’s good faith belief that the Indemnitee has met the relevant standard of conduct described in the Act or any successor provision of Massachusetts law or that the proceeding involves conduct for which liability has been eliminated under a provision of the Company’s restated articles of organization, as may be further amended (the “Restated Articles”), as authorized by the Act or any successor provision of Massachusetts law, and (ii) a written undertaking by the Indemnitee to repay the Expense Advance if it is ultimately determined that the Indemnitee is not entitled to indemnification in accordance with this Agreement or the provisions of the Act or any successor thereto.</w:t>
      </w:r>
    </w:p>
    <w:p>
      <w:pPr>
        <w:spacing w:after="0" w:line="370" w:lineRule="exact"/>
        <w:rPr>
          <w:rFonts w:ascii="Arial" w:cs="Arial" w:eastAsia="Arial" w:hAnsi="Arial"/>
          <w:sz w:val="19"/>
          <w:szCs w:val="19"/>
          <w:color w:val="auto"/>
        </w:rPr>
      </w:pPr>
    </w:p>
    <w:p>
      <w:pPr>
        <w:ind w:left="1000" w:hanging="344"/>
        <w:spacing w:after="0"/>
        <w:tabs>
          <w:tab w:leader="none" w:pos="10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540" w:firstLine="1305"/>
        <w:spacing w:after="0" w:line="276" w:lineRule="auto"/>
        <w:tabs>
          <w:tab w:leader="none" w:pos="171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“Affiliate” shall have the meaning set forth in Rule 12b-2 promulgated under Section 12 of the Securities Exchange Act of 1934.</w:t>
      </w:r>
    </w:p>
    <w:p>
      <w:pPr>
        <w:spacing w:after="0" w:line="377" w:lineRule="exact"/>
        <w:rPr>
          <w:rFonts w:ascii="Arial" w:cs="Arial" w:eastAsia="Arial" w:hAnsi="Arial"/>
          <w:sz w:val="22"/>
          <w:szCs w:val="22"/>
          <w:color w:val="auto"/>
        </w:rPr>
      </w:pPr>
    </w:p>
    <w:p>
      <w:pPr>
        <w:ind w:left="1740" w:hanging="435"/>
        <w:spacing w:after="0" w:line="219" w:lineRule="exact"/>
        <w:tabs>
          <w:tab w:leader="none" w:pos="174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“Beneficial Owner” shall have the meaning set forth in Rule 13d</w:t>
      </w:r>
      <w:r>
        <w:rPr>
          <w:rFonts w:ascii="MS PGothic" w:cs="MS PGothic" w:eastAsia="MS PGothic" w:hAnsi="MS PGothic"/>
          <w:sz w:val="19"/>
          <w:szCs w:val="19"/>
          <w:color w:val="auto"/>
        </w:rPr>
        <w:t>‑</w:t>
      </w:r>
      <w:r>
        <w:rPr>
          <w:rFonts w:ascii="Arial" w:cs="Arial" w:eastAsia="Arial" w:hAnsi="Arial"/>
          <w:sz w:val="19"/>
          <w:szCs w:val="19"/>
          <w:color w:val="auto"/>
        </w:rPr>
        <w:t>3 under the Securities Exchange Act of 1934.</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right="720" w:firstLine="1305"/>
        <w:spacing w:after="0" w:line="276" w:lineRule="auto"/>
        <w:tabs>
          <w:tab w:leader="none" w:pos="171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 “Change in Control” shall be deemed to have occurred if any of the events set forth in any one of the following paragraphs shall have occurred:</w:t>
      </w:r>
    </w:p>
    <w:p>
      <w:pPr>
        <w:spacing w:after="0" w:line="377" w:lineRule="exact"/>
        <w:rPr>
          <w:sz w:val="20"/>
          <w:szCs w:val="20"/>
          <w:color w:val="auto"/>
        </w:rPr>
      </w:pPr>
    </w:p>
    <w:p>
      <w:pPr>
        <w:ind w:left="1960" w:right="200" w:hanging="655"/>
        <w:spacing w:after="0" w:line="302" w:lineRule="auto"/>
        <w:tabs>
          <w:tab w:leader="none" w:pos="19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2(c)(iii)(A);</w:t>
      </w:r>
    </w:p>
    <w:p>
      <w:pPr>
        <w:spacing w:after="0" w:line="358" w:lineRule="exact"/>
        <w:rPr>
          <w:rFonts w:ascii="Arial" w:cs="Arial" w:eastAsia="Arial" w:hAnsi="Arial"/>
          <w:sz w:val="19"/>
          <w:szCs w:val="19"/>
          <w:color w:val="auto"/>
        </w:rPr>
      </w:pPr>
    </w:p>
    <w:p>
      <w:pPr>
        <w:ind w:left="1960" w:hanging="655"/>
        <w:spacing w:after="0" w:line="248" w:lineRule="auto"/>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following individuals cease for any reason to constitute a majority of the number of directors then serving: individuals who, on the date hereof, constitute the Board of Directors of the Company and any new director (other than a director whose initial assumption of office is in connection with an actual or threatened election contest, including but not limited to a consent solicitation, relating to the election of directors of the Company)</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91" w:right="299" w:bottom="1440" w:gutter="0" w:footer="0" w:header="0"/>
        </w:sectPr>
      </w:pPr>
    </w:p>
    <w:bookmarkStart w:id="226" w:name="page227"/>
    <w:bookmarkEnd w:id="226"/>
    <w:p>
      <w:pPr>
        <w:ind w:left="1960"/>
        <w:spacing w:after="0" w:line="250" w:lineRule="auto"/>
        <w:rPr>
          <w:sz w:val="20"/>
          <w:szCs w:val="20"/>
          <w:color w:val="auto"/>
        </w:rPr>
      </w:pPr>
      <w:r>
        <w:rPr>
          <w:rFonts w:ascii="Arial" w:cs="Arial" w:eastAsia="Arial" w:hAnsi="Arial"/>
          <w:sz w:val="22"/>
          <w:szCs w:val="22"/>
          <w:color w:val="auto"/>
        </w:rPr>
        <w:t>whose appointment or election by the Board of Directors or nomination for election by the Company's stockholders was approved or recommended by a vote of at least two-thirds (2/3) of the directors then in office who either were directors on the date hereof or whose appointment, election or nomination for election was previously so approved or recommended;</w:t>
      </w:r>
    </w:p>
    <w:p>
      <w:pPr>
        <w:spacing w:after="0" w:line="200" w:lineRule="exact"/>
        <w:rPr>
          <w:sz w:val="20"/>
          <w:szCs w:val="20"/>
          <w:color w:val="auto"/>
        </w:rPr>
      </w:pPr>
    </w:p>
    <w:p>
      <w:pPr>
        <w:spacing w:after="0" w:line="205" w:lineRule="exact"/>
        <w:rPr>
          <w:sz w:val="20"/>
          <w:szCs w:val="20"/>
          <w:color w:val="auto"/>
        </w:rPr>
      </w:pPr>
    </w:p>
    <w:p>
      <w:pPr>
        <w:ind w:left="1960" w:right="140" w:hanging="655"/>
        <w:spacing w:after="0" w:line="285" w:lineRule="auto"/>
        <w:tabs>
          <w:tab w:leader="none" w:pos="196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w:t>
      </w:r>
    </w:p>
    <w:p>
      <w:pPr>
        <w:ind w:left="1960"/>
        <w:spacing w:after="0" w:line="244" w:lineRule="auto"/>
        <w:rPr>
          <w:rFonts w:ascii="Arial" w:cs="Arial" w:eastAsia="Arial" w:hAnsi="Arial"/>
          <w:sz w:val="19"/>
          <w:szCs w:val="19"/>
          <w:color w:val="auto"/>
        </w:rPr>
      </w:pPr>
      <w:r>
        <w:rPr>
          <w:rFonts w:ascii="Arial" w:cs="Arial" w:eastAsia="Arial" w:hAnsi="Arial"/>
          <w:sz w:val="22"/>
          <w:szCs w:val="22"/>
          <w:color w:val="auto"/>
        </w:rPr>
        <w:t>(B)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960" w:right="220" w:hanging="655"/>
        <w:spacing w:after="0" w:line="261" w:lineRule="auto"/>
        <w:tabs>
          <w:tab w:leader="none" w:pos="19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80" w:lineRule="exact"/>
        <w:rPr>
          <w:sz w:val="20"/>
          <w:szCs w:val="20"/>
          <w:color w:val="auto"/>
        </w:rPr>
      </w:pPr>
    </w:p>
    <w:p>
      <w:pPr>
        <w:ind w:right="200" w:firstLine="1297"/>
        <w:spacing w:after="0" w:line="265" w:lineRule="auto"/>
        <w:rPr>
          <w:sz w:val="20"/>
          <w:szCs w:val="20"/>
          <w:color w:val="auto"/>
        </w:rPr>
      </w:pPr>
      <w:r>
        <w:rPr>
          <w:rFonts w:ascii="Arial" w:cs="Arial" w:eastAsia="Arial" w:hAnsi="Arial"/>
          <w:sz w:val="21"/>
          <w:szCs w:val="21"/>
          <w:color w:val="auto"/>
        </w:rPr>
        <w:t>Notwithstanding anything in the foregoing to the contrary, no Change in Control shall be deemed to have occurred for purposes of this Agreement by virtue of any transaction which results in the Indemnitee, or a group of Persons which includes the Indemnitee, acquiring, directly or indirectly, 25% or more of either the then outstanding shares of common stock of the Company or the combined voting power of the Company’s then outstanding securities.</w:t>
      </w:r>
    </w:p>
    <w:p>
      <w:pPr>
        <w:spacing w:after="0" w:line="176" w:lineRule="exact"/>
        <w:rPr>
          <w:sz w:val="20"/>
          <w:szCs w:val="20"/>
          <w:color w:val="auto"/>
        </w:rPr>
      </w:pPr>
    </w:p>
    <w:p>
      <w:pPr>
        <w:ind w:right="140" w:firstLine="1305"/>
        <w:spacing w:after="0" w:line="254" w:lineRule="auto"/>
        <w:tabs>
          <w:tab w:leader="none" w:pos="172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“Disinterested Director” shall mean a director of the Company who, at the time of a vote referred to in this Section 2 is not (i) a party to the Proceeding, or (ii) an individual having a familial, financial, professional, or employment relationship with the Indemnitee, which relationship would, under the circumstances, reasonably be expected to exert an influence on the director’s judgment when voting on the decision being made.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227" w:name="page228"/>
    <w:bookmarkEnd w:id="227"/>
    <w:p>
      <w:pPr>
        <w:ind w:left="-8" w:right="160" w:firstLine="1305"/>
        <w:spacing w:after="0" w:line="299" w:lineRule="auto"/>
        <w:tabs>
          <w:tab w:leader="none" w:pos="1708" w:val="left"/>
        </w:tabs>
        <w:numPr>
          <w:ilvl w:val="2"/>
          <w:numId w:val="127"/>
        </w:numPr>
        <w:rPr>
          <w:rFonts w:ascii="Arial" w:cs="Arial" w:eastAsia="Arial" w:hAnsi="Arial"/>
          <w:sz w:val="19"/>
          <w:szCs w:val="19"/>
          <w:color w:val="auto"/>
        </w:rPr>
      </w:pPr>
      <w:r>
        <w:rPr>
          <w:rFonts w:ascii="Arial" w:cs="Arial" w:eastAsia="Arial" w:hAnsi="Arial"/>
          <w:sz w:val="19"/>
          <w:szCs w:val="19"/>
          <w:color w:val="auto"/>
        </w:rPr>
        <w:t>“Person” shall have the meaning given in Section 3(a)(9) of the Securities Exchange Act of 1934, as modified and used in Sections 13(d) and 14(d) thereof, except that such term shall not include (i) the Company or any of its subsidiaries,</w:t>
      </w:r>
    </w:p>
    <w:p>
      <w:pPr>
        <w:ind w:left="-8" w:right="240" w:firstLine="8"/>
        <w:spacing w:after="0" w:line="302" w:lineRule="auto"/>
        <w:tabs>
          <w:tab w:leader="none" w:pos="31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59" w:lineRule="exact"/>
        <w:rPr>
          <w:rFonts w:ascii="Arial" w:cs="Arial" w:eastAsia="Arial" w:hAnsi="Arial"/>
          <w:sz w:val="19"/>
          <w:szCs w:val="19"/>
          <w:color w:val="auto"/>
        </w:rPr>
      </w:pPr>
    </w:p>
    <w:p>
      <w:pPr>
        <w:ind w:left="-8" w:firstLine="1305"/>
        <w:spacing w:after="0" w:line="286" w:lineRule="auto"/>
        <w:tabs>
          <w:tab w:leader="none" w:pos="1684" w:val="left"/>
        </w:tabs>
        <w:numPr>
          <w:ilvl w:val="2"/>
          <w:numId w:val="128"/>
        </w:numPr>
        <w:rPr>
          <w:rFonts w:ascii="Arial" w:cs="Arial" w:eastAsia="Arial" w:hAnsi="Arial"/>
          <w:sz w:val="19"/>
          <w:szCs w:val="19"/>
          <w:color w:val="auto"/>
        </w:rPr>
      </w:pPr>
      <w:r>
        <w:rPr>
          <w:rFonts w:ascii="Arial" w:cs="Arial" w:eastAsia="Arial" w:hAnsi="Arial"/>
          <w:sz w:val="19"/>
          <w:szCs w:val="19"/>
          <w:color w:val="auto"/>
        </w:rPr>
        <w:t>In the event of a Change in Control after the date hereof (other than a Change in Control approved by a majority of the directors on the Board of Directors who were directors immediately prior to such Change in Control), then with respect to all matters thereafter arising concerning the rights of Indemnitee to indemnity payments under this Agreement or any Company By-Law or provision of the Company’s Restated Articles now or hereafter in effect, the Company shall seek legal advice only from independent counsel who has not otherwise performed services for the Company or the Indemnitee (other than in connection with indemnification matters) within the last five years selected (i) if there are two or more Disinterested Directors, by the Board of Directors by a majority vote of all the Disinterested Directors or by a majority of the members of a committee of two or more Disinterested Directors appointed by vote or (ii) if there are fewer than two Disinterested Directors, by the Board of Directors of the Company; and which in any such case of selection in accordance with clause (i) or (ii) of this section, shall be reasonably acceptable to the Indemnitee (such independent counsel, the “Independent Counsel”). The Independent Counsel shall not include any person who, under the applicable standards of professional conduct then prevailing, would have a conflict of interest in representing either the Company or the Indemnitee in an action to determine the Indemnitee’s rights under this Agreement. The Independent Counsel, among other things, shall render its written opinion to the Company and the Indemnitee as to whether and to what extent the Indemnitee should be permitted to be indemnified under applicable law. The Company agrees to pay the reasonable fees of the Independent Counsel and to indemnify fully such Independent Counsel against any and all expenses (including attorneys’ fees), claims, liabilities, loss, and damages arising out of or relating to this Agreement or its engagement pursuant hereto.</w:t>
      </w:r>
    </w:p>
    <w:p>
      <w:pPr>
        <w:spacing w:after="0" w:line="385" w:lineRule="exact"/>
        <w:rPr>
          <w:rFonts w:ascii="Arial" w:cs="Arial" w:eastAsia="Arial" w:hAnsi="Arial"/>
          <w:sz w:val="19"/>
          <w:szCs w:val="19"/>
          <w:color w:val="auto"/>
        </w:rPr>
      </w:pPr>
    </w:p>
    <w:p>
      <w:pPr>
        <w:ind w:left="-8" w:right="20" w:firstLine="656"/>
        <w:spacing w:after="0" w:line="261" w:lineRule="auto"/>
        <w:tabs>
          <w:tab w:leader="none" w:pos="982"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Other Expenses</w:t>
      </w:r>
      <w:r>
        <w:rPr>
          <w:rFonts w:ascii="Arial" w:cs="Arial" w:eastAsia="Arial" w:hAnsi="Arial"/>
          <w:sz w:val="21"/>
          <w:szCs w:val="21"/>
          <w:color w:val="auto"/>
        </w:rPr>
        <w:t>. The Company shall be liable to and shall pay the Indemnitee for any and all expenses (including attorneys’ fees) which are incurred by the Indemnitee in connection with any action brought by the Indemnitee for (i) indemnification or advance payment of Expenses by the Company under this Agreement or any other agreement or Company By-law or provision of its Restated Articles now or hereafter in effect relating to indemnification and/or (ii) recovery under any directors’ and officers’ liability insurance policies maintained by the Company, regardless of whether the Indemnitee ultimately is determined to be entitled to such indemnification, advance expense payment or insurance recovery, as the case may be. If requested by the Indemnitee, the Company shall promptly advance (but in no event more than five business days after receiving such request) any such expenses to the Indemnitee.</w:t>
      </w:r>
    </w:p>
    <w:p>
      <w:pPr>
        <w:spacing w:after="0" w:line="397" w:lineRule="exact"/>
        <w:rPr>
          <w:rFonts w:ascii="Arial" w:cs="Arial" w:eastAsia="Arial" w:hAnsi="Arial"/>
          <w:sz w:val="21"/>
          <w:szCs w:val="21"/>
          <w:color w:val="auto"/>
        </w:rPr>
      </w:pPr>
    </w:p>
    <w:p>
      <w:pPr>
        <w:ind w:left="-8" w:right="740" w:firstLine="656"/>
        <w:spacing w:after="0" w:line="276" w:lineRule="auto"/>
        <w:tabs>
          <w:tab w:leader="none" w:pos="982"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Partial Indemnity, Etc.</w:t>
      </w:r>
      <w:r>
        <w:rPr>
          <w:rFonts w:ascii="Arial" w:cs="Arial" w:eastAsia="Arial" w:hAnsi="Arial"/>
          <w:sz w:val="22"/>
          <w:szCs w:val="22"/>
          <w:color w:val="auto"/>
        </w:rPr>
        <w:t xml:space="preserve"> If the Indemnitee is entitled under any provision of this Agreement to indemnification or payment by the Company for some or a portion of the</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591" w:right="259" w:bottom="1440" w:gutter="0" w:footer="0" w:header="0"/>
        </w:sectPr>
      </w:pPr>
    </w:p>
    <w:bookmarkStart w:id="228" w:name="page229"/>
    <w:bookmarkEnd w:id="228"/>
    <w:p>
      <w:pPr>
        <w:ind w:right="200"/>
        <w:spacing w:after="0" w:line="253" w:lineRule="auto"/>
        <w:rPr>
          <w:sz w:val="20"/>
          <w:szCs w:val="20"/>
          <w:color w:val="auto"/>
        </w:rPr>
      </w:pPr>
      <w:r>
        <w:rPr>
          <w:rFonts w:ascii="Arial" w:cs="Arial" w:eastAsia="Arial" w:hAnsi="Arial"/>
          <w:sz w:val="22"/>
          <w:szCs w:val="22"/>
          <w:color w:val="auto"/>
        </w:rPr>
        <w:t>Expenses, judgments, fines, penalties and amounts paid in settlement of any threatened, pending or completed action, suit or proceeding but not, however, for all of the total amount thereof, the Company shall nevertheless indemnify or pay the Indemnitee for the portion thereof to which the Indemnitee is entitled.</w:t>
      </w:r>
    </w:p>
    <w:p>
      <w:pPr>
        <w:spacing w:after="0" w:line="200" w:lineRule="exact"/>
        <w:rPr>
          <w:sz w:val="20"/>
          <w:szCs w:val="20"/>
          <w:color w:val="auto"/>
        </w:rPr>
      </w:pPr>
    </w:p>
    <w:p>
      <w:pPr>
        <w:spacing w:after="0" w:line="202" w:lineRule="exact"/>
        <w:rPr>
          <w:sz w:val="20"/>
          <w:szCs w:val="20"/>
          <w:color w:val="auto"/>
        </w:rPr>
      </w:pPr>
    </w:p>
    <w:p>
      <w:pPr>
        <w:ind w:right="20" w:firstLine="656"/>
        <w:spacing w:after="0" w:line="251"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Limitation on Indemnification</w:t>
      </w:r>
      <w:r>
        <w:rPr>
          <w:rFonts w:ascii="Arial" w:cs="Arial" w:eastAsia="Arial" w:hAnsi="Arial"/>
          <w:sz w:val="22"/>
          <w:szCs w:val="22"/>
          <w:color w:val="auto"/>
        </w:rPr>
        <w:t>. Notwithstanding anything in this Agreement to the contrary, the Indemnitee shall not be entitled to indemnification pursuant to this Agreement in connection with any Proceeding initiated by the Indemnitee against the Company or any director or officer of the Company unless (i) the Company has joined in or the Board of Directors of the Company has consented to the initiation of such Proceeding; or (ii) the Proceeding is one to enforce the Indemnitee’s rights under this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00" w:firstLine="656"/>
        <w:spacing w:after="0" w:line="251"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Nonexclusivity, Etc.</w:t>
      </w:r>
      <w:r>
        <w:rPr>
          <w:rFonts w:ascii="Arial" w:cs="Arial" w:eastAsia="Arial" w:hAnsi="Arial"/>
          <w:sz w:val="22"/>
          <w:szCs w:val="22"/>
          <w:color w:val="auto"/>
        </w:rPr>
        <w:t xml:space="preserve"> The rights of the Indemnitee hereunder shall be in addition to any other rights the Indemnitee may have under the Company’s Restated Articles, By-Laws or the Act or otherwise. To the extent that a change in the Act (whether by statute or judicial decision) permits greater indemnification by agreement than would be afforded currently under the Company’s By-Laws or this Agreement, it is the intent of the parties hereto that the Indemnitee shall enjoy by this Agreement the greater benefits so afforded by such change.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20" w:firstLine="656"/>
        <w:spacing w:after="0" w:line="260"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Liability Insurance</w:t>
      </w:r>
      <w:r>
        <w:rPr>
          <w:rFonts w:ascii="Arial" w:cs="Arial" w:eastAsia="Arial" w:hAnsi="Arial"/>
          <w:sz w:val="22"/>
          <w:szCs w:val="22"/>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any Company director or officer.</w:t>
      </w:r>
    </w:p>
    <w:p>
      <w:pPr>
        <w:spacing w:after="0" w:line="393" w:lineRule="exact"/>
        <w:rPr>
          <w:rFonts w:ascii="Arial" w:cs="Arial" w:eastAsia="Arial" w:hAnsi="Arial"/>
          <w:sz w:val="22"/>
          <w:szCs w:val="22"/>
          <w:color w:val="auto"/>
        </w:rPr>
      </w:pPr>
    </w:p>
    <w:p>
      <w:pPr>
        <w:ind w:right="240" w:firstLine="656"/>
        <w:spacing w:after="0" w:line="320" w:lineRule="auto"/>
        <w:tabs>
          <w:tab w:leader="none" w:pos="99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41" w:lineRule="exact"/>
        <w:rPr>
          <w:rFonts w:ascii="Arial" w:cs="Arial" w:eastAsia="Arial" w:hAnsi="Arial"/>
          <w:sz w:val="19"/>
          <w:szCs w:val="19"/>
          <w:color w:val="auto"/>
        </w:rPr>
      </w:pPr>
    </w:p>
    <w:p>
      <w:pPr>
        <w:ind w:firstLine="656"/>
        <w:spacing w:after="0" w:line="254"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Subrogation</w:t>
      </w:r>
      <w:r>
        <w:rPr>
          <w:rFonts w:ascii="Arial" w:cs="Arial" w:eastAsia="Arial" w:hAnsi="Arial"/>
          <w:sz w:val="22"/>
          <w:szCs w:val="22"/>
          <w:color w:val="auto"/>
        </w:rPr>
        <w:t>. In the event of payment under this Agreement, the Company shall be subrogated to the extent of such payment to all of the rights of recovery 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 w:firstLine="656"/>
        <w:spacing w:after="0" w:line="254" w:lineRule="auto"/>
        <w:tabs>
          <w:tab w:leader="none" w:pos="109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 Duplication of Payments</w:t>
      </w:r>
      <w:r>
        <w:rPr>
          <w:rFonts w:ascii="Arial" w:cs="Arial" w:eastAsia="Arial" w:hAnsi="Arial"/>
          <w:sz w:val="22"/>
          <w:szCs w:val="22"/>
          <w:color w:val="auto"/>
        </w:rPr>
        <w:t>. The Company shall not be liable under this Agreement to make any payment in connection with any claim made against the Indemnitee in connection with any threatened, pending or completed action, suit or proceeding to the extent the Indemnitee has otherwise actually received payment (under any insurance policy, By-law or otherwise) of the amounts otherwise indemnifiable hereunder.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60" w:firstLine="656"/>
        <w:spacing w:after="0" w:line="358" w:lineRule="auto"/>
        <w:tabs>
          <w:tab w:leader="none" w:pos="109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requests, consents or other communications under this Agreement shall be delivered by hand or sent by registered or certified mail, return receipt requested, or by overnight prepaid courier, or by facsimile (receipt confirmed) to:</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1" w:right="259" w:bottom="1440" w:gutter="0" w:footer="0" w:header="0"/>
        </w:sectPr>
      </w:pPr>
    </w:p>
    <w:bookmarkStart w:id="229" w:name="page230"/>
    <w:bookmarkEnd w:id="229"/>
    <w:p>
      <w:pPr>
        <w:ind w:left="6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EMC Corporation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176 South Street</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Hopkinton, MA 01748</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Attention: Office of the General Counsel</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(508) 497-6915</w:t>
      </w:r>
    </w:p>
    <w:p>
      <w:pPr>
        <w:spacing w:after="0" w:line="200" w:lineRule="exact"/>
        <w:rPr>
          <w:sz w:val="20"/>
          <w:szCs w:val="20"/>
          <w:color w:val="auto"/>
        </w:rPr>
      </w:pPr>
    </w:p>
    <w:p>
      <w:pPr>
        <w:sectPr>
          <w:pgSz w:w="11900" w:h="16838" w:orient="portrait"/>
          <w:cols w:equalWidth="0" w:num="2">
            <w:col w:w="2280" w:space="320"/>
            <w:col w:w="8780"/>
          </w:cols>
          <w:pgMar w:left="240" w:top="375" w:right="279" w:bottom="1440" w:gutter="0" w:footer="0" w:header="0"/>
        </w:sectPr>
      </w:pPr>
    </w:p>
    <w:p>
      <w:pPr>
        <w:spacing w:after="0" w:line="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the Indemnitee: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[CITY, STATE ZIP]</w:t>
      </w:r>
    </w:p>
    <w:p>
      <w:pPr>
        <w:spacing w:after="0" w:line="200" w:lineRule="exact"/>
        <w:rPr>
          <w:sz w:val="20"/>
          <w:szCs w:val="20"/>
          <w:color w:val="auto"/>
        </w:rPr>
      </w:pPr>
    </w:p>
    <w:p>
      <w:pPr>
        <w:sectPr>
          <w:pgSz w:w="11900" w:h="16838" w:orient="portrait"/>
          <w:cols w:equalWidth="0" w:num="2">
            <w:col w:w="2420" w:space="480"/>
            <w:col w:w="8480"/>
          </w:cols>
          <w:pgMar w:left="240" w:top="375" w:right="279" w:bottom="1440" w:gutter="0" w:footer="0" w:header="0"/>
          <w:type w:val="continuous"/>
        </w:sectPr>
      </w:pPr>
    </w:p>
    <w:p>
      <w:pPr>
        <w:spacing w:after="0" w:line="36"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All such notices, requests, consents and other communications shall be deemed to have been duly delivered and received three (3) days following the date on which mailed, or one (1) day following the date mailed if sent by overnight courier, or on the date on which delivery by hand or by facsimile transmission.</w:t>
      </w:r>
    </w:p>
    <w:p>
      <w:pPr>
        <w:spacing w:after="0" w:line="200" w:lineRule="exact"/>
        <w:rPr>
          <w:sz w:val="20"/>
          <w:szCs w:val="20"/>
          <w:color w:val="auto"/>
        </w:rPr>
      </w:pPr>
    </w:p>
    <w:p>
      <w:pPr>
        <w:spacing w:after="0" w:line="202" w:lineRule="exact"/>
        <w:rPr>
          <w:sz w:val="20"/>
          <w:szCs w:val="20"/>
          <w:color w:val="auto"/>
        </w:rPr>
      </w:pPr>
    </w:p>
    <w:p>
      <w:pPr>
        <w:ind w:right="100" w:firstLine="656"/>
        <w:spacing w:after="0" w:line="300" w:lineRule="auto"/>
        <w:tabs>
          <w:tab w:leader="none" w:pos="109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Binding Effect, Etc.</w:t>
      </w:r>
      <w:r>
        <w:rPr>
          <w:rFonts w:ascii="Arial" w:cs="Arial" w:eastAsia="Arial" w:hAnsi="Arial"/>
          <w:sz w:val="19"/>
          <w:szCs w:val="19"/>
          <w:color w:val="auto"/>
        </w:rPr>
        <w:t xml:space="preserve"> This Agreement shall be effective as of the Effective Date and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the Indemnitee continues to serve as an officer or director of the Company or of any other enterprise at the Company’s request.</w:t>
      </w:r>
    </w:p>
    <w:p>
      <w:pPr>
        <w:spacing w:after="0" w:line="363" w:lineRule="exact"/>
        <w:rPr>
          <w:rFonts w:ascii="Arial" w:cs="Arial" w:eastAsia="Arial" w:hAnsi="Arial"/>
          <w:sz w:val="19"/>
          <w:szCs w:val="19"/>
          <w:color w:val="auto"/>
        </w:rPr>
      </w:pPr>
    </w:p>
    <w:p>
      <w:pPr>
        <w:ind w:right="40" w:firstLine="656"/>
        <w:spacing w:after="0" w:line="251" w:lineRule="auto"/>
        <w:tabs>
          <w:tab w:leader="none" w:pos="109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 provision in every other respect and of the remaining provisions hereof shall not be in any way impaired and shall remain enforceable to the fullest extent permitted by law.</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20" w:firstLine="656"/>
        <w:spacing w:after="0" w:line="260" w:lineRule="auto"/>
        <w:tabs>
          <w:tab w:leader="none" w:pos="109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laws of the Commonwealth of Massachusetts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PAGE INTENTIONALLY LEFT BLANK]</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75" w:right="279" w:bottom="1440" w:gutter="0" w:footer="0" w:header="0"/>
          <w:type w:val="continuous"/>
        </w:sectPr>
      </w:pPr>
    </w:p>
    <w:bookmarkStart w:id="230" w:name="page231"/>
    <w:bookmarkEnd w:id="230"/>
    <w:p>
      <w:pPr>
        <w:ind w:left="1300"/>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EMC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w:t>
      </w:r>
    </w:p>
    <w:p>
      <w:pPr>
        <w:spacing w:after="0" w:line="22" w:lineRule="exact"/>
        <w:rPr>
          <w:sz w:val="20"/>
          <w:szCs w:val="20"/>
          <w:color w:val="auto"/>
        </w:rPr>
      </w:pPr>
    </w:p>
    <w:p>
      <w:pPr>
        <w:ind w:left="9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[Indemnitee Name]</w:t>
      </w:r>
    </w:p>
    <w:p>
      <w:pPr>
        <w:spacing w:after="0" w:line="200" w:lineRule="exact"/>
        <w:rPr>
          <w:sz w:val="20"/>
          <w:szCs w:val="20"/>
          <w:color w:val="auto"/>
        </w:rPr>
      </w:pP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591" w:right="7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10.40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INDEMNIFICATION AGREEMENT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This Indemnification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effective [________], by and between Dell Inc.,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Recitals</w:t>
      </w:r>
    </w:p>
    <w:p>
      <w:pPr>
        <w:spacing w:after="0" w:line="260" w:lineRule="exact"/>
        <w:rPr>
          <w:sz w:val="20"/>
          <w:szCs w:val="20"/>
          <w:color w:val="auto"/>
        </w:rPr>
      </w:pPr>
    </w:p>
    <w:p>
      <w:pPr>
        <w:jc w:val="both"/>
        <w:ind w:left="660" w:hanging="652"/>
        <w:spacing w:after="0" w:line="25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Competent and experienced persons are reluctant to serve or to continue to serve as directors or officers of corporations unless they are provided with adequate protection through insurance or indemnification (or both) against claims against them arising out of their service and activities as directors.</w:t>
      </w:r>
    </w:p>
    <w:p>
      <w:pPr>
        <w:spacing w:after="0" w:line="226"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Uncertainties relating to the availability of adequate insurance for directors and officers have increased the difficulty for corporations to attract and retain competent and experienced persons to serve as directors or officers.</w:t>
      </w:r>
    </w:p>
    <w:p>
      <w:pPr>
        <w:spacing w:after="0" w:line="192"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has determined that the continuation of present trends in litigation will make it more difficult to attract and retain competent and experienced persons to serve as directors or officers of the Company and, in some cases, of its subsidiaries, that this situation is detrimental to the best interests of the Company's stockholders and that the Company should act to assure its directors and officers that there will be increased certainty of adequate protection in the future.</w:t>
      </w:r>
    </w:p>
    <w:p>
      <w:pPr>
        <w:spacing w:after="0" w:line="232"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It is reasonable, prudent and necessary for the Company to obligate itself contractually to indemnify its directors and officers to the fullest extent permitted by applicable law in order to induce them to serve or continue to serve as directors or officers of the Company or its subsidiaries.</w:t>
      </w:r>
    </w:p>
    <w:p>
      <w:pPr>
        <w:spacing w:after="0" w:line="226"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Indemnitee’s willingness to continue to serve in his or her current capacity is predicated, in substantial part, upon the Company's willingness to indemnify him or her to the fullest extent permitted by the laws of the State of Delaware and upon the other undertakings set forth in this Agreement.</w:t>
      </w:r>
    </w:p>
    <w:p>
      <w:pPr>
        <w:spacing w:after="0" w:line="226" w:lineRule="exact"/>
        <w:rPr>
          <w:rFonts w:ascii="Arial" w:cs="Arial" w:eastAsia="Arial" w:hAnsi="Arial"/>
          <w:sz w:val="22"/>
          <w:szCs w:val="22"/>
          <w:color w:val="auto"/>
        </w:rPr>
      </w:pPr>
    </w:p>
    <w:p>
      <w:pPr>
        <w:jc w:val="both"/>
        <w:ind w:left="660" w:hanging="652"/>
        <w:spacing w:after="0" w:line="260" w:lineRule="auto"/>
        <w:tabs>
          <w:tab w:leader="none" w:pos="66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recognition of the need to provide Indemnitee with substantial protection against personal liability, in order to procure Indemnitee's continued service, and to enhance Indemnitee's ability to serve the Company in an effective manner, and in order to provide such protection pursuant to express contract rights (intended to be enforceable irrespective of any amendment to the Company's Certificate of Incorporation or Bylaws (collectively, the "</w:t>
      </w:r>
      <w:r>
        <w:rPr>
          <w:rFonts w:ascii="Arial" w:cs="Arial" w:eastAsia="Arial" w:hAnsi="Arial"/>
          <w:sz w:val="21"/>
          <w:szCs w:val="21"/>
          <w:b w:val="1"/>
          <w:bCs w:val="1"/>
          <w:i w:val="1"/>
          <w:iCs w:val="1"/>
          <w:color w:val="auto"/>
        </w:rPr>
        <w:t>Constituent Documents</w:t>
      </w:r>
      <w:r>
        <w:rPr>
          <w:rFonts w:ascii="Arial" w:cs="Arial" w:eastAsia="Arial" w:hAnsi="Arial"/>
          <w:sz w:val="21"/>
          <w:szCs w:val="21"/>
          <w:color w:val="auto"/>
        </w:rPr>
        <w:t>"), any Change of Control (as defined in Section 1(a)) or any change in the composition of the Board), the Company wishes to provide in this Agreement for the indemnification of and the advancement of Expenses (as defined in Section 1(c)) to Indemnitee as set forth in this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232" w:name="page233"/>
    <w:bookmarkEnd w:id="232"/>
    <w:p>
      <w:pPr>
        <w:spacing w:after="0" w:line="343" w:lineRule="auto"/>
        <w:rPr>
          <w:sz w:val="20"/>
          <w:szCs w:val="20"/>
          <w:color w:val="auto"/>
        </w:rPr>
      </w:pPr>
      <w:r>
        <w:rPr>
          <w:rFonts w:ascii="Arial" w:cs="Arial" w:eastAsia="Arial" w:hAnsi="Arial"/>
          <w:sz w:val="19"/>
          <w:szCs w:val="19"/>
          <w:color w:val="auto"/>
        </w:rPr>
        <w:t>Now, therefore, for and in consideration of the foregoing premises, Indemnitee's agreement to continue to serve the Company in his or her current capacity and the mutual covenants and agreements contained herein, the parties hereby agree as follows:</w:t>
      </w:r>
    </w:p>
    <w:p>
      <w:pPr>
        <w:spacing w:after="0" w:line="145" w:lineRule="exact"/>
        <w:rPr>
          <w:sz w:val="20"/>
          <w:szCs w:val="20"/>
          <w:color w:val="auto"/>
        </w:rPr>
      </w:pPr>
    </w:p>
    <w:p>
      <w:pPr>
        <w:ind w:left="660" w:hanging="652"/>
        <w:spacing w:after="0" w:line="263" w:lineRule="auto"/>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Certain Definitions — </w:t>
      </w:r>
      <w:r>
        <w:rPr>
          <w:rFonts w:ascii="Arial" w:cs="Arial" w:eastAsia="Arial" w:hAnsi="Arial"/>
          <w:sz w:val="22"/>
          <w:szCs w:val="22"/>
          <w:color w:val="auto"/>
        </w:rPr>
        <w:t>In addition to terms defined elsewhere herein, the following terms shall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indicated below when used in this Agreement:</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shall mean the occurrence of any of the following events:</w:t>
      </w:r>
    </w:p>
    <w:p>
      <w:pPr>
        <w:spacing w:after="0" w:line="260" w:lineRule="exact"/>
        <w:rPr>
          <w:rFonts w:ascii="Arial" w:cs="Arial" w:eastAsia="Arial" w:hAnsi="Arial"/>
          <w:sz w:val="22"/>
          <w:szCs w:val="22"/>
          <w:color w:val="auto"/>
        </w:rPr>
      </w:pPr>
    </w:p>
    <w:p>
      <w:pPr>
        <w:jc w:val="both"/>
        <w:ind w:left="1960" w:hanging="655"/>
        <w:spacing w:after="0" w:line="246" w:lineRule="auto"/>
        <w:tabs>
          <w:tab w:leader="none" w:pos="196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The acquisition after the date of this Agreement by any individual, entity or group (within the meaning of Section 13(d)(3) or 14(d)(2) of the Securities Exchange Act of 1934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(a "</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of beneficial ownership (within the meaning of Rule 13d-3 promulgated under the Exchange Act) of 15% or more of either the then outstanding shares of common stock of the Company (the "</w:t>
      </w:r>
      <w:r>
        <w:rPr>
          <w:rFonts w:ascii="Arial" w:cs="Arial" w:eastAsia="Arial" w:hAnsi="Arial"/>
          <w:sz w:val="22"/>
          <w:szCs w:val="22"/>
          <w:b w:val="1"/>
          <w:bCs w:val="1"/>
          <w:i w:val="1"/>
          <w:iCs w:val="1"/>
          <w:color w:val="auto"/>
        </w:rPr>
        <w:t>Outstanding Company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or the combined voting power of the then outstanding voting securities of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entitled to vote generally in the election of directors (the "</w:t>
      </w:r>
      <w:r>
        <w:rPr>
          <w:rFonts w:ascii="Arial" w:cs="Arial" w:eastAsia="Arial" w:hAnsi="Arial"/>
          <w:sz w:val="22"/>
          <w:szCs w:val="22"/>
          <w:b w:val="1"/>
          <w:bCs w:val="1"/>
          <w:i w:val="1"/>
          <w:iCs w:val="1"/>
          <w:color w:val="auto"/>
        </w:rPr>
        <w:t>Outstanding Company Voting Securities</w:t>
      </w:r>
      <w:r>
        <w:rPr>
          <w:rFonts w:ascii="Arial" w:cs="Arial" w:eastAsia="Arial" w:hAnsi="Arial"/>
          <w:sz w:val="22"/>
          <w:szCs w:val="22"/>
          <w:color w:val="auto"/>
        </w:rPr>
        <w:t>"); provided, however, that for purposes of this paragraph (i), the following acquisitions shall not constitute a Change of Control:</w:t>
      </w:r>
    </w:p>
    <w:p>
      <w:pPr>
        <w:spacing w:after="0" w:line="235" w:lineRule="exact"/>
        <w:rPr>
          <w:rFonts w:ascii="Arial" w:cs="Arial" w:eastAsia="Arial" w:hAnsi="Arial"/>
          <w:sz w:val="22"/>
          <w:szCs w:val="22"/>
          <w:color w:val="auto"/>
        </w:rPr>
      </w:pPr>
    </w:p>
    <w:p>
      <w:pPr>
        <w:ind w:left="2600" w:hanging="647"/>
        <w:spacing w:after="0"/>
        <w:tabs>
          <w:tab w:leader="none" w:pos="2600" w:val="left"/>
        </w:tabs>
        <w:numPr>
          <w:ilvl w:val="3"/>
          <w:numId w:val="132"/>
        </w:numPr>
        <w:rPr>
          <w:rFonts w:ascii="Arial" w:cs="Arial" w:eastAsia="Arial" w:hAnsi="Arial"/>
          <w:sz w:val="22"/>
          <w:szCs w:val="22"/>
          <w:color w:val="auto"/>
        </w:rPr>
      </w:pPr>
      <w:r>
        <w:rPr>
          <w:rFonts w:ascii="Arial" w:cs="Arial" w:eastAsia="Arial" w:hAnsi="Arial"/>
          <w:sz w:val="22"/>
          <w:szCs w:val="22"/>
          <w:color w:val="auto"/>
        </w:rPr>
        <w:t>Any acquisition directly from the Company or any Controlled Affiliate of the Company;</w:t>
      </w:r>
    </w:p>
    <w:p>
      <w:pPr>
        <w:spacing w:after="0" w:line="260" w:lineRule="exact"/>
        <w:rPr>
          <w:rFonts w:ascii="Arial" w:cs="Arial" w:eastAsia="Arial" w:hAnsi="Arial"/>
          <w:sz w:val="22"/>
          <w:szCs w:val="22"/>
          <w:color w:val="auto"/>
        </w:rPr>
      </w:pPr>
    </w:p>
    <w:p>
      <w:pPr>
        <w:ind w:left="2600" w:hanging="647"/>
        <w:spacing w:after="0"/>
        <w:tabs>
          <w:tab w:leader="none" w:pos="2600" w:val="left"/>
        </w:tabs>
        <w:numPr>
          <w:ilvl w:val="3"/>
          <w:numId w:val="132"/>
        </w:numPr>
        <w:rPr>
          <w:rFonts w:ascii="Arial" w:cs="Arial" w:eastAsia="Arial" w:hAnsi="Arial"/>
          <w:sz w:val="22"/>
          <w:szCs w:val="22"/>
          <w:color w:val="auto"/>
        </w:rPr>
      </w:pPr>
      <w:r>
        <w:rPr>
          <w:rFonts w:ascii="Arial" w:cs="Arial" w:eastAsia="Arial" w:hAnsi="Arial"/>
          <w:sz w:val="22"/>
          <w:szCs w:val="22"/>
          <w:color w:val="auto"/>
        </w:rPr>
        <w:t>Any acquisition by the Company or any Controlled Affiliate of the Company;</w:t>
      </w:r>
    </w:p>
    <w:p>
      <w:pPr>
        <w:spacing w:after="0" w:line="260" w:lineRule="exact"/>
        <w:rPr>
          <w:rFonts w:ascii="Arial" w:cs="Arial" w:eastAsia="Arial" w:hAnsi="Arial"/>
          <w:sz w:val="22"/>
          <w:szCs w:val="22"/>
          <w:color w:val="auto"/>
        </w:rPr>
      </w:pPr>
    </w:p>
    <w:p>
      <w:pPr>
        <w:ind w:left="2600" w:hanging="647"/>
        <w:spacing w:after="0" w:line="263" w:lineRule="auto"/>
        <w:tabs>
          <w:tab w:leader="none" w:pos="2600" w:val="left"/>
        </w:tabs>
        <w:numPr>
          <w:ilvl w:val="3"/>
          <w:numId w:val="132"/>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Controlled Affiliate of the Company;</w:t>
      </w:r>
    </w:p>
    <w:p>
      <w:pPr>
        <w:spacing w:after="0" w:line="215" w:lineRule="exact"/>
        <w:rPr>
          <w:rFonts w:ascii="Arial" w:cs="Arial" w:eastAsia="Arial" w:hAnsi="Arial"/>
          <w:sz w:val="22"/>
          <w:szCs w:val="22"/>
          <w:color w:val="auto"/>
        </w:rPr>
      </w:pPr>
    </w:p>
    <w:p>
      <w:pPr>
        <w:jc w:val="both"/>
        <w:ind w:left="2600" w:hanging="647"/>
        <w:spacing w:after="0" w:line="250" w:lineRule="auto"/>
        <w:tabs>
          <w:tab w:leader="none" w:pos="2600" w:val="left"/>
        </w:tabs>
        <w:numPr>
          <w:ilvl w:val="3"/>
          <w:numId w:val="132"/>
        </w:numPr>
        <w:rPr>
          <w:rFonts w:ascii="Arial" w:cs="Arial" w:eastAsia="Arial" w:hAnsi="Arial"/>
          <w:sz w:val="22"/>
          <w:szCs w:val="22"/>
          <w:color w:val="auto"/>
        </w:rPr>
      </w:pPr>
      <w:r>
        <w:rPr>
          <w:rFonts w:ascii="Arial" w:cs="Arial" w:eastAsia="Arial" w:hAnsi="Arial"/>
          <w:sz w:val="22"/>
          <w:szCs w:val="22"/>
          <w:color w:val="auto"/>
        </w:rPr>
        <w:t>Any acquisition by Mr. Michael S. Dell, his Affiliates or Associates (as such terms are defined in Rule 12b-2 promulgated under the Exchange Act), his heirs or any trust or foundation to which he has transferred or may transfer Outstanding Company Common Stock or Outstanding Company Voting Securities; or</w:t>
      </w:r>
    </w:p>
    <w:p>
      <w:pPr>
        <w:spacing w:after="0" w:line="228" w:lineRule="exact"/>
        <w:rPr>
          <w:rFonts w:ascii="Arial" w:cs="Arial" w:eastAsia="Arial" w:hAnsi="Arial"/>
          <w:sz w:val="22"/>
          <w:szCs w:val="22"/>
          <w:color w:val="auto"/>
        </w:rPr>
      </w:pPr>
    </w:p>
    <w:p>
      <w:pPr>
        <w:ind w:left="2600" w:hanging="647"/>
        <w:spacing w:after="0" w:line="263" w:lineRule="auto"/>
        <w:tabs>
          <w:tab w:leader="none" w:pos="2600" w:val="left"/>
        </w:tabs>
        <w:numPr>
          <w:ilvl w:val="3"/>
          <w:numId w:val="132"/>
        </w:numPr>
        <w:rPr>
          <w:rFonts w:ascii="Arial" w:cs="Arial" w:eastAsia="Arial" w:hAnsi="Arial"/>
          <w:sz w:val="22"/>
          <w:szCs w:val="22"/>
          <w:color w:val="auto"/>
        </w:rPr>
      </w:pPr>
      <w:r>
        <w:rPr>
          <w:rFonts w:ascii="Arial" w:cs="Arial" w:eastAsia="Arial" w:hAnsi="Arial"/>
          <w:sz w:val="22"/>
          <w:szCs w:val="22"/>
          <w:color w:val="auto"/>
        </w:rPr>
        <w:t>Any acquisition by any entity or its security holders pursuant to a transaction that complies with clauses (A), (B), and (C) of paragraph (iii) below;</w:t>
      </w:r>
    </w:p>
    <w:p>
      <w:pPr>
        <w:spacing w:after="0" w:line="215" w:lineRule="exact"/>
        <w:rPr>
          <w:rFonts w:ascii="Arial" w:cs="Arial" w:eastAsia="Arial" w:hAnsi="Arial"/>
          <w:sz w:val="22"/>
          <w:szCs w:val="22"/>
          <w:color w:val="auto"/>
        </w:rPr>
      </w:pPr>
    </w:p>
    <w:p>
      <w:pPr>
        <w:jc w:val="both"/>
        <w:ind w:left="1960" w:hanging="655"/>
        <w:spacing w:after="0" w:line="265" w:lineRule="auto"/>
        <w:tabs>
          <w:tab w:leader="none" w:pos="1960" w:val="left"/>
        </w:tabs>
        <w:numPr>
          <w:ilvl w:val="2"/>
          <w:numId w:val="132"/>
        </w:numPr>
        <w:rPr>
          <w:rFonts w:ascii="Arial" w:cs="Arial" w:eastAsia="Arial" w:hAnsi="Arial"/>
          <w:sz w:val="21"/>
          <w:szCs w:val="21"/>
          <w:color w:val="auto"/>
        </w:rPr>
      </w:pPr>
      <w:r>
        <w:rPr>
          <w:rFonts w:ascii="Arial" w:cs="Arial" w:eastAsia="Arial" w:hAnsi="Arial"/>
          <w:sz w:val="21"/>
          <w:szCs w:val="21"/>
          <w:color w:val="auto"/>
        </w:rPr>
        <w:t>Individuals who, as of the date of this Agreement, constitute the Board (collectively, the "</w:t>
      </w:r>
      <w:r>
        <w:rPr>
          <w:rFonts w:ascii="Arial" w:cs="Arial" w:eastAsia="Arial" w:hAnsi="Arial"/>
          <w:sz w:val="21"/>
          <w:szCs w:val="21"/>
          <w:b w:val="1"/>
          <w:bCs w:val="1"/>
          <w:i w:val="1"/>
          <w:iCs w:val="1"/>
          <w:color w:val="auto"/>
        </w:rPr>
        <w:t>Incumbent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Directors</w:t>
      </w:r>
      <w:r>
        <w:rPr>
          <w:rFonts w:ascii="Arial" w:cs="Arial" w:eastAsia="Arial" w:hAnsi="Arial"/>
          <w:sz w:val="21"/>
          <w:szCs w:val="21"/>
          <w:color w:val="auto"/>
        </w:rPr>
        <w:t>") cease for any reason to constitute at least a majority of the Board; provided, however, that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individual who becomes a director of the Company subsequent to the date of this Agreement and whose election or appointment by the Board or nomination for election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233" w:name="page234"/>
    <w:bookmarkEnd w:id="233"/>
    <w:p>
      <w:pPr>
        <w:jc w:val="both"/>
        <w:ind w:left="1304"/>
        <w:spacing w:after="0" w:line="248" w:lineRule="auto"/>
        <w:rPr>
          <w:sz w:val="20"/>
          <w:szCs w:val="20"/>
          <w:color w:val="auto"/>
        </w:rPr>
      </w:pPr>
      <w:r>
        <w:rPr>
          <w:rFonts w:ascii="Arial" w:cs="Arial" w:eastAsia="Arial" w:hAnsi="Arial"/>
          <w:sz w:val="22"/>
          <w:szCs w:val="22"/>
          <w:color w:val="auto"/>
        </w:rPr>
        <w:t>by the Company's stockholders was approved by a vote of at least a majority of the then Incumbent Directors, shall be considered as an Incumbent Director, unless such individual's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33" w:lineRule="exact"/>
        <w:rPr>
          <w:sz w:val="20"/>
          <w:szCs w:val="20"/>
          <w:color w:val="auto"/>
        </w:rPr>
      </w:pPr>
    </w:p>
    <w:p>
      <w:pPr>
        <w:jc w:val="both"/>
        <w:ind w:left="1304" w:hanging="655"/>
        <w:spacing w:after="0" w:line="285" w:lineRule="auto"/>
        <w:tabs>
          <w:tab w:leader="none" w:pos="130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sale or other disposition of all or substantially all the assets of the Company or an acquisition of assets of another corporation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unless, in each case,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the corporation resulting from such Business Combination and any Person referred to in clause (D) of paragraph (i) above) beneficially owns, directly or indirectly, 15% or more of, respectively, the then outstanding shares of common stock of the corporation resulting from such Business Combination or the combined voting power of the then outstanding voting securities of such corporation except to the extent that such ownership of the Company existed prior to the Business Combination and (C) at least a majority of the members of the board of directors of the corporation resulting from such Business Combination were Incumbent Directors at the time of the execution of the initial agreement, or of the action of the Board, providing for such Business Combination; or</w:t>
      </w:r>
    </w:p>
    <w:p>
      <w:pPr>
        <w:spacing w:after="0" w:line="199" w:lineRule="exact"/>
        <w:rPr>
          <w:rFonts w:ascii="Arial" w:cs="Arial" w:eastAsia="Arial" w:hAnsi="Arial"/>
          <w:sz w:val="19"/>
          <w:szCs w:val="19"/>
          <w:color w:val="auto"/>
        </w:rPr>
      </w:pPr>
    </w:p>
    <w:p>
      <w:pPr>
        <w:ind w:left="1304" w:hanging="655"/>
        <w:spacing w:after="0"/>
        <w:tabs>
          <w:tab w:leader="none" w:pos="1304"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Approval by the stockholders of the Company of a complete liquidation or dissolution of the Company.</w:t>
      </w:r>
    </w:p>
    <w:p>
      <w:pPr>
        <w:spacing w:after="0" w:line="271"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shall mean (i) any threatened, asserted, pending or completed claim, demand, action, suit or proceeding (including any cross claim or counterclaim in any action, suit or proceeding), whether civil, criminal, administrative, arbitrative, investigative or other and whether made pursuant to federal, state or other law (including securities laws); and (ii) any inquiry or investigation (including discovery), whether made, instituted or conducted by the Company or any other</w:t>
      </w:r>
    </w:p>
    <w:p>
      <w:pPr>
        <w:spacing w:after="0" w:line="21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75" w:right="239" w:bottom="1440" w:gutter="0" w:footer="0" w:header="0"/>
        </w:sectPr>
      </w:pPr>
    </w:p>
    <w:bookmarkStart w:id="234" w:name="page235"/>
    <w:bookmarkEnd w:id="234"/>
    <w:p>
      <w:pPr>
        <w:ind w:left="644" w:right="20"/>
        <w:spacing w:after="0" w:line="263" w:lineRule="auto"/>
        <w:rPr>
          <w:sz w:val="20"/>
          <w:szCs w:val="20"/>
          <w:color w:val="auto"/>
        </w:rPr>
      </w:pPr>
      <w:r>
        <w:rPr>
          <w:rFonts w:ascii="Arial" w:cs="Arial" w:eastAsia="Arial" w:hAnsi="Arial"/>
          <w:sz w:val="22"/>
          <w:szCs w:val="22"/>
          <w:color w:val="auto"/>
        </w:rPr>
        <w:t>party, including any federal, state or other governmental entity, that Indemnitee in good faith believes might lead to the institution of any such claim, demand, action, suit or proceeding.</w:t>
      </w:r>
    </w:p>
    <w:p>
      <w:pPr>
        <w:spacing w:after="0" w:line="215" w:lineRule="exact"/>
        <w:rPr>
          <w:sz w:val="20"/>
          <w:szCs w:val="20"/>
          <w:color w:val="auto"/>
        </w:rPr>
      </w:pPr>
    </w:p>
    <w:p>
      <w:pPr>
        <w:jc w:val="both"/>
        <w:ind w:left="644" w:hanging="644"/>
        <w:spacing w:after="0" w:line="290"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Controlled Affiliate</w:t>
      </w:r>
      <w:r>
        <w:rPr>
          <w:rFonts w:ascii="Arial" w:cs="Arial" w:eastAsia="Arial" w:hAnsi="Arial"/>
          <w:sz w:val="19"/>
          <w:szCs w:val="19"/>
          <w:color w:val="auto"/>
        </w:rPr>
        <w:t>" shall mean any corporation, limited liability company, partnership, joint venture, trust or other entity or enterprise, whether or not for profit, that is directly or indirectly controlled by the Company. For purposes of this definition, the term "control" shall mean the possession, directly or indirectly, of the power to direct or cause the direction of the management or policies of an entity or enterprise, whether through the ownership of voting securities, through other voting rights, by contract or otherwise; provided, however, that direct or indirect beneficial ownership of capital stock or other interests in an entity or enterprise entitling the holder to cast 20% or more of the total number of votes generally entitled to be cast in the election of directors (or persons performing comparable functions) of such entity or enterprise shall be deemed to constitute "control" for purposes of this definition.</w:t>
      </w:r>
    </w:p>
    <w:p>
      <w:pPr>
        <w:spacing w:after="0" w:line="197"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Disinterested Director</w:t>
      </w:r>
      <w:r>
        <w:rPr>
          <w:rFonts w:ascii="Arial" w:cs="Arial" w:eastAsia="Arial" w:hAnsi="Arial"/>
          <w:sz w:val="22"/>
          <w:szCs w:val="22"/>
          <w:color w:val="auto"/>
        </w:rPr>
        <w:t>" shall mean a director of the Company who is not and was not a party to the Claim with respect to which indemnification is sought by Indemnitee.</w:t>
      </w:r>
    </w:p>
    <w:p>
      <w:pPr>
        <w:spacing w:after="0" w:line="215"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Expenses</w:t>
      </w:r>
      <w:r>
        <w:rPr>
          <w:rFonts w:ascii="Arial" w:cs="Arial" w:eastAsia="Arial" w:hAnsi="Arial"/>
          <w:sz w:val="21"/>
          <w:szCs w:val="21"/>
          <w:color w:val="auto"/>
        </w:rPr>
        <w:t>" shall mean all costs, expenses (including attorneys' and experts' fees and expenses) and obligations paid or incurred in connection with investigating, defending (including affirmative defenses and counterclaims), being a witness in or participating in (including on appeal), or preparing to investigate, defend, be a witness in or participate in (including on appeal), any Claim relating to an Indemnifiable Claim.</w:t>
      </w:r>
    </w:p>
    <w:p>
      <w:pPr>
        <w:spacing w:after="0" w:line="216" w:lineRule="exact"/>
        <w:rPr>
          <w:rFonts w:ascii="Arial" w:cs="Arial" w:eastAsia="Arial" w:hAnsi="Arial"/>
          <w:sz w:val="21"/>
          <w:szCs w:val="21"/>
          <w:color w:val="auto"/>
        </w:rPr>
      </w:pPr>
    </w:p>
    <w:p>
      <w:pPr>
        <w:ind w:left="644" w:hanging="644"/>
        <w:spacing w:after="0"/>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Indemnifiable Claim</w:t>
      </w:r>
      <w:r>
        <w:rPr>
          <w:rFonts w:ascii="Arial" w:cs="Arial" w:eastAsia="Arial" w:hAnsi="Arial"/>
          <w:sz w:val="19"/>
          <w:szCs w:val="19"/>
          <w:color w:val="auto"/>
        </w:rPr>
        <w:t>" shall mean any Claim based upon, arising out of or resulting from any of the following:</w:t>
      </w:r>
    </w:p>
    <w:p>
      <w:pPr>
        <w:spacing w:after="0" w:line="294" w:lineRule="exact"/>
        <w:rPr>
          <w:rFonts w:ascii="Arial" w:cs="Arial" w:eastAsia="Arial" w:hAnsi="Arial"/>
          <w:sz w:val="19"/>
          <w:szCs w:val="19"/>
          <w:color w:val="auto"/>
        </w:rPr>
      </w:pPr>
    </w:p>
    <w:p>
      <w:pPr>
        <w:jc w:val="both"/>
        <w:ind w:left="1304" w:hanging="655"/>
        <w:spacing w:after="0" w:line="297" w:lineRule="auto"/>
        <w:tabs>
          <w:tab w:leader="none" w:pos="1304"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Any actual, alleged or suspected act or failure to act by Indemnitee in his or her capacity as a director or officer of the Company or as a director, officer, employee, member, manager, trustee, fiduciary or agent (collectively, a “</w:t>
      </w:r>
      <w:r>
        <w:rPr>
          <w:rFonts w:ascii="Arial" w:cs="Arial" w:eastAsia="Arial" w:hAnsi="Arial"/>
          <w:sz w:val="19"/>
          <w:szCs w:val="19"/>
          <w:b w:val="1"/>
          <w:bCs w:val="1"/>
          <w:i w:val="1"/>
          <w:iCs w:val="1"/>
          <w:color w:val="auto"/>
        </w:rPr>
        <w:t>Representative</w:t>
      </w:r>
      <w:r>
        <w:rPr>
          <w:rFonts w:ascii="Arial" w:cs="Arial" w:eastAsia="Arial" w:hAnsi="Arial"/>
          <w:sz w:val="19"/>
          <w:szCs w:val="19"/>
          <w:color w:val="auto"/>
        </w:rPr>
        <w:t>”)of any Controlled Affiliate or other corporation, limited liability company, partnership, joint venture, employee benefit plan, trust or other entity or enterprise, whether or not for profit, as to which Indemnitee is or was serving at the request of the Company as a Representative;</w:t>
      </w:r>
    </w:p>
    <w:p>
      <w:pPr>
        <w:spacing w:after="0" w:line="187" w:lineRule="exact"/>
        <w:rPr>
          <w:rFonts w:ascii="Arial" w:cs="Arial" w:eastAsia="Arial" w:hAnsi="Arial"/>
          <w:sz w:val="19"/>
          <w:szCs w:val="19"/>
          <w:color w:val="auto"/>
        </w:rPr>
      </w:pPr>
    </w:p>
    <w:p>
      <w:pPr>
        <w:jc w:val="both"/>
        <w:ind w:left="1304" w:hanging="655"/>
        <w:spacing w:after="0" w:line="253" w:lineRule="auto"/>
        <w:tabs>
          <w:tab w:leader="none" w:pos="130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actual, alleged or suspected act or failure to act by Indemnitee with respect to any business, transaction, communication, filing, disclosure or other activity of the Company or any other entity or enterprise referred to in clause (i) of this Section 1(f); or</w:t>
      </w:r>
    </w:p>
    <w:p>
      <w:pPr>
        <w:spacing w:after="0" w:line="226"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Indemnitee's status as a current or former director or officer of the Company or as a current or former Representative of the Company or any other entity</w:t>
      </w:r>
    </w:p>
    <w:p>
      <w:pPr>
        <w:spacing w:after="0" w:line="1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375" w:right="239" w:bottom="1440" w:gutter="0" w:footer="0" w:header="0"/>
        </w:sectPr>
      </w:pPr>
    </w:p>
    <w:bookmarkStart w:id="235" w:name="page236"/>
    <w:bookmarkEnd w:id="235"/>
    <w:p>
      <w:pPr>
        <w:jc w:val="both"/>
        <w:ind w:left="1304"/>
        <w:spacing w:after="0" w:line="253" w:lineRule="auto"/>
        <w:rPr>
          <w:sz w:val="20"/>
          <w:szCs w:val="20"/>
          <w:color w:val="auto"/>
        </w:rPr>
      </w:pPr>
      <w:r>
        <w:rPr>
          <w:rFonts w:ascii="Arial" w:cs="Arial" w:eastAsia="Arial" w:hAnsi="Arial"/>
          <w:sz w:val="22"/>
          <w:szCs w:val="22"/>
          <w:color w:val="auto"/>
        </w:rPr>
        <w:t>or enterprise referred to in clause (i) of this Section 1(f) or any actual, alleged or suspected act or failure to act by Indemnitee in connection with any obligation or restriction imposed upon Indemnitee by reason of such status.</w:t>
      </w:r>
    </w:p>
    <w:p>
      <w:pPr>
        <w:spacing w:after="0" w:line="226" w:lineRule="exact"/>
        <w:rPr>
          <w:sz w:val="20"/>
          <w:szCs w:val="20"/>
          <w:color w:val="auto"/>
        </w:rPr>
      </w:pPr>
    </w:p>
    <w:p>
      <w:pPr>
        <w:jc w:val="both"/>
        <w:ind w:left="644"/>
        <w:spacing w:after="0" w:line="259" w:lineRule="auto"/>
        <w:rPr>
          <w:sz w:val="20"/>
          <w:szCs w:val="20"/>
          <w:color w:val="auto"/>
        </w:rPr>
      </w:pPr>
      <w:r>
        <w:rPr>
          <w:rFonts w:ascii="Arial" w:cs="Arial" w:eastAsia="Arial" w:hAnsi="Arial"/>
          <w:sz w:val="21"/>
          <w:szCs w:val="21"/>
          <w:color w:val="auto"/>
        </w:rPr>
        <w:t>In addition to any service at the actual request of the Company, for purposes of this Agreement, Indemnitee shall be deemed to be serving or to have served at the request of the Company as a Representative of another entity or enterprise if Indemnitee is or was serving as a director, officer, employee, member, manager, trustee, fiduciary, agent or employee of such entity or enterprise and (A) such entity or enterprise is or at the time of such service was a Controlled Affiliate, (B) such entity or enterprise is or at the time of such service was an employee benefit plan (or related trust) sponsored or maintained by the Company or a Controlled Affiliate or (C) the Company or a Controlled Affiliate directly or indirectly caused Indemnitee to be nominated, elected, appointed, designated, employed, engaged or selected to serve in such capacity.</w:t>
      </w:r>
    </w:p>
    <w:p>
      <w:pPr>
        <w:spacing w:after="0" w:line="225" w:lineRule="exact"/>
        <w:rPr>
          <w:sz w:val="20"/>
          <w:szCs w:val="20"/>
          <w:color w:val="auto"/>
        </w:rPr>
      </w:pPr>
    </w:p>
    <w:p>
      <w:pPr>
        <w:ind w:left="644" w:hanging="644"/>
        <w:spacing w:after="0" w:line="263" w:lineRule="auto"/>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Indemnifiable Losses</w:t>
      </w:r>
      <w:r>
        <w:rPr>
          <w:rFonts w:ascii="Arial" w:cs="Arial" w:eastAsia="Arial" w:hAnsi="Arial"/>
          <w:sz w:val="22"/>
          <w:szCs w:val="22"/>
          <w:color w:val="auto"/>
        </w:rPr>
        <w:t>" shall mean any and all Losses relating to, arising out of or resulting from any Indemnifiable Claim.</w:t>
      </w:r>
    </w:p>
    <w:p>
      <w:pPr>
        <w:spacing w:after="0" w:line="215" w:lineRule="exact"/>
        <w:rPr>
          <w:rFonts w:ascii="Arial" w:cs="Arial" w:eastAsia="Arial" w:hAnsi="Arial"/>
          <w:sz w:val="22"/>
          <w:szCs w:val="22"/>
          <w:color w:val="auto"/>
        </w:rPr>
      </w:pPr>
    </w:p>
    <w:p>
      <w:pPr>
        <w:jc w:val="both"/>
        <w:ind w:left="644" w:hanging="644"/>
        <w:spacing w:after="0" w:line="246" w:lineRule="auto"/>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Counsel</w:t>
      </w:r>
      <w:r>
        <w:rPr>
          <w:rFonts w:ascii="Arial" w:cs="Arial" w:eastAsia="Arial" w:hAnsi="Arial"/>
          <w:sz w:val="22"/>
          <w:szCs w:val="22"/>
          <w:color w:val="auto"/>
        </w:rPr>
        <w:t>" shall mean a law firm, or a member of a law firm, that is experienced in matters of corporation law and, as of the time of selection with respect to any Indemnifiable Claim, is not nor in the past five years has been, retained to represent (i) the Company or Indemnitee in any matter material to either such party (other than with respect to matters concerning Indemnitee under this Agreement or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32"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means any and all Expenses, damages (including punitive, exemplary and the multiplied portion of any damages), losses, liabilities, judgments, payments, fines, penalties (whether civil, criminal or other), awards and amounts paid in settlement (including all interest, assessments and other charges paid or incurred in connection with or with respect to any of the foregoing).</w:t>
      </w:r>
    </w:p>
    <w:p>
      <w:pPr>
        <w:spacing w:after="0" w:line="200" w:lineRule="exact"/>
        <w:rPr>
          <w:sz w:val="20"/>
          <w:szCs w:val="20"/>
          <w:color w:val="auto"/>
        </w:rPr>
      </w:pPr>
    </w:p>
    <w:p>
      <w:pPr>
        <w:spacing w:after="0" w:line="2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375" w:right="239" w:bottom="1440" w:gutter="0" w:footer="0" w:header="0"/>
        </w:sectPr>
      </w:pPr>
    </w:p>
    <w:bookmarkStart w:id="236" w:name="page237"/>
    <w:bookmarkEnd w:id="236"/>
    <w:p>
      <w:pPr>
        <w:jc w:val="both"/>
        <w:ind w:left="660" w:hanging="652"/>
        <w:spacing w:after="0" w:line="246" w:lineRule="auto"/>
        <w:tabs>
          <w:tab w:leader="none" w:pos="660" w:val="left"/>
        </w:tabs>
        <w:numPr>
          <w:ilvl w:val="0"/>
          <w:numId w:val="13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Indemnification Obligation — </w:t>
      </w:r>
      <w:r>
        <w:rPr>
          <w:rFonts w:ascii="Arial" w:cs="Arial" w:eastAsia="Arial" w:hAnsi="Arial"/>
          <w:sz w:val="22"/>
          <w:szCs w:val="22"/>
          <w:color w:val="auto"/>
        </w:rPr>
        <w:t>Subject to Section 7, the Company shall indemnify, defend and hold harmless Indemnitee,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fullest extent permitted by the laws of the State of Delaware in effect on the date hereof or as such laws may from time to time hereafter be amended to increase the scope of such permitted indemnification, against any and all Indemnifiable Claims and Indemnifiable Losses; provided, however, that, except as provided in Sections 4 and 21,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spacing w:after="0" w:line="237" w:lineRule="exact"/>
        <w:rPr>
          <w:rFonts w:ascii="Arial" w:cs="Arial" w:eastAsia="Arial" w:hAnsi="Arial"/>
          <w:sz w:val="22"/>
          <w:szCs w:val="22"/>
          <w:color w:val="auto"/>
        </w:rPr>
      </w:pPr>
    </w:p>
    <w:p>
      <w:pPr>
        <w:jc w:val="both"/>
        <w:ind w:left="660" w:hanging="652"/>
        <w:spacing w:after="0" w:line="286" w:lineRule="auto"/>
        <w:tabs>
          <w:tab w:leader="none" w:pos="660" w:val="left"/>
        </w:tabs>
        <w:numPr>
          <w:ilvl w:val="0"/>
          <w:numId w:val="13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Advancement of Expenses — </w:t>
      </w:r>
      <w:r>
        <w:rPr>
          <w:rFonts w:ascii="Arial" w:cs="Arial" w:eastAsia="Arial" w:hAnsi="Arial"/>
          <w:sz w:val="19"/>
          <w:szCs w:val="19"/>
          <w:color w:val="auto"/>
        </w:rPr>
        <w:t>Indemnitee shall have the right to advancement by the Company prior to the final disposition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any Indemnifiable Claim of any and all Expenses relating to, arising out of or resulting from any Indemnifiable Claim paid or incurred by Indemnitee or which Indemnitee determines are reasonably likely to be paid or incurred by Indemnitee. Indemnitee's right to such advancement is not subject to the satisfaction of any standard of conduct. Without limiting the generality or effect of the foregoing, within five business days after any request by Indemnitee, the Company shall, in accordance with such request (but without duplication), (a) pay such Expenses on behalf of Indemnitee, (b) advance to Indemnitee funds in an amount sufficient to pay such Expenses or (c) reimburse Indemnitee for such Expenses; provided, however, that Indemnitee shall repay, without interest, any amounts actually advanced to Indemnitee that, at the final disposition of the Indemnifiable Claim to which the advance related, were in excess of amounts paid or incurred by Indemnitee with respect to Expenses relating to, arising out of or resulting from such Indemnifiable Claim. In connection with any such payment, advancement or reimbursement, Indemnitee shall execute and deliver to the Company an undertaking, which need not be secured and shall be accepted without reference to Indemnitee's ability to repay the Expenses, by or on behalf of Indemnitee, to repay any amounts paid, advanced or reimbursed by the Company with respect to Expenses relating to, arising out of or resulting from any Indemnifiable Claim with respect to which it shall have been determined, following the final disposition of such Indemnifiable Claim and in accordance with Section 7, that Indemnitee is not entitled to indemnification hereunder.</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660" w:hanging="652"/>
        <w:spacing w:after="0" w:line="288" w:lineRule="auto"/>
        <w:tabs>
          <w:tab w:leader="none" w:pos="660" w:val="left"/>
        </w:tabs>
        <w:numPr>
          <w:ilvl w:val="0"/>
          <w:numId w:val="13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Indemnification for Additional Expenses — </w:t>
      </w:r>
      <w:r>
        <w:rPr>
          <w:rFonts w:ascii="Arial" w:cs="Arial" w:eastAsia="Arial" w:hAnsi="Arial"/>
          <w:sz w:val="19"/>
          <w:szCs w:val="19"/>
          <w:color w:val="auto"/>
        </w:rPr>
        <w:t>Without limiting the generality or effect of the foregoing, the Company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indemnify and hold harmless Indemnitee against and, if requested by Indemnitee, shall reimburse Indemnitee for, or advance to Indemnitee, within five business days of such request, any and all Expenses paid or incurred by Indemnitee or which Indemnitee determines are reasonably likely to be paid or incurred by Indemnitee in connection with any Claim made, instituted or conducted by Indemnitee for (a) indemnification or reimbursement or advance payment of Expenses by the Company under any provision of this Agreement or under any other agreement or provision of the Constituent Documents now or hereafter in effect relating to Indemnifiable Claims or (b) recovery under any directors' and officers' liability insurance policies maintained by the Company, regardless in each case of whether Indemnitee ultimately is determined to be entitled to such indemnification, reimbursement, advance or insurance recovery, as the case may be; provided, however, that Indemnitee shall return, without interest, any such advance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1" w:right="2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9"/>
          <w:szCs w:val="19"/>
          <w:color w:val="auto"/>
        </w:rPr>
        <w:t>of Expenses (or portion thereof) that remains unspent at the final disposition of the Claim to which the advance related.</w:t>
      </w:r>
    </w:p>
    <w:p>
      <w:pPr>
        <w:spacing w:after="0" w:line="295" w:lineRule="exact"/>
        <w:rPr>
          <w:sz w:val="20"/>
          <w:szCs w:val="20"/>
          <w:color w:val="auto"/>
        </w:rPr>
      </w:pPr>
    </w:p>
    <w:p>
      <w:pPr>
        <w:jc w:val="both"/>
        <w:ind w:left="660" w:hanging="652"/>
        <w:spacing w:after="0" w:line="253"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Partial Indemnity — </w:t>
      </w:r>
      <w:r>
        <w:rPr>
          <w:rFonts w:ascii="Arial" w:cs="Arial" w:eastAsia="Arial" w:hAnsi="Arial"/>
          <w:sz w:val="22"/>
          <w:szCs w:val="22"/>
          <w:color w:val="auto"/>
        </w:rPr>
        <w:t>If Indemnitee is entitled under any provision of this Agreement to indemnification by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some or a portion of any Indemnifiable Loss but not for all of the total amount thereof, the Company shall nevertheless indemnify Indemnitee for the portion thereof to which Indemnitee is entitled.</w:t>
      </w:r>
    </w:p>
    <w:p>
      <w:pPr>
        <w:spacing w:after="0" w:line="226" w:lineRule="exact"/>
        <w:rPr>
          <w:rFonts w:ascii="Arial" w:cs="Arial" w:eastAsia="Arial" w:hAnsi="Arial"/>
          <w:sz w:val="22"/>
          <w:szCs w:val="22"/>
          <w:color w:val="auto"/>
        </w:rPr>
      </w:pPr>
    </w:p>
    <w:p>
      <w:pPr>
        <w:jc w:val="both"/>
        <w:ind w:left="660" w:hanging="652"/>
        <w:spacing w:after="0" w:line="287" w:lineRule="auto"/>
        <w:tabs>
          <w:tab w:leader="none" w:pos="660" w:val="left"/>
        </w:tabs>
        <w:numPr>
          <w:ilvl w:val="0"/>
          <w:numId w:val="13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Procedure for Notification — </w:t>
      </w:r>
      <w:r>
        <w:rPr>
          <w:rFonts w:ascii="Arial" w:cs="Arial" w:eastAsia="Arial" w:hAnsi="Arial"/>
          <w:sz w:val="19"/>
          <w:szCs w:val="19"/>
          <w:color w:val="auto"/>
        </w:rPr>
        <w:t>To obtain indemnification under this Agreement with respect to an Indemnifiable Claim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Indemnifiable Loss, Indemnitee 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 in each case substantially 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660" w:hanging="652"/>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b w:val="1"/>
          <w:bCs w:val="1"/>
          <w:i w:val="1"/>
          <w:iCs w:val="1"/>
          <w:color w:val="auto"/>
        </w:rPr>
        <w:t>Determination of Right to Indemnification —</w:t>
      </w:r>
    </w:p>
    <w:p>
      <w:pPr>
        <w:spacing w:after="0" w:line="260"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the extent that Indemnitee shall have been successful on the merits or otherwise in defense of any Indemnifiable Claim or any portion thereof or in defense of any issue or matter therein, including dismissal without prejudice, Indemnitee shall be indemnified against all Indemnifiable Losses relating to, arising out of or resulting from such Indemnifiable Claim in accordance with Section 2 and no Standard of Conduct Determination (as defined in paragraph (b) below) shall be required.</w:t>
      </w:r>
    </w:p>
    <w:p>
      <w:pPr>
        <w:spacing w:after="0" w:line="232"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the extent that the provisions of Section 7(a) are inapplicable to an Indemnifiable Claim that shall have been finally disposed of, any determination of whether Indemnitee has satisfied any applicable standard of conduct under Delaware law that is a legally required condition precedent to indemnification of Indemnitee hereunder against Indemnifiable Losses relating to, arising out of or resulting from such Indemnifiable Claim (a "</w:t>
      </w:r>
      <w:r>
        <w:rPr>
          <w:rFonts w:ascii="Arial" w:cs="Arial" w:eastAsia="Arial" w:hAnsi="Arial"/>
          <w:sz w:val="22"/>
          <w:szCs w:val="22"/>
          <w:b w:val="1"/>
          <w:bCs w:val="1"/>
          <w:i w:val="1"/>
          <w:iCs w:val="1"/>
          <w:color w:val="auto"/>
        </w:rPr>
        <w:t>Standard of Conduct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Determination</w:t>
      </w:r>
      <w:r>
        <w:rPr>
          <w:rFonts w:ascii="Arial" w:cs="Arial" w:eastAsia="Arial" w:hAnsi="Arial"/>
          <w:sz w:val="22"/>
          <w:szCs w:val="22"/>
          <w:color w:val="auto"/>
        </w:rPr>
        <w:t>") shall be made as follows:</w:t>
      </w:r>
    </w:p>
    <w:p>
      <w:pPr>
        <w:spacing w:after="0" w:line="233" w:lineRule="exact"/>
        <w:rPr>
          <w:sz w:val="20"/>
          <w:szCs w:val="20"/>
          <w:color w:val="auto"/>
        </w:rPr>
      </w:pPr>
    </w:p>
    <w:p>
      <w:pPr>
        <w:ind w:left="1960" w:hanging="655"/>
        <w:spacing w:after="0" w:line="263" w:lineRule="auto"/>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a Change of Control has not occurred, or if a Change of Control has occurred but Indemnitee has requested that the Standard of Conduct Determination be made pursuant to this clause (i):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238" w:name="page239"/>
    <w:bookmarkEnd w:id="238"/>
    <w:p>
      <w:pPr>
        <w:ind w:left="1944" w:hanging="647"/>
        <w:spacing w:after="0"/>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By a majority vote of the Disinterested Directors, even if less than a quorum of the Board;</w:t>
      </w:r>
    </w:p>
    <w:p>
      <w:pPr>
        <w:spacing w:after="0" w:line="260" w:lineRule="exact"/>
        <w:rPr>
          <w:rFonts w:ascii="Arial" w:cs="Arial" w:eastAsia="Arial" w:hAnsi="Arial"/>
          <w:sz w:val="22"/>
          <w:szCs w:val="22"/>
          <w:color w:val="auto"/>
        </w:rPr>
      </w:pPr>
    </w:p>
    <w:p>
      <w:pPr>
        <w:ind w:left="1944" w:hanging="647"/>
        <w:spacing w:after="0" w:line="26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If such Disinterested Directors so direct, by a majority vote of a committee of Disinterested Directors designated by a majority vote of all Disinterested Directors; or</w:t>
      </w:r>
    </w:p>
    <w:p>
      <w:pPr>
        <w:spacing w:after="0" w:line="215" w:lineRule="exact"/>
        <w:rPr>
          <w:rFonts w:ascii="Arial" w:cs="Arial" w:eastAsia="Arial" w:hAnsi="Arial"/>
          <w:sz w:val="22"/>
          <w:szCs w:val="22"/>
          <w:color w:val="auto"/>
        </w:rPr>
      </w:pPr>
    </w:p>
    <w:p>
      <w:pPr>
        <w:ind w:left="1944" w:hanging="647"/>
        <w:spacing w:after="0" w:line="26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If there are no such Disinterested Directors, by Independent Counsel in a written opinion addressed to the Board, a copy of which shall be delivered to Indemnitee; and</w:t>
      </w:r>
    </w:p>
    <w:p>
      <w:pPr>
        <w:spacing w:after="0" w:line="215"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If a Change of Control has occurred and Indemnitee has not requested that the Standard of Conduct Determination be made pursuant to clause (i) above, by Independent Counsel in a written opinion addressed to the Board, a copy of which shall be delivered to Indemnitee.</w:t>
      </w:r>
    </w:p>
    <w:p>
      <w:pPr>
        <w:spacing w:after="0" w:line="226" w:lineRule="exact"/>
        <w:rPr>
          <w:sz w:val="20"/>
          <w:szCs w:val="20"/>
          <w:color w:val="auto"/>
        </w:rPr>
      </w:pPr>
    </w:p>
    <w:p>
      <w:pPr>
        <w:jc w:val="both"/>
        <w:ind w:left="644"/>
        <w:spacing w:after="0" w:line="292" w:lineRule="auto"/>
        <w:rPr>
          <w:sz w:val="20"/>
          <w:szCs w:val="20"/>
          <w:color w:val="auto"/>
        </w:rPr>
      </w:pPr>
      <w:r>
        <w:rPr>
          <w:rFonts w:ascii="Arial" w:cs="Arial" w:eastAsia="Arial" w:hAnsi="Arial"/>
          <w:sz w:val="19"/>
          <w:szCs w:val="19"/>
          <w:color w:val="auto"/>
        </w:rPr>
        <w:t>Indemnitee will cooperate with the person or persons making such Standard of Conduct Determination, including providing to such person or persons, upon reasonable advance request, any documentation or information which is not privileged or otherwise protected from disclosure and which is reasonably available to Indemnitee and reasonably necessary to such determination. The Company shall indemnify and hold harmless Indemnitee against and, if requested by Indemnitee, shall reimburse Indemnitee for, or advance to Indemnitee, within five business days of such request, any and all costs and expenses (including attorneys' and experts' fees and expenses) incurred by Indemnitee in so cooperating with the person making such Standard of Conduct Determination.</w:t>
      </w:r>
    </w:p>
    <w:p>
      <w:pPr>
        <w:spacing w:after="0" w:line="192" w:lineRule="exact"/>
        <w:rPr>
          <w:sz w:val="20"/>
          <w:szCs w:val="20"/>
          <w:color w:val="auto"/>
        </w:rPr>
      </w:pPr>
    </w:p>
    <w:p>
      <w:pPr>
        <w:jc w:val="both"/>
        <w:ind w:left="644" w:hanging="644"/>
        <w:spacing w:after="0" w:line="285" w:lineRule="auto"/>
        <w:tabs>
          <w:tab w:leader="none" w:pos="64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Company shall use its reasonable best efforts to cause any Standard of Conduct Determination required under Section 7(b) to be made as promptly as practicable. If (i) the person or persons empowered or selected under Section 7(b)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Arial" w:cs="Arial" w:eastAsia="Arial" w:hAnsi="Arial"/>
          <w:sz w:val="19"/>
          <w:szCs w:val="19"/>
          <w:b w:val="1"/>
          <w:bCs w:val="1"/>
          <w:i w:val="1"/>
          <w:iCs w:val="1"/>
          <w:color w:val="auto"/>
        </w:rPr>
        <w:t>Notification Date</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jc w:val="both"/>
        <w:ind w:left="644" w:firstLine="5"/>
        <w:spacing w:after="0" w:line="290" w:lineRule="auto"/>
        <w:tabs>
          <w:tab w:leader="none" w:pos="100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the selection of an Independent Counsel, if such determination is to be made by Independent Counsel, that is permitted under the provisions of Section 7(e) to make such determination and (ii) Indemnitee shall have fulfilled his or her obligations set forth in the second sentence of Section 7(b), then Indemnitee shall be deemed to have satisfied the applicable standard of conduct; provided, however, that such 30-day period may be extended for a reasonable time, not to exceed an additional 30 days, if the person making such determination in good faith requires such additional time to obtain or evaluate documentation or information relating thereto.</w:t>
      </w:r>
    </w:p>
    <w:p>
      <w:pPr>
        <w:spacing w:after="0" w:line="194"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If (i) Indemnitee shall be entitled to indemnification hereunder against any Indemnifiable Losses pursuant to Section 7(a), (ii) no determination of whether</w:t>
      </w:r>
    </w:p>
    <w:p>
      <w:pPr>
        <w:spacing w:after="0" w:line="1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4"/>
          </w:cols>
          <w:pgMar w:left="896" w:top="631" w:right="239" w:bottom="1440" w:gutter="0" w:footer="0" w:header="0"/>
        </w:sectPr>
      </w:pPr>
    </w:p>
    <w:bookmarkStart w:id="239" w:name="page240"/>
    <w:bookmarkEnd w:id="239"/>
    <w:p>
      <w:pPr>
        <w:jc w:val="both"/>
        <w:ind w:left="644"/>
        <w:spacing w:after="0" w:line="289" w:lineRule="auto"/>
        <w:rPr>
          <w:sz w:val="20"/>
          <w:szCs w:val="20"/>
          <w:color w:val="auto"/>
        </w:rPr>
      </w:pPr>
      <w:r>
        <w:rPr>
          <w:rFonts w:ascii="Arial" w:cs="Arial" w:eastAsia="Arial" w:hAnsi="Arial"/>
          <w:sz w:val="19"/>
          <w:szCs w:val="19"/>
          <w:color w:val="auto"/>
        </w:rPr>
        <w:t>Indemnitee has satisfied any applicable standard of conduct under Delaware law is a legally required condition precedent to indemnification of Indemnitee hereunder against any Indemnifiable Losses or (iii) Indemnitee has been determined or deemed pursuant to Section 7(b) or (c) to have satisfied any applicable standard of conduct under Delaware law that is a legally required condition precedent to indemnification of Indemnitee hereunder against any Indemnifiable Losses, then the Company shall pay to Indemnitee, within five business days after the later of (x) the Notification Date with respect to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shall have been satisfied, an amount equal to the amount of such Indemnfiable Losses.</w:t>
      </w:r>
    </w:p>
    <w:p>
      <w:pPr>
        <w:spacing w:after="0" w:line="198" w:lineRule="exact"/>
        <w:rPr>
          <w:sz w:val="20"/>
          <w:szCs w:val="20"/>
          <w:color w:val="auto"/>
        </w:rPr>
      </w:pPr>
    </w:p>
    <w:p>
      <w:pPr>
        <w:jc w:val="both"/>
        <w:ind w:left="644" w:hanging="644"/>
        <w:spacing w:after="0" w:line="284" w:lineRule="auto"/>
        <w:tabs>
          <w:tab w:leader="none" w:pos="6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 Standard of Conduct Determination is to be made by Independent Counsel pursuant to Section 7(b)(i), the Independent Counsel shall be selected by the Board and the Company shall give written notice to Indemnitee advising him or her of the identity of the Independent Counsel so selected. If a Standard of Conduct Determination is to be made by Independent Counsel pursuant to Section 7(b)(ii), the Independent Counsel shall be selected by Indemnitee and Indemnitee shall give written notice to the Company advising it of the identity of the Independent Counsel so selected. In either case, Indemnitee or the Company, as applicable, may, within five business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1(h)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7(e) to make the Standard of Conduct Determination shall have been selected within 30 days after the Company gives its initial notice pursuant to the first sentence of this Section 7(e) or Indemnitee gives its initial notice pursuant to the second sentence of this Section 7(e), as the case may be, either the Company or Indemnitee may petition the Court of Chancery of the State of Delaware for resolution of any objection that has been made by the Company or Indemnitee to the other's selection of Independent Counsel or for the appointment as Independent Counsel of a person selected by the Court or by such other person as the Court shall designate, and the person or firm</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375" w:right="239" w:bottom="1440" w:gutter="0" w:footer="0" w:header="0"/>
        </w:sectPr>
      </w:pPr>
    </w:p>
    <w:bookmarkStart w:id="240" w:name="page241"/>
    <w:bookmarkEnd w:id="240"/>
    <w:p>
      <w:pPr>
        <w:jc w:val="both"/>
        <w:ind w:left="1300"/>
        <w:spacing w:after="0" w:line="312" w:lineRule="auto"/>
        <w:rPr>
          <w:sz w:val="20"/>
          <w:szCs w:val="20"/>
          <w:color w:val="auto"/>
        </w:rPr>
      </w:pPr>
      <w:r>
        <w:rPr>
          <w:rFonts w:ascii="Arial" w:cs="Arial" w:eastAsia="Arial" w:hAnsi="Arial"/>
          <w:sz w:val="19"/>
          <w:szCs w:val="19"/>
          <w:color w:val="auto"/>
        </w:rPr>
        <w:t>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7(b).</w:t>
      </w:r>
    </w:p>
    <w:p>
      <w:pPr>
        <w:spacing w:after="0" w:line="174" w:lineRule="exact"/>
        <w:rPr>
          <w:sz w:val="20"/>
          <w:szCs w:val="20"/>
          <w:color w:val="auto"/>
        </w:rPr>
      </w:pPr>
    </w:p>
    <w:p>
      <w:pPr>
        <w:jc w:val="both"/>
        <w:ind w:left="660" w:hanging="652"/>
        <w:spacing w:after="0" w:line="259" w:lineRule="auto"/>
        <w:tabs>
          <w:tab w:leader="none" w:pos="660" w:val="left"/>
        </w:tabs>
        <w:numPr>
          <w:ilvl w:val="0"/>
          <w:numId w:val="14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Presumption of Entitlement — </w:t>
      </w:r>
      <w:r>
        <w:rPr>
          <w:rFonts w:ascii="Arial" w:cs="Arial" w:eastAsia="Arial" w:hAnsi="Arial"/>
          <w:sz w:val="21"/>
          <w:szCs w:val="21"/>
          <w:color w:val="auto"/>
        </w:rPr>
        <w:t>In making any Standard of Conduct Determination, the person or persons making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determination shall presume that Indemnitee has satisfied the applicable standard of conduct, and the Company may overcome such presumption only by its adducing clear and convincing evidence to the contrary. Any Standard of Conduct Determination that is adverse to Indemnitee may be challenged by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224" w:lineRule="exact"/>
        <w:rPr>
          <w:rFonts w:ascii="Arial" w:cs="Arial" w:eastAsia="Arial" w:hAnsi="Arial"/>
          <w:sz w:val="21"/>
          <w:szCs w:val="21"/>
          <w:color w:val="auto"/>
        </w:rPr>
      </w:pPr>
    </w:p>
    <w:p>
      <w:pPr>
        <w:jc w:val="both"/>
        <w:ind w:left="660" w:hanging="652"/>
        <w:spacing w:after="0" w:line="265" w:lineRule="auto"/>
        <w:tabs>
          <w:tab w:leader="none" w:pos="660" w:val="left"/>
        </w:tabs>
        <w:numPr>
          <w:ilvl w:val="0"/>
          <w:numId w:val="14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Other Presumption — </w:t>
      </w:r>
      <w:r>
        <w:rPr>
          <w:rFonts w:ascii="Arial" w:cs="Arial" w:eastAsia="Arial" w:hAnsi="Arial"/>
          <w:sz w:val="21"/>
          <w:szCs w:val="21"/>
          <w:color w:val="auto"/>
        </w:rPr>
        <w:t>For purposes of this Agreement, the termination of any Claim by judgment, order, settlement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(whether with or without court approval) or conviction, or upon a plea of nolo contendere or its equivalent, or an entry of an order of probation prior to judgment, shall not create a presumption that Indemnitee did not meet any applicable standard of conduct or that indemnification hereunder is otherwise not permitted.</w:t>
      </w:r>
    </w:p>
    <w:p>
      <w:pPr>
        <w:spacing w:after="0" w:line="216" w:lineRule="exact"/>
        <w:rPr>
          <w:rFonts w:ascii="Arial" w:cs="Arial" w:eastAsia="Arial" w:hAnsi="Arial"/>
          <w:sz w:val="21"/>
          <w:szCs w:val="21"/>
          <w:color w:val="auto"/>
        </w:rPr>
      </w:pPr>
    </w:p>
    <w:p>
      <w:pPr>
        <w:jc w:val="both"/>
        <w:ind w:left="660" w:hanging="652"/>
        <w:spacing w:after="0" w:line="259" w:lineRule="exact"/>
        <w:tabs>
          <w:tab w:leader="none" w:pos="660" w:val="left"/>
        </w:tabs>
        <w:numPr>
          <w:ilvl w:val="0"/>
          <w:numId w:val="144"/>
        </w:numPr>
        <w:rPr>
          <w:rFonts w:ascii="Arial" w:cs="Arial" w:eastAsia="Arial" w:hAnsi="Arial"/>
          <w:sz w:val="21"/>
          <w:szCs w:val="21"/>
          <w:color w:val="auto"/>
        </w:rPr>
      </w:pPr>
      <w:r>
        <w:rPr>
          <w:rFonts w:ascii="Arial" w:cs="Arial" w:eastAsia="Arial" w:hAnsi="Arial"/>
          <w:sz w:val="21"/>
          <w:szCs w:val="21"/>
          <w:b w:val="1"/>
          <w:bCs w:val="1"/>
          <w:i w:val="1"/>
          <w:iCs w:val="1"/>
          <w:color w:val="auto"/>
        </w:rPr>
        <w:t>Non</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 xml:space="preserve">Exclusivity — </w:t>
      </w:r>
      <w:r>
        <w:rPr>
          <w:rFonts w:ascii="Arial" w:cs="Arial" w:eastAsia="Arial" w:hAnsi="Arial"/>
          <w:sz w:val="21"/>
          <w:szCs w:val="21"/>
          <w:color w:val="auto"/>
        </w:rPr>
        <w:t>The rights of Indemnitee hereunder shall be in addition to any other rights Indemnitee may have under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Constituent Documents, the substantive laws of the State of Delaware, any other contract or otherwise (collectively, "</w:t>
      </w:r>
      <w:r>
        <w:rPr>
          <w:rFonts w:ascii="Arial" w:cs="Arial" w:eastAsia="Arial" w:hAnsi="Arial"/>
          <w:sz w:val="21"/>
          <w:szCs w:val="21"/>
          <w:b w:val="1"/>
          <w:bCs w:val="1"/>
          <w:i w:val="1"/>
          <w:iCs w:val="1"/>
          <w:color w:val="auto"/>
        </w:rPr>
        <w:t>Other Indemnity Provisions</w:t>
      </w:r>
      <w:r>
        <w:rPr>
          <w:rFonts w:ascii="Arial" w:cs="Arial" w:eastAsia="Arial" w:hAnsi="Arial"/>
          <w:sz w:val="21"/>
          <w:szCs w:val="21"/>
          <w:color w:val="auto"/>
        </w:rPr>
        <w:t>"); provided, however, that (a) to the extent that Indemnitee otherwise would have any greater right to indemnification under any Other Indemnity Provision, Indemnitee shall be deemed to have such greater right hereunder and (b) to the extent that any change is made to any Other Indemnity Provision that permits any greater right to indemnification than that provided under this Agreement as of the date hereof, Indemnitee shall be deemed to have such greater right hereunder. The Company shall not adopt any amendment to any of the Constituent Documents the effect of which would be to deny, diminish or encumber Indemnitee's right to indemnification under this Agreement or any Other Indemnity Provision.</w:t>
      </w:r>
    </w:p>
    <w:p>
      <w:pPr>
        <w:spacing w:after="0" w:line="238" w:lineRule="exact"/>
        <w:rPr>
          <w:rFonts w:ascii="Arial" w:cs="Arial" w:eastAsia="Arial" w:hAnsi="Arial"/>
          <w:sz w:val="21"/>
          <w:szCs w:val="21"/>
          <w:color w:val="auto"/>
        </w:rPr>
      </w:pPr>
    </w:p>
    <w:p>
      <w:pPr>
        <w:jc w:val="both"/>
        <w:ind w:left="660" w:hanging="652"/>
        <w:spacing w:after="0" w:line="259" w:lineRule="auto"/>
        <w:tabs>
          <w:tab w:leader="none" w:pos="660" w:val="left"/>
        </w:tabs>
        <w:numPr>
          <w:ilvl w:val="0"/>
          <w:numId w:val="14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Liability Insurance and Funding — </w:t>
      </w:r>
      <w:r>
        <w:rPr>
          <w:rFonts w:ascii="Arial" w:cs="Arial" w:eastAsia="Arial" w:hAnsi="Arial"/>
          <w:sz w:val="21"/>
          <w:szCs w:val="21"/>
          <w:color w:val="auto"/>
        </w:rPr>
        <w:t>For the duration of Indemnitee's service as a director or of the Company and thereafter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so long as Indemnitee shall be subject to any pending or possible Indemnifiable Claim, to the extent the Company maintains policies of directors' and officers' liability insurance providing coverage for directors and officers of the Company, Indemnitee shall be covered by such policies, in accordance with their terms, to the maximum extent of the coverage available for any other director or officer of the Company. Upon request of Indemnitee, the Company shall provide Indemnitee with a copy of all directors' and officers' liability insurance applications, binders, policies, declarations, endorsements and other related materials and shall provide Indemnitee with a reasonable opportunity to review and comment on the same. Without limiting the generality or effect of the two immediately preceding sentences, no discontinuation or significant reduction in the scope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241" w:name="page242"/>
    <w:bookmarkEnd w:id="241"/>
    <w:p>
      <w:pPr>
        <w:jc w:val="both"/>
        <w:ind w:left="660"/>
        <w:spacing w:after="0" w:line="289" w:lineRule="auto"/>
        <w:rPr>
          <w:sz w:val="20"/>
          <w:szCs w:val="20"/>
          <w:color w:val="auto"/>
        </w:rPr>
      </w:pPr>
      <w:r>
        <w:rPr>
          <w:rFonts w:ascii="Arial" w:cs="Arial" w:eastAsia="Arial" w:hAnsi="Arial"/>
          <w:sz w:val="19"/>
          <w:szCs w:val="19"/>
          <w:color w:val="auto"/>
        </w:rPr>
        <w:t>or amount of coverage from one policy period to the next shall be effective (a) without the prior approval thereof by a majority vote of the Incumbent Directors, even if less than a quorum, or (b) if at the time that any such discontinuation or significant reduction in the scope or amount of coverage is proposed there are no Incumbent Directors, without the prior written consent of Indemnitee (which consent shall not be unreasonably withheld or delayed).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The Company may, but shall not be required to, create a trust fund, grant a security interest or use other means, including a letter of credit, to ensure the payment of such amounts as may be necessary to satisfy its obligations to indemnify and advance expenses pursuant to this Agreement.</w:t>
      </w:r>
    </w:p>
    <w:p>
      <w:pPr>
        <w:spacing w:after="0" w:line="198" w:lineRule="exact"/>
        <w:rPr>
          <w:sz w:val="20"/>
          <w:szCs w:val="20"/>
          <w:color w:val="auto"/>
        </w:rPr>
      </w:pPr>
    </w:p>
    <w:p>
      <w:pPr>
        <w:jc w:val="both"/>
        <w:ind w:left="660" w:hanging="652"/>
        <w:spacing w:after="0" w:line="247"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Subrogation — </w:t>
      </w:r>
      <w:r>
        <w:rPr>
          <w:rFonts w:ascii="Arial" w:cs="Arial" w:eastAsia="Arial" w:hAnsi="Arial"/>
          <w:sz w:val="22"/>
          <w:szCs w:val="22"/>
          <w:color w:val="auto"/>
        </w:rPr>
        <w:t>In the event of payment under this Agreement, the Company shall be subrogated to the extent of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payment to all of the related rights of recovery of Indemnitee against other persons or entities (other than Indemnitee's successors), including any entity or enterprise referred to in clause (i) of the definition of "Indemnifiable Claim" in Section 1(f). Indemnitee shall execute all papers reasonably required to evidence such rights (all of Indemnitee's reasonable Expenses, including attorneys' fees and charges, related thereto to be reimbursed by or, at the option of Indemnitee, advanced by the Company).</w:t>
      </w:r>
    </w:p>
    <w:p>
      <w:pPr>
        <w:spacing w:after="0" w:line="234"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14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Duplication of Payments — </w:t>
      </w:r>
      <w:r>
        <w:rPr>
          <w:rFonts w:ascii="Arial" w:cs="Arial" w:eastAsia="Arial" w:hAnsi="Arial"/>
          <w:sz w:val="19"/>
          <w:szCs w:val="19"/>
          <w:color w:val="auto"/>
        </w:rPr>
        <w:t>The Company shall not be liable under this Agreement to make any payment to Indemnitee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respect to any Indemnifiable Losses to the extent Indemnitee has otherwise actually received payment (net of Expenses incurred in connection therewith) under any insurance policy, the Constituent Documents or Other Indemnity Provisions or otherwise (including from any entity or enterprise referred to in clause (i) of the definition of "Indemnifiable Claim" in Section 1(f)) with respect to such Indemnifiable Losses otherwise indemnifiable hereunder.</w:t>
      </w:r>
    </w:p>
    <w:p>
      <w:pPr>
        <w:spacing w:after="0" w:line="187" w:lineRule="exact"/>
        <w:rPr>
          <w:rFonts w:ascii="Arial" w:cs="Arial" w:eastAsia="Arial" w:hAnsi="Arial"/>
          <w:sz w:val="19"/>
          <w:szCs w:val="19"/>
          <w:color w:val="auto"/>
        </w:rPr>
      </w:pPr>
    </w:p>
    <w:p>
      <w:pPr>
        <w:jc w:val="both"/>
        <w:ind w:left="660" w:hanging="652"/>
        <w:spacing w:after="0" w:line="286" w:lineRule="auto"/>
        <w:tabs>
          <w:tab w:leader="none" w:pos="660" w:val="left"/>
        </w:tabs>
        <w:numPr>
          <w:ilvl w:val="0"/>
          <w:numId w:val="14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Defense of Claims — </w:t>
      </w:r>
      <w:r>
        <w:rPr>
          <w:rFonts w:ascii="Arial" w:cs="Arial" w:eastAsia="Arial" w:hAnsi="Arial"/>
          <w:sz w:val="19"/>
          <w:szCs w:val="19"/>
          <w:color w:val="auto"/>
        </w:rPr>
        <w:t>The Company shall be entitled to participate in the defense of any Indemnifiable Claim or to assume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defense thereof, with counsel reasonably satisfactory to Indemnitee; provided, however,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Indemnitee shall conclude that there may be one or more legal defenses available to him or her that are different from or in addition to those available to the Company or (c) any such representation by such counsel would be precluded under the applicable standards of professional conduct then prevailing, then Indemnitee shall be entitled to retain separate counsel (but not more than one law firm plus, if applicable, local counsel with respect to any particular Indemnifiable Claim)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Indemnitee, effect any settlement of any threatened or pending Indemnifiable Claim that Indemnitee is or could have been a party unless such settlement solely involves the payment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242" w:name="page243"/>
    <w:bookmarkEnd w:id="242"/>
    <w:p>
      <w:pPr>
        <w:jc w:val="both"/>
        <w:ind w:left="660"/>
        <w:spacing w:after="0" w:line="250" w:lineRule="auto"/>
        <w:rPr>
          <w:sz w:val="20"/>
          <w:szCs w:val="20"/>
          <w:color w:val="auto"/>
        </w:rPr>
      </w:pPr>
      <w:r>
        <w:rPr>
          <w:rFonts w:ascii="Arial" w:cs="Arial" w:eastAsia="Arial" w:hAnsi="Arial"/>
          <w:sz w:val="22"/>
          <w:szCs w:val="22"/>
          <w:color w:val="auto"/>
        </w:rPr>
        <w:t>of money and includes a complete and unconditional release of Indemnitee from all liability on any claims that are the subject matter of such Indemnifiable Claim. Neither the Company nor Indemnitee shall unreasonably withhold its consent to any proposed settlement; provided, however, that Indemnitee may withhold consent to any settlement that does not provide a complete and unconditional release of Indemnitee.</w:t>
      </w:r>
    </w:p>
    <w:p>
      <w:pPr>
        <w:spacing w:after="0" w:line="229"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b w:val="1"/>
          <w:bCs w:val="1"/>
          <w:i w:val="1"/>
          <w:iCs w:val="1"/>
          <w:color w:val="auto"/>
        </w:rPr>
        <w:t>Successors and Binding Agreement —</w:t>
      </w:r>
    </w:p>
    <w:p>
      <w:pPr>
        <w:spacing w:after="0" w:line="260"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The Company shall require any successor (whether direct or indirect, by purchase, merger, consolidation, reorganization or otherwise) to all or substantially all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any person acquiring directly or indirectly all or substantially all the business or assets of the Company whether by purchase, merger, consolidation, reorganization or otherwise (and such successor will thereafter be deemed the "Company" for purposes of this Agreement), but shall not otherwise be assignable or delegatable by the Company.</w:t>
      </w:r>
    </w:p>
    <w:p>
      <w:pPr>
        <w:spacing w:after="0" w:line="220" w:lineRule="exact"/>
        <w:rPr>
          <w:rFonts w:ascii="Arial" w:cs="Arial" w:eastAsia="Arial" w:hAnsi="Arial"/>
          <w:sz w:val="21"/>
          <w:szCs w:val="21"/>
          <w:color w:val="auto"/>
        </w:rPr>
      </w:pPr>
    </w:p>
    <w:p>
      <w:pPr>
        <w:ind w:left="1300" w:hanging="644"/>
        <w:spacing w:after="0" w:line="287" w:lineRule="auto"/>
        <w:tabs>
          <w:tab w:leader="none" w:pos="130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enforceable by Indemnitee's personal or legal representatives, executors, administrators, successors, heirs, distributees, legatees and other successors.</w:t>
      </w:r>
    </w:p>
    <w:p>
      <w:pPr>
        <w:spacing w:after="0" w:line="192" w:lineRule="exact"/>
        <w:rPr>
          <w:rFonts w:ascii="Arial" w:cs="Arial" w:eastAsia="Arial" w:hAnsi="Arial"/>
          <w:sz w:val="21"/>
          <w:szCs w:val="21"/>
          <w:color w:val="auto"/>
        </w:rPr>
      </w:pPr>
    </w:p>
    <w:p>
      <w:pPr>
        <w:jc w:val="both"/>
        <w:ind w:left="1300" w:hanging="644"/>
        <w:spacing w:after="0" w:line="246" w:lineRule="auto"/>
        <w:tabs>
          <w:tab w:leader="none" w:pos="13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This Agreement is personal in nature and neither of the parties hereto shall, without the consent of the other, assign or delegate this Agreement or any rights or obligations hereunder except as expressly provided in Sections 15(a) and 15(b). Without limiting the generality or effect of the foregoing, Indemnitee's right to receive payments hereunder shall not be assignable, whether by pledge, creation of a security interest or otherwise, other than by a transfer by Indemnitee's will or by the laws of descent and distribution, and in the event of any attempted assignment or transfer contrary to this Section 15(c), the Company shall have no liability to pay any amount so attempted to be assigned or transferred.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243" w:name="page244"/>
    <w:bookmarkEnd w:id="243"/>
    <w:p>
      <w:pPr>
        <w:jc w:val="both"/>
        <w:ind w:left="660" w:hanging="652"/>
        <w:spacing w:after="0" w:line="259" w:lineRule="exact"/>
        <w:tabs>
          <w:tab w:leader="none" w:pos="660" w:val="left"/>
        </w:tabs>
        <w:numPr>
          <w:ilvl w:val="0"/>
          <w:numId w:val="1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 </w:t>
      </w:r>
      <w:r>
        <w:rPr>
          <w:rFonts w:ascii="Arial" w:cs="Arial" w:eastAsia="Arial" w:hAnsi="Arial"/>
          <w:sz w:val="19"/>
          <w:szCs w:val="19"/>
          <w:color w:val="auto"/>
        </w:rPr>
        <w:t>For all purposes of this Agreement, all communications, including notices, consents, requests or approvals,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required or permitted to be given hereunder shall be in writing and shall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one business day after having been sent for next</w:t>
      </w:r>
      <w:r>
        <w:rPr>
          <w:rFonts w:ascii="MS PGothic" w:cs="MS PGothic" w:eastAsia="MS PGothic" w:hAnsi="MS PGothic"/>
          <w:sz w:val="19"/>
          <w:szCs w:val="19"/>
          <w:color w:val="auto"/>
        </w:rPr>
        <w:t>‑</w:t>
      </w:r>
      <w:r>
        <w:rPr>
          <w:rFonts w:ascii="Arial" w:cs="Arial" w:eastAsia="Arial" w:hAnsi="Arial"/>
          <w:sz w:val="19"/>
          <w:szCs w:val="19"/>
          <w:color w:val="auto"/>
        </w:rPr>
        <w:t>day delivery by a nationally recognized overnight courier service, addressed to the Company (to the attention of the Secretary of the Company) and to Indemnitee at the addresses shown on the signature page hereto, or to such other address as any party may have furnished to the other in writing and in accordance herewith, except that notices of changes of address will be effective only upon receipt.</w:t>
      </w:r>
    </w:p>
    <w:p>
      <w:pPr>
        <w:spacing w:after="0" w:line="241"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Governing Law — </w:t>
      </w:r>
      <w:r>
        <w:rPr>
          <w:rFonts w:ascii="Arial" w:cs="Arial" w:eastAsia="Arial" w:hAnsi="Arial"/>
          <w:sz w:val="22"/>
          <w:szCs w:val="22"/>
          <w:color w:val="auto"/>
        </w:rPr>
        <w:t>The validity, interpretation, construction and performance of this Agreement shall be governed by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that arises out of or relates to this Agreement and agree that any action instituted under this Agreement shall be brought only in the Chancery Court of the State of Delaware.</w:t>
      </w:r>
    </w:p>
    <w:p>
      <w:pPr>
        <w:spacing w:after="0" w:line="234" w:lineRule="exact"/>
        <w:rPr>
          <w:rFonts w:ascii="Arial" w:cs="Arial" w:eastAsia="Arial" w:hAnsi="Arial"/>
          <w:sz w:val="22"/>
          <w:szCs w:val="22"/>
          <w:color w:val="auto"/>
        </w:rPr>
      </w:pPr>
    </w:p>
    <w:p>
      <w:pPr>
        <w:jc w:val="both"/>
        <w:ind w:left="660" w:hanging="652"/>
        <w:spacing w:after="0" w:line="289" w:lineRule="auto"/>
        <w:tabs>
          <w:tab w:leader="none" w:pos="660" w:val="left"/>
        </w:tabs>
        <w:numPr>
          <w:ilvl w:val="0"/>
          <w:numId w:val="1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Validity — </w:t>
      </w:r>
      <w:r>
        <w:rPr>
          <w:rFonts w:ascii="Arial" w:cs="Arial" w:eastAsia="Arial" w:hAnsi="Arial"/>
          <w:sz w:val="19"/>
          <w:szCs w:val="19"/>
          <w:color w:val="auto"/>
        </w:rPr>
        <w:t>If any provision of this Agreement or the application of any provision hereof to any person or circumstance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98" w:lineRule="exact"/>
        <w:rPr>
          <w:rFonts w:ascii="Arial" w:cs="Arial" w:eastAsia="Arial" w:hAnsi="Arial"/>
          <w:sz w:val="19"/>
          <w:szCs w:val="19"/>
          <w:color w:val="auto"/>
        </w:rPr>
      </w:pPr>
    </w:p>
    <w:p>
      <w:pPr>
        <w:jc w:val="both"/>
        <w:ind w:left="660" w:hanging="652"/>
        <w:spacing w:after="0" w:line="263" w:lineRule="auto"/>
        <w:tabs>
          <w:tab w:leader="none" w:pos="660" w:val="left"/>
        </w:tabs>
        <w:numPr>
          <w:ilvl w:val="0"/>
          <w:numId w:val="14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Amendments; Waivers — </w:t>
      </w:r>
      <w:r>
        <w:rPr>
          <w:rFonts w:ascii="Arial" w:cs="Arial" w:eastAsia="Arial" w:hAnsi="Arial"/>
          <w:sz w:val="21"/>
          <w:szCs w:val="21"/>
          <w:color w:val="auto"/>
        </w:rPr>
        <w:t>No provision of this Agreement may be amended, modified, waived or discharged unless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amendment, modification, waiver or discharge is agreed to 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216" w:lineRule="exact"/>
        <w:rPr>
          <w:rFonts w:ascii="Arial" w:cs="Arial" w:eastAsia="Arial" w:hAnsi="Arial"/>
          <w:sz w:val="21"/>
          <w:szCs w:val="21"/>
          <w:color w:val="auto"/>
        </w:rPr>
      </w:pPr>
    </w:p>
    <w:p>
      <w:pPr>
        <w:ind w:left="660" w:right="20" w:hanging="652"/>
        <w:spacing w:after="0" w:line="287" w:lineRule="auto"/>
        <w:tabs>
          <w:tab w:leader="none" w:pos="660" w:val="left"/>
        </w:tabs>
        <w:numPr>
          <w:ilvl w:val="0"/>
          <w:numId w:val="14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 </w:t>
      </w:r>
      <w:r>
        <w:rPr>
          <w:rFonts w:ascii="Arial" w:cs="Arial" w:eastAsia="Arial" w:hAnsi="Arial"/>
          <w:sz w:val="21"/>
          <w:szCs w:val="21"/>
          <w:color w:val="auto"/>
        </w:rPr>
        <w:t>No agreements or representations, oral or otherwise, expressed or implied with respect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subject matter hereof have been made by either party that are not set forth expressly in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244" w:name="page245"/>
    <w:bookmarkEnd w:id="244"/>
    <w:p>
      <w:pPr>
        <w:jc w:val="both"/>
        <w:ind w:left="660" w:hanging="652"/>
        <w:spacing w:after="0" w:line="285" w:lineRule="auto"/>
        <w:tabs>
          <w:tab w:leader="none" w:pos="660" w:val="left"/>
        </w:tabs>
        <w:numPr>
          <w:ilvl w:val="0"/>
          <w:numId w:val="1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Legal Fees and Expenses — </w:t>
      </w:r>
      <w:r>
        <w:rPr>
          <w:rFonts w:ascii="Arial" w:cs="Arial" w:eastAsia="Arial" w:hAnsi="Arial"/>
          <w:sz w:val="19"/>
          <w:szCs w:val="19"/>
          <w:color w:val="auto"/>
        </w:rPr>
        <w:t>It is the intent of the Company that Indemnitee not be required to incur legal fees or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Indemnitee from time to time to retain counsel of Indemnitee's choice, at the expense of the Company as hereafter provided, to advise and represent Indemnitee in connection with any such interpretation, enforcement or defense, including the initiation or defense of any litigation or other legal action, whether by or against the Company or any director, officer,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 attorneys' and related fees and expenses incurred by Indemnitee in connection with any of the foregoing.</w:t>
      </w:r>
    </w:p>
    <w:p>
      <w:pPr>
        <w:spacing w:after="0" w:line="208" w:lineRule="exact"/>
        <w:rPr>
          <w:rFonts w:ascii="Arial" w:cs="Arial" w:eastAsia="Arial" w:hAnsi="Arial"/>
          <w:sz w:val="19"/>
          <w:szCs w:val="19"/>
          <w:color w:val="auto"/>
        </w:rPr>
      </w:pPr>
    </w:p>
    <w:p>
      <w:pPr>
        <w:ind w:left="660" w:hanging="652"/>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b w:val="1"/>
          <w:bCs w:val="1"/>
          <w:i w:val="1"/>
          <w:iCs w:val="1"/>
          <w:color w:val="auto"/>
        </w:rPr>
        <w:t>Certain Interpretive Matters —</w:t>
      </w:r>
    </w:p>
    <w:p>
      <w:pPr>
        <w:spacing w:after="0" w:line="260"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provision of this Agreement shall be interpreted in favor of, or against, either of the parties hereto by reason of the extent to which any such party or its counsel participated in the drafting thereof or by reason of the extent to which any such provision is inconsistent with any prior draft hereof or thereof.</w:t>
      </w:r>
    </w:p>
    <w:p>
      <w:pPr>
        <w:spacing w:after="0" w:line="226"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It is the Company's intention and desire that the provisions of this Agreement be construed liberally, subject to their express terms, to maximize the protections to be provided to Indemnitee hereunder.</w:t>
      </w:r>
    </w:p>
    <w:p>
      <w:pPr>
        <w:spacing w:after="0" w:line="21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All references in this Agreement to Sections, paragraphs, clauses and other subdivisions refer to the corresponding Sections, paragraphs, clauses and other subdivisions of this Agreement unless expressly provided otherwise. Titles appearing at the beginning of any Sections, subsections or other subdivisions of this Agreement are for convenience only, do not constitute any part of such Sections, subsections or other subdivisions and shall be disregarded in construing the language contained in such subdivisions. The words "</w:t>
      </w:r>
      <w:r>
        <w:rPr>
          <w:rFonts w:ascii="Arial" w:cs="Arial" w:eastAsia="Arial" w:hAnsi="Arial"/>
          <w:sz w:val="19"/>
          <w:szCs w:val="19"/>
          <w:b w:val="1"/>
          <w:bCs w:val="1"/>
          <w:i w:val="1"/>
          <w:iCs w:val="1"/>
          <w:color w:val="auto"/>
        </w:rPr>
        <w:t>this Agreement</w:t>
      </w:r>
      <w:r>
        <w:rPr>
          <w:rFonts w:ascii="Arial" w:cs="Arial" w:eastAsia="Arial" w:hAnsi="Arial"/>
          <w:sz w:val="19"/>
          <w:szCs w:val="19"/>
          <w:color w:val="auto"/>
        </w:rPr>
        <w:t>," "</w:t>
      </w:r>
      <w:r>
        <w:rPr>
          <w:rFonts w:ascii="Arial" w:cs="Arial" w:eastAsia="Arial" w:hAnsi="Arial"/>
          <w:sz w:val="19"/>
          <w:szCs w:val="19"/>
          <w:b w:val="1"/>
          <w:bCs w:val="1"/>
          <w:i w:val="1"/>
          <w:iCs w:val="1"/>
          <w:color w:val="auto"/>
        </w:rPr>
        <w:t>herein</w:t>
      </w:r>
      <w:r>
        <w:rPr>
          <w:rFonts w:ascii="Arial" w:cs="Arial" w:eastAsia="Arial" w:hAnsi="Arial"/>
          <w:sz w:val="19"/>
          <w:szCs w:val="19"/>
          <w:color w:val="auto"/>
        </w:rPr>
        <w:t>," "</w:t>
      </w:r>
      <w:r>
        <w:rPr>
          <w:rFonts w:ascii="Arial" w:cs="Arial" w:eastAsia="Arial" w:hAnsi="Arial"/>
          <w:sz w:val="19"/>
          <w:szCs w:val="19"/>
          <w:b w:val="1"/>
          <w:bCs w:val="1"/>
          <w:i w:val="1"/>
          <w:iCs w:val="1"/>
          <w:color w:val="auto"/>
        </w:rPr>
        <w:t>hereby</w:t>
      </w:r>
      <w:r>
        <w:rPr>
          <w:rFonts w:ascii="Arial" w:cs="Arial" w:eastAsia="Arial" w:hAnsi="Arial"/>
          <w:sz w:val="19"/>
          <w:szCs w:val="19"/>
          <w:color w:val="auto"/>
        </w:rPr>
        <w:t>," "</w:t>
      </w:r>
      <w:r>
        <w:rPr>
          <w:rFonts w:ascii="Arial" w:cs="Arial" w:eastAsia="Arial" w:hAnsi="Arial"/>
          <w:sz w:val="19"/>
          <w:szCs w:val="19"/>
          <w:b w:val="1"/>
          <w:bCs w:val="1"/>
          <w:i w:val="1"/>
          <w:iCs w:val="1"/>
          <w:color w:val="auto"/>
        </w:rPr>
        <w:t>hereunder</w:t>
      </w:r>
      <w:r>
        <w:rPr>
          <w:rFonts w:ascii="Arial" w:cs="Arial" w:eastAsia="Arial" w:hAnsi="Arial"/>
          <w:sz w:val="19"/>
          <w:szCs w:val="19"/>
          <w:color w:val="auto"/>
        </w:rPr>
        <w:t>," and "</w:t>
      </w:r>
      <w:r>
        <w:rPr>
          <w:rFonts w:ascii="Arial" w:cs="Arial" w:eastAsia="Arial" w:hAnsi="Arial"/>
          <w:sz w:val="19"/>
          <w:szCs w:val="19"/>
          <w:b w:val="1"/>
          <w:bCs w:val="1"/>
          <w:i w:val="1"/>
          <w:iCs w:val="1"/>
          <w:color w:val="auto"/>
        </w:rPr>
        <w:t>hereof</w:t>
      </w:r>
      <w:r>
        <w:rPr>
          <w:rFonts w:ascii="Arial" w:cs="Arial" w:eastAsia="Arial" w:hAnsi="Arial"/>
          <w:sz w:val="19"/>
          <w:szCs w:val="19"/>
          <w:color w:val="auto"/>
        </w:rPr>
        <w:t>," and words of similar import, refer to this Agreement as a whole and not to any particular subdivision unless expressly so limited. The word "</w:t>
      </w:r>
      <w:r>
        <w:rPr>
          <w:rFonts w:ascii="Arial" w:cs="Arial" w:eastAsia="Arial" w:hAnsi="Arial"/>
          <w:sz w:val="19"/>
          <w:szCs w:val="19"/>
          <w:b w:val="1"/>
          <w:bCs w:val="1"/>
          <w:i w:val="1"/>
          <w:iCs w:val="1"/>
          <w:color w:val="auto"/>
        </w:rPr>
        <w:t>or</w:t>
      </w:r>
      <w:r>
        <w:rPr>
          <w:rFonts w:ascii="Arial" w:cs="Arial" w:eastAsia="Arial" w:hAnsi="Arial"/>
          <w:sz w:val="19"/>
          <w:szCs w:val="19"/>
          <w:color w:val="auto"/>
        </w:rPr>
        <w:t>" is not exclusive, and the word "</w:t>
      </w:r>
      <w:r>
        <w:rPr>
          <w:rFonts w:ascii="Arial" w:cs="Arial" w:eastAsia="Arial" w:hAnsi="Arial"/>
          <w:sz w:val="19"/>
          <w:szCs w:val="19"/>
          <w:b w:val="1"/>
          <w:bCs w:val="1"/>
          <w:i w:val="1"/>
          <w:iCs w:val="1"/>
          <w:color w:val="auto"/>
        </w:rPr>
        <w:t>including</w:t>
      </w:r>
      <w:r>
        <w:rPr>
          <w:rFonts w:ascii="Arial" w:cs="Arial" w:eastAsia="Arial" w:hAnsi="Arial"/>
          <w:sz w:val="19"/>
          <w:szCs w:val="19"/>
          <w:color w:val="auto"/>
        </w:rPr>
        <w:t>" (in its various forms) means "including without limitation." Pronouns in masculine, feminine or neuter genders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245" w:name="page246"/>
    <w:bookmarkEnd w:id="245"/>
    <w:p>
      <w:pPr>
        <w:jc w:val="both"/>
        <w:ind w:left="1300"/>
        <w:spacing w:after="0" w:line="253" w:lineRule="auto"/>
        <w:rPr>
          <w:sz w:val="20"/>
          <w:szCs w:val="20"/>
          <w:color w:val="auto"/>
        </w:rPr>
      </w:pPr>
      <w:r>
        <w:rPr>
          <w:rFonts w:ascii="Arial" w:cs="Arial" w:eastAsia="Arial" w:hAnsi="Arial"/>
          <w:sz w:val="22"/>
          <w:szCs w:val="22"/>
          <w:color w:val="auto"/>
        </w:rPr>
        <w:t>shall be construed to state and include any other gender, and words, terms and titles (including terms defined herein) in the singular form shall be construed to include the plural and vice versa, unless the context otherwise expressly requires.</w:t>
      </w:r>
    </w:p>
    <w:p>
      <w:pPr>
        <w:spacing w:after="0" w:line="226" w:lineRule="exact"/>
        <w:rPr>
          <w:sz w:val="20"/>
          <w:szCs w:val="20"/>
          <w:color w:val="auto"/>
        </w:rPr>
      </w:pPr>
    </w:p>
    <w:p>
      <w:pPr>
        <w:ind w:left="660" w:right="20" w:hanging="652"/>
        <w:spacing w:after="0" w:line="263" w:lineRule="auto"/>
        <w:tabs>
          <w:tab w:leader="none" w:pos="660" w:val="left"/>
        </w:tabs>
        <w:numPr>
          <w:ilvl w:val="0"/>
          <w:numId w:val="14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Counterparts — </w:t>
      </w:r>
      <w:r>
        <w:rPr>
          <w:rFonts w:ascii="Arial" w:cs="Arial" w:eastAsia="Arial" w:hAnsi="Arial"/>
          <w:sz w:val="22"/>
          <w:szCs w:val="22"/>
          <w:color w:val="auto"/>
        </w:rPr>
        <w:t>This Agreement may be executed in one or more counterparts, each of which will be deemed to be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original but all of which together shall constitute one and the same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246" w:name="page247"/>
    <w:bookmarkEnd w:id="246"/>
    <w:p>
      <w:pPr>
        <w:spacing w:after="0" w:line="263" w:lineRule="auto"/>
        <w:rPr>
          <w:sz w:val="20"/>
          <w:szCs w:val="20"/>
          <w:color w:val="auto"/>
        </w:rPr>
      </w:pPr>
      <w:r>
        <w:rPr>
          <w:rFonts w:ascii="Arial" w:cs="Arial" w:eastAsia="Arial" w:hAnsi="Arial"/>
          <w:sz w:val="22"/>
          <w:szCs w:val="22"/>
          <w:color w:val="auto"/>
        </w:rPr>
        <w:t>In witness whereof, Indemnitee has executed, and the Company has caused its duly authorized representative to execute, this Agreement as of the date first above written.</w:t>
      </w:r>
    </w:p>
    <w:p>
      <w:pPr>
        <w:spacing w:after="0" w:line="200" w:lineRule="exact"/>
        <w:rPr>
          <w:sz w:val="20"/>
          <w:szCs w:val="20"/>
          <w:color w:val="auto"/>
        </w:rPr>
      </w:pPr>
    </w:p>
    <w:p>
      <w:pPr>
        <w:spacing w:after="0" w:line="266"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DELL INC.</w:t>
        <w:tab/>
        <w:t>INDEMNITEE</w:t>
      </w:r>
    </w:p>
    <w:p>
      <w:pPr>
        <w:spacing w:after="0" w:line="226" w:lineRule="exact"/>
        <w:rPr>
          <w:sz w:val="20"/>
          <w:szCs w:val="20"/>
          <w:color w:val="auto"/>
        </w:rPr>
      </w:pPr>
    </w:p>
    <w:p>
      <w:pPr>
        <w:spacing w:after="0"/>
        <w:tabs>
          <w:tab w:leader="none" w:pos="980" w:val="left"/>
          <w:tab w:leader="none" w:pos="2400" w:val="left"/>
        </w:tabs>
        <w:rPr>
          <w:sz w:val="20"/>
          <w:szCs w:val="20"/>
          <w:color w:val="auto"/>
        </w:rPr>
      </w:pPr>
      <w:r>
        <w:rPr>
          <w:rFonts w:ascii="Arial" w:cs="Arial" w:eastAsia="Arial" w:hAnsi="Arial"/>
          <w:sz w:val="22"/>
          <w:szCs w:val="22"/>
          <w:color w:val="auto"/>
        </w:rPr>
        <w:t>Address:</w:t>
        <w:tab/>
        <w:t>One Dell Way</w:t>
      </w:r>
      <w:r>
        <w:rPr>
          <w:sz w:val="20"/>
          <w:szCs w:val="20"/>
          <w:color w:val="auto"/>
        </w:rPr>
        <w:tab/>
      </w:r>
      <w:r>
        <w:rPr>
          <w:rFonts w:ascii="Arial" w:cs="Arial" w:eastAsia="Arial" w:hAnsi="Arial"/>
          <w:sz w:val="19"/>
          <w:szCs w:val="19"/>
          <w:color w:val="auto"/>
        </w:rPr>
        <w:t>Address:</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Round Rock, Texas 78682</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Facsimile: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Facsimile:</w:t>
      </w:r>
    </w:p>
    <w:p>
      <w:pPr>
        <w:spacing w:after="0" w:line="200" w:lineRule="exact"/>
        <w:rPr>
          <w:sz w:val="20"/>
          <w:szCs w:val="20"/>
          <w:color w:val="auto"/>
        </w:rPr>
      </w:pPr>
    </w:p>
    <w:p>
      <w:pPr>
        <w:sectPr>
          <w:pgSz w:w="11900" w:h="16838" w:orient="portrait"/>
          <w:cols w:equalWidth="0" w:num="2">
            <w:col w:w="900" w:space="440"/>
            <w:col w:w="10080"/>
          </w:cols>
          <w:pgMar w:left="240" w:top="375" w:right="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w:t>
      </w:r>
    </w:p>
    <w:p>
      <w:pPr>
        <w:spacing w:after="0" w:line="200" w:lineRule="exact"/>
        <w:rPr>
          <w:sz w:val="20"/>
          <w:szCs w:val="20"/>
          <w:color w:val="auto"/>
        </w:rPr>
      </w:pPr>
    </w:p>
    <w:p>
      <w:pPr>
        <w:sectPr>
          <w:pgSz w:w="11900" w:h="16838" w:orient="portrait"/>
          <w:cols w:equalWidth="0" w:num="2">
            <w:col w:w="3500" w:space="440"/>
            <w:col w:w="7480"/>
          </w:cols>
          <w:pgMar w:left="240" w:top="375"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75" w:right="2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EMC CORPORATION</w:t>
      </w:r>
    </w:p>
    <w:p>
      <w:pPr>
        <w:spacing w:after="0" w:line="28" w:lineRule="exact"/>
        <w:rPr>
          <w:sz w:val="20"/>
          <w:szCs w:val="20"/>
          <w:color w:val="auto"/>
        </w:rPr>
      </w:pPr>
    </w:p>
    <w:p>
      <w:pPr>
        <w:jc w:val="center"/>
        <w:ind w:left="1540" w:right="2720"/>
        <w:spacing w:after="0" w:line="574" w:lineRule="auto"/>
        <w:rPr>
          <w:sz w:val="20"/>
          <w:szCs w:val="20"/>
          <w:color w:val="auto"/>
        </w:rPr>
      </w:pPr>
      <w:r>
        <w:rPr>
          <w:rFonts w:ascii="Arial" w:cs="Arial" w:eastAsia="Arial" w:hAnsi="Arial"/>
          <w:sz w:val="19"/>
          <w:szCs w:val="19"/>
          <w:b w:val="1"/>
          <w:bCs w:val="1"/>
          <w:color w:val="auto"/>
        </w:rPr>
        <w:t>DEFERRED COMPENSATION RETIREMENT PLAN as amended and restated effective as of January 1, 2016 effective for amounts earned and vested after December 31, 2004</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81" w:right="239" w:bottom="1440" w:gutter="0" w:footer="0" w:header="0"/>
        </w:sectPr>
      </w:pPr>
    </w:p>
    <w:bookmarkStart w:id="248" w:name="page249"/>
    <w:bookmarkEnd w:id="248"/>
    <w:p>
      <w:pPr>
        <w:jc w:val="center"/>
        <w:ind w:left="640"/>
        <w:spacing w:after="0"/>
        <w:rPr>
          <w:sz w:val="20"/>
          <w:szCs w:val="20"/>
          <w:color w:val="auto"/>
        </w:rPr>
      </w:pPr>
      <w:r>
        <w:rPr>
          <w:rFonts w:ascii="Arial" w:cs="Arial" w:eastAsia="Arial" w:hAnsi="Arial"/>
          <w:sz w:val="22"/>
          <w:szCs w:val="22"/>
          <w:b w:val="1"/>
          <w:bCs w:val="1"/>
          <w:color w:val="auto"/>
        </w:rPr>
        <w:t>EMC CORPORATION</w:t>
      </w:r>
    </w:p>
    <w:p>
      <w:pPr>
        <w:spacing w:after="0" w:line="28"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DEFERRED COMPENSATION RETIREMENT PLAN</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amended and restated effective as of January 1, 2016</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effective for amounts earned and vested after December 31, 2004</w:t>
      </w:r>
    </w:p>
    <w:p>
      <w:pPr>
        <w:spacing w:after="0" w:line="200" w:lineRule="exact"/>
        <w:rPr>
          <w:sz w:val="20"/>
          <w:szCs w:val="20"/>
          <w:color w:val="auto"/>
        </w:rPr>
      </w:pP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1.</w:t>
        <w:tab/>
        <w:t>INTRODUCTION</w:t>
      </w:r>
    </w:p>
    <w:p>
      <w:pPr>
        <w:spacing w:after="0" w:line="27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Adoption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EMC Corporation Executive Deferred Compensation Retirement Plan was adopted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January 1, 2001. The Plan was amended and restated on December 5, 2005, May 22, 2008, November 3, 2010, January 1, 2011 and further amended and restated effective as of January 1, 2016, and is effective, as so amended, for amounts that are subject to Code section 409A by reason of having been earned and vested after December 31, 2004. The name of the Plan was changed from the EMC Corporation Executive Deferred Compensation Retirement Plan to the EMC Corporation Deferred Compensation Retirement Plan on May 22, 2008.</w:t>
      </w:r>
    </w:p>
    <w:p>
      <w:pPr>
        <w:spacing w:after="0" w:line="200" w:lineRule="exact"/>
        <w:rPr>
          <w:sz w:val="20"/>
          <w:szCs w:val="20"/>
          <w:color w:val="auto"/>
        </w:rPr>
      </w:pPr>
    </w:p>
    <w:p>
      <w:pPr>
        <w:spacing w:after="0" w:line="203" w:lineRule="exact"/>
        <w:rPr>
          <w:sz w:val="20"/>
          <w:szCs w:val="20"/>
          <w:color w:val="auto"/>
        </w:rPr>
      </w:pPr>
    </w:p>
    <w:p>
      <w:pPr>
        <w:ind w:right="120" w:firstLine="648"/>
        <w:spacing w:after="0" w:line="274"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Purpose of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adopted the Plan to provide a competitive level of retirement benefits to certain</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employees of the Company or any of its Subsidiaries by allowing them to defer receipt of designated percentages of their Compensation and to provide, in the sole discretion of the Company, Company Credits.</w:t>
      </w:r>
    </w:p>
    <w:p>
      <w:pPr>
        <w:spacing w:after="0" w:line="375"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Status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is intended to be “a plan which is unfunded and is maintained by an employer primarily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providing deferred compensation for a select group of management or highly compensated employees” within the meaning of Sections 201(2), 301(a)(3) and 401(a)(1) of ERISA, and will be interpreted and administered to the fullest extent possible in a manner consistent with that intent.</w:t>
      </w:r>
    </w:p>
    <w:p>
      <w:pPr>
        <w:spacing w:after="0" w:line="39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2.</w:t>
        <w:tab/>
        <w:t>DEFINITIONS</w:t>
      </w:r>
    </w:p>
    <w:p>
      <w:pPr>
        <w:spacing w:after="0" w:line="3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Wherever capitalized in this Plan, the following terms are defined as provided below, unless a different meaning is clearly required by the context: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25" w:right="299" w:bottom="1440" w:gutter="0" w:footer="0" w:header="0"/>
        </w:sectPr>
      </w:pPr>
    </w:p>
    <w:bookmarkStart w:id="249" w:name="page250"/>
    <w:bookmarkEnd w:id="249"/>
    <w:p>
      <w:pPr>
        <w:ind w:left="660"/>
        <w:spacing w:after="0"/>
        <w:tabs>
          <w:tab w:leader="none" w:pos="11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 xml:space="preserve">“Account” </w:t>
      </w:r>
      <w:r>
        <w:rPr>
          <w:rFonts w:ascii="Arial" w:cs="Arial" w:eastAsia="Arial" w:hAnsi="Arial"/>
          <w:sz w:val="19"/>
          <w:szCs w:val="19"/>
          <w:color w:val="auto"/>
        </w:rPr>
        <w:t>means, for each Participant, the account established for his or her benefit under Section 5.1.</w:t>
      </w:r>
    </w:p>
    <w:p>
      <w:pPr>
        <w:spacing w:after="0" w:line="200" w:lineRule="exact"/>
        <w:rPr>
          <w:sz w:val="20"/>
          <w:szCs w:val="20"/>
          <w:color w:val="auto"/>
        </w:rPr>
      </w:pPr>
    </w:p>
    <w:p>
      <w:pPr>
        <w:spacing w:after="0" w:line="23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 xml:space="preserve">2.2. “Administrator” </w:t>
      </w:r>
      <w:r>
        <w:rPr>
          <w:rFonts w:ascii="Arial" w:cs="Arial" w:eastAsia="Arial" w:hAnsi="Arial"/>
          <w:sz w:val="22"/>
          <w:szCs w:val="22"/>
          <w:color w:val="auto"/>
        </w:rPr>
        <w:t>means the Leadership and Compensation Committee of the Board as it may be constituted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or otherwise means a committee composed of members of the Board or officers of the Company as may be appointed by the Board or the Compensation Committee of the Board from time to time.</w:t>
      </w:r>
    </w:p>
    <w:p>
      <w:pPr>
        <w:spacing w:after="0" w:line="3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the Company, as it may be constituted from time to time.</w:t>
      </w:r>
    </w:p>
    <w:p>
      <w:pPr>
        <w:spacing w:after="0" w:line="200" w:lineRule="exact"/>
        <w:rPr>
          <w:sz w:val="20"/>
          <w:szCs w:val="20"/>
          <w:color w:val="auto"/>
        </w:rPr>
      </w:pPr>
    </w:p>
    <w:p>
      <w:pPr>
        <w:spacing w:after="0" w:line="23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2.4. “Change of Control” </w:t>
      </w:r>
      <w:r>
        <w:rPr>
          <w:rFonts w:ascii="Arial" w:cs="Arial" w:eastAsia="Arial" w:hAnsi="Arial"/>
          <w:sz w:val="22"/>
          <w:szCs w:val="22"/>
          <w:color w:val="auto"/>
        </w:rPr>
        <w:t>means any of the following: (a) a change in the ownership of the Company, (b) a change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control of the Company, or (c) a change in the ownership of a substantial portion of the assets of the Company, each as defined under Code section 409A(a)(2)(A)(v).</w:t>
      </w:r>
    </w:p>
    <w:p>
      <w:pPr>
        <w:spacing w:after="0" w:line="392"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color w:val="auto"/>
        </w:rPr>
        <w:t xml:space="preserve">2.5. “Code” </w:t>
      </w:r>
      <w:r>
        <w:rPr>
          <w:rFonts w:ascii="Arial" w:cs="Arial" w:eastAsia="Arial" w:hAnsi="Arial"/>
          <w:sz w:val="22"/>
          <w:szCs w:val="22"/>
          <w:color w:val="auto"/>
        </w:rPr>
        <w:t>means the Internal Revenue Code of 1986, as amended from time to time. Reference to any section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subsection of the Code includes reference to any comparable or succeeding provisions of any legislation that amends, supplements or replaces the section or subsection.</w:t>
      </w:r>
    </w:p>
    <w:p>
      <w:pPr>
        <w:spacing w:after="0" w:line="392" w:lineRule="exact"/>
        <w:rPr>
          <w:sz w:val="20"/>
          <w:szCs w:val="20"/>
          <w:color w:val="auto"/>
        </w:rPr>
      </w:pPr>
    </w:p>
    <w:p>
      <w:pPr>
        <w:ind w:right="1280" w:firstLine="648"/>
        <w:spacing w:after="0" w:line="269" w:lineRule="auto"/>
        <w:rPr>
          <w:sz w:val="20"/>
          <w:szCs w:val="20"/>
          <w:color w:val="auto"/>
        </w:rPr>
      </w:pPr>
      <w:r>
        <w:rPr>
          <w:rFonts w:ascii="Arial" w:cs="Arial" w:eastAsia="Arial" w:hAnsi="Arial"/>
          <w:sz w:val="22"/>
          <w:szCs w:val="22"/>
          <w:b w:val="1"/>
          <w:bCs w:val="1"/>
          <w:color w:val="auto"/>
        </w:rPr>
        <w:t xml:space="preserve">2.6. “Company” </w:t>
      </w:r>
      <w:r>
        <w:rPr>
          <w:rFonts w:ascii="Arial" w:cs="Arial" w:eastAsia="Arial" w:hAnsi="Arial"/>
          <w:sz w:val="22"/>
          <w:szCs w:val="22"/>
          <w:color w:val="auto"/>
        </w:rPr>
        <w:t>means EMC Corporation, a corporation formed under the laws of The Commonwealth of</w:t>
      </w:r>
      <w:r>
        <w:rPr>
          <w:rFonts w:ascii="Arial" w:cs="Arial" w:eastAsia="Arial" w:hAnsi="Arial"/>
          <w:sz w:val="22"/>
          <w:szCs w:val="22"/>
          <w:b w:val="1"/>
          <w:bCs w:val="1"/>
          <w:color w:val="auto"/>
        </w:rPr>
        <w:t xml:space="preserve"> </w:t>
      </w:r>
      <w:r>
        <w:rPr>
          <w:rFonts w:ascii="Arial" w:cs="Arial" w:eastAsia="Arial" w:hAnsi="Arial"/>
          <w:sz w:val="22"/>
          <w:szCs w:val="22"/>
          <w:color w:val="auto"/>
        </w:rPr>
        <w:t>Massachusetts.</w:t>
      </w:r>
    </w:p>
    <w:p>
      <w:pPr>
        <w:spacing w:after="0" w:line="3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 xml:space="preserve">“Company Credit” </w:t>
      </w:r>
      <w:r>
        <w:rPr>
          <w:rFonts w:ascii="Arial" w:cs="Arial" w:eastAsia="Arial" w:hAnsi="Arial"/>
          <w:sz w:val="19"/>
          <w:szCs w:val="19"/>
          <w:color w:val="auto"/>
        </w:rPr>
        <w:t>means any amount credited by the Company to a Participant under Section 4.2.</w:t>
      </w:r>
    </w:p>
    <w:p>
      <w:pPr>
        <w:spacing w:after="0" w:line="200" w:lineRule="exact"/>
        <w:rPr>
          <w:sz w:val="20"/>
          <w:szCs w:val="20"/>
          <w:color w:val="auto"/>
        </w:rPr>
      </w:pPr>
    </w:p>
    <w:p>
      <w:pPr>
        <w:spacing w:after="0" w:line="236" w:lineRule="exact"/>
        <w:rPr>
          <w:sz w:val="20"/>
          <w:szCs w:val="20"/>
          <w:color w:val="auto"/>
        </w:rPr>
      </w:pPr>
    </w:p>
    <w:p>
      <w:pPr>
        <w:ind w:right="260" w:firstLine="648"/>
        <w:spacing w:after="0" w:line="269" w:lineRule="auto"/>
        <w:rPr>
          <w:sz w:val="20"/>
          <w:szCs w:val="20"/>
          <w:color w:val="auto"/>
        </w:rPr>
      </w:pPr>
      <w:r>
        <w:rPr>
          <w:rFonts w:ascii="Arial" w:cs="Arial" w:eastAsia="Arial" w:hAnsi="Arial"/>
          <w:sz w:val="22"/>
          <w:szCs w:val="22"/>
          <w:b w:val="1"/>
          <w:bCs w:val="1"/>
          <w:color w:val="auto"/>
        </w:rPr>
        <w:t xml:space="preserve">2.8. “Company Credit Subaccount” </w:t>
      </w:r>
      <w:r>
        <w:rPr>
          <w:rFonts w:ascii="Arial" w:cs="Arial" w:eastAsia="Arial" w:hAnsi="Arial"/>
          <w:sz w:val="22"/>
          <w:szCs w:val="22"/>
          <w:color w:val="auto"/>
        </w:rPr>
        <w:t>means the subaccount within a Participant’s Account to which Company Credits</w:t>
      </w:r>
      <w:r>
        <w:rPr>
          <w:rFonts w:ascii="Arial" w:cs="Arial" w:eastAsia="Arial" w:hAnsi="Arial"/>
          <w:sz w:val="22"/>
          <w:szCs w:val="22"/>
          <w:b w:val="1"/>
          <w:bCs w:val="1"/>
          <w:color w:val="auto"/>
        </w:rPr>
        <w:t xml:space="preserve"> </w:t>
      </w:r>
      <w:r>
        <w:rPr>
          <w:rFonts w:ascii="Arial" w:cs="Arial" w:eastAsia="Arial" w:hAnsi="Arial"/>
          <w:sz w:val="22"/>
          <w:szCs w:val="22"/>
          <w:color w:val="auto"/>
        </w:rPr>
        <w:t>and allocable earnings credits, if any, are credited.</w:t>
      </w:r>
    </w:p>
    <w:p>
      <w:pPr>
        <w:spacing w:after="0" w:line="378"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22"/>
          <w:szCs w:val="22"/>
          <w:b w:val="1"/>
          <w:bCs w:val="1"/>
          <w:color w:val="auto"/>
        </w:rPr>
        <w:t xml:space="preserve">2.9. “Company Credit Eligible Employee” </w:t>
      </w:r>
      <w:r>
        <w:rPr>
          <w:rFonts w:ascii="Arial" w:cs="Arial" w:eastAsia="Arial" w:hAnsi="Arial"/>
          <w:sz w:val="22"/>
          <w:szCs w:val="22"/>
          <w:color w:val="auto"/>
        </w:rPr>
        <w:t>means an employee of the Company or any of its Subsidiaries selected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as eligible for Company Credits under Section 4.2 from among the group of highly compensated or managerial employees of the Company or any of its Subsidiaries.</w:t>
      </w:r>
    </w:p>
    <w:p>
      <w:pPr>
        <w:spacing w:after="0" w:line="3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 xml:space="preserve">“Company Stock” </w:t>
      </w:r>
      <w:r>
        <w:rPr>
          <w:rFonts w:ascii="Arial" w:cs="Arial" w:eastAsia="Arial" w:hAnsi="Arial"/>
          <w:sz w:val="19"/>
          <w:szCs w:val="19"/>
          <w:color w:val="auto"/>
        </w:rPr>
        <w:t>means the Company’s common stock, par value $.01 per share.</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98" w:lineRule="auto"/>
        <w:rPr>
          <w:sz w:val="20"/>
          <w:szCs w:val="20"/>
          <w:color w:val="auto"/>
        </w:rPr>
      </w:pPr>
      <w:r>
        <w:rPr>
          <w:rFonts w:ascii="Arial" w:cs="Arial" w:eastAsia="Arial" w:hAnsi="Arial"/>
          <w:sz w:val="19"/>
          <w:szCs w:val="19"/>
          <w:b w:val="1"/>
          <w:bCs w:val="1"/>
          <w:color w:val="auto"/>
        </w:rPr>
        <w:t xml:space="preserve">2.11. “Compensation” </w:t>
      </w:r>
      <w:r>
        <w:rPr>
          <w:rFonts w:ascii="Arial" w:cs="Arial" w:eastAsia="Arial" w:hAnsi="Arial"/>
          <w:sz w:val="19"/>
          <w:szCs w:val="19"/>
          <w:color w:val="auto"/>
        </w:rPr>
        <w:t>means base salary, any cash bonuses (including Performance-Based Bonuses), cash commissions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restricted stock units (“RSUs”) payable from time to time by the Company or any of its Subsidiaries to a Participant. For each Participant, however, the Administrator in its sole discretion may: (1) determine which specific types of Compensation may be deferred under the Plan by the Participant; or (2) amend this Section 2.11 to cover other types of compensation payable from time to time by the Company or any of its Subsidiaries to a Participant. Compensation does not</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5" w:right="299" w:bottom="1440" w:gutter="0" w:footer="0" w:header="0"/>
        </w:sectPr>
      </w:pPr>
    </w:p>
    <w:bookmarkStart w:id="250" w:name="page251"/>
    <w:bookmarkEnd w:id="250"/>
    <w:p>
      <w:pPr>
        <w:ind w:right="220"/>
        <w:spacing w:after="0" w:line="263" w:lineRule="auto"/>
        <w:rPr>
          <w:sz w:val="20"/>
          <w:szCs w:val="20"/>
          <w:color w:val="auto"/>
        </w:rPr>
      </w:pPr>
      <w:r>
        <w:rPr>
          <w:rFonts w:ascii="Arial" w:cs="Arial" w:eastAsia="Arial" w:hAnsi="Arial"/>
          <w:sz w:val="22"/>
          <w:szCs w:val="22"/>
          <w:color w:val="auto"/>
        </w:rPr>
        <w:t>include amounts paid to Participants for services performed outside the United States from a non-U.S. payroll due to a transfer of the Participant for business reasons.</w:t>
      </w:r>
    </w:p>
    <w:p>
      <w:pPr>
        <w:spacing w:after="0" w:line="385"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b w:val="1"/>
          <w:bCs w:val="1"/>
          <w:color w:val="auto"/>
        </w:rPr>
        <w:t xml:space="preserve">2.12. “Disabled” or “Disability” </w:t>
      </w:r>
      <w:r>
        <w:rPr>
          <w:rFonts w:ascii="Arial" w:cs="Arial" w:eastAsia="Arial" w:hAnsi="Arial"/>
          <w:sz w:val="22"/>
          <w:szCs w:val="22"/>
          <w:color w:val="auto"/>
        </w:rPr>
        <w:t>means any condition or conditions that (i) meet the definition of those terms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EMC Corporation Long-Term Disability Basic Plan, and (ii) render a Participant unable to engage in any substantial gainful activity by reason of any medically determinable physical or mental impairment that can be expected to result in death or to last for a continuous period of not less than twelve (12) months.</w:t>
      </w:r>
    </w:p>
    <w:p>
      <w:pPr>
        <w:spacing w:after="0" w:line="3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 xml:space="preserve">“Elective Deferral” </w:t>
      </w:r>
      <w:r>
        <w:rPr>
          <w:rFonts w:ascii="Arial" w:cs="Arial" w:eastAsia="Arial" w:hAnsi="Arial"/>
          <w:sz w:val="19"/>
          <w:szCs w:val="19"/>
          <w:color w:val="auto"/>
        </w:rPr>
        <w:t>means the portion of Compensation deferred by a Participant under Section 4.1.</w:t>
      </w:r>
    </w:p>
    <w:p>
      <w:pPr>
        <w:spacing w:after="0" w:line="200" w:lineRule="exact"/>
        <w:rPr>
          <w:sz w:val="20"/>
          <w:szCs w:val="20"/>
          <w:color w:val="auto"/>
        </w:rPr>
      </w:pPr>
    </w:p>
    <w:p>
      <w:pPr>
        <w:spacing w:after="0" w:line="236" w:lineRule="exact"/>
        <w:rPr>
          <w:sz w:val="20"/>
          <w:szCs w:val="20"/>
          <w:color w:val="auto"/>
        </w:rPr>
      </w:pPr>
    </w:p>
    <w:p>
      <w:pPr>
        <w:ind w:right="820" w:firstLine="648"/>
        <w:spacing w:after="0" w:line="269" w:lineRule="auto"/>
        <w:rPr>
          <w:sz w:val="20"/>
          <w:szCs w:val="20"/>
          <w:color w:val="auto"/>
        </w:rPr>
      </w:pPr>
      <w:r>
        <w:rPr>
          <w:rFonts w:ascii="Arial" w:cs="Arial" w:eastAsia="Arial" w:hAnsi="Arial"/>
          <w:sz w:val="22"/>
          <w:szCs w:val="22"/>
          <w:b w:val="1"/>
          <w:bCs w:val="1"/>
          <w:color w:val="auto"/>
        </w:rPr>
        <w:t xml:space="preserve">2.14. “Elective Deferral Subaccount” </w:t>
      </w:r>
      <w:r>
        <w:rPr>
          <w:rFonts w:ascii="Arial" w:cs="Arial" w:eastAsia="Arial" w:hAnsi="Arial"/>
          <w:sz w:val="22"/>
          <w:szCs w:val="22"/>
          <w:color w:val="auto"/>
        </w:rPr>
        <w:t>means the subaccount within the Participant’s Account to which Elective</w:t>
      </w:r>
      <w:r>
        <w:rPr>
          <w:rFonts w:ascii="Arial" w:cs="Arial" w:eastAsia="Arial" w:hAnsi="Arial"/>
          <w:sz w:val="22"/>
          <w:szCs w:val="22"/>
          <w:b w:val="1"/>
          <w:bCs w:val="1"/>
          <w:color w:val="auto"/>
        </w:rPr>
        <w:t xml:space="preserve"> </w:t>
      </w:r>
      <w:r>
        <w:rPr>
          <w:rFonts w:ascii="Arial" w:cs="Arial" w:eastAsia="Arial" w:hAnsi="Arial"/>
          <w:sz w:val="22"/>
          <w:szCs w:val="22"/>
          <w:color w:val="auto"/>
        </w:rPr>
        <w:t>Deferrals and allocable earnings credits are credited.</w:t>
      </w:r>
    </w:p>
    <w:p>
      <w:pPr>
        <w:spacing w:after="0" w:line="378"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b w:val="1"/>
          <w:bCs w:val="1"/>
          <w:color w:val="auto"/>
        </w:rPr>
        <w:t xml:space="preserve">2.15. “Elective Deferral Eligible Employee” </w:t>
      </w:r>
      <w:r>
        <w:rPr>
          <w:rFonts w:ascii="Arial" w:cs="Arial" w:eastAsia="Arial" w:hAnsi="Arial"/>
          <w:sz w:val="22"/>
          <w:szCs w:val="22"/>
          <w:color w:val="auto"/>
        </w:rPr>
        <w:t>means an employee of the Company or any of its Subsidiaries selected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as eligible to make Elective Deferrals under Section 4.1 from among the group of highly compensated or managerial employees of the Company or any of its Subsidiaries.</w:t>
      </w:r>
    </w:p>
    <w:p>
      <w:pPr>
        <w:spacing w:after="0" w:line="392" w:lineRule="exact"/>
        <w:rPr>
          <w:sz w:val="20"/>
          <w:szCs w:val="20"/>
          <w:color w:val="auto"/>
        </w:rPr>
      </w:pPr>
    </w:p>
    <w:p>
      <w:pPr>
        <w:ind w:right="200" w:firstLine="648"/>
        <w:spacing w:after="0" w:line="262" w:lineRule="auto"/>
        <w:rPr>
          <w:sz w:val="20"/>
          <w:szCs w:val="20"/>
          <w:color w:val="auto"/>
        </w:rPr>
      </w:pPr>
      <w:r>
        <w:rPr>
          <w:rFonts w:ascii="Arial" w:cs="Arial" w:eastAsia="Arial" w:hAnsi="Arial"/>
          <w:sz w:val="21"/>
          <w:szCs w:val="21"/>
          <w:b w:val="1"/>
          <w:bCs w:val="1"/>
          <w:color w:val="auto"/>
        </w:rPr>
        <w:t xml:space="preserve">2.16. “Eligible Employee” </w:t>
      </w:r>
      <w:r>
        <w:rPr>
          <w:rFonts w:ascii="Arial" w:cs="Arial" w:eastAsia="Arial" w:hAnsi="Arial"/>
          <w:sz w:val="21"/>
          <w:szCs w:val="21"/>
          <w:color w:val="auto"/>
        </w:rPr>
        <w:t>means an employee of the Company or any of its Subsidiaries who is a Company Credit</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Employee, an Elective Deferral Eligible Employee, or both and who is on a U.S. payroll. An employee is treated as an Eligible Employee as of the date the employee is provided with the opportunity to defer Compensation under the Plan. If the Company or one its Subsidiaries transfers an Eligible Employee’s employment such that the employee continues to work for the Company or any of its Subsidiaries but is providing services outside the United States and is no longer on a U.S. payroll, then the Participant shall no longer be an Eligible Employee.</w:t>
      </w:r>
    </w:p>
    <w:p>
      <w:pPr>
        <w:spacing w:after="0" w:line="3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 xml:space="preserve">“Eligible Director” </w:t>
      </w:r>
      <w:r>
        <w:rPr>
          <w:rFonts w:ascii="Arial" w:cs="Arial" w:eastAsia="Arial" w:hAnsi="Arial"/>
          <w:sz w:val="19"/>
          <w:szCs w:val="19"/>
          <w:color w:val="auto"/>
        </w:rPr>
        <w:t>means any member of the Board.</w:t>
      </w:r>
    </w:p>
    <w:p>
      <w:pPr>
        <w:spacing w:after="0" w:line="200" w:lineRule="exact"/>
        <w:rPr>
          <w:sz w:val="20"/>
          <w:szCs w:val="20"/>
          <w:color w:val="auto"/>
        </w:rPr>
      </w:pPr>
    </w:p>
    <w:p>
      <w:pPr>
        <w:spacing w:after="0" w:line="236" w:lineRule="exact"/>
        <w:rPr>
          <w:sz w:val="20"/>
          <w:szCs w:val="20"/>
          <w:color w:val="auto"/>
        </w:rPr>
      </w:pPr>
    </w:p>
    <w:p>
      <w:pPr>
        <w:ind w:right="120" w:firstLine="648"/>
        <w:spacing w:after="0" w:line="256" w:lineRule="auto"/>
        <w:rPr>
          <w:sz w:val="20"/>
          <w:szCs w:val="20"/>
          <w:color w:val="auto"/>
        </w:rPr>
      </w:pPr>
      <w:r>
        <w:rPr>
          <w:rFonts w:ascii="Arial" w:cs="Arial" w:eastAsia="Arial" w:hAnsi="Arial"/>
          <w:sz w:val="22"/>
          <w:szCs w:val="22"/>
          <w:b w:val="1"/>
          <w:bCs w:val="1"/>
          <w:color w:val="auto"/>
        </w:rPr>
        <w:t xml:space="preserve">2.18. “ERISA” </w:t>
      </w:r>
      <w:r>
        <w:rPr>
          <w:rFonts w:ascii="Arial" w:cs="Arial" w:eastAsia="Arial" w:hAnsi="Arial"/>
          <w:sz w:val="22"/>
          <w:szCs w:val="22"/>
          <w:color w:val="auto"/>
        </w:rPr>
        <w:t>means the Employee Retirement Income Security Act of 1974, as amended from time to time.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to any section or subsection of ERISA includes reference to any comparable or succeeding provisions of any legislation that amends, supplements or replaces the section or subsection.</w:t>
      </w:r>
    </w:p>
    <w:p>
      <w:pPr>
        <w:spacing w:after="0" w:line="3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19"/>
          <w:szCs w:val="19"/>
          <w:b w:val="1"/>
          <w:bCs w:val="1"/>
          <w:color w:val="auto"/>
        </w:rPr>
        <w:t xml:space="preserve">“Identification Date” </w:t>
      </w:r>
      <w:r>
        <w:rPr>
          <w:rFonts w:ascii="Arial" w:cs="Arial" w:eastAsia="Arial" w:hAnsi="Arial"/>
          <w:sz w:val="19"/>
          <w:szCs w:val="19"/>
          <w:color w:val="auto"/>
        </w:rPr>
        <w:t>means each December 31</w:t>
      </w:r>
      <w:r>
        <w:rPr>
          <w:rFonts w:ascii="Arial" w:cs="Arial" w:eastAsia="Arial" w:hAnsi="Arial"/>
          <w:sz w:val="25"/>
          <w:szCs w:val="25"/>
          <w:color w:val="auto"/>
          <w:vertAlign w:val="superscript"/>
        </w:rPr>
        <w:t>st</w:t>
      </w:r>
      <w:r>
        <w:rPr>
          <w:rFonts w:ascii="Arial" w:cs="Arial" w:eastAsia="Arial" w:hAnsi="Arial"/>
          <w:sz w:val="19"/>
          <w:szCs w:val="19"/>
          <w:color w:val="auto"/>
        </w:rPr>
        <w:t>.</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any individual who participates in the Plan in accordance with Article 3.</w:t>
      </w:r>
    </w:p>
    <w:p>
      <w:pPr>
        <w:spacing w:after="0" w:line="200" w:lineRule="exact"/>
        <w:rPr>
          <w:sz w:val="20"/>
          <w:szCs w:val="20"/>
          <w:color w:val="auto"/>
        </w:rPr>
      </w:pPr>
    </w:p>
    <w:p>
      <w:pPr>
        <w:spacing w:after="0" w:line="23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2.21 “Performance-Based Bonus” </w:t>
      </w:r>
      <w:r>
        <w:rPr>
          <w:rFonts w:ascii="Arial" w:cs="Arial" w:eastAsia="Arial" w:hAnsi="Arial"/>
          <w:sz w:val="22"/>
          <w:szCs w:val="22"/>
          <w:color w:val="auto"/>
        </w:rPr>
        <w:t>means performance-based compensation, as defined in the Treasury regulations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Code section 409A(a)(4)(B)(iii).</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1" w:right="259" w:bottom="1440" w:gutter="0" w:footer="0" w:header="0"/>
        </w:sectPr>
      </w:pPr>
    </w:p>
    <w:bookmarkStart w:id="251" w:name="page252"/>
    <w:bookmarkEnd w:id="251"/>
    <w:p>
      <w:pPr>
        <w:ind w:right="120" w:firstLine="648"/>
        <w:spacing w:after="0" w:line="269" w:lineRule="auto"/>
        <w:rPr>
          <w:sz w:val="20"/>
          <w:szCs w:val="20"/>
          <w:color w:val="auto"/>
        </w:rPr>
      </w:pPr>
      <w:r>
        <w:rPr>
          <w:rFonts w:ascii="Arial" w:cs="Arial" w:eastAsia="Arial" w:hAnsi="Arial"/>
          <w:sz w:val="22"/>
          <w:szCs w:val="22"/>
          <w:b w:val="1"/>
          <w:bCs w:val="1"/>
          <w:color w:val="auto"/>
        </w:rPr>
        <w:t xml:space="preserve">2.22. “Plan” </w:t>
      </w:r>
      <w:r>
        <w:rPr>
          <w:rFonts w:ascii="Arial" w:cs="Arial" w:eastAsia="Arial" w:hAnsi="Arial"/>
          <w:sz w:val="22"/>
          <w:szCs w:val="22"/>
          <w:color w:val="auto"/>
        </w:rPr>
        <w:t>means the EMC Corporation Deferred Compensation Retirement Plan as set forth herein and all subsequent</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hereto.</w:t>
      </w:r>
    </w:p>
    <w:p>
      <w:pPr>
        <w:spacing w:after="0" w:line="3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in the case of the first Plan Year, the period beginning January 1, 2005 and ending on December</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31, 2005, and thereafter, the twelve (12)-month period ending each December 31.</w:t>
      </w:r>
    </w:p>
    <w:p>
      <w:pPr>
        <w:spacing w:after="0" w:line="200" w:lineRule="exact"/>
        <w:rPr>
          <w:sz w:val="20"/>
          <w:szCs w:val="20"/>
          <w:color w:val="auto"/>
        </w:rPr>
      </w:pPr>
    </w:p>
    <w:p>
      <w:pPr>
        <w:spacing w:after="0" w:line="212"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b w:val="1"/>
          <w:bCs w:val="1"/>
          <w:color w:val="auto"/>
        </w:rPr>
        <w:t xml:space="preserve">2.24. “Retirement” </w:t>
      </w:r>
      <w:r>
        <w:rPr>
          <w:rFonts w:ascii="Arial" w:cs="Arial" w:eastAsia="Arial" w:hAnsi="Arial"/>
          <w:sz w:val="22"/>
          <w:szCs w:val="22"/>
          <w:color w:val="auto"/>
        </w:rPr>
        <w:t>means a Participant’s Separation from Service resulting from retirement after the Participant has (a)</w:t>
      </w:r>
      <w:r>
        <w:rPr>
          <w:rFonts w:ascii="Arial" w:cs="Arial" w:eastAsia="Arial" w:hAnsi="Arial"/>
          <w:sz w:val="22"/>
          <w:szCs w:val="22"/>
          <w:b w:val="1"/>
          <w:bCs w:val="1"/>
          <w:color w:val="auto"/>
        </w:rPr>
        <w:t xml:space="preserve"> </w:t>
      </w:r>
      <w:r>
        <w:rPr>
          <w:rFonts w:ascii="Arial" w:cs="Arial" w:eastAsia="Arial" w:hAnsi="Arial"/>
          <w:sz w:val="22"/>
          <w:szCs w:val="22"/>
          <w:color w:val="auto"/>
        </w:rPr>
        <w:t>attained fifty-five (55) years of age and completed five (5) years of service with the Company and its Subsidiaries or (b) completed twenty (20) years of service with the Company and its Subsidiaries.</w:t>
      </w:r>
    </w:p>
    <w:p>
      <w:pPr>
        <w:spacing w:after="0" w:line="392" w:lineRule="exact"/>
        <w:rPr>
          <w:sz w:val="20"/>
          <w:szCs w:val="20"/>
          <w:color w:val="auto"/>
        </w:rPr>
      </w:pPr>
    </w:p>
    <w:p>
      <w:pPr>
        <w:ind w:right="180" w:firstLine="648"/>
        <w:spacing w:after="0" w:line="249" w:lineRule="auto"/>
        <w:rPr>
          <w:sz w:val="20"/>
          <w:szCs w:val="20"/>
          <w:color w:val="auto"/>
        </w:rPr>
      </w:pPr>
      <w:r>
        <w:rPr>
          <w:rFonts w:ascii="Arial" w:cs="Arial" w:eastAsia="Arial" w:hAnsi="Arial"/>
          <w:sz w:val="22"/>
          <w:szCs w:val="22"/>
          <w:b w:val="1"/>
          <w:bCs w:val="1"/>
          <w:color w:val="auto"/>
        </w:rPr>
        <w:t xml:space="preserve">2.25. “Separation from Service” </w:t>
      </w:r>
      <w:r>
        <w:rPr>
          <w:rFonts w:ascii="Arial" w:cs="Arial" w:eastAsia="Arial" w:hAnsi="Arial"/>
          <w:sz w:val="22"/>
          <w:szCs w:val="22"/>
          <w:color w:val="auto"/>
        </w:rPr>
        <w:t>means a Participant’s death, Retirement, or other “separation from service”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Code section 409A(a)(2)(A)(i). A Separation from Service will not occur when a Participant reduces his hours of employment so long as the reasonably anticipated level of bona fide services performed is greater than or equal to 21% of the average level of bona fide services provided in the immediately preceding thirty-six (36) months (or such shorter period as the Participant shall have performed services).</w:t>
      </w:r>
    </w:p>
    <w:p>
      <w:pPr>
        <w:spacing w:after="0" w:line="200" w:lineRule="exact"/>
        <w:rPr>
          <w:sz w:val="20"/>
          <w:szCs w:val="20"/>
          <w:color w:val="auto"/>
        </w:rPr>
      </w:pPr>
    </w:p>
    <w:p>
      <w:pPr>
        <w:spacing w:after="0" w:line="203" w:lineRule="exact"/>
        <w:rPr>
          <w:sz w:val="20"/>
          <w:szCs w:val="20"/>
          <w:color w:val="auto"/>
        </w:rPr>
      </w:pPr>
    </w:p>
    <w:p>
      <w:pPr>
        <w:ind w:right="220" w:firstLine="648"/>
        <w:spacing w:after="0" w:line="350" w:lineRule="auto"/>
        <w:rPr>
          <w:sz w:val="20"/>
          <w:szCs w:val="20"/>
          <w:color w:val="auto"/>
        </w:rPr>
      </w:pPr>
      <w:r>
        <w:rPr>
          <w:rFonts w:ascii="Arial" w:cs="Arial" w:eastAsia="Arial" w:hAnsi="Arial"/>
          <w:sz w:val="19"/>
          <w:szCs w:val="19"/>
          <w:b w:val="1"/>
          <w:bCs w:val="1"/>
          <w:color w:val="auto"/>
        </w:rPr>
        <w:t xml:space="preserve">2.26. “Specified Employee” </w:t>
      </w:r>
      <w:r>
        <w:rPr>
          <w:rFonts w:ascii="Arial" w:cs="Arial" w:eastAsia="Arial" w:hAnsi="Arial"/>
          <w:sz w:val="19"/>
          <w:szCs w:val="19"/>
          <w:color w:val="auto"/>
        </w:rPr>
        <w:t>means any Participant who the Company has determined to be a specified employee under</w:t>
      </w:r>
      <w:r>
        <w:rPr>
          <w:rFonts w:ascii="Arial" w:cs="Arial" w:eastAsia="Arial" w:hAnsi="Arial"/>
          <w:sz w:val="19"/>
          <w:szCs w:val="19"/>
          <w:b w:val="1"/>
          <w:bCs w:val="1"/>
          <w:color w:val="auto"/>
        </w:rPr>
        <w:t xml:space="preserve"> </w:t>
      </w:r>
      <w:r>
        <w:rPr>
          <w:rFonts w:ascii="Arial" w:cs="Arial" w:eastAsia="Arial" w:hAnsi="Arial"/>
          <w:sz w:val="19"/>
          <w:szCs w:val="19"/>
          <w:color w:val="auto"/>
        </w:rPr>
        <w:t>Code section 409A(a)(2)(B) for the year in which the Participant experiences a Separation from Service.</w:t>
      </w:r>
    </w:p>
    <w:p>
      <w:pPr>
        <w:spacing w:after="0" w:line="3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2.27. “Subsidiary” or “Subsidiaries” </w:t>
      </w:r>
      <w:r>
        <w:rPr>
          <w:rFonts w:ascii="Arial" w:cs="Arial" w:eastAsia="Arial" w:hAnsi="Arial"/>
          <w:sz w:val="21"/>
          <w:szCs w:val="21"/>
          <w:color w:val="auto"/>
        </w:rPr>
        <w:t>means a corporation or corporations in which the Company owns stock,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and that are in the same “controlled group” of corporations as the Company and/or any trade or business (whether or not incorporated) that is under “common control” with the Company. “Controlled group” is defined in Code section 414(b), except that a 50% ownership test applies rather than an 80% ownership test. “Common control” is defined in Code section 414(c), except that a 50% ownership test applies rather than an 80% ownership test.</w:t>
      </w:r>
    </w:p>
    <w:p>
      <w:pPr>
        <w:spacing w:after="0" w:line="387"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21"/>
          <w:szCs w:val="21"/>
          <w:b w:val="1"/>
          <w:bCs w:val="1"/>
          <w:color w:val="auto"/>
        </w:rPr>
        <w:t>PARTICIPATION</w:t>
      </w:r>
    </w:p>
    <w:p>
      <w:pPr>
        <w:spacing w:after="0" w:line="2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Commencement of Participation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individual who is an Eligible Employee and who has elected to defer part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Compensation for the Plan Year in accordance with Section 4.1, or who has been selected by the Company in its sole discretion to receive a Company Credit in accordance with Section 4.2, will become a Participant on the date the election or credit is made. As of November 3, 2010, members of the Board will no longer be eligible to defer amounts under the Plan, but shall continue as Participants with respect to previously deferred amounts in accordance with Section 3.2.</w:t>
      </w:r>
    </w:p>
    <w:p>
      <w:pPr>
        <w:spacing w:after="0" w:line="359"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b w:val="1"/>
          <w:bCs w:val="1"/>
          <w:u w:val="single" w:color="auto"/>
          <w:color w:val="auto"/>
        </w:rPr>
        <w:t>Continued Participation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An individual who has become a Participant in the Plan will continue to be a Participant so</w:t>
      </w:r>
      <w:r>
        <w:rPr>
          <w:rFonts w:ascii="Arial" w:cs="Arial" w:eastAsia="Arial" w:hAnsi="Arial"/>
          <w:sz w:val="22"/>
          <w:szCs w:val="22"/>
          <w:b w:val="1"/>
          <w:bCs w:val="1"/>
          <w:color w:val="auto"/>
        </w:rPr>
        <w:t xml:space="preserve"> </w:t>
      </w:r>
      <w:r>
        <w:rPr>
          <w:rFonts w:ascii="Arial" w:cs="Arial" w:eastAsia="Arial" w:hAnsi="Arial"/>
          <w:sz w:val="22"/>
          <w:szCs w:val="22"/>
          <w:color w:val="auto"/>
        </w:rPr>
        <w:t>long as any amount remains credited to his or her Account.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252" w:name="page253"/>
    <w:bookmarkEnd w:id="252"/>
    <w:p>
      <w:pPr>
        <w:spacing w:after="0"/>
        <w:tabs>
          <w:tab w:leader="none" w:pos="106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1"/>
          <w:szCs w:val="21"/>
          <w:b w:val="1"/>
          <w:bCs w:val="1"/>
          <w:color w:val="auto"/>
        </w:rPr>
        <w:t>DEFERRALS AND CREDITS</w:t>
      </w:r>
    </w:p>
    <w:p>
      <w:pPr>
        <w:spacing w:after="0" w:line="2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Elective Deferrals.</w:t>
      </w:r>
    </w:p>
    <w:p>
      <w:pPr>
        <w:spacing w:after="0" w:line="200" w:lineRule="exact"/>
        <w:rPr>
          <w:sz w:val="20"/>
          <w:szCs w:val="20"/>
          <w:color w:val="auto"/>
        </w:rPr>
      </w:pPr>
    </w:p>
    <w:p>
      <w:pPr>
        <w:spacing w:after="0" w:line="236" w:lineRule="exact"/>
        <w:rPr>
          <w:sz w:val="20"/>
          <w:szCs w:val="20"/>
          <w:color w:val="auto"/>
        </w:rPr>
      </w:pPr>
    </w:p>
    <w:p>
      <w:pPr>
        <w:ind w:left="1780" w:hanging="475"/>
        <w:spacing w:after="0"/>
        <w:tabs>
          <w:tab w:leader="none" w:pos="1780" w:val="left"/>
        </w:tabs>
        <w:numPr>
          <w:ilvl w:val="1"/>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Election to Defer.</w:t>
      </w:r>
    </w:p>
    <w:p>
      <w:pPr>
        <w:spacing w:after="0" w:line="320" w:lineRule="exact"/>
        <w:rPr>
          <w:rFonts w:ascii="Arial" w:cs="Arial" w:eastAsia="Arial" w:hAnsi="Arial"/>
          <w:sz w:val="22"/>
          <w:szCs w:val="22"/>
          <w:b w:val="1"/>
          <w:bCs w:val="1"/>
          <w:color w:val="auto"/>
        </w:rPr>
      </w:pPr>
    </w:p>
    <w:p>
      <w:pPr>
        <w:ind w:right="80" w:firstLine="1953"/>
        <w:spacing w:after="0" w:line="294" w:lineRule="auto"/>
        <w:tabs>
          <w:tab w:leader="none" w:pos="2413" w:val="left"/>
        </w:tabs>
        <w:numPr>
          <w:ilvl w:val="2"/>
          <w:numId w:val="15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An Elective Deferral Eligible Employee may elect to defer a designated portion of his or her Compensation to be earned during a Plan Year by filing an election with the Administrator before the first day of the Plan Year in which the Compensation is to be earned. This election will become effective as of the first day of the Plan Year to which it applies. The Administrator has the sole discretion (subject to compliance with the requirements of Code section 409A and the regulations and guidance thereunder) to determine which specific types of Compensation each Participant may defer under the Plan and to set election deadlines, rules for irrevocability of elections, and effective dates for such elections.</w:t>
      </w:r>
    </w:p>
    <w:p>
      <w:pPr>
        <w:spacing w:after="0" w:line="190" w:lineRule="exact"/>
        <w:rPr>
          <w:rFonts w:ascii="Arial" w:cs="Arial" w:eastAsia="Arial" w:hAnsi="Arial"/>
          <w:sz w:val="19"/>
          <w:szCs w:val="19"/>
          <w:color w:val="auto"/>
        </w:rPr>
      </w:pPr>
    </w:p>
    <w:p>
      <w:pPr>
        <w:jc w:val="both"/>
        <w:ind w:right="60" w:firstLine="1953"/>
        <w:spacing w:after="0" w:line="288" w:lineRule="auto"/>
        <w:tabs>
          <w:tab w:leader="none" w:pos="2413" w:val="left"/>
        </w:tabs>
        <w:numPr>
          <w:ilvl w:val="2"/>
          <w:numId w:val="150"/>
        </w:numPr>
        <w:rPr>
          <w:rFonts w:ascii="Arial" w:cs="Arial" w:eastAsia="Arial" w:hAnsi="Arial"/>
          <w:sz w:val="19"/>
          <w:szCs w:val="19"/>
          <w:color w:val="auto"/>
        </w:rPr>
      </w:pPr>
      <w:r>
        <w:rPr>
          <w:rFonts w:ascii="Arial" w:cs="Arial" w:eastAsia="Arial" w:hAnsi="Arial"/>
          <w:sz w:val="19"/>
          <w:szCs w:val="19"/>
          <w:u w:val="single" w:color="auto"/>
          <w:color w:val="auto"/>
        </w:rPr>
        <w:t>First Year of Eligibility</w:t>
      </w:r>
      <w:r>
        <w:rPr>
          <w:rFonts w:ascii="Arial" w:cs="Arial" w:eastAsia="Arial" w:hAnsi="Arial"/>
          <w:sz w:val="19"/>
          <w:szCs w:val="19"/>
          <w:color w:val="auto"/>
        </w:rPr>
        <w:t>. An individual who first becomes an Elective Deferral Eligible Employee on or after the first day of any Plan Year may elect to defer a designated portion of his or her Compensation to be earned during the Plan Year by filing an election with the Administrator within thirty (30) days after becoming an Elective Deferral Eligible Employee.</w:t>
      </w:r>
    </w:p>
    <w:p>
      <w:pPr>
        <w:spacing w:after="0" w:line="1" w:lineRule="exact"/>
        <w:rPr>
          <w:rFonts w:ascii="Arial" w:cs="Arial" w:eastAsia="Arial" w:hAnsi="Arial"/>
          <w:sz w:val="19"/>
          <w:szCs w:val="19"/>
          <w:color w:val="auto"/>
        </w:rPr>
      </w:pPr>
    </w:p>
    <w:p>
      <w:pPr>
        <w:jc w:val="both"/>
        <w:ind w:right="100"/>
        <w:spacing w:after="0" w:line="281" w:lineRule="auto"/>
        <w:rPr>
          <w:rFonts w:ascii="Arial" w:cs="Arial" w:eastAsia="Arial" w:hAnsi="Arial"/>
          <w:sz w:val="19"/>
          <w:szCs w:val="19"/>
          <w:color w:val="auto"/>
        </w:rPr>
      </w:pPr>
      <w:r>
        <w:rPr>
          <w:rFonts w:ascii="Arial" w:cs="Arial" w:eastAsia="Arial" w:hAnsi="Arial"/>
          <w:sz w:val="19"/>
          <w:szCs w:val="19"/>
          <w:color w:val="auto"/>
        </w:rPr>
        <w:t>This election will be effective as of the thirtieth day after the individual becomes an Elective Deferral Eligible Employee and will apply only to the extent the Compensation is earned after the initial thirty (30) days of eligibility. Where a Participant ceases to be an Elective Deferral Eligible Employee and again becomes an Elective Deferral Eligible Employee, that Participant will be treated as newly eligible and may make the election described in the first sentence of this paragraph (2) if either of the following applies:</w:t>
      </w:r>
    </w:p>
    <w:p>
      <w:pPr>
        <w:spacing w:after="0" w:line="3" w:lineRule="exact"/>
        <w:rPr>
          <w:rFonts w:ascii="Arial" w:cs="Arial" w:eastAsia="Arial" w:hAnsi="Arial"/>
          <w:sz w:val="19"/>
          <w:szCs w:val="19"/>
          <w:color w:val="auto"/>
        </w:rPr>
      </w:pPr>
    </w:p>
    <w:p>
      <w:pPr>
        <w:ind w:right="200" w:firstLine="8"/>
        <w:spacing w:after="0" w:line="245" w:lineRule="auto"/>
        <w:tabs>
          <w:tab w:leader="none" w:pos="25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Participant was not an Elective Deferral Eligible Employee for at least twenty-four (24) consecutive months; or (ii) the Participant has been paid all amounts deferred under the Plan and, as of the date of the last payment, was not an Elective Deferral Eligible Employee.</w:t>
      </w:r>
    </w:p>
    <w:p>
      <w:pPr>
        <w:spacing w:after="0" w:line="233" w:lineRule="exact"/>
        <w:rPr>
          <w:rFonts w:ascii="Arial" w:cs="Arial" w:eastAsia="Arial" w:hAnsi="Arial"/>
          <w:sz w:val="22"/>
          <w:szCs w:val="22"/>
          <w:color w:val="auto"/>
        </w:rPr>
      </w:pPr>
    </w:p>
    <w:p>
      <w:pPr>
        <w:ind w:firstLine="1953"/>
        <w:spacing w:after="0" w:line="250" w:lineRule="auto"/>
        <w:tabs>
          <w:tab w:leader="none" w:pos="2413" w:val="left"/>
        </w:tabs>
        <w:numPr>
          <w:ilvl w:val="2"/>
          <w:numId w:val="151"/>
        </w:numPr>
        <w:rPr>
          <w:rFonts w:ascii="Arial" w:cs="Arial" w:eastAsia="Arial" w:hAnsi="Arial"/>
          <w:sz w:val="22"/>
          <w:szCs w:val="22"/>
          <w:color w:val="auto"/>
        </w:rPr>
      </w:pPr>
      <w:r>
        <w:rPr>
          <w:rFonts w:ascii="Arial" w:cs="Arial" w:eastAsia="Arial" w:hAnsi="Arial"/>
          <w:sz w:val="22"/>
          <w:szCs w:val="22"/>
          <w:u w:val="single" w:color="auto"/>
          <w:color w:val="auto"/>
        </w:rPr>
        <w:t>Performance-Based Bonuses</w:t>
      </w:r>
      <w:r>
        <w:rPr>
          <w:rFonts w:ascii="Arial" w:cs="Arial" w:eastAsia="Arial" w:hAnsi="Arial"/>
          <w:sz w:val="22"/>
          <w:szCs w:val="22"/>
          <w:color w:val="auto"/>
        </w:rPr>
        <w:t>. Notwithstanding the foregoing, the Administrator, in its discretion, may permit a separate election to defer a Performance-Based Bonus, and such election may be made no later than six (6) months prior to the end of the applicable performance period; provided, however, that such election must be made before the date that the Performance-Based Bonus is readily ascertainable.</w:t>
      </w:r>
    </w:p>
    <w:p>
      <w:pPr>
        <w:spacing w:after="0" w:line="182" w:lineRule="exact"/>
        <w:rPr>
          <w:rFonts w:ascii="Arial" w:cs="Arial" w:eastAsia="Arial" w:hAnsi="Arial"/>
          <w:sz w:val="22"/>
          <w:szCs w:val="22"/>
          <w:color w:val="auto"/>
        </w:rPr>
      </w:pPr>
    </w:p>
    <w:p>
      <w:pPr>
        <w:ind w:left="1780" w:hanging="475"/>
        <w:spacing w:after="0"/>
        <w:tabs>
          <w:tab w:leader="none" w:pos="1780" w:val="left"/>
        </w:tabs>
        <w:numPr>
          <w:ilvl w:val="1"/>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Election.</w:t>
      </w:r>
    </w:p>
    <w:p>
      <w:pPr>
        <w:spacing w:after="0" w:line="320" w:lineRule="exact"/>
        <w:rPr>
          <w:rFonts w:ascii="Arial" w:cs="Arial" w:eastAsia="Arial" w:hAnsi="Arial"/>
          <w:sz w:val="22"/>
          <w:szCs w:val="22"/>
          <w:b w:val="1"/>
          <w:bCs w:val="1"/>
          <w:color w:val="auto"/>
        </w:rPr>
      </w:pPr>
    </w:p>
    <w:p>
      <w:pPr>
        <w:ind w:firstLine="1953"/>
        <w:spacing w:after="0" w:line="250" w:lineRule="auto"/>
        <w:tabs>
          <w:tab w:leader="none" w:pos="2413" w:val="left"/>
        </w:tabs>
        <w:numPr>
          <w:ilvl w:val="2"/>
          <w:numId w:val="15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Each election under this Section 4.1 for a Plan Year or the balance of a Plan Year must be made on a form (whether written, electronic, or otherwise) prescribed or approved by the Administrator and must be completed and filed with the Administrator. The election form will specify the whole percentage or flat dollar amount of each type of Compensation that is to be deferred for the applicable Plan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5" w:right="259" w:bottom="1440" w:gutter="0" w:footer="0" w:header="0"/>
        </w:sectPr>
      </w:pPr>
    </w:p>
    <w:bookmarkStart w:id="253" w:name="page254"/>
    <w:bookmarkEnd w:id="253"/>
    <w:p>
      <w:pPr>
        <w:ind w:right="180"/>
        <w:spacing w:after="0" w:line="259" w:lineRule="auto"/>
        <w:rPr>
          <w:sz w:val="20"/>
          <w:szCs w:val="20"/>
          <w:color w:val="auto"/>
        </w:rPr>
      </w:pPr>
      <w:r>
        <w:rPr>
          <w:rFonts w:ascii="Arial" w:cs="Arial" w:eastAsia="Arial" w:hAnsi="Arial"/>
          <w:sz w:val="20"/>
          <w:szCs w:val="20"/>
          <w:color w:val="auto"/>
        </w:rPr>
        <w:t>Year; provided, however, that the Administrator may require that a single percentage apply to certain types of Compensation. The election will generally be effective as of the first day of the Plan Year to which it applies. Elections for initial years of eligibility under Section 4.1(a)(2) are effective as of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initial eligibility. Elections for Performance-Based Bonuses will be effective no later than six (6) months prior to the end of the applicable performance period.</w:t>
      </w:r>
    </w:p>
    <w:p>
      <w:pPr>
        <w:spacing w:after="0" w:line="216" w:lineRule="exact"/>
        <w:rPr>
          <w:sz w:val="20"/>
          <w:szCs w:val="20"/>
          <w:color w:val="auto"/>
        </w:rPr>
      </w:pPr>
    </w:p>
    <w:p>
      <w:pPr>
        <w:ind w:firstLine="1953"/>
        <w:spacing w:after="0" w:line="302" w:lineRule="auto"/>
        <w:tabs>
          <w:tab w:leader="none" w:pos="2413"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Time and Form of Distribution</w:t>
      </w:r>
      <w:r>
        <w:rPr>
          <w:rFonts w:ascii="Arial" w:cs="Arial" w:eastAsia="Arial" w:hAnsi="Arial"/>
          <w:sz w:val="19"/>
          <w:szCs w:val="19"/>
          <w:color w:val="auto"/>
        </w:rPr>
        <w:t>. Each Participant must indicate on the election form when the amount to be deferred for the applicable Plan Year is to be paid or, in the case of installments, is to commence being paid (e.g., upon Retirement, upon a fixed distribution date under Section 6.2, or upon a Change of Control) and the method of payment (e.g., in a single lump sum payment, in a number of annual installments, or in any other method approved by the Administrator).</w:t>
      </w:r>
    </w:p>
    <w:p>
      <w:pPr>
        <w:spacing w:after="0" w:line="183" w:lineRule="exact"/>
        <w:rPr>
          <w:rFonts w:ascii="Arial" w:cs="Arial" w:eastAsia="Arial" w:hAnsi="Arial"/>
          <w:sz w:val="19"/>
          <w:szCs w:val="19"/>
          <w:color w:val="auto"/>
        </w:rPr>
      </w:pPr>
    </w:p>
    <w:p>
      <w:pPr>
        <w:ind w:right="240" w:firstLine="1953"/>
        <w:spacing w:after="0" w:line="253" w:lineRule="auto"/>
        <w:tabs>
          <w:tab w:leader="none" w:pos="2413"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Irrevocability</w:t>
      </w:r>
      <w:r>
        <w:rPr>
          <w:rFonts w:ascii="Arial" w:cs="Arial" w:eastAsia="Arial" w:hAnsi="Arial"/>
          <w:sz w:val="22"/>
          <w:szCs w:val="22"/>
          <w:color w:val="auto"/>
        </w:rPr>
        <w:t>. Except as provided in Section 4.1(c), an election under Section 4.1(a) will become irrevocable for the applicable Plan Year as of a date set by the Administrator that is no later than the close of business on the date immediately before the date the election becomes effective under (1) above.</w:t>
      </w:r>
    </w:p>
    <w:p>
      <w:pPr>
        <w:spacing w:after="0" w:line="179" w:lineRule="exact"/>
        <w:rPr>
          <w:rFonts w:ascii="Arial" w:cs="Arial" w:eastAsia="Arial" w:hAnsi="Arial"/>
          <w:sz w:val="22"/>
          <w:szCs w:val="22"/>
          <w:color w:val="auto"/>
        </w:rPr>
      </w:pPr>
    </w:p>
    <w:p>
      <w:pPr>
        <w:ind w:right="60" w:firstLine="1305"/>
        <w:spacing w:after="0" w:line="290" w:lineRule="auto"/>
        <w:tabs>
          <w:tab w:leader="none" w:pos="1752" w:val="left"/>
        </w:tabs>
        <w:numPr>
          <w:ilvl w:val="0"/>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Election to Change Time of Distribution. </w:t>
      </w:r>
      <w:r>
        <w:rPr>
          <w:rFonts w:ascii="Arial" w:cs="Arial" w:eastAsia="Arial" w:hAnsi="Arial"/>
          <w:sz w:val="19"/>
          <w:szCs w:val="19"/>
          <w:color w:val="auto"/>
        </w:rPr>
        <w:t>Any Participant who has made an irrevocable election to defer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under Section 4.1(a) may make an additional election to change the time of distribution and, in the Administrator’s sole discretion, may also make an additional election to change the form of distribution. Any election to change the time or form of distribution cannot take effect until at least twelve (12) months after the date of the election and must defer payment not less than five (5) years from the date payment would otherwise be made. If a Participant changes his or her election with respect to amounts that would be paid in installments, the additional election must apply to all installments associated with the Plan Year (i.e., each installment must be delayed for at least five (5) years from its originally scheduled commencement date). Where a Participant initially elects a fixed distribution date under Section 6.2, an election to change the timing of the payment must be made no less than twelve (12) months before the originally scheduled fixed distribution date.</w:t>
      </w:r>
    </w:p>
    <w:p>
      <w:pPr>
        <w:spacing w:after="0" w:line="203" w:lineRule="exact"/>
        <w:rPr>
          <w:sz w:val="20"/>
          <w:szCs w:val="20"/>
          <w:color w:val="auto"/>
        </w:rPr>
      </w:pPr>
    </w:p>
    <w:p>
      <w:pPr>
        <w:ind w:right="80" w:firstLine="648"/>
        <w:spacing w:after="0" w:line="252"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b w:val="1"/>
          <w:bCs w:val="1"/>
          <w:u w:val="single" w:color="auto"/>
          <w:color w:val="auto"/>
        </w:rPr>
        <w:t>Company Credits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provisions of the Plan, the Company is not obligated to credit a</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Credit to the Company Credit Subaccount of a Company Credit Eligible Employee. However, the Company may make a Company Credit to the Company Credit Subaccount of a Company Credit Eligible Employee in an amount the Company determines in its sole discretion.</w:t>
      </w:r>
    </w:p>
    <w:p>
      <w:pPr>
        <w:spacing w:after="0" w:line="39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21"/>
          <w:szCs w:val="21"/>
          <w:b w:val="1"/>
          <w:bCs w:val="1"/>
          <w:color w:val="auto"/>
        </w:rPr>
        <w:t>ACCOUNTS; INTEREST</w:t>
      </w:r>
    </w:p>
    <w:p>
      <w:pPr>
        <w:spacing w:after="0" w:line="274" w:lineRule="exact"/>
        <w:rPr>
          <w:sz w:val="20"/>
          <w:szCs w:val="20"/>
          <w:color w:val="auto"/>
        </w:rPr>
      </w:pPr>
    </w:p>
    <w:p>
      <w:pPr>
        <w:ind w:right="700" w:firstLine="648"/>
        <w:spacing w:after="0" w:line="274"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b w:val="1"/>
          <w:bCs w:val="1"/>
          <w:u w:val="single" w:color="auto"/>
          <w:color w:val="auto"/>
        </w:rPr>
        <w:t>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Administrator will establish an Account for each Participant consisting of an Elective Deferral</w:t>
      </w:r>
      <w:r>
        <w:rPr>
          <w:rFonts w:ascii="Arial" w:cs="Arial" w:eastAsia="Arial" w:hAnsi="Arial"/>
          <w:sz w:val="21"/>
          <w:szCs w:val="21"/>
          <w:b w:val="1"/>
          <w:bCs w:val="1"/>
          <w:color w:val="auto"/>
        </w:rPr>
        <w:t xml:space="preserve"> </w:t>
      </w:r>
      <w:r>
        <w:rPr>
          <w:rFonts w:ascii="Arial" w:cs="Arial" w:eastAsia="Arial" w:hAnsi="Arial"/>
          <w:sz w:val="21"/>
          <w:szCs w:val="21"/>
          <w:color w:val="auto"/>
        </w:rPr>
        <w:t>Subaccount and Company Credit Subaccount, reflecting Elective Deferrals and Company Credits, respectively, and any adjustments. Elective Deferrals will be credited to each Participant’s Elective Deferral</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75" w:right="259" w:bottom="1440" w:gutter="0" w:footer="0" w:header="0"/>
        </w:sectPr>
      </w:pPr>
    </w:p>
    <w:bookmarkStart w:id="254" w:name="page255"/>
    <w:bookmarkEnd w:id="254"/>
    <w:p>
      <w:pPr>
        <w:ind w:right="120"/>
        <w:spacing w:after="0" w:line="260" w:lineRule="auto"/>
        <w:rPr>
          <w:sz w:val="20"/>
          <w:szCs w:val="20"/>
          <w:color w:val="auto"/>
        </w:rPr>
      </w:pPr>
      <w:r>
        <w:rPr>
          <w:rFonts w:ascii="Arial" w:cs="Arial" w:eastAsia="Arial" w:hAnsi="Arial"/>
          <w:sz w:val="21"/>
          <w:szCs w:val="21"/>
          <w:color w:val="auto"/>
        </w:rPr>
        <w:t>Subaccount as soon as administratively practicable after the Compensation would otherwise have been paid to the Participant. A Participant’s Elective Deferrals may be taken from the Participant’s Compensation and credited to the Participant's Elective Deferral Subaccount ratably during the applicable Plan Year or in any other manner determined by the Company; provided that such Elective Deferrals during the Plan Year, in the aggregate, reflect the Participant’s Elective Deferrals in accordance with Code section 409A. Company Credits will be credited to each Participant’s Company Credit Subaccount at a time the Company determines in its sole discretion. The Administrator will provide each Participant with a statement of his or her Account as soon as reasonably practicable after the end of each Plan Year.</w:t>
      </w:r>
    </w:p>
    <w:p>
      <w:pPr>
        <w:spacing w:after="0" w:line="39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Earnings Measurement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Administrator will identify one or more funds (such as mutual funds or bank collective</w:t>
      </w:r>
      <w:r>
        <w:rPr>
          <w:rFonts w:ascii="Arial" w:cs="Arial" w:eastAsia="Arial" w:hAnsi="Arial"/>
          <w:sz w:val="19"/>
          <w:szCs w:val="19"/>
          <w:b w:val="1"/>
          <w:bCs w:val="1"/>
          <w:color w:val="auto"/>
        </w:rPr>
        <w:t xml:space="preserve"> </w:t>
      </w:r>
      <w:r>
        <w:rPr>
          <w:rFonts w:ascii="Arial" w:cs="Arial" w:eastAsia="Arial" w:hAnsi="Arial"/>
          <w:sz w:val="19"/>
          <w:szCs w:val="19"/>
          <w:color w:val="auto"/>
        </w:rPr>
        <w:t>funds) from time to time for the purpose of measuring earnings credits to Participants’ Accounts. Each Participant may specify—in a form and manner and with notice as the Administrator may prescribe—which fund or funds he or she wishes to be used to measure earnings for designated percentages of his or her Account. A deferral of RSUs will be treated as invested in Company Stock. The Participant’s directions may be given on a prospective basis only, and the Participant may change those directions with the frequency, and subject to such procedures or restrictions, as the Administrator may prescribe from time to time. Each Participant’s Account will be adjusted from time to time (at least quarterly) to reflect the fair market value that would be ascribed to the Account if the amounts credited to the Account were actually invested in the funds as directed by the Participant. Any earnings credits on Company Credits will begin to accrue as of the date the Company designates.</w:t>
      </w:r>
    </w:p>
    <w:p>
      <w:pPr>
        <w:spacing w:after="0" w:line="366" w:lineRule="exact"/>
        <w:rPr>
          <w:sz w:val="20"/>
          <w:szCs w:val="20"/>
          <w:color w:val="auto"/>
        </w:rPr>
      </w:pPr>
    </w:p>
    <w:p>
      <w:pPr>
        <w:ind w:right="400" w:firstLine="648"/>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b w:val="1"/>
          <w:bCs w:val="1"/>
          <w:u w:val="single" w:color="auto"/>
          <w:color w:val="auto"/>
        </w:rPr>
        <w:t>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Participant’s Account will be reduced by the amount of any payment made to or on behalf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under Article 6 as of the date the payment is made.</w:t>
      </w:r>
    </w:p>
    <w:p>
      <w:pPr>
        <w:spacing w:after="0" w:line="378" w:lineRule="exact"/>
        <w:rPr>
          <w:sz w:val="20"/>
          <w:szCs w:val="20"/>
          <w:color w:val="auto"/>
        </w:rPr>
      </w:pPr>
    </w:p>
    <w:p>
      <w:pPr>
        <w:ind w:right="360" w:firstLine="648"/>
        <w:spacing w:after="0" w:line="304"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will at all times be 100% vested in amounts credited to his or her Elective Deferral</w:t>
      </w:r>
      <w:r>
        <w:rPr>
          <w:rFonts w:ascii="Arial" w:cs="Arial" w:eastAsia="Arial" w:hAnsi="Arial"/>
          <w:sz w:val="19"/>
          <w:szCs w:val="19"/>
          <w:b w:val="1"/>
          <w:bCs w:val="1"/>
          <w:color w:val="auto"/>
        </w:rPr>
        <w:t xml:space="preserve"> </w:t>
      </w:r>
      <w:r>
        <w:rPr>
          <w:rFonts w:ascii="Arial" w:cs="Arial" w:eastAsia="Arial" w:hAnsi="Arial"/>
          <w:sz w:val="19"/>
          <w:szCs w:val="19"/>
          <w:color w:val="auto"/>
        </w:rPr>
        <w:t>Subaccount. A Participant will earn a vested interest in amounts credited to his or her Company Credit Subaccount according to any vesting schedule that the Company adopts in its sole discretion. However, if a Participant becomes Disabled or a Change of Control occurs, the Participant will become 100% vested in his or her Company Credit Subaccount.</w:t>
      </w:r>
    </w:p>
    <w:p>
      <w:pPr>
        <w:spacing w:after="0" w:line="35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Detrimental Activity.</w:t>
      </w:r>
    </w:p>
    <w:p>
      <w:pPr>
        <w:spacing w:after="0" w:line="200" w:lineRule="exact"/>
        <w:rPr>
          <w:sz w:val="20"/>
          <w:szCs w:val="20"/>
          <w:color w:val="auto"/>
        </w:rPr>
      </w:pPr>
    </w:p>
    <w:p>
      <w:pPr>
        <w:spacing w:after="0" w:line="242" w:lineRule="exact"/>
        <w:rPr>
          <w:sz w:val="20"/>
          <w:szCs w:val="20"/>
          <w:color w:val="auto"/>
        </w:rPr>
      </w:pPr>
    </w:p>
    <w:p>
      <w:pPr>
        <w:ind w:right="40" w:firstLine="1305"/>
        <w:spacing w:after="0" w:line="247" w:lineRule="auto"/>
        <w:tabs>
          <w:tab w:leader="none" w:pos="1765" w:val="left"/>
        </w:tabs>
        <w:numPr>
          <w:ilvl w:val="0"/>
          <w:numId w:val="155"/>
        </w:numPr>
        <w:rPr>
          <w:rFonts w:ascii="Arial" w:cs="Arial" w:eastAsia="Arial" w:hAnsi="Arial"/>
          <w:sz w:val="22"/>
          <w:szCs w:val="22"/>
          <w:b w:val="1"/>
          <w:bCs w:val="1"/>
          <w:color w:val="auto"/>
        </w:rPr>
      </w:pPr>
      <w:r>
        <w:rPr>
          <w:rFonts w:ascii="Arial" w:cs="Arial" w:eastAsia="Arial" w:hAnsi="Arial"/>
          <w:sz w:val="22"/>
          <w:szCs w:val="22"/>
          <w:color w:val="auto"/>
        </w:rPr>
        <w:t>Notwithstanding any other provisions of the Plan, if a Participant engages in “Detrimental Activity” (as defined below) at any time, the Administrator may in its sole discretion cancel or rescind at any time all amounts, if any, credited to the Participant’s Company Credit subaccount, whether or not fully vested. Furthermore, if a Participant engages in Detrimental Activity at any time during the twelve (12) months after the termination of his or her employment with the Company or any of its Subsidiaries for any reason or termination of service as a member of the Board for any reason, as the case may be, the Company may require the Participant at any time until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255" w:name="page256"/>
    <w:bookmarkEnd w:id="255"/>
    <w:p>
      <w:pPr>
        <w:spacing w:after="0" w:line="288" w:lineRule="auto"/>
        <w:rPr>
          <w:sz w:val="20"/>
          <w:szCs w:val="20"/>
          <w:color w:val="auto"/>
        </w:rPr>
      </w:pPr>
      <w:r>
        <w:rPr>
          <w:rFonts w:ascii="Arial" w:cs="Arial" w:eastAsia="Arial" w:hAnsi="Arial"/>
          <w:sz w:val="19"/>
          <w:szCs w:val="19"/>
          <w:color w:val="auto"/>
        </w:rPr>
        <w:t>later of (A) two (2) years after the Participant’s termination of employment for any reason or termination of service as a member of the Board for any reason, as the case may be, or (B) two (2) years after the Participant engaged in Detrimental Activity to pay to the Company (1) an amount equal to any distributions previously made by the Company to the Participant from his or her Company Credit Account and (2) if the Company commences an action against the Participant (by way of a claim or counterclaim and including declaratory claims) in which it is preliminarily or finally determined that the Participant engaged in Detrimental Activity or otherwise violated this Section 5.5, an amount equal to the Company’s costs and fees incurred in the action, including but not limited to, the Company’s reasonable attorneys’ fees. The Company will be entitled to set off any amounts the Participant owes to the Company against any amounts the Company owes the Participant, including without limitation, any amounts to be distributed from the Participant’s Elective Deferral Subaccount. This offset may be applied only at the time amounts are distributable in accordance with the Plan’s terms, except that offset for any debt incurred in the ordinary course of the relationship between the Company or Subsidiary and the Participant may occur on an accelerated basis as to a maximum of $5,000 in any year.</w:t>
      </w:r>
    </w:p>
    <w:p>
      <w:pPr>
        <w:spacing w:after="0" w:line="209" w:lineRule="exact"/>
        <w:rPr>
          <w:sz w:val="20"/>
          <w:szCs w:val="20"/>
          <w:color w:val="auto"/>
        </w:rPr>
      </w:pPr>
    </w:p>
    <w:p>
      <w:pPr>
        <w:ind w:right="180" w:firstLine="1305"/>
        <w:spacing w:after="0" w:line="284" w:lineRule="auto"/>
        <w:tabs>
          <w:tab w:leader="none" w:pos="1777"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“Detrimental Activity” means, in the Company’s sole determination, that the Participant has, directly or indirectly, (a) become associated in any capacity with any enterprise that is, or may be deemed to be, in competition with any business of the Company or any of its Subsidiaries, (b) solicited, induced or attempted to induce, in any enterprise that is competitive with the Company or any of its Subsidiaries, any customers or employees of the Company to curtail or discontinue their relationship with the Company or any of its Subsidiaries, (c) disclosed, communicated or misused, to the detriment of the Company or any of its Subsidiaries, any confidential or proprietary information relating to the Company or any of its Subsidiaries to any person or entity not associated with the Company or any of its Subsidiaries, (d) failed to comply with the terms of the Plan,</w:t>
      </w:r>
    </w:p>
    <w:p>
      <w:pPr>
        <w:spacing w:after="0" w:line="4" w:lineRule="exact"/>
        <w:rPr>
          <w:rFonts w:ascii="Arial" w:cs="Arial" w:eastAsia="Arial" w:hAnsi="Arial"/>
          <w:sz w:val="19"/>
          <w:szCs w:val="19"/>
          <w:b w:val="1"/>
          <w:bCs w:val="1"/>
          <w:color w:val="auto"/>
        </w:rPr>
      </w:pPr>
    </w:p>
    <w:p>
      <w:pPr>
        <w:ind w:firstLine="8"/>
        <w:spacing w:after="0" w:line="244" w:lineRule="auto"/>
        <w:tabs>
          <w:tab w:leader="none" w:pos="29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failed to comply with any term of the Company’s Key Employee Agreement (irrespective of whether the Participant is a party to the Key Employee Agreement), (f) engaged in any activity that results in termination of the Participant’s employment for Cause (as defined in the Company’s Amended and Restated 2003 Stock Plan), (g) violated any rule, policy, procedure or guideline of the Company or any of its Subsidiaries, or (h) been convicted of, or has entered a guilty plea with respect to, a crime whether or not connected with the Company or any of its Subsidiaries.</w:t>
      </w:r>
    </w:p>
    <w:p>
      <w:pPr>
        <w:spacing w:after="0" w:line="249" w:lineRule="exact"/>
        <w:rPr>
          <w:rFonts w:ascii="Arial" w:cs="Arial" w:eastAsia="Arial" w:hAnsi="Arial"/>
          <w:sz w:val="22"/>
          <w:szCs w:val="22"/>
          <w:color w:val="auto"/>
        </w:rPr>
      </w:pPr>
    </w:p>
    <w:p>
      <w:pPr>
        <w:ind w:right="80" w:firstLine="1305"/>
        <w:spacing w:after="0" w:line="263" w:lineRule="auto"/>
        <w:tabs>
          <w:tab w:leader="none" w:pos="1752" w:val="left"/>
        </w:tabs>
        <w:numPr>
          <w:ilvl w:val="1"/>
          <w:numId w:val="157"/>
        </w:numPr>
        <w:rPr>
          <w:rFonts w:ascii="Arial" w:cs="Arial" w:eastAsia="Arial" w:hAnsi="Arial"/>
          <w:sz w:val="21"/>
          <w:szCs w:val="21"/>
          <w:b w:val="1"/>
          <w:bCs w:val="1"/>
          <w:color w:val="auto"/>
        </w:rPr>
      </w:pPr>
      <w:r>
        <w:rPr>
          <w:rFonts w:ascii="Arial" w:cs="Arial" w:eastAsia="Arial" w:hAnsi="Arial"/>
          <w:sz w:val="21"/>
          <w:szCs w:val="21"/>
          <w:color w:val="auto"/>
        </w:rPr>
        <w:t>Notwithstanding anything herein to the contrary, this Section 5.5 does not in any way amend, modify or affect any other plan, agreement, instrument or understanding, including without limitation, any of the Company’s equity plans, or any of the rights of the Company or any of its Subsidiaries thereunder with respect to any Detrimental Activity or similar activity committed by a Participant. The Company expressly reserves all of its rights under any such other plan, agreement, instrument or understanding, and this Section 5.5 does not constitute a waiver of any such rights.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256" w:name="page257"/>
    <w:bookmarkEnd w:id="256"/>
    <w:p>
      <w:pPr>
        <w:spacing w:after="0"/>
        <w:tabs>
          <w:tab w:leader="none" w:pos="106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21"/>
          <w:szCs w:val="21"/>
          <w:b w:val="1"/>
          <w:bCs w:val="1"/>
          <w:color w:val="auto"/>
        </w:rPr>
        <w:t>PAYMENTS</w:t>
      </w:r>
    </w:p>
    <w:p>
      <w:pPr>
        <w:spacing w:after="0" w:line="2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u w:val="single" w:color="auto"/>
          <w:color w:val="auto"/>
        </w:rPr>
        <w:t>Payment Upon 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Sections 6.3 and 6.4 (concerning death and Disability),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who has a Separation from Service will receive his or her vested Account balance in the manner described in (a) below unless he or she elects, in accordance with Section 4.1, a distribution method described in (b). A Participant may have different distribution forms for the Elective Deferral Subaccount and the Company Credit Subaccount. Distributions will generally be made in cash, except that Compensation payable in Company Stock may be paid in Company Stock.</w:t>
      </w:r>
    </w:p>
    <w:p>
      <w:pPr>
        <w:spacing w:after="0" w:line="359" w:lineRule="exact"/>
        <w:rPr>
          <w:sz w:val="20"/>
          <w:szCs w:val="20"/>
          <w:color w:val="auto"/>
        </w:rPr>
      </w:pPr>
    </w:p>
    <w:p>
      <w:pPr>
        <w:ind w:right="40" w:firstLine="1305"/>
        <w:spacing w:after="0" w:line="293" w:lineRule="auto"/>
        <w:tabs>
          <w:tab w:leader="none" w:pos="1765" w:val="left"/>
        </w:tabs>
        <w:numPr>
          <w:ilvl w:val="0"/>
          <w:numId w:val="1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Default Distribution Method. </w:t>
      </w:r>
      <w:r>
        <w:rPr>
          <w:rFonts w:ascii="Arial" w:cs="Arial" w:eastAsia="Arial" w:hAnsi="Arial"/>
          <w:sz w:val="21"/>
          <w:szCs w:val="21"/>
          <w:color w:val="auto"/>
        </w:rPr>
        <w:t>Except as provided in (b) below, a Participant’s vested Account balance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payable in a single lump sum within ninety (90) days following the Participant’s Separation from Service.</w:t>
      </w:r>
    </w:p>
    <w:p>
      <w:pPr>
        <w:spacing w:after="0" w:line="193" w:lineRule="exact"/>
        <w:rPr>
          <w:rFonts w:ascii="Arial" w:cs="Arial" w:eastAsia="Arial" w:hAnsi="Arial"/>
          <w:sz w:val="21"/>
          <w:szCs w:val="21"/>
          <w:b w:val="1"/>
          <w:bCs w:val="1"/>
          <w:color w:val="auto"/>
        </w:rPr>
      </w:pPr>
    </w:p>
    <w:p>
      <w:pPr>
        <w:ind w:firstLine="1305"/>
        <w:spacing w:after="0" w:line="256" w:lineRule="auto"/>
        <w:tabs>
          <w:tab w:leader="none" w:pos="1777"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Distribution Methods Available for Participants’ (Other than Directors) on Retirement. </w:t>
      </w:r>
      <w:r>
        <w:rPr>
          <w:rFonts w:ascii="Arial" w:cs="Arial" w:eastAsia="Arial" w:hAnsi="Arial"/>
          <w:sz w:val="22"/>
          <w:szCs w:val="22"/>
          <w:color w:val="auto"/>
        </w:rPr>
        <w:t>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a Participant who is a member of the Board, whose Separation from Service results from Retirement may elect to receive their vested Account balances under this subsection (b).</w:t>
      </w:r>
    </w:p>
    <w:p>
      <w:pPr>
        <w:spacing w:after="0" w:line="236" w:lineRule="exact"/>
        <w:rPr>
          <w:rFonts w:ascii="Arial" w:cs="Arial" w:eastAsia="Arial" w:hAnsi="Arial"/>
          <w:sz w:val="22"/>
          <w:szCs w:val="22"/>
          <w:b w:val="1"/>
          <w:bCs w:val="1"/>
          <w:color w:val="auto"/>
        </w:rPr>
      </w:pPr>
    </w:p>
    <w:p>
      <w:pPr>
        <w:ind w:firstLine="1953"/>
        <w:spacing w:after="0" w:line="247" w:lineRule="auto"/>
        <w:tabs>
          <w:tab w:leader="none" w:pos="2413"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Installments</w:t>
      </w:r>
      <w:r>
        <w:rPr>
          <w:rFonts w:ascii="Arial" w:cs="Arial" w:eastAsia="Arial" w:hAnsi="Arial"/>
          <w:sz w:val="22"/>
          <w:szCs w:val="22"/>
          <w:color w:val="auto"/>
        </w:rPr>
        <w:t>. A Participant may elect, in accordance with Section 4.1, to receive the vested balance of his or her Account in five (5), ten (10), or fifteen (15) annual installments, commencing in January of the year elected and continuing in each succeeding January until fully paid. If a Participant fails to elect a commencement date, payments will commence in January of the year following the Participant’s Separation from Service. The amount of each installment payment is determined by dividing the Participant’s applicable Account balance (adjusted through the day before the installment is paid) by the number of installments remaining.</w:t>
      </w:r>
    </w:p>
    <w:p>
      <w:pPr>
        <w:spacing w:after="0" w:line="247" w:lineRule="exact"/>
        <w:rPr>
          <w:rFonts w:ascii="Arial" w:cs="Arial" w:eastAsia="Arial" w:hAnsi="Arial"/>
          <w:sz w:val="22"/>
          <w:szCs w:val="22"/>
          <w:color w:val="auto"/>
        </w:rPr>
      </w:pPr>
    </w:p>
    <w:p>
      <w:pPr>
        <w:ind w:right="160" w:firstLine="1953"/>
        <w:spacing w:after="0" w:line="253" w:lineRule="auto"/>
        <w:tabs>
          <w:tab w:leader="none" w:pos="2413"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Other Methods</w:t>
      </w:r>
      <w:r>
        <w:rPr>
          <w:rFonts w:ascii="Arial" w:cs="Arial" w:eastAsia="Arial" w:hAnsi="Arial"/>
          <w:sz w:val="22"/>
          <w:szCs w:val="22"/>
          <w:color w:val="auto"/>
        </w:rPr>
        <w:t>. The Administrator, in its sole discretion, shall have discretion to provide that a Participant may elect under Section 4.1 to receive the balance of his or her Account at times or forms other than those specified in this section 6.1.</w:t>
      </w:r>
    </w:p>
    <w:p>
      <w:pPr>
        <w:spacing w:after="0" w:line="234" w:lineRule="exact"/>
        <w:rPr>
          <w:sz w:val="20"/>
          <w:szCs w:val="20"/>
          <w:color w:val="auto"/>
        </w:rPr>
      </w:pPr>
    </w:p>
    <w:p>
      <w:pPr>
        <w:ind w:right="280" w:firstLine="648"/>
        <w:spacing w:after="0" w:line="350"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u w:val="single" w:color="auto"/>
          <w:color w:val="auto"/>
        </w:rPr>
        <w:t>In–Service Distribution - Payment on a Fixed Date or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6.2 applies only to a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Elective Deferral Subaccount. Company Credit Subaccounts are subject to the other sections of this Article 6.</w:t>
      </w:r>
    </w:p>
    <w:p>
      <w:pPr>
        <w:spacing w:after="0" w:line="308" w:lineRule="exact"/>
        <w:rPr>
          <w:sz w:val="20"/>
          <w:szCs w:val="20"/>
          <w:color w:val="auto"/>
        </w:rPr>
      </w:pPr>
    </w:p>
    <w:p>
      <w:pPr>
        <w:ind w:right="60" w:firstLine="1305"/>
        <w:spacing w:after="0" w:line="262" w:lineRule="auto"/>
        <w:tabs>
          <w:tab w:leader="none" w:pos="1765" w:val="left"/>
        </w:tabs>
        <w:numPr>
          <w:ilvl w:val="0"/>
          <w:numId w:val="1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 Participant may elect, in accordance with Section 4.1, a year as the fixed distribution date or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commencement of payment. Amounts subject to this election are payable in a single lump sum in January of the year elected or in five (5), ten (10) or fifteen (15) annual installments commencing in January of the year elected. The fixed distribution date cannot be earlier than the day after the third anniversary of the last day of the Plan Year in which the Compensation was deferred. For distributions payable in annual installments, the first installment will be paid in January of the year elected, and succeeding installments will be paid in January of the years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5" w:right="259" w:bottom="1440" w:gutter="0" w:footer="0" w:header="0"/>
        </w:sectPr>
      </w:pPr>
    </w:p>
    <w:bookmarkStart w:id="257" w:name="page258"/>
    <w:bookmarkEnd w:id="257"/>
    <w:p>
      <w:pPr>
        <w:ind w:right="100"/>
        <w:spacing w:after="0" w:line="312" w:lineRule="auto"/>
        <w:rPr>
          <w:sz w:val="20"/>
          <w:szCs w:val="20"/>
          <w:color w:val="auto"/>
        </w:rPr>
      </w:pPr>
      <w:r>
        <w:rPr>
          <w:rFonts w:ascii="Arial" w:cs="Arial" w:eastAsia="Arial" w:hAnsi="Arial"/>
          <w:sz w:val="19"/>
          <w:szCs w:val="19"/>
          <w:color w:val="auto"/>
        </w:rPr>
        <w:t>following the year elected. The amount of each installment is determined by dividing the Participant’s applicable Account balance (adjusted through the day before the installment is paid) by the number of installments remaining. Any lump sum or installment distributions will generally be paid in cash, except that Compensation payable in Company Stock may be paid in Company Stock.</w:t>
      </w:r>
    </w:p>
    <w:p>
      <w:pPr>
        <w:spacing w:after="0" w:line="182" w:lineRule="exact"/>
        <w:rPr>
          <w:sz w:val="20"/>
          <w:szCs w:val="20"/>
          <w:color w:val="auto"/>
        </w:rPr>
      </w:pPr>
    </w:p>
    <w:p>
      <w:pPr>
        <w:ind w:right="40" w:firstLine="1305"/>
        <w:spacing w:after="0" w:line="315" w:lineRule="auto"/>
        <w:tabs>
          <w:tab w:leader="none" w:pos="1777"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Events Occurring Before Scheduled Commencement Date. </w:t>
      </w:r>
      <w:r>
        <w:rPr>
          <w:rFonts w:ascii="Arial" w:cs="Arial" w:eastAsia="Arial" w:hAnsi="Arial"/>
          <w:sz w:val="19"/>
          <w:szCs w:val="19"/>
          <w:color w:val="auto"/>
        </w:rPr>
        <w:t>If a Participant’s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or Disability occurs before the fixed distribution date, no payments will be made under this Section 6.2. The balance of the Participant’s Elective Deferral Subaccount will be paid in accordance with the other sections of this Article 6.</w:t>
      </w:r>
    </w:p>
    <w:p>
      <w:pPr>
        <w:spacing w:after="0" w:line="179" w:lineRule="exact"/>
        <w:rPr>
          <w:rFonts w:ascii="Arial" w:cs="Arial" w:eastAsia="Arial" w:hAnsi="Arial"/>
          <w:sz w:val="19"/>
          <w:szCs w:val="19"/>
          <w:b w:val="1"/>
          <w:bCs w:val="1"/>
          <w:color w:val="auto"/>
        </w:rPr>
      </w:pPr>
    </w:p>
    <w:p>
      <w:pPr>
        <w:ind w:left="1760" w:hanging="455"/>
        <w:spacing w:after="0"/>
        <w:tabs>
          <w:tab w:leader="none" w:pos="176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Payment Events Occurring After Installments Commence.</w:t>
      </w:r>
    </w:p>
    <w:p>
      <w:pPr>
        <w:spacing w:after="0" w:line="279" w:lineRule="exact"/>
        <w:rPr>
          <w:rFonts w:ascii="Arial" w:cs="Arial" w:eastAsia="Arial" w:hAnsi="Arial"/>
          <w:sz w:val="22"/>
          <w:szCs w:val="22"/>
          <w:b w:val="1"/>
          <w:bCs w:val="1"/>
          <w:color w:val="auto"/>
        </w:rPr>
      </w:pPr>
    </w:p>
    <w:p>
      <w:pPr>
        <w:ind w:right="80" w:firstLine="1953"/>
        <w:spacing w:after="0" w:line="253" w:lineRule="auto"/>
        <w:tabs>
          <w:tab w:leader="none" w:pos="241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a Participant’s Separation from Service occurs by reason of Retirement after the fixed distribution date has occurred and the Participant had elected to receive distributions under this Section 6.2 in installments, then payments will continue be made in accordance with that election.</w:t>
      </w:r>
    </w:p>
    <w:p>
      <w:pPr>
        <w:spacing w:after="0" w:line="239" w:lineRule="exact"/>
        <w:rPr>
          <w:rFonts w:ascii="Arial" w:cs="Arial" w:eastAsia="Arial" w:hAnsi="Arial"/>
          <w:sz w:val="22"/>
          <w:szCs w:val="22"/>
          <w:color w:val="auto"/>
        </w:rPr>
      </w:pPr>
    </w:p>
    <w:p>
      <w:pPr>
        <w:ind w:firstLine="1953"/>
        <w:spacing w:after="0" w:line="250" w:lineRule="auto"/>
        <w:tabs>
          <w:tab w:leader="none" w:pos="241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a Participant’s Separation from Service occurs for any reason other than Retirement after the fixed distribution date has occurred, and the Participant had elected to receive distributions under this Section 6.2 in installments, the remaining portion of the distribution will be made in a single lump sum payment to the Participant within ninety (90) days after the Participant’s Separation from Service.</w:t>
      </w:r>
    </w:p>
    <w:p>
      <w:pPr>
        <w:spacing w:after="0" w:line="236"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Payment Upon Death</w:t>
      </w:r>
      <w:r>
        <w:rPr>
          <w:rFonts w:ascii="Arial" w:cs="Arial" w:eastAsia="Arial" w:hAnsi="Arial"/>
          <w:sz w:val="21"/>
          <w:szCs w:val="21"/>
          <w:b w:val="1"/>
          <w:bCs w:val="1"/>
          <w:color w:val="auto"/>
        </w:rPr>
        <w:t xml:space="preserve">. </w:t>
      </w:r>
      <w:r>
        <w:rPr>
          <w:rFonts w:ascii="Arial" w:cs="Arial" w:eastAsia="Arial" w:hAnsi="Arial"/>
          <w:sz w:val="21"/>
          <w:szCs w:val="21"/>
          <w:color w:val="auto"/>
        </w:rPr>
        <w:t>If a Participant’s Separation from Service occurs because of his or her death, both the</w:t>
      </w:r>
      <w:r>
        <w:rPr>
          <w:rFonts w:ascii="Arial" w:cs="Arial" w:eastAsia="Arial" w:hAnsi="Arial"/>
          <w:sz w:val="21"/>
          <w:szCs w:val="21"/>
          <w:b w:val="1"/>
          <w:bCs w:val="1"/>
          <w:color w:val="auto"/>
        </w:rPr>
        <w:t xml:space="preserve"> </w:t>
      </w:r>
      <w:r>
        <w:rPr>
          <w:rFonts w:ascii="Arial" w:cs="Arial" w:eastAsia="Arial" w:hAnsi="Arial"/>
          <w:sz w:val="21"/>
          <w:szCs w:val="21"/>
          <w:color w:val="auto"/>
        </w:rPr>
        <w:t>Elective Deferral Subaccount and the Company Credit Subaccount will be paid to the Participant’s beneficiary or estate in a single lump sum within ninety (90) days following the Participant’s death. Payments will generally be made in cash, except that Compensation payable in Company Stock may be paid in Company Stock. A Participant may designate a beneficiary or beneficiaries who will be entitled to receive the balance of the Participant’s Account upon his or her death. This designation must be made on a form (whether written, electronic, or otherwise) prescribed or approved by the Administrator and may be revoked on a form (whether written, electronic, or otherwise) prescribed or approved by the Administrator at any time before the Participant dies. If a Participant fails to designate a beneficiary or no designated beneficiary survives the Participant, then payments under this Section will be made to the Participant’s estate.</w:t>
      </w:r>
    </w:p>
    <w:p>
      <w:pPr>
        <w:spacing w:after="0" w:line="396" w:lineRule="exact"/>
        <w:rPr>
          <w:sz w:val="20"/>
          <w:szCs w:val="20"/>
          <w:color w:val="auto"/>
        </w:rPr>
      </w:pPr>
    </w:p>
    <w:p>
      <w:pPr>
        <w:ind w:right="340" w:firstLine="648"/>
        <w:spacing w:after="0" w:line="252" w:lineRule="auto"/>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22"/>
          <w:szCs w:val="22"/>
          <w:b w:val="1"/>
          <w:bCs w:val="1"/>
          <w:u w:val="single" w:color="auto"/>
          <w:color w:val="auto"/>
        </w:rPr>
        <w:t>Payment Upon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determination of a Participant’s Disability, both the Elective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Subaccount and the Company Credit Subaccount will be paid to the Participant in a single lump sum within ninety (90) days following the Participant’s Disability. Payments will generally be made in cash, except that Compensation payable in Company Stock may be paid in Company Stock.</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91" w:right="299" w:bottom="1440" w:gutter="0" w:footer="0" w:header="0"/>
        </w:sectPr>
      </w:pPr>
    </w:p>
    <w:bookmarkStart w:id="258" w:name="page259"/>
    <w:bookmarkEnd w:id="258"/>
    <w:p>
      <w:pPr>
        <w:ind w:firstLine="648"/>
        <w:spacing w:after="0" w:line="256"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22"/>
          <w:szCs w:val="22"/>
          <w:b w:val="1"/>
          <w:bCs w:val="1"/>
          <w:u w:val="single" w:color="auto"/>
          <w:color w:val="auto"/>
        </w:rPr>
        <w:t>Payment Upon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may elect, in accordance with Section 4.1, to receive the balance</w:t>
      </w:r>
      <w:r>
        <w:rPr>
          <w:rFonts w:ascii="Arial" w:cs="Arial" w:eastAsia="Arial" w:hAnsi="Arial"/>
          <w:sz w:val="22"/>
          <w:szCs w:val="22"/>
          <w:b w:val="1"/>
          <w:bCs w:val="1"/>
          <w:color w:val="auto"/>
        </w:rPr>
        <w:t xml:space="preserve"> </w:t>
      </w:r>
      <w:r>
        <w:rPr>
          <w:rFonts w:ascii="Arial" w:cs="Arial" w:eastAsia="Arial" w:hAnsi="Arial"/>
          <w:sz w:val="22"/>
          <w:szCs w:val="22"/>
          <w:color w:val="auto"/>
        </w:rPr>
        <w:t>of his or her Account in a single lump sum thirty (30) days following the Change of Control. Payments will generally be made in cash, except that Compensation payable in Company Stock may be paid in Company Stock.</w:t>
      </w:r>
    </w:p>
    <w:p>
      <w:pPr>
        <w:spacing w:after="0" w:line="3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Payment or Cessation of Deferrals Upon Unforeseeable Emergency.</w:t>
      </w:r>
    </w:p>
    <w:p>
      <w:pPr>
        <w:spacing w:after="0" w:line="200" w:lineRule="exact"/>
        <w:rPr>
          <w:sz w:val="20"/>
          <w:szCs w:val="20"/>
          <w:color w:val="auto"/>
        </w:rPr>
      </w:pPr>
    </w:p>
    <w:p>
      <w:pPr>
        <w:spacing w:after="0" w:line="236" w:lineRule="exact"/>
        <w:rPr>
          <w:sz w:val="20"/>
          <w:szCs w:val="20"/>
          <w:color w:val="auto"/>
        </w:rPr>
      </w:pPr>
    </w:p>
    <w:p>
      <w:pPr>
        <w:ind w:right="20" w:firstLine="1305"/>
        <w:spacing w:after="0" w:line="261" w:lineRule="auto"/>
        <w:tabs>
          <w:tab w:leader="none" w:pos="1765" w:val="left"/>
        </w:tabs>
        <w:numPr>
          <w:ilvl w:val="0"/>
          <w:numId w:val="1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 Participant is not generally entitled to a distribution of any portion of his or her Account before</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are otherwise due in accordance with the Plan and any timely election made under the Plan. However, if a Participant has an unforeseeable emergency that results in a severe financial hardship, the Administrator may authorize, on a nondiscriminatory basis, a cessation of deferrals under this Plan and/or a distribution from the Participant’s Elective Deferral Subaccount in the minimum amount required to meet the need created by the unforeseeable emergency (including any taxes or penalties due as a result of the distribution). The distribution will be paid within seven (7) days after the Administrator determines that the unforeseeable emergency exists under (b) below.</w:t>
      </w:r>
    </w:p>
    <w:p>
      <w:pPr>
        <w:spacing w:after="0" w:line="228" w:lineRule="exact"/>
        <w:rPr>
          <w:rFonts w:ascii="Arial" w:cs="Arial" w:eastAsia="Arial" w:hAnsi="Arial"/>
          <w:sz w:val="21"/>
          <w:szCs w:val="21"/>
          <w:b w:val="1"/>
          <w:bCs w:val="1"/>
          <w:color w:val="auto"/>
        </w:rPr>
      </w:pPr>
    </w:p>
    <w:p>
      <w:pPr>
        <w:ind w:left="1780" w:hanging="475"/>
        <w:spacing w:after="0"/>
        <w:tabs>
          <w:tab w:leader="none" w:pos="1780" w:val="left"/>
        </w:tabs>
        <w:numPr>
          <w:ilvl w:val="0"/>
          <w:numId w:val="1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Unforeseeable Emergency. </w:t>
      </w:r>
      <w:r>
        <w:rPr>
          <w:rFonts w:ascii="Arial" w:cs="Arial" w:eastAsia="Arial" w:hAnsi="Arial"/>
          <w:sz w:val="19"/>
          <w:szCs w:val="19"/>
          <w:color w:val="auto"/>
        </w:rPr>
        <w:t>An “unforeseeable emergency” is a severe financial hardship to the Participant</w:t>
      </w:r>
    </w:p>
    <w:p>
      <w:pPr>
        <w:spacing w:after="0" w:line="62" w:lineRule="exact"/>
        <w:rPr>
          <w:rFonts w:ascii="Arial" w:cs="Arial" w:eastAsia="Arial" w:hAnsi="Arial"/>
          <w:sz w:val="19"/>
          <w:szCs w:val="19"/>
          <w:b w:val="1"/>
          <w:bCs w:val="1"/>
          <w:color w:val="auto"/>
        </w:rPr>
      </w:pPr>
    </w:p>
    <w:p>
      <w:pPr>
        <w:ind w:right="40"/>
        <w:spacing w:after="0" w:line="290" w:lineRule="auto"/>
        <w:rPr>
          <w:rFonts w:ascii="Arial" w:cs="Arial" w:eastAsia="Arial" w:hAnsi="Arial"/>
          <w:sz w:val="19"/>
          <w:szCs w:val="19"/>
          <w:b w:val="1"/>
          <w:bCs w:val="1"/>
          <w:color w:val="auto"/>
        </w:rPr>
      </w:pPr>
      <w:r>
        <w:rPr>
          <w:rFonts w:ascii="Arial" w:cs="Arial" w:eastAsia="Arial" w:hAnsi="Arial"/>
          <w:sz w:val="19"/>
          <w:szCs w:val="19"/>
          <w:color w:val="auto"/>
        </w:rPr>
        <w:t>resulting: (1) from an illness or accident of the Participant or of the Participant’s spouse, beneficiary, or dependent (as defined in Code section 152, without regard to section 152(b)(1), (b)(2), and (d)(1)(B)); (2) from the loss of the Participant’s property due to casualty (including the need to rebuild a home following damage to the home not otherwise covered by insurance); or (3) from other similar extraordinary and unforeseeable circumstances arising as a result of events beyond the Participant’s control (e.g., the imminent foreclosure of or eviction from the Participant’s primary residence, the need to pay for medical expenses and prescription drugs or funeral expenses of a spouse, beneficiary or dependent).</w:t>
      </w:r>
    </w:p>
    <w:p>
      <w:pPr>
        <w:spacing w:after="0" w:line="208" w:lineRule="exact"/>
        <w:rPr>
          <w:sz w:val="20"/>
          <w:szCs w:val="20"/>
          <w:color w:val="auto"/>
        </w:rPr>
      </w:pPr>
    </w:p>
    <w:p>
      <w:pPr>
        <w:ind w:right="120" w:firstLine="1297"/>
        <w:spacing w:after="0" w:line="248" w:lineRule="auto"/>
        <w:rPr>
          <w:sz w:val="20"/>
          <w:szCs w:val="20"/>
          <w:color w:val="auto"/>
        </w:rPr>
      </w:pPr>
      <w:r>
        <w:rPr>
          <w:rFonts w:ascii="Arial" w:cs="Arial" w:eastAsia="Arial" w:hAnsi="Arial"/>
          <w:sz w:val="22"/>
          <w:szCs w:val="22"/>
          <w:color w:val="auto"/>
        </w:rPr>
        <w:t>The Participant must supply written evidence of the financial hardship and must declare, under penalties of perjury, that the Participant has no other resources available to meet the emergency. The Participant must also declare that the need cannot be met by any of the following: (1) reimbursement or compensation by insurance or otherwise; (2) reasonable liquidation of the Participant’s assets to the extent the liquidation will not itself cause severe financial hardship; or (3) ceasing the Participant’s deferrals under this Plan.</w:t>
      </w:r>
    </w:p>
    <w:p>
      <w:pPr>
        <w:spacing w:after="0" w:line="240" w:lineRule="exact"/>
        <w:rPr>
          <w:sz w:val="20"/>
          <w:szCs w:val="20"/>
          <w:color w:val="auto"/>
        </w:rPr>
      </w:pPr>
    </w:p>
    <w:p>
      <w:pPr>
        <w:ind w:firstLine="1305"/>
        <w:spacing w:after="0" w:line="256" w:lineRule="auto"/>
        <w:tabs>
          <w:tab w:leader="none" w:pos="1752"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Hardship Distribution Under 401(k) Plan. </w:t>
      </w:r>
      <w:r>
        <w:rPr>
          <w:rFonts w:ascii="Arial" w:cs="Arial" w:eastAsia="Arial" w:hAnsi="Arial"/>
          <w:sz w:val="22"/>
          <w:szCs w:val="22"/>
          <w:color w:val="auto"/>
        </w:rPr>
        <w:t>In the event a Participant receives a hardship distribution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regulations under section 401(k) of the Code, from the Company’s 401(k) Plan, deferrals under this Plan shall cease for a period of six months.</w:t>
      </w:r>
    </w:p>
    <w:p>
      <w:pPr>
        <w:spacing w:after="0" w:line="230"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u w:val="single" w:color="auto"/>
          <w:color w:val="auto"/>
        </w:rPr>
        <w:t>Payments to a Participant Who is or was an Eligible Director and an Eligible Employee</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anything in this Article 6 to the contrary, if payments are to be made from a Participant’s Account and the Participant is or was both</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5" w:right="259" w:bottom="1440" w:gutter="0" w:footer="0" w:header="0"/>
        </w:sectPr>
      </w:pPr>
    </w:p>
    <w:bookmarkStart w:id="259" w:name="page260"/>
    <w:bookmarkEnd w:id="259"/>
    <w:p>
      <w:pPr>
        <w:spacing w:after="0" w:line="261" w:lineRule="auto"/>
        <w:rPr>
          <w:sz w:val="20"/>
          <w:szCs w:val="20"/>
          <w:color w:val="auto"/>
        </w:rPr>
      </w:pPr>
      <w:r>
        <w:rPr>
          <w:rFonts w:ascii="Arial" w:cs="Arial" w:eastAsia="Arial" w:hAnsi="Arial"/>
          <w:sz w:val="21"/>
          <w:szCs w:val="21"/>
          <w:color w:val="auto"/>
        </w:rPr>
        <w:t>an Eligible Director and an Eligible Employee, then the payments will be treated separately. Any payments attributable to the portion of the balance of the Participant’s Account that is attributable to Compensation earned by the Participant as an employee of the Company or any of its Subsidiaries will be paid in accordance with the provisions of this Article 6 applicable to Participants who are not Eligible Directors. The portion of the balance of the Participant’s Account attributable to Compensation earned by the Participant for his or her service as an Eligible Director will be paid in accordance with the provisions of this Article 6 applicable to Participants who are Eligible Directors.</w:t>
      </w:r>
    </w:p>
    <w:p>
      <w:pPr>
        <w:spacing w:after="0" w:line="390" w:lineRule="exact"/>
        <w:rPr>
          <w:sz w:val="20"/>
          <w:szCs w:val="20"/>
          <w:color w:val="auto"/>
        </w:rPr>
      </w:pPr>
    </w:p>
    <w:p>
      <w:pPr>
        <w:ind w:right="220" w:firstLine="648"/>
        <w:spacing w:after="0" w:line="304" w:lineRule="auto"/>
        <w:rPr>
          <w:sz w:val="20"/>
          <w:szCs w:val="20"/>
          <w:color w:val="auto"/>
        </w:rPr>
      </w:pPr>
      <w:r>
        <w:rPr>
          <w:rFonts w:ascii="Arial" w:cs="Arial" w:eastAsia="Arial" w:hAnsi="Arial"/>
          <w:sz w:val="19"/>
          <w:szCs w:val="19"/>
          <w:b w:val="1"/>
          <w:bCs w:val="1"/>
          <w:color w:val="auto"/>
        </w:rPr>
        <w:t xml:space="preserve">6.8. </w:t>
      </w:r>
      <w:r>
        <w:rPr>
          <w:rFonts w:ascii="Arial" w:cs="Arial" w:eastAsia="Arial" w:hAnsi="Arial"/>
          <w:sz w:val="19"/>
          <w:szCs w:val="19"/>
          <w:b w:val="1"/>
          <w:bCs w:val="1"/>
          <w:u w:val="single" w:color="auto"/>
          <w:color w:val="auto"/>
        </w:rPr>
        <w:t>Payments to Specified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payable under this Article 6 upon a Specified Employee’s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other than death, will be paid six (6) months after Separation from Service. If the Participant elected to receive installments upon Separation from Service, this Section will affect only the first payment if that payment is scheduled to occur earlier than six (6) months after Separation from Service; all other installment payments will be paid as scheduled.</w:t>
      </w:r>
    </w:p>
    <w:p>
      <w:pPr>
        <w:spacing w:after="0" w:line="35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Article 7.</w:t>
        <w:tab/>
        <w:t>ADMINISTRATOR</w:t>
      </w:r>
    </w:p>
    <w:p>
      <w:pPr>
        <w:spacing w:after="0" w:line="27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Plan Administration and Interpretation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Administrator shall oversee the administration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shall have complete discretionary control and authority to administer all aspects of the Plan and to determine the rights and benefits and all claims, demands and actions arising out of the provisions of the Plan of any Participant, beneficiary, deceased Participant, or any other person having or claiming to have any interest under the Plan. The Administrator shall have the exclusive discretionary power to interpret the Plan and to decide all matters under the Plan. The Administrator also shall have the exclusive discretionary power to adopt, amend and rescind rules and guidelines for the administration of the Plan and for its own acts and proceedings. Such interpretation and decision shall be final, conclusive and binding on all Participants and any person claiming under or through any Participant, in the absence of clear and convincing evidence that the Administrator acted arbitrarily and capriciously. Any individual serving as Administrator, or on a committee acting as Administrator, who is a Participant, shall not vote or act on any matter relating solely to himself or herself. When making a determination or calculation, the Administrator shall be entitled to conclusively rely on information furnished by a Participant, a beneficiary, or any other person or entity. The Administrator shall be deemed to be the Plan administrator with responsibility for complying with any reporting and disclosure requirements of ERISA.</w:t>
      </w:r>
    </w:p>
    <w:p>
      <w:pPr>
        <w:spacing w:after="0" w:line="200" w:lineRule="exact"/>
        <w:rPr>
          <w:sz w:val="20"/>
          <w:szCs w:val="20"/>
          <w:color w:val="auto"/>
        </w:rPr>
      </w:pPr>
    </w:p>
    <w:p>
      <w:pPr>
        <w:spacing w:after="0" w:line="223" w:lineRule="exact"/>
        <w:rPr>
          <w:sz w:val="20"/>
          <w:szCs w:val="20"/>
          <w:color w:val="auto"/>
        </w:rPr>
      </w:pPr>
    </w:p>
    <w:p>
      <w:pPr>
        <w:ind w:right="700" w:firstLine="648"/>
        <w:spacing w:after="0" w:line="343" w:lineRule="auto"/>
        <w:rPr>
          <w:sz w:val="20"/>
          <w:szCs w:val="20"/>
          <w:color w:val="auto"/>
        </w:rPr>
      </w:pPr>
      <w:r>
        <w:rPr>
          <w:rFonts w:ascii="Arial" w:cs="Arial" w:eastAsia="Arial" w:hAnsi="Arial"/>
          <w:sz w:val="19"/>
          <w:szCs w:val="19"/>
          <w:color w:val="auto"/>
        </w:rPr>
        <w:t>The Administrator may employ such counsel, agents and advisers, and obtain such administrative, clerical and other services, as it may deem necessary or appropriate in carrying out the provisions of the Plan and its duties hereunder.</w:t>
      </w:r>
    </w:p>
    <w:p>
      <w:pPr>
        <w:spacing w:after="0" w:line="9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u w:val="single" w:color="auto"/>
          <w:color w:val="auto"/>
        </w:rPr>
        <w:t>Claims Procedure</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right="80" w:firstLine="1305"/>
        <w:spacing w:after="0" w:line="269" w:lineRule="auto"/>
        <w:tabs>
          <w:tab w:leader="none" w:pos="1765"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If any person believes he or she has been denied any rights or benefits under the Plan, such person</w:t>
      </w:r>
      <w:r>
        <w:rPr>
          <w:rFonts w:ascii="Arial" w:cs="Arial" w:eastAsia="Arial" w:hAnsi="Arial"/>
          <w:sz w:val="22"/>
          <w:szCs w:val="22"/>
          <w:b w:val="1"/>
          <w:bCs w:val="1"/>
          <w:color w:val="auto"/>
        </w:rPr>
        <w:t xml:space="preserve"> </w:t>
      </w:r>
      <w:r>
        <w:rPr>
          <w:rFonts w:ascii="Arial" w:cs="Arial" w:eastAsia="Arial" w:hAnsi="Arial"/>
          <w:sz w:val="22"/>
          <w:szCs w:val="22"/>
          <w:color w:val="auto"/>
        </w:rPr>
        <w:t>may file a claim in writing with the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1" w:right="259" w:bottom="1440" w:gutter="0" w:footer="0" w:header="0"/>
        </w:sectPr>
      </w:pPr>
    </w:p>
    <w:bookmarkStart w:id="260" w:name="page261"/>
    <w:bookmarkEnd w:id="260"/>
    <w:p>
      <w:pPr>
        <w:ind w:right="160"/>
        <w:spacing w:after="0" w:line="294" w:lineRule="auto"/>
        <w:rPr>
          <w:sz w:val="20"/>
          <w:szCs w:val="20"/>
          <w:color w:val="auto"/>
        </w:rPr>
      </w:pPr>
      <w:r>
        <w:rPr>
          <w:rFonts w:ascii="Arial" w:cs="Arial" w:eastAsia="Arial" w:hAnsi="Arial"/>
          <w:sz w:val="19"/>
          <w:szCs w:val="19"/>
          <w:color w:val="auto"/>
        </w:rPr>
        <w:t>Administrator. If any such claim is wholly or partially denied, the Administrator will notify such person of its decision in writing. Such notification will be given within ninety (90) days after the claim is received by the Administrator (or within one hundred eighty (180) days, if special circumstances require an extension of time for processing the claim, and if written notice of such extension and circumstances is given to such person within the initial ninety (90) day period). Notwithstanding the foregoing, if such notification is not given within such ninety (90) or one hundred eighty (180) day period, the claim will be considered denied as of the last day of such period and such person may request a review of his or her claim in accordance with Section 7.2(b).</w:t>
      </w:r>
    </w:p>
    <w:p>
      <w:pPr>
        <w:spacing w:after="0" w:line="198" w:lineRule="exact"/>
        <w:rPr>
          <w:sz w:val="20"/>
          <w:szCs w:val="20"/>
          <w:color w:val="auto"/>
        </w:rPr>
      </w:pPr>
    </w:p>
    <w:p>
      <w:pPr>
        <w:ind w:right="180" w:firstLine="1305"/>
        <w:spacing w:after="0" w:line="259" w:lineRule="auto"/>
        <w:tabs>
          <w:tab w:leader="none" w:pos="1765" w:val="left"/>
        </w:tabs>
        <w:numPr>
          <w:ilvl w:val="0"/>
          <w:numId w:val="1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Appeals. </w:t>
      </w:r>
      <w:r>
        <w:rPr>
          <w:rFonts w:ascii="Arial" w:cs="Arial" w:eastAsia="Arial" w:hAnsi="Arial"/>
          <w:sz w:val="21"/>
          <w:szCs w:val="21"/>
          <w:color w:val="auto"/>
        </w:rPr>
        <w:t>Within sixty (60) days after the date on which a person receives a written notice of a denied claim</w:t>
      </w:r>
      <w:r>
        <w:rPr>
          <w:rFonts w:ascii="Arial" w:cs="Arial" w:eastAsia="Arial" w:hAnsi="Arial"/>
          <w:sz w:val="21"/>
          <w:szCs w:val="21"/>
          <w:b w:val="1"/>
          <w:bCs w:val="1"/>
          <w:color w:val="auto"/>
        </w:rPr>
        <w:t xml:space="preserve"> </w:t>
      </w:r>
      <w:r>
        <w:rPr>
          <w:rFonts w:ascii="Arial" w:cs="Arial" w:eastAsia="Arial" w:hAnsi="Arial"/>
          <w:sz w:val="21"/>
          <w:szCs w:val="21"/>
          <w:color w:val="auto"/>
        </w:rPr>
        <w:t>(or, if applicable, within sixty (60) days after the date on which such denial is considered to have occurred) such person (or his or her duly authorized representative) may file a written request with the Administrator for a review of his or her denied claim. The Administrator will notify such person of its decision on review in writing. The decision on review will be made within sixty (60) days after the request for review is received by the Administrator (or within one hundred twenty (120) days, if special circumstances require an extension of time for processing the request, such as an election by the Administrator to hold a hearing, and if written notice of such extension and circumstances is given to such person within the initial sixty (60) day period). Notwithstanding the foregoing, if the decision on review is not made within such sixty (60) or one hundred twenty (120) day period, the claim will be considered denied.</w:t>
      </w:r>
    </w:p>
    <w:p>
      <w:pPr>
        <w:spacing w:after="0" w:line="281"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The Administrator may, in its sole discretion amend or revise this Section 7.2, provided, that the claims procedure for the Plan pursuant to which persons may claim an interest in the Plan and appeal denials of such claims, as amended or changed, shall meet the minimum standards of Section 503 of ERISA.</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7.3</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u w:val="single" w:color="auto"/>
          <w:color w:val="auto"/>
        </w:rPr>
        <w:t>Claims and Review Procedure for Disability Claims</w:t>
      </w:r>
      <w:r>
        <w:rPr>
          <w:rFonts w:ascii="Arial" w:cs="Arial" w:eastAsia="Arial" w:hAnsi="Arial"/>
          <w:sz w:val="19"/>
          <w:szCs w:val="19"/>
          <w:color w:val="auto"/>
        </w:rPr>
        <w:t>.</w:t>
      </w:r>
    </w:p>
    <w:p>
      <w:pPr>
        <w:spacing w:after="0" w:line="220" w:lineRule="exact"/>
        <w:rPr>
          <w:sz w:val="20"/>
          <w:szCs w:val="20"/>
          <w:color w:val="auto"/>
        </w:rPr>
      </w:pPr>
    </w:p>
    <w:p>
      <w:pPr>
        <w:ind w:right="40" w:firstLine="1305"/>
        <w:spacing w:after="0" w:line="289" w:lineRule="auto"/>
        <w:tabs>
          <w:tab w:leader="none" w:pos="1765"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 general. </w:t>
      </w:r>
      <w:r>
        <w:rPr>
          <w:rFonts w:ascii="Arial" w:cs="Arial" w:eastAsia="Arial" w:hAnsi="Arial"/>
          <w:sz w:val="19"/>
          <w:szCs w:val="19"/>
          <w:color w:val="auto"/>
        </w:rPr>
        <w:t>If any person believes he or she has been denied any rights or benefits due on Disability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such person may file a claim in writing with the Administrator. If any such claim is wholly or partially denied, the Administrator will notify such person of its decision in writing. Such notification will be given within forty-five (45) days after the claim is received by the Administrator. This time period may be extended twice by thirty (30) days if the Administrator both determines that such an extension is necessary due to matters beyond the control of the Plan and notifies such person of the circumstances requiring the extension of time and the date by which the Administrator expects to render a decision. If such an extension is necessary due to such person’s failure to submit the information necessary to decide the claim, the notice of extension will specifically describe the required information and such person will be afforded at least forty-five (45) days within which to provide the specified information. If such person delivers the requested information within the time specified, any thirty (30) day extension period will begin after such person has provided that</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91" w:right="299" w:bottom="1440" w:gutter="0" w:footer="0" w:header="0"/>
        </w:sectPr>
      </w:pPr>
    </w:p>
    <w:bookmarkStart w:id="261" w:name="page262"/>
    <w:bookmarkEnd w:id="261"/>
    <w:p>
      <w:pPr>
        <w:ind w:right="20"/>
        <w:spacing w:after="0" w:line="250" w:lineRule="auto"/>
        <w:rPr>
          <w:sz w:val="20"/>
          <w:szCs w:val="20"/>
          <w:color w:val="auto"/>
        </w:rPr>
      </w:pPr>
      <w:r>
        <w:rPr>
          <w:rFonts w:ascii="Arial" w:cs="Arial" w:eastAsia="Arial" w:hAnsi="Arial"/>
          <w:sz w:val="22"/>
          <w:szCs w:val="22"/>
          <w:color w:val="auto"/>
        </w:rPr>
        <w:t>information. If such person fails to deliver the requested information within the time specified, the Administrator may decide such person’s claim without that information. Notwithstanding the foregoing, if such notification is not given within such forty-five (45) or an extended period, the claim will be considered denied as of the last day of such period and such person may request a review of his or her claim in accordance with Section 7.3(b).</w:t>
      </w:r>
    </w:p>
    <w:p>
      <w:pPr>
        <w:spacing w:after="0" w:line="236" w:lineRule="exact"/>
        <w:rPr>
          <w:sz w:val="20"/>
          <w:szCs w:val="20"/>
          <w:color w:val="auto"/>
        </w:rPr>
      </w:pPr>
    </w:p>
    <w:p>
      <w:pPr>
        <w:ind w:right="40" w:firstLine="1305"/>
        <w:spacing w:after="0" w:line="287" w:lineRule="auto"/>
        <w:tabs>
          <w:tab w:leader="none" w:pos="1765"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Appeals. </w:t>
      </w:r>
      <w:r>
        <w:rPr>
          <w:rFonts w:ascii="Arial" w:cs="Arial" w:eastAsia="Arial" w:hAnsi="Arial"/>
          <w:sz w:val="19"/>
          <w:szCs w:val="19"/>
          <w:color w:val="auto"/>
        </w:rPr>
        <w:t>Within one hundred eighty (180) days after the date on which a person receives a written notice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denied claim (or, if applicable, within one hundred eighty (180) days after the date on which such denial is considered to have occurred) such person (or his or her duly authorized representative) may file a written request with the Administrator for a review of his or her denied claim. The Administrator will notify such person of its decision on review in writing. The decision on review will be made within forty-five (45) days after the request for review is received by the Administrator (or within ninety (90) days, if special circumstances require an extension of time for processing the request, such as an election by the Administrator to hold a hearing, and if written notice of such extension and circumstances is given to such person within the initial forty-five (45) day period). If an extension is necessary due to such person’s failure to submit the information necessary to decide the appeal, the notice of extension will specifically describe the required information and such person will be afforded at least forty-five (45) days to provide the specified information. If such person delivers the requested information within the time specified, the forty-five (45) day extension of the appeal period will begin after such person has provided that information. If such person fails to deliver the requested information within the time specified, the Administrator may decide such person’s appeal without that information. Notwithstanding the foregoing, if the decision on review is not made within such forty-five (45) or ninety (90) day period, the claim will be considered denied.</w:t>
      </w:r>
    </w:p>
    <w:p>
      <w:pPr>
        <w:spacing w:after="0" w:line="200" w:lineRule="exact"/>
        <w:rPr>
          <w:sz w:val="20"/>
          <w:szCs w:val="20"/>
          <w:color w:val="auto"/>
        </w:rPr>
      </w:pPr>
    </w:p>
    <w:p>
      <w:pPr>
        <w:spacing w:after="0" w:line="312"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The Administrator may, in its sole discretion amend or revise this Section 7.3, provided, that the claims procedure for the Plan pursuant to which persons may claim an interest in the Plan and appeal denials of such claims, as amended or changed, shall meet the minimum standards of Section 503 of ERISA.</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91" w:right="299" w:bottom="1440" w:gutter="0" w:footer="0" w:header="0"/>
        </w:sectPr>
      </w:pPr>
    </w:p>
    <w:bookmarkStart w:id="262" w:name="page263"/>
    <w:bookmarkEnd w:id="262"/>
    <w:p>
      <w:pPr>
        <w:ind w:right="100" w:firstLine="648"/>
        <w:spacing w:after="0" w:line="295"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9"/>
          <w:szCs w:val="19"/>
          <w:b w:val="1"/>
          <w:bCs w:val="1"/>
          <w:u w:val="single" w:color="auto"/>
          <w:color w:val="auto"/>
        </w:rPr>
        <w:t>Indemnification of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indemnify and defend to the fullest extent permitted by law</w:t>
      </w:r>
      <w:r>
        <w:rPr>
          <w:rFonts w:ascii="Arial" w:cs="Arial" w:eastAsia="Arial" w:hAnsi="Arial"/>
          <w:sz w:val="19"/>
          <w:szCs w:val="19"/>
          <w:b w:val="1"/>
          <w:bCs w:val="1"/>
          <w:color w:val="auto"/>
        </w:rPr>
        <w:t xml:space="preserve"> </w:t>
      </w:r>
      <w:r>
        <w:rPr>
          <w:rFonts w:ascii="Arial" w:cs="Arial" w:eastAsia="Arial" w:hAnsi="Arial"/>
          <w:sz w:val="19"/>
          <w:szCs w:val="19"/>
          <w:color w:val="auto"/>
        </w:rPr>
        <w:t>any director, officer or employee of the Company or its Subsidiaries who serves as the Administrator or as a member of a committee appointed to serve as Administrator, or who assists the Administrator in carrying out its duties (including any such individual who formerly served in any such capacity) against any and all liabilities, damages, costs and expenses (including attorneys’ fees and amounts paid in settlement of any claims approved in writing by the Company) arising out of or relating to any act or omission to act in connection with the Plan, if such act or omission is in good faith.</w:t>
      </w:r>
    </w:p>
    <w:p>
      <w:pPr>
        <w:spacing w:after="0" w:line="36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Article 8.</w:t>
        <w:tab/>
        <w:t>AMENDMENT, TERMINATION AND ASSIGNMENT</w:t>
      </w:r>
    </w:p>
    <w:p>
      <w:pPr>
        <w:spacing w:after="0" w:line="274"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a Change of Control, the Company shall have the right to amend the Plan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Section 8.3, by an instrument in writing which has been executed on its behalf by the Administrator or by vote of the Board.</w:t>
      </w:r>
    </w:p>
    <w:p>
      <w:pPr>
        <w:spacing w:after="0" w:line="392" w:lineRule="exact"/>
        <w:rPr>
          <w:sz w:val="20"/>
          <w:szCs w:val="20"/>
          <w:color w:val="auto"/>
        </w:rPr>
      </w:pPr>
    </w:p>
    <w:p>
      <w:pPr>
        <w:ind w:right="220" w:firstLine="648"/>
        <w:spacing w:after="0" w:line="261" w:lineRule="auto"/>
        <w:rPr>
          <w:sz w:val="20"/>
          <w:szCs w:val="20"/>
          <w:color w:val="auto"/>
        </w:rPr>
      </w:pPr>
      <w:r>
        <w:rPr>
          <w:rFonts w:ascii="Arial" w:cs="Arial" w:eastAsia="Arial" w:hAnsi="Arial"/>
          <w:sz w:val="21"/>
          <w:szCs w:val="21"/>
          <w:b w:val="1"/>
          <w:bCs w:val="1"/>
          <w:color w:val="auto"/>
        </w:rPr>
        <w:t xml:space="preserve">8.2. </w:t>
      </w:r>
      <w:r>
        <w:rPr>
          <w:rFonts w:ascii="Arial" w:cs="Arial" w:eastAsia="Arial" w:hAnsi="Arial"/>
          <w:sz w:val="21"/>
          <w:szCs w:val="21"/>
          <w:b w:val="1"/>
          <w:bCs w:val="1"/>
          <w:u w:val="single" w:color="auto"/>
          <w:color w:val="auto"/>
        </w:rPr>
        <w:t>Termination of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currently intends to continue the Plan indefinitely. However, the Plan is</w:t>
      </w:r>
      <w:r>
        <w:rPr>
          <w:rFonts w:ascii="Arial" w:cs="Arial" w:eastAsia="Arial" w:hAnsi="Arial"/>
          <w:sz w:val="21"/>
          <w:szCs w:val="21"/>
          <w:b w:val="1"/>
          <w:bCs w:val="1"/>
          <w:color w:val="auto"/>
        </w:rPr>
        <w:t xml:space="preserve"> </w:t>
      </w:r>
      <w:r>
        <w:rPr>
          <w:rFonts w:ascii="Arial" w:cs="Arial" w:eastAsia="Arial" w:hAnsi="Arial"/>
          <w:sz w:val="21"/>
          <w:szCs w:val="21"/>
          <w:color w:val="auto"/>
        </w:rPr>
        <w:t>voluntary on the part of the Company and the Company expressly reserves the right to terminate the Plan at any time, subject to Section 8.3, for any reason whatsoever. Subject to Section 8.1, the Company from time to time may, by amendment to the Plan, suspend the Plan or discontinue provisions thereof. The Company may terminate the Plan at any time by an instrument in writing which has been executed on its behalf by the Administrator or by vote of the Board. No distributions will be made solely because the Company terminates the Plan except as required by Code section 409A. Payments may continue to be made after the Plan’s termination in accordance with Article 6.</w:t>
      </w:r>
    </w:p>
    <w:p>
      <w:pPr>
        <w:spacing w:after="0" w:line="390"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22"/>
          <w:szCs w:val="22"/>
          <w:b w:val="1"/>
          <w:bCs w:val="1"/>
          <w:u w:val="single" w:color="auto"/>
          <w:color w:val="auto"/>
        </w:rPr>
        <w:t>Existing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 amendment or termination of the Plan shall adversely affect the rights of any Participant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amounts credited to his or her Account as of the date of such amendment or termination (subject to future adjustments as a result of investment measurements).</w:t>
      </w:r>
    </w:p>
    <w:p>
      <w:pPr>
        <w:spacing w:after="0" w:line="392"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b w:val="1"/>
          <w:bCs w:val="1"/>
          <w:u w:val="single" w:color="auto"/>
          <w:color w:val="auto"/>
        </w:rPr>
        <w:t>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and obligations of the Company shall inure to the benefit of and shall be binding upon its</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and assigns.</w:t>
      </w:r>
    </w:p>
    <w:p>
      <w:pPr>
        <w:spacing w:after="0" w:line="37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1"/>
          <w:szCs w:val="21"/>
          <w:b w:val="1"/>
          <w:bCs w:val="1"/>
          <w:color w:val="auto"/>
        </w:rPr>
        <w:t>MISCELLANEOUS</w:t>
      </w:r>
    </w:p>
    <w:p>
      <w:pPr>
        <w:spacing w:after="0" w:line="27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22"/>
          <w:szCs w:val="22"/>
          <w:b w:val="1"/>
          <w:bCs w:val="1"/>
          <w:u w:val="single" w:color="auto"/>
          <w:color w:val="auto"/>
        </w:rPr>
        <w:t>Grantor Trust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establish a trust of which the Company is treated as the owner under Subpart E of</w:t>
      </w:r>
      <w:r>
        <w:rPr>
          <w:rFonts w:ascii="Arial" w:cs="Arial" w:eastAsia="Arial" w:hAnsi="Arial"/>
          <w:sz w:val="22"/>
          <w:szCs w:val="22"/>
          <w:b w:val="1"/>
          <w:bCs w:val="1"/>
          <w:color w:val="auto"/>
        </w:rPr>
        <w:t xml:space="preserve"> </w:t>
      </w:r>
      <w:r>
        <w:rPr>
          <w:rFonts w:ascii="Arial" w:cs="Arial" w:eastAsia="Arial" w:hAnsi="Arial"/>
          <w:sz w:val="22"/>
          <w:szCs w:val="22"/>
          <w:color w:val="auto"/>
        </w:rPr>
        <w:t>Subchapter J, Chapter 1 of the Code (a “grantor trust”), and may deposit with the trustee of the grantor trust an amount of cash or marketable securities sufficient to cause the fair market value of the assets held in the grantor trust to be not less than the sum of the Account balances under the Plan. Notwithstanding the foregoing, nothing in this Plan will be construed to create a trust or to obligate the Company, any of its Subsidiaries or any other person or entity to segregate a fund, purchase an insurance contract, or in any other way currently to fund the future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5" w:right="259" w:bottom="1440" w:gutter="0" w:footer="0" w:header="0"/>
        </w:sectPr>
      </w:pPr>
    </w:p>
    <w:bookmarkStart w:id="263" w:name="page264"/>
    <w:bookmarkEnd w:id="263"/>
    <w:p>
      <w:pPr>
        <w:ind w:right="80"/>
        <w:spacing w:after="0" w:line="250" w:lineRule="auto"/>
        <w:rPr>
          <w:sz w:val="20"/>
          <w:szCs w:val="20"/>
          <w:color w:val="auto"/>
        </w:rPr>
      </w:pPr>
      <w:r>
        <w:rPr>
          <w:rFonts w:ascii="Arial" w:cs="Arial" w:eastAsia="Arial" w:hAnsi="Arial"/>
          <w:sz w:val="22"/>
          <w:szCs w:val="22"/>
          <w:color w:val="auto"/>
        </w:rPr>
        <w:t>payment of any distributions or payments hereunder, nor will anything herein be construed to give any employee or any other person any right to any specific assets of the Company, any of its Subsidiaries or of any other person or entity. Any distributions or payments which become payable hereunder that are not paid out of the grantor trust shall be paid from the general assets of the Company.</w:t>
      </w:r>
    </w:p>
    <w:p>
      <w:pPr>
        <w:spacing w:after="0" w:line="399" w:lineRule="exact"/>
        <w:rPr>
          <w:sz w:val="20"/>
          <w:szCs w:val="20"/>
          <w:color w:val="auto"/>
        </w:rPr>
      </w:pPr>
    </w:p>
    <w:p>
      <w:pPr>
        <w:ind w:right="320" w:firstLine="648"/>
        <w:spacing w:after="0" w:line="315"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b w:val="1"/>
          <w:bCs w:val="1"/>
          <w:u w:val="single" w:color="auto"/>
          <w:color w:val="auto"/>
        </w:rPr>
        <w:t>Nature of Claim for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Participant and beneficiary will be an unsecured general creditor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 respect to any distributions or payments to be made under the Plan. Nothing in the Plan will be construed to give any person any right to any specific assets of the Company, any of its Subsidiaries or any other person or entity.</w:t>
      </w:r>
    </w:p>
    <w:p>
      <w:pPr>
        <w:spacing w:after="0" w:line="342" w:lineRule="exact"/>
        <w:rPr>
          <w:sz w:val="20"/>
          <w:szCs w:val="20"/>
          <w:color w:val="auto"/>
        </w:rPr>
      </w:pPr>
    </w:p>
    <w:p>
      <w:pPr>
        <w:ind w:right="120" w:firstLine="648"/>
        <w:spacing w:after="0" w:line="261"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b w:val="1"/>
          <w:bCs w:val="1"/>
          <w:u w:val="single" w:color="auto"/>
          <w:color w:val="auto"/>
        </w:rPr>
        <w:t>Non-alienation of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No Participant, beneficiary or any other person having any interest under the Plan shall</w:t>
      </w:r>
      <w:r>
        <w:rPr>
          <w:rFonts w:ascii="Arial" w:cs="Arial" w:eastAsia="Arial" w:hAnsi="Arial"/>
          <w:sz w:val="21"/>
          <w:szCs w:val="21"/>
          <w:b w:val="1"/>
          <w:bCs w:val="1"/>
          <w:color w:val="auto"/>
        </w:rPr>
        <w:t xml:space="preserve"> </w:t>
      </w:r>
      <w:r>
        <w:rPr>
          <w:rFonts w:ascii="Arial" w:cs="Arial" w:eastAsia="Arial" w:hAnsi="Arial"/>
          <w:sz w:val="21"/>
          <w:szCs w:val="21"/>
          <w:color w:val="auto"/>
        </w:rPr>
        <w:t>alienate, anticipate, commute, pledge, encumber, assign or otherwise transfer (“Alienate”) any right or interest under the Plan, including, without limitation, with respect to rights to or interests in any payments, distributions, claims or other benefits which he or she may expect to receive, contingently or otherwise, under this Plan (“Rights”). Any attempt to Alienate any Right shall be ineffective. No Right shall be subject to any claim of, subject to attachment, execution, garnishment or other legal process by, any creditor of such Participant, beneficiary or other person, except pursuant to a qualified domestic relations order that meets the requirements of Code section 414(p) and Section 206(d)(3) of ERISA.</w:t>
      </w:r>
    </w:p>
    <w:p>
      <w:pPr>
        <w:spacing w:after="0" w:line="390" w:lineRule="exact"/>
        <w:rPr>
          <w:sz w:val="20"/>
          <w:szCs w:val="20"/>
          <w:color w:val="auto"/>
        </w:rPr>
      </w:pPr>
    </w:p>
    <w:p>
      <w:pPr>
        <w:ind w:right="40" w:firstLine="648"/>
        <w:spacing w:after="0" w:line="295"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b w:val="1"/>
          <w:bCs w:val="1"/>
          <w:u w:val="single" w:color="auto"/>
          <w:color w:val="auto"/>
        </w:rPr>
        <w:t>No Employment or Service Continuation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the adoption nor the establishment and maintenance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participation in the Plan nor any action of the Company, any Subsidiary or the Administrator, shall be held or construed to confer upon any employee or director of the Company or any of its Subsidiaries any right to continued employment or service with the Company or any of its Subsidiaries, as the case may be, nor does it interfere in any way with the right of the Company or any of its Subsidiaries to terminate the services of any of its employees or directors at any time. Each of the Company and its Subsidiaries expressly reserves the right to terminate or discharge any of its employees or directors at any time.</w:t>
      </w:r>
    </w:p>
    <w:p>
      <w:pPr>
        <w:spacing w:after="0" w:line="360"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 xml:space="preserve">9.5. </w:t>
      </w:r>
      <w:r>
        <w:rPr>
          <w:rFonts w:ascii="Arial" w:cs="Arial" w:eastAsia="Arial" w:hAnsi="Arial"/>
          <w:sz w:val="19"/>
          <w:szCs w:val="19"/>
          <w:b w:val="1"/>
          <w:bCs w:val="1"/>
          <w:u w:val="single" w:color="auto"/>
          <w:color w:val="auto"/>
        </w:rPr>
        <w:t>Receipt and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Any payment or distribution to any Participant or beneficiary in accordance with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shall be, to the extent thereof, in full satisfaction of all claims against the Company, its Subsidiaries and the Administrator under the Plan, and the Administrator may require such Participant or beneficiary, as a condition precedent to such payment, to execute a receipt and release to such effect. If any Participant or beneficiary is determined by the Administrator to be incompetent by reason of physical or mental disability (including minority) to give a valid receipt and release, the Administrator may cause the payment or payments becoming due to such person to be made to another person for his or her benefit without responsibility on the part of the Administrator or the Company to follow the application of such funds.</w:t>
      </w:r>
    </w:p>
    <w:p>
      <w:pPr>
        <w:spacing w:after="0" w:line="361"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9.6. </w:t>
      </w:r>
      <w:r>
        <w:rPr>
          <w:rFonts w:ascii="Arial" w:cs="Arial" w:eastAsia="Arial" w:hAnsi="Arial"/>
          <w:sz w:val="22"/>
          <w:szCs w:val="22"/>
          <w:b w:val="1"/>
          <w:bCs w:val="1"/>
          <w:u w:val="single" w:color="auto"/>
          <w:color w:val="auto"/>
        </w:rPr>
        <w:t>Severability of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the Plan shall be held by a court of competent jurisdiction to be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such invalidity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1" w:right="259" w:bottom="1440" w:gutter="0" w:footer="0" w:header="0"/>
        </w:sectPr>
      </w:pPr>
    </w:p>
    <w:bookmarkStart w:id="264" w:name="page265"/>
    <w:bookmarkEnd w:id="264"/>
    <w:p>
      <w:pPr>
        <w:ind w:right="480"/>
        <w:spacing w:after="0" w:line="263" w:lineRule="auto"/>
        <w:rPr>
          <w:sz w:val="20"/>
          <w:szCs w:val="20"/>
          <w:color w:val="auto"/>
        </w:rPr>
      </w:pPr>
      <w:r>
        <w:rPr>
          <w:rFonts w:ascii="Arial" w:cs="Arial" w:eastAsia="Arial" w:hAnsi="Arial"/>
          <w:sz w:val="22"/>
          <w:szCs w:val="22"/>
          <w:color w:val="auto"/>
        </w:rPr>
        <w:t>unenforceability shall not affect any other provisions hereof, and the Plan shall be construed and enforced to the fullest extent possible as if such provision had not been included.</w:t>
      </w:r>
    </w:p>
    <w:p>
      <w:pPr>
        <w:spacing w:after="0" w:line="385"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b w:val="1"/>
          <w:bCs w:val="1"/>
          <w:color w:val="auto"/>
        </w:rPr>
        <w:t xml:space="preserve">9.7. </w:t>
      </w:r>
      <w:r>
        <w:rPr>
          <w:rFonts w:ascii="Arial" w:cs="Arial" w:eastAsia="Arial" w:hAnsi="Arial"/>
          <w:sz w:val="21"/>
          <w:szCs w:val="21"/>
          <w:b w:val="1"/>
          <w:bCs w:val="1"/>
          <w:u w:val="single" w:color="auto"/>
          <w:color w:val="auto"/>
        </w:rPr>
        <w:t>Government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It is intended that the Plan comply with all applicable laws and government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Code section 409A, and the Plan shall be construed and administered, where possible, to comply with such laws and regulations. Neither the Company, any of its Subsidiaries, nor the Administrator shall not be obligated to perform any obligation hereunder in any case where, in the opinion of the Company’s counsel, such performance would result in the violation of any law or regulation or failure to comply with Code section 409A. Should it be determined that any provision or feature of the Plan is not in compliance with Code section 409A, that provision or feature shall be null and void to the extent required to avoid the noncompliance with Code section 409A.</w:t>
      </w:r>
    </w:p>
    <w:p>
      <w:pPr>
        <w:spacing w:after="0" w:line="390"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b w:val="1"/>
          <w:bCs w:val="1"/>
          <w:color w:val="auto"/>
        </w:rPr>
        <w:t xml:space="preserve">9.8. </w:t>
      </w: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Plan shall be construed, administered, and governed in all respects under and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laws of The Commonwealth of Massachusetts without regard to the conflict of law provisions thereof. The Company, the Administrator, the Participants and their beneficiaries, and any persons having or claiming to have any interest under the Plan submit to the exclusive jurisdiction and venue of the federal or state courts of The Commonwealth of Massachusetts to resolve any and all issues that may arise out of or relate to the Plan or the same subject matter.</w:t>
      </w:r>
    </w:p>
    <w:p>
      <w:pPr>
        <w:spacing w:after="0" w:line="387"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9.9. </w:t>
      </w:r>
      <w:r>
        <w:rPr>
          <w:rFonts w:ascii="Arial" w:cs="Arial" w:eastAsia="Arial" w:hAnsi="Arial"/>
          <w:sz w:val="22"/>
          <w:szCs w:val="22"/>
          <w:b w:val="1"/>
          <w:bCs w:val="1"/>
          <w:u w:val="single" w:color="auto"/>
          <w:color w:val="auto"/>
        </w:rPr>
        <w:t>Headings and Subheadings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Headings and subheadings in this Plan are inserted for convenience only and are not to</w:t>
      </w:r>
      <w:r>
        <w:rPr>
          <w:rFonts w:ascii="Arial" w:cs="Arial" w:eastAsia="Arial" w:hAnsi="Arial"/>
          <w:sz w:val="22"/>
          <w:szCs w:val="22"/>
          <w:b w:val="1"/>
          <w:bCs w:val="1"/>
          <w:color w:val="auto"/>
        </w:rPr>
        <w:t xml:space="preserve"> </w:t>
      </w:r>
      <w:r>
        <w:rPr>
          <w:rFonts w:ascii="Arial" w:cs="Arial" w:eastAsia="Arial" w:hAnsi="Arial"/>
          <w:sz w:val="22"/>
          <w:szCs w:val="22"/>
          <w:color w:val="auto"/>
        </w:rPr>
        <w:t>be considered in the construction of the provisions hereof.</w:t>
      </w:r>
    </w:p>
    <w:p>
      <w:pPr>
        <w:spacing w:after="0" w:line="378"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b w:val="1"/>
          <w:bCs w:val="1"/>
          <w:color w:val="auto"/>
        </w:rPr>
        <w:t xml:space="preserve">9.10. </w:t>
      </w:r>
      <w:r>
        <w:rPr>
          <w:rFonts w:ascii="Arial" w:cs="Arial" w:eastAsia="Arial" w:hAnsi="Arial"/>
          <w:sz w:val="19"/>
          <w:szCs w:val="19"/>
          <w:b w:val="1"/>
          <w:bCs w:val="1"/>
          <w:u w:val="single" w:color="auto"/>
          <w:color w:val="auto"/>
        </w:rPr>
        <w:t>Expenses and Taxes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including fees and expenses associated with the grantor trust, associated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administration or operation of the Plan shall be paid by the Company from its general assets unless, in the sole discretion of the Administrator, the Administrator elects to charge such expenses against the appropriate Participant’s Account or Participants’ Accounts. Any taxes allocable to an Account (or subaccount or portion thereof) maintained under the Plan which are payable prior to the distribution of the Account (or subaccount or portion thereof), as determined by the Administrator in its sole discretion, shall be charged against the appropriate Participant’s Account or Participants’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591" w:right="3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Dell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Effective as of January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IMPORTANT NOTE</w:t>
      </w:r>
    </w:p>
    <w:p>
      <w:pPr>
        <w:spacing w:after="0" w:line="260"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Fidelity Employer Services Company, its affiliates and employees cannot provide you with legal advice in connection with the execution of this document. This document should be reviewed by the Employer’s attorney prior to execution.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266" w:name="page267"/>
    <w:bookmarkEnd w:id="266"/>
    <w:p>
      <w:pPr>
        <w:jc w:val="right"/>
        <w:ind w:right="333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PREAMBLE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 GENERAL</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Plan</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color w:val="auto"/>
        </w:rPr>
        <w:t>Effective Dates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color w:val="auto"/>
        </w:rPr>
        <w:t>Amounts Not Subject to Code Section 409A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 DEFINITIONS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1"/>
          <w:szCs w:val="21"/>
          <w:color w:val="auto"/>
        </w:rPr>
        <w:t>Account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1"/>
          <w:szCs w:val="21"/>
          <w:color w:val="auto"/>
        </w:rPr>
        <w:t>Administrator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color w:val="auto"/>
        </w:rPr>
        <w:t>Adoption Agreement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1"/>
          <w:szCs w:val="21"/>
          <w:color w:val="auto"/>
        </w:rPr>
        <w:t>Beneficiary</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1"/>
          <w:szCs w:val="21"/>
          <w:color w:val="auto"/>
        </w:rPr>
        <w:t>Board or Board of Directors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21"/>
          <w:szCs w:val="21"/>
          <w:color w:val="auto"/>
        </w:rPr>
        <w:t>Bonus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21"/>
          <w:szCs w:val="21"/>
          <w:color w:val="auto"/>
        </w:rPr>
        <w:t>Change in Control</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21"/>
          <w:szCs w:val="21"/>
          <w:color w:val="auto"/>
        </w:rPr>
        <w:t>Code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21"/>
          <w:szCs w:val="21"/>
          <w:color w:val="auto"/>
        </w:rPr>
        <w:t>Compensation</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21"/>
          <w:szCs w:val="21"/>
          <w:color w:val="auto"/>
        </w:rPr>
        <w:t>Director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21"/>
          <w:szCs w:val="21"/>
          <w:color w:val="auto"/>
        </w:rPr>
        <w:t>Disability</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21"/>
          <w:szCs w:val="21"/>
          <w:color w:val="auto"/>
        </w:rPr>
        <w:t>Eligible Employee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21"/>
          <w:szCs w:val="21"/>
          <w:color w:val="auto"/>
        </w:rPr>
        <w:t>Employer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21"/>
          <w:szCs w:val="21"/>
          <w:color w:val="auto"/>
        </w:rPr>
        <w:t>ERISA</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21"/>
          <w:szCs w:val="21"/>
          <w:color w:val="auto"/>
        </w:rPr>
        <w:t>Identification Date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21"/>
          <w:szCs w:val="21"/>
          <w:color w:val="auto"/>
        </w:rPr>
        <w:t>Key Employee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21"/>
          <w:szCs w:val="21"/>
          <w:color w:val="auto"/>
        </w:rPr>
        <w:t>Participant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9"/>
          <w:szCs w:val="19"/>
          <w:color w:val="auto"/>
        </w:rPr>
        <w:t>Plan</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21"/>
          <w:szCs w:val="21"/>
          <w:color w:val="auto"/>
        </w:rPr>
        <w:t>Plan Sponsor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color w:val="auto"/>
        </w:rPr>
        <w:t>Plan Year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21"/>
          <w:szCs w:val="21"/>
          <w:color w:val="auto"/>
        </w:rPr>
        <w:t>Related Employer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21"/>
          <w:szCs w:val="21"/>
          <w:color w:val="auto"/>
        </w:rPr>
        <w:t>Retirement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21"/>
          <w:szCs w:val="21"/>
          <w:color w:val="auto"/>
        </w:rPr>
        <w:t>Separation from Service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21"/>
          <w:szCs w:val="21"/>
          <w:color w:val="auto"/>
        </w:rPr>
        <w:t>Unforeseeable Emergency</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21"/>
          <w:szCs w:val="21"/>
          <w:color w:val="auto"/>
        </w:rPr>
        <w:t>Valuation Date</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2.26</w:t>
      </w:r>
      <w:r>
        <w:rPr>
          <w:sz w:val="20"/>
          <w:szCs w:val="20"/>
          <w:color w:val="auto"/>
        </w:rPr>
        <w:tab/>
      </w:r>
      <w:r>
        <w:rPr>
          <w:rFonts w:ascii="Arial" w:cs="Arial" w:eastAsia="Arial" w:hAnsi="Arial"/>
          <w:sz w:val="21"/>
          <w:szCs w:val="21"/>
          <w:color w:val="auto"/>
        </w:rPr>
        <w:t>Years of Service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 PARTICIPATION</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1"/>
          <w:szCs w:val="21"/>
          <w:color w:val="auto"/>
        </w:rPr>
        <w:t>Participation</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color w:val="auto"/>
        </w:rPr>
        <w:t>Termination of Participation</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364" w:right="1440"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b w:val="1"/>
          <w:bCs w:val="1"/>
          <w:color w:val="auto"/>
        </w:rPr>
        <w:t>ARTICLE 4 – PARTICIPANT ELECTIONS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1"/>
          <w:szCs w:val="21"/>
          <w:color w:val="auto"/>
        </w:rPr>
        <w:t>Deferral Agreement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color w:val="auto"/>
        </w:rPr>
        <w:t>Amount of Deferral</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1"/>
          <w:szCs w:val="21"/>
          <w:color w:val="auto"/>
        </w:rPr>
        <w:t>Timing of Election to Defer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1"/>
          <w:szCs w:val="21"/>
          <w:color w:val="auto"/>
        </w:rPr>
        <w:t>Election of Payment Schedule and Form of Payment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 EMPLOYER CONTRIBUTIONS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1"/>
          <w:szCs w:val="21"/>
          <w:color w:val="auto"/>
        </w:rPr>
        <w:t>Matching Contributions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1"/>
          <w:szCs w:val="21"/>
          <w:color w:val="auto"/>
        </w:rPr>
        <w:t>Other Contributions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 ACCOUNTS AND CREDITS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21"/>
          <w:szCs w:val="21"/>
          <w:color w:val="auto"/>
        </w:rPr>
        <w:t>Establishment of Account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1"/>
          <w:szCs w:val="21"/>
          <w:color w:val="auto"/>
        </w:rPr>
        <w:t>Credits to Account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 INVESTMENT OF CONTRIBUTIONS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1"/>
          <w:szCs w:val="21"/>
          <w:color w:val="auto"/>
        </w:rPr>
        <w:t>Investment Options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color w:val="auto"/>
        </w:rPr>
        <w:t>Adjustment of Accounts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 RIGHT TO BENEFITS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color w:val="auto"/>
        </w:rPr>
        <w:t>Vesting</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21"/>
          <w:szCs w:val="21"/>
          <w:color w:val="auto"/>
        </w:rPr>
        <w:t>Death</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21"/>
          <w:szCs w:val="21"/>
          <w:color w:val="auto"/>
        </w:rPr>
        <w:t>Disability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 DISTRIBUTION OF BENEFITS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1"/>
          <w:szCs w:val="21"/>
          <w:color w:val="auto"/>
        </w:rPr>
        <w:t>Amount of Benefits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21"/>
          <w:szCs w:val="21"/>
          <w:color w:val="auto"/>
        </w:rPr>
        <w:t>Method and Timing of Distributions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21"/>
          <w:szCs w:val="21"/>
          <w:color w:val="auto"/>
        </w:rPr>
        <w:t>Unforeseeable Emergency</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21"/>
          <w:szCs w:val="21"/>
          <w:color w:val="auto"/>
        </w:rPr>
        <w:t>Payment Election Overrides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21"/>
          <w:szCs w:val="21"/>
          <w:color w:val="auto"/>
        </w:rPr>
        <w:t>Cashouts of Amounts Not Exceeding Stated Limit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21"/>
          <w:szCs w:val="21"/>
          <w:color w:val="auto"/>
        </w:rPr>
        <w:t>Required Delay in Payment to Key Employees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9.7</w:t>
      </w:r>
      <w:r>
        <w:rPr>
          <w:sz w:val="20"/>
          <w:szCs w:val="20"/>
          <w:color w:val="auto"/>
        </w:rPr>
        <w:tab/>
      </w:r>
      <w:r>
        <w:rPr>
          <w:rFonts w:ascii="Arial" w:cs="Arial" w:eastAsia="Arial" w:hAnsi="Arial"/>
          <w:sz w:val="21"/>
          <w:szCs w:val="21"/>
          <w:color w:val="auto"/>
        </w:rPr>
        <w:t>Change in Control</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21"/>
          <w:szCs w:val="21"/>
          <w:color w:val="auto"/>
        </w:rPr>
        <w:t>Permissible Delays in Payment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9.9</w:t>
      </w:r>
      <w:r>
        <w:rPr>
          <w:sz w:val="20"/>
          <w:szCs w:val="20"/>
          <w:color w:val="auto"/>
        </w:rPr>
        <w:tab/>
      </w:r>
      <w:r>
        <w:rPr>
          <w:rFonts w:ascii="Arial" w:cs="Arial" w:eastAsia="Arial" w:hAnsi="Arial"/>
          <w:sz w:val="21"/>
          <w:szCs w:val="21"/>
          <w:color w:val="auto"/>
        </w:rPr>
        <w:t>Permitted Acceleration of Payment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64" w:right="1440"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b w:val="1"/>
          <w:bCs w:val="1"/>
          <w:color w:val="auto"/>
        </w:rPr>
        <w:t>ARTICLE 10 – AMENDMENT AND TERMINATION</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21"/>
          <w:szCs w:val="21"/>
          <w:color w:val="auto"/>
        </w:rPr>
        <w:t>Amendment by Plan Sponsor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21"/>
          <w:szCs w:val="21"/>
          <w:color w:val="auto"/>
        </w:rPr>
        <w:t>Plan Termination Following Change in Control or Corporate Dissolution</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21"/>
          <w:szCs w:val="21"/>
          <w:color w:val="auto"/>
        </w:rPr>
        <w:t>Other Plan Terminations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 THE TRUST</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color w:val="auto"/>
        </w:rPr>
        <w:t>Establishment of Trust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21"/>
          <w:szCs w:val="21"/>
          <w:color w:val="auto"/>
        </w:rPr>
        <w:t>Rabbi Trust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21"/>
          <w:szCs w:val="21"/>
          <w:color w:val="auto"/>
        </w:rPr>
        <w:t>Investment of Trust Funds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 PLAN ADMINISTRATION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12.1</w:t>
      </w:r>
      <w:r>
        <w:rPr>
          <w:rFonts w:ascii="Arial" w:cs="Arial" w:eastAsia="Arial" w:hAnsi="Arial"/>
          <w:sz w:val="22"/>
          <w:szCs w:val="22"/>
          <w:color w:val="auto"/>
        </w:rPr>
        <w:t>Powers and Responsibilities of the Administrator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12.2</w:t>
      </w:r>
      <w:r>
        <w:rPr>
          <w:rFonts w:ascii="Arial" w:cs="Arial" w:eastAsia="Arial" w:hAnsi="Arial"/>
          <w:sz w:val="22"/>
          <w:szCs w:val="22"/>
          <w:color w:val="auto"/>
        </w:rPr>
        <w:t>Claims and Review Procedures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12.3</w:t>
      </w:r>
      <w:r>
        <w:rPr>
          <w:rFonts w:ascii="Arial" w:cs="Arial" w:eastAsia="Arial" w:hAnsi="Arial"/>
          <w:sz w:val="22"/>
          <w:szCs w:val="22"/>
          <w:color w:val="auto"/>
        </w:rPr>
        <w:t>Plan Administrative Costs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 MISCELLANEOUS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b w:val="1"/>
                <w:bCs w:val="1"/>
                <w:color w:val="auto"/>
              </w:rPr>
              <w:t>13.1</w:t>
            </w:r>
          </w:p>
        </w:tc>
        <w:tc>
          <w:tcPr>
            <w:tcW w:w="4340" w:type="dxa"/>
            <w:vAlign w:val="bottom"/>
          </w:tcPr>
          <w:p>
            <w:pPr>
              <w:ind w:left="60"/>
              <w:spacing w:after="0"/>
              <w:rPr>
                <w:sz w:val="20"/>
                <w:szCs w:val="20"/>
                <w:color w:val="auto"/>
              </w:rPr>
            </w:pPr>
            <w:r>
              <w:rPr>
                <w:rFonts w:ascii="Arial" w:cs="Arial" w:eastAsia="Arial" w:hAnsi="Arial"/>
                <w:sz w:val="22"/>
                <w:szCs w:val="22"/>
                <w:color w:val="auto"/>
                <w:w w:val="97"/>
              </w:rPr>
              <w:t>Unsecured General Creditor of the Employer</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13.2</w:t>
            </w:r>
          </w:p>
        </w:tc>
        <w:tc>
          <w:tcPr>
            <w:tcW w:w="4340" w:type="dxa"/>
            <w:vAlign w:val="bottom"/>
          </w:tcPr>
          <w:p>
            <w:pPr>
              <w:ind w:left="60"/>
              <w:spacing w:after="0"/>
              <w:rPr>
                <w:sz w:val="20"/>
                <w:szCs w:val="20"/>
                <w:color w:val="auto"/>
              </w:rPr>
            </w:pPr>
            <w:r>
              <w:rPr>
                <w:rFonts w:ascii="Arial" w:cs="Arial" w:eastAsia="Arial" w:hAnsi="Arial"/>
                <w:sz w:val="22"/>
                <w:szCs w:val="22"/>
                <w:color w:val="auto"/>
              </w:rPr>
              <w:t>Employer’s Liability</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13.3</w:t>
            </w:r>
          </w:p>
        </w:tc>
        <w:tc>
          <w:tcPr>
            <w:tcW w:w="4340" w:type="dxa"/>
            <w:vAlign w:val="bottom"/>
          </w:tcPr>
          <w:p>
            <w:pPr>
              <w:ind w:left="60"/>
              <w:spacing w:after="0"/>
              <w:rPr>
                <w:sz w:val="20"/>
                <w:szCs w:val="20"/>
                <w:color w:val="auto"/>
              </w:rPr>
            </w:pPr>
            <w:r>
              <w:rPr>
                <w:rFonts w:ascii="Arial" w:cs="Arial" w:eastAsia="Arial" w:hAnsi="Arial"/>
                <w:sz w:val="22"/>
                <w:szCs w:val="22"/>
                <w:color w:val="auto"/>
              </w:rPr>
              <w:t>Limitation of Rights</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13.4</w:t>
            </w:r>
          </w:p>
        </w:tc>
        <w:tc>
          <w:tcPr>
            <w:tcW w:w="4340" w:type="dxa"/>
            <w:vAlign w:val="bottom"/>
          </w:tcPr>
          <w:p>
            <w:pPr>
              <w:ind w:left="60"/>
              <w:spacing w:after="0"/>
              <w:rPr>
                <w:sz w:val="20"/>
                <w:szCs w:val="20"/>
                <w:color w:val="auto"/>
              </w:rPr>
            </w:pPr>
            <w:r>
              <w:rPr>
                <w:rFonts w:ascii="Arial" w:cs="Arial" w:eastAsia="Arial" w:hAnsi="Arial"/>
                <w:sz w:val="22"/>
                <w:szCs w:val="22"/>
                <w:color w:val="auto"/>
              </w:rPr>
              <w:t>Anti-Assignment</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13.5</w:t>
            </w:r>
          </w:p>
        </w:tc>
        <w:tc>
          <w:tcPr>
            <w:tcW w:w="4340" w:type="dxa"/>
            <w:vAlign w:val="bottom"/>
          </w:tcPr>
          <w:p>
            <w:pPr>
              <w:ind w:left="60"/>
              <w:spacing w:after="0"/>
              <w:rPr>
                <w:sz w:val="20"/>
                <w:szCs w:val="20"/>
                <w:color w:val="auto"/>
              </w:rPr>
            </w:pPr>
            <w:r>
              <w:rPr>
                <w:rFonts w:ascii="Arial" w:cs="Arial" w:eastAsia="Arial" w:hAnsi="Arial"/>
                <w:sz w:val="22"/>
                <w:szCs w:val="22"/>
                <w:color w:val="auto"/>
              </w:rPr>
              <w:t>Facility of Payment</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13.6</w:t>
            </w:r>
          </w:p>
        </w:tc>
        <w:tc>
          <w:tcPr>
            <w:tcW w:w="4340" w:type="dxa"/>
            <w:vAlign w:val="bottom"/>
          </w:tcPr>
          <w:p>
            <w:pPr>
              <w:ind w:left="60"/>
              <w:spacing w:after="0"/>
              <w:rPr>
                <w:sz w:val="20"/>
                <w:szCs w:val="20"/>
                <w:color w:val="auto"/>
              </w:rPr>
            </w:pPr>
            <w:r>
              <w:rPr>
                <w:rFonts w:ascii="Arial" w:cs="Arial" w:eastAsia="Arial" w:hAnsi="Arial"/>
                <w:sz w:val="22"/>
                <w:szCs w:val="22"/>
                <w:color w:val="auto"/>
              </w:rPr>
              <w:t>Notices</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13.7</w:t>
            </w:r>
          </w:p>
        </w:tc>
        <w:tc>
          <w:tcPr>
            <w:tcW w:w="4340" w:type="dxa"/>
            <w:vAlign w:val="bottom"/>
          </w:tcPr>
          <w:p>
            <w:pPr>
              <w:ind w:left="60"/>
              <w:spacing w:after="0"/>
              <w:rPr>
                <w:sz w:val="20"/>
                <w:szCs w:val="20"/>
                <w:color w:val="auto"/>
              </w:rPr>
            </w:pPr>
            <w:r>
              <w:rPr>
                <w:rFonts w:ascii="Arial" w:cs="Arial" w:eastAsia="Arial" w:hAnsi="Arial"/>
                <w:sz w:val="22"/>
                <w:szCs w:val="22"/>
                <w:color w:val="auto"/>
              </w:rPr>
              <w:t>Tax Withholding</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13.8</w:t>
            </w:r>
          </w:p>
        </w:tc>
        <w:tc>
          <w:tcPr>
            <w:tcW w:w="4340" w:type="dxa"/>
            <w:vAlign w:val="bottom"/>
          </w:tcPr>
          <w:p>
            <w:pPr>
              <w:ind w:left="60"/>
              <w:spacing w:after="0"/>
              <w:rPr>
                <w:sz w:val="20"/>
                <w:szCs w:val="20"/>
                <w:color w:val="auto"/>
              </w:rPr>
            </w:pPr>
            <w:r>
              <w:rPr>
                <w:rFonts w:ascii="Arial" w:cs="Arial" w:eastAsia="Arial" w:hAnsi="Arial"/>
                <w:sz w:val="22"/>
                <w:szCs w:val="22"/>
                <w:color w:val="auto"/>
              </w:rPr>
              <w:t>Indemnification</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13.9</w:t>
            </w:r>
          </w:p>
        </w:tc>
        <w:tc>
          <w:tcPr>
            <w:tcW w:w="4340" w:type="dxa"/>
            <w:vAlign w:val="bottom"/>
          </w:tcPr>
          <w:p>
            <w:pPr>
              <w:ind w:left="60"/>
              <w:spacing w:after="0"/>
              <w:rPr>
                <w:sz w:val="20"/>
                <w:szCs w:val="20"/>
                <w:color w:val="auto"/>
              </w:rPr>
            </w:pPr>
            <w:r>
              <w:rPr>
                <w:rFonts w:ascii="Arial" w:cs="Arial" w:eastAsia="Arial" w:hAnsi="Arial"/>
                <w:sz w:val="22"/>
                <w:szCs w:val="22"/>
                <w:color w:val="auto"/>
              </w:rPr>
              <w:t>Successors</w:t>
            </w:r>
          </w:p>
        </w:tc>
      </w:tr>
      <w:tr>
        <w:trPr>
          <w:trHeight w:val="257"/>
        </w:trPr>
        <w:tc>
          <w:tcPr>
            <w:tcW w:w="600" w:type="dxa"/>
            <w:vAlign w:val="bottom"/>
          </w:tcPr>
          <w:p>
            <w:pPr>
              <w:spacing w:after="0"/>
              <w:rPr>
                <w:sz w:val="20"/>
                <w:szCs w:val="20"/>
                <w:color w:val="auto"/>
              </w:rPr>
            </w:pPr>
            <w:r>
              <w:rPr>
                <w:rFonts w:ascii="Arial" w:cs="Arial" w:eastAsia="Arial" w:hAnsi="Arial"/>
                <w:sz w:val="22"/>
                <w:szCs w:val="22"/>
                <w:b w:val="1"/>
                <w:bCs w:val="1"/>
                <w:color w:val="auto"/>
              </w:rPr>
              <w:t>13.10</w:t>
            </w:r>
          </w:p>
        </w:tc>
        <w:tc>
          <w:tcPr>
            <w:tcW w:w="4340" w:type="dxa"/>
            <w:vAlign w:val="bottom"/>
          </w:tcPr>
          <w:p>
            <w:pPr>
              <w:ind w:left="60"/>
              <w:spacing w:after="0"/>
              <w:rPr>
                <w:sz w:val="20"/>
                <w:szCs w:val="20"/>
                <w:color w:val="auto"/>
              </w:rPr>
            </w:pPr>
            <w:r>
              <w:rPr>
                <w:rFonts w:ascii="Arial" w:cs="Arial" w:eastAsia="Arial" w:hAnsi="Arial"/>
                <w:sz w:val="22"/>
                <w:szCs w:val="22"/>
                <w:color w:val="auto"/>
              </w:rPr>
              <w:t>Disclaimer</w:t>
            </w:r>
          </w:p>
        </w:tc>
      </w:tr>
      <w:tr>
        <w:trPr>
          <w:trHeight w:val="286"/>
        </w:trPr>
        <w:tc>
          <w:tcPr>
            <w:tcW w:w="600" w:type="dxa"/>
            <w:vAlign w:val="bottom"/>
          </w:tcPr>
          <w:p>
            <w:pPr>
              <w:spacing w:after="0"/>
              <w:rPr>
                <w:sz w:val="20"/>
                <w:szCs w:val="20"/>
                <w:color w:val="auto"/>
              </w:rPr>
            </w:pPr>
            <w:r>
              <w:rPr>
                <w:rFonts w:ascii="Arial" w:cs="Arial" w:eastAsia="Arial" w:hAnsi="Arial"/>
                <w:sz w:val="22"/>
                <w:szCs w:val="22"/>
                <w:b w:val="1"/>
                <w:bCs w:val="1"/>
                <w:color w:val="auto"/>
              </w:rPr>
              <w:t>13.11</w:t>
            </w:r>
          </w:p>
        </w:tc>
        <w:tc>
          <w:tcPr>
            <w:tcW w:w="4340" w:type="dxa"/>
            <w:vAlign w:val="bottom"/>
          </w:tcPr>
          <w:p>
            <w:pPr>
              <w:ind w:left="60"/>
              <w:spacing w:after="0"/>
              <w:rPr>
                <w:sz w:val="20"/>
                <w:szCs w:val="20"/>
                <w:color w:val="auto"/>
              </w:rPr>
            </w:pPr>
            <w:r>
              <w:rPr>
                <w:rFonts w:ascii="Arial" w:cs="Arial" w:eastAsia="Arial" w:hAnsi="Arial"/>
                <w:sz w:val="22"/>
                <w:szCs w:val="22"/>
                <w:color w:val="auto"/>
              </w:rPr>
              <w:t>Governing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64" w:right="1440"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22"/>
          <w:szCs w:val="22"/>
          <w:b w:val="1"/>
          <w:bCs w:val="1"/>
          <w:color w:val="auto"/>
        </w:rPr>
        <w:t>PREAMBLE</w:t>
      </w:r>
    </w:p>
    <w:p>
      <w:pPr>
        <w:spacing w:after="0" w:line="300"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270" w:name="page271"/>
    <w:bookmarkEnd w:id="270"/>
    <w:p>
      <w:pPr>
        <w:jc w:val="center"/>
        <w:spacing w:after="0"/>
        <w:rPr>
          <w:sz w:val="20"/>
          <w:szCs w:val="20"/>
          <w:color w:val="auto"/>
        </w:rPr>
      </w:pPr>
      <w:r>
        <w:rPr>
          <w:rFonts w:ascii="Arial" w:cs="Arial" w:eastAsia="Arial" w:hAnsi="Arial"/>
          <w:sz w:val="22"/>
          <w:szCs w:val="22"/>
          <w:b w:val="1"/>
          <w:bCs w:val="1"/>
          <w:color w:val="auto"/>
        </w:rPr>
        <w:t>ARTICLE 1 – GENERAL</w:t>
      </w: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 xml:space="preserve">Plan. </w:t>
      </w:r>
      <w:r>
        <w:rPr>
          <w:rFonts w:ascii="Arial" w:cs="Arial" w:eastAsia="Arial" w:hAnsi="Arial"/>
          <w:sz w:val="21"/>
          <w:szCs w:val="21"/>
          <w:color w:val="auto"/>
        </w:rPr>
        <w:t>The Plan will be referred to by the name specified in the Adoption Agreement.</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Effective Dates.</w:t>
      </w:r>
    </w:p>
    <w:p>
      <w:pPr>
        <w:spacing w:after="0" w:line="286"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Original Effective Date.</w:t>
      </w:r>
      <w:r>
        <w:rPr>
          <w:rFonts w:ascii="Arial" w:cs="Arial" w:eastAsia="Arial" w:hAnsi="Arial"/>
          <w:sz w:val="21"/>
          <w:szCs w:val="21"/>
          <w:color w:val="auto"/>
        </w:rPr>
        <w:t xml:space="preserve"> The Original Effective Date is the date as of which the Plan was initially adopted.</w:t>
      </w:r>
    </w:p>
    <w:p>
      <w:pPr>
        <w:spacing w:after="0" w:line="271" w:lineRule="exact"/>
        <w:rPr>
          <w:rFonts w:ascii="Arial" w:cs="Arial" w:eastAsia="Arial" w:hAnsi="Arial"/>
          <w:sz w:val="21"/>
          <w:szCs w:val="21"/>
          <w:color w:val="auto"/>
        </w:rPr>
      </w:pPr>
    </w:p>
    <w:p>
      <w:pPr>
        <w:ind w:left="980" w:right="160" w:hanging="324"/>
        <w:spacing w:after="0" w:line="245" w:lineRule="auto"/>
        <w:tabs>
          <w:tab w:leader="none" w:pos="98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The Amendment Effective Date is the date specified in the Adoption Agreement as of which the Plan is amended and restated. Except to the extent otherwise provided herein or in the Adoption Agreement, the Plan shall apply to amounts deferred and benefit payments made on or after the Amendment Effective Date.</w:t>
      </w:r>
    </w:p>
    <w:p>
      <w:pPr>
        <w:spacing w:after="0" w:line="250" w:lineRule="exact"/>
        <w:rPr>
          <w:rFonts w:ascii="Arial" w:cs="Arial" w:eastAsia="Arial" w:hAnsi="Arial"/>
          <w:sz w:val="22"/>
          <w:szCs w:val="22"/>
          <w:color w:val="auto"/>
        </w:rPr>
      </w:pPr>
    </w:p>
    <w:p>
      <w:pPr>
        <w:ind w:left="980" w:right="140" w:hanging="324"/>
        <w:spacing w:after="0" w:line="244" w:lineRule="auto"/>
        <w:tabs>
          <w:tab w:leader="none" w:pos="98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Special Effective Date.</w:t>
      </w:r>
      <w:r>
        <w:rPr>
          <w:rFonts w:ascii="Arial" w:cs="Arial" w:eastAsia="Arial" w:hAnsi="Arial"/>
          <w:sz w:val="22"/>
          <w:szCs w:val="22"/>
          <w:color w:val="auto"/>
        </w:rPr>
        <w:t xml:space="preserve"> A Special Effective Date may apply to any given provision if so specified in Appendix A of the Adoption Agreement. A Special Effective Date will control over the Original Effective Date or Amendment Effective Date, whichever is applicable, with respect to such provision of the Plan.</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Amounts Not Subject to Code Section 409A</w:t>
      </w:r>
    </w:p>
    <w:p>
      <w:pPr>
        <w:spacing w:after="0" w:line="271"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October 3, 2004.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271" w:name="page272"/>
    <w:bookmarkEnd w:id="271"/>
    <w:p>
      <w:pPr>
        <w:jc w:val="center"/>
        <w:ind w:right="-99"/>
        <w:spacing w:after="0"/>
        <w:rPr>
          <w:sz w:val="20"/>
          <w:szCs w:val="20"/>
          <w:color w:val="auto"/>
        </w:rPr>
      </w:pPr>
      <w:r>
        <w:rPr>
          <w:rFonts w:ascii="Arial" w:cs="Arial" w:eastAsia="Arial" w:hAnsi="Arial"/>
          <w:sz w:val="22"/>
          <w:szCs w:val="22"/>
          <w:b w:val="1"/>
          <w:bCs w:val="1"/>
          <w:color w:val="auto"/>
        </w:rPr>
        <w:t>ARTICLE 2 – DEFINITIONS</w:t>
      </w:r>
    </w:p>
    <w:p>
      <w:pPr>
        <w:spacing w:after="0" w:line="286"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223" w:lineRule="exact"/>
        <w:rPr>
          <w:sz w:val="20"/>
          <w:szCs w:val="20"/>
          <w:color w:val="auto"/>
        </w:rPr>
      </w:pPr>
    </w:p>
    <w:p>
      <w:pPr>
        <w:ind w:left="660" w:right="22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2.1</w:t>
        <w:tab/>
        <w:t xml:space="preserve">“Account” </w:t>
      </w:r>
      <w:r>
        <w:rPr>
          <w:rFonts w:ascii="Arial" w:cs="Arial" w:eastAsia="Arial" w:hAnsi="Arial"/>
          <w:sz w:val="22"/>
          <w:szCs w:val="22"/>
          <w:color w:val="auto"/>
        </w:rPr>
        <w:t>means an account established for the purpose of recording amounts credited on behalf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and any income,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3" w:lineRule="exact"/>
        <w:rPr>
          <w:sz w:val="20"/>
          <w:szCs w:val="20"/>
          <w:color w:val="auto"/>
        </w:rPr>
      </w:pPr>
    </w:p>
    <w:p>
      <w:pPr>
        <w:jc w:val="both"/>
        <w:ind w:left="660" w:right="40" w:hanging="647"/>
        <w:spacing w:after="0" w:line="244" w:lineRule="auto"/>
        <w:tabs>
          <w:tab w:leader="none" w:pos="640" w:val="left"/>
        </w:tabs>
        <w:rPr>
          <w:sz w:val="20"/>
          <w:szCs w:val="20"/>
          <w:color w:val="auto"/>
        </w:rPr>
      </w:pPr>
      <w:r>
        <w:rPr>
          <w:rFonts w:ascii="Arial" w:cs="Arial" w:eastAsia="Arial" w:hAnsi="Arial"/>
          <w:sz w:val="22"/>
          <w:szCs w:val="22"/>
          <w:b w:val="1"/>
          <w:bCs w:val="1"/>
          <w:color w:val="auto"/>
        </w:rPr>
        <w:t>2.2</w:t>
        <w:tab/>
        <w:t xml:space="preserve">“Administrator” </w:t>
      </w:r>
      <w:r>
        <w:rPr>
          <w:rFonts w:ascii="Arial" w:cs="Arial" w:eastAsia="Arial" w:hAnsi="Arial"/>
          <w:sz w:val="22"/>
          <w:szCs w:val="22"/>
          <w:color w:val="auto"/>
        </w:rPr>
        <w:t>means the person or persons designated by the Plan Sponsor in Section 1.05 of the Adoption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responsible for the administration of the Plan. If no Administrator is designated in the Adoption Agreement, the Administrator is the Plan Sponsor.</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 xml:space="preserve">“Adoption Agreement” </w:t>
      </w:r>
      <w:r>
        <w:rPr>
          <w:rFonts w:ascii="Arial" w:cs="Arial" w:eastAsia="Arial" w:hAnsi="Arial"/>
          <w:sz w:val="21"/>
          <w:szCs w:val="21"/>
          <w:color w:val="auto"/>
        </w:rPr>
        <w:t>means the agreement adopted by the Plan Sponsor that establishes the Plan.</w:t>
      </w:r>
    </w:p>
    <w:p>
      <w:pPr>
        <w:spacing w:after="0" w:line="17"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2.4</w:t>
        <w:tab/>
        <w:t xml:space="preserve">“Beneficiary” </w:t>
      </w:r>
      <w:r>
        <w:rPr>
          <w:rFonts w:ascii="Arial" w:cs="Arial" w:eastAsia="Arial" w:hAnsi="Arial"/>
          <w:sz w:val="22"/>
          <w:szCs w:val="22"/>
          <w:color w:val="auto"/>
        </w:rPr>
        <w:t>means the persons, trusts, estates or other entities entitled under Section 8.2 to receive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upon the death of a Participant.</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1"/>
          <w:szCs w:val="21"/>
          <w:b w:val="1"/>
          <w:bCs w:val="1"/>
          <w:color w:val="auto"/>
        </w:rPr>
        <w:t xml:space="preserve">“Board” or “Board of Directors” </w:t>
      </w:r>
      <w:r>
        <w:rPr>
          <w:rFonts w:ascii="Arial" w:cs="Arial" w:eastAsia="Arial" w:hAnsi="Arial"/>
          <w:sz w:val="21"/>
          <w:szCs w:val="21"/>
          <w:color w:val="auto"/>
        </w:rPr>
        <w:t>means the Board of Directors of the Plan Sponsor.</w:t>
      </w:r>
    </w:p>
    <w:p>
      <w:pPr>
        <w:spacing w:after="0" w:line="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21"/>
          <w:szCs w:val="21"/>
          <w:b w:val="1"/>
          <w:bCs w:val="1"/>
          <w:color w:val="auto"/>
        </w:rPr>
        <w:t xml:space="preserve">“Bonus” </w:t>
      </w:r>
      <w:r>
        <w:rPr>
          <w:rFonts w:ascii="Arial" w:cs="Arial" w:eastAsia="Arial" w:hAnsi="Arial"/>
          <w:sz w:val="21"/>
          <w:szCs w:val="21"/>
          <w:color w:val="auto"/>
        </w:rPr>
        <w:t>means an amount of incentive remuneration payable by the Employer to a Participant.</w:t>
      </w:r>
    </w:p>
    <w:p>
      <w:pPr>
        <w:spacing w:after="0" w:line="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means the occurrence of an event involving the Plan Sponsor that is described in Section</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9.7.</w:t>
      </w:r>
    </w:p>
    <w:p>
      <w:pPr>
        <w:spacing w:after="0" w:line="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21"/>
          <w:szCs w:val="21"/>
          <w:b w:val="1"/>
          <w:bCs w:val="1"/>
          <w:color w:val="auto"/>
        </w:rPr>
        <w:t xml:space="preserve">“Code” </w:t>
      </w:r>
      <w:r>
        <w:rPr>
          <w:rFonts w:ascii="Arial" w:cs="Arial" w:eastAsia="Arial" w:hAnsi="Arial"/>
          <w:sz w:val="21"/>
          <w:szCs w:val="21"/>
          <w:color w:val="auto"/>
        </w:rPr>
        <w:t>means the Internal Revenue Code of 1986, as amended.</w:t>
      </w:r>
    </w:p>
    <w:p>
      <w:pPr>
        <w:spacing w:after="0" w:line="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21"/>
          <w:szCs w:val="21"/>
          <w:b w:val="1"/>
          <w:bCs w:val="1"/>
          <w:color w:val="auto"/>
        </w:rPr>
        <w:t xml:space="preserve">“Compensation” </w:t>
      </w:r>
      <w:r>
        <w:rPr>
          <w:rFonts w:ascii="Arial" w:cs="Arial" w:eastAsia="Arial" w:hAnsi="Arial"/>
          <w:sz w:val="21"/>
          <w:szCs w:val="21"/>
          <w:color w:val="auto"/>
        </w:rPr>
        <w:t>has the meaning specified in Section 3.01 of the Adoption Agreement.</w:t>
      </w:r>
    </w:p>
    <w:p>
      <w:pPr>
        <w:spacing w:after="0" w:line="17" w:lineRule="exact"/>
        <w:rPr>
          <w:sz w:val="20"/>
          <w:szCs w:val="20"/>
          <w:color w:val="auto"/>
        </w:rPr>
      </w:pPr>
    </w:p>
    <w:p>
      <w:pPr>
        <w:ind w:left="660" w:right="60" w:hanging="647"/>
        <w:spacing w:after="0" w:line="259" w:lineRule="auto"/>
        <w:tabs>
          <w:tab w:leader="none" w:pos="640" w:val="left"/>
        </w:tabs>
        <w:rPr>
          <w:sz w:val="20"/>
          <w:szCs w:val="20"/>
          <w:color w:val="auto"/>
        </w:rPr>
      </w:pPr>
      <w:r>
        <w:rPr>
          <w:rFonts w:ascii="Arial" w:cs="Arial" w:eastAsia="Arial" w:hAnsi="Arial"/>
          <w:sz w:val="22"/>
          <w:szCs w:val="22"/>
          <w:b w:val="1"/>
          <w:bCs w:val="1"/>
          <w:color w:val="auto"/>
        </w:rPr>
        <w:t>2.10</w:t>
        <w:tab/>
        <w:t xml:space="preserve">“Director” </w:t>
      </w:r>
      <w:r>
        <w:rPr>
          <w:rFonts w:ascii="Arial" w:cs="Arial" w:eastAsia="Arial" w:hAnsi="Arial"/>
          <w:sz w:val="22"/>
          <w:szCs w:val="22"/>
          <w:color w:val="auto"/>
        </w:rPr>
        <w:t>means a non-employee member of the Board who has been designated by the Employer as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participate in the Plan.</w:t>
      </w:r>
    </w:p>
    <w:p>
      <w:pPr>
        <w:spacing w:after="0" w:line="222" w:lineRule="exact"/>
        <w:rPr>
          <w:sz w:val="20"/>
          <w:szCs w:val="20"/>
          <w:color w:val="auto"/>
        </w:rPr>
      </w:pPr>
    </w:p>
    <w:p>
      <w:pPr>
        <w:ind w:left="660" w:right="30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2.11</w:t>
        <w:tab/>
        <w:t xml:space="preserve">“Disability” </w:t>
      </w:r>
      <w:r>
        <w:rPr>
          <w:rFonts w:ascii="Arial" w:cs="Arial" w:eastAsia="Arial" w:hAnsi="Arial"/>
          <w:sz w:val="22"/>
          <w:szCs w:val="22"/>
          <w:color w:val="auto"/>
        </w:rPr>
        <w:t>means a determination by the Administrator that the Participant is either (a) unable to engage in</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substantial gainful activity</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364" w:right="319" w:bottom="1440" w:gutter="0" w:footer="0" w:header="0"/>
        </w:sectPr>
      </w:pPr>
    </w:p>
    <w:bookmarkStart w:id="272" w:name="page273"/>
    <w:bookmarkEnd w:id="272"/>
    <w:p>
      <w:pPr>
        <w:ind w:left="660"/>
        <w:spacing w:after="0" w:line="244" w:lineRule="auto"/>
        <w:rPr>
          <w:sz w:val="20"/>
          <w:szCs w:val="20"/>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to have incurred a Disability if he is determined to be totally disabled by the Social Security Administration or the Railroad Retirement Board.</w:t>
      </w:r>
    </w:p>
    <w:p>
      <w:pPr>
        <w:spacing w:after="0" w:line="227"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22"/>
          <w:szCs w:val="22"/>
          <w:b w:val="1"/>
          <w:bCs w:val="1"/>
          <w:color w:val="auto"/>
        </w:rPr>
        <w:t>2.12</w:t>
        <w:tab/>
        <w:t xml:space="preserve">“Eligible Employee” </w:t>
      </w:r>
      <w:r>
        <w:rPr>
          <w:rFonts w:ascii="Arial" w:cs="Arial" w:eastAsia="Arial" w:hAnsi="Arial"/>
          <w:sz w:val="22"/>
          <w:szCs w:val="22"/>
          <w:color w:val="auto"/>
        </w:rPr>
        <w:t>means an employee of the Employer who satisfies the requirements in Section 2.01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Adoption Agreement.</w:t>
      </w:r>
    </w:p>
    <w:p>
      <w:pPr>
        <w:ind w:left="660" w:right="980" w:hanging="647"/>
        <w:spacing w:after="0" w:line="259" w:lineRule="auto"/>
        <w:tabs>
          <w:tab w:leader="none" w:pos="640" w:val="left"/>
        </w:tabs>
        <w:rPr>
          <w:sz w:val="20"/>
          <w:szCs w:val="20"/>
          <w:color w:val="auto"/>
        </w:rPr>
      </w:pPr>
      <w:r>
        <w:rPr>
          <w:rFonts w:ascii="Arial" w:cs="Arial" w:eastAsia="Arial" w:hAnsi="Arial"/>
          <w:sz w:val="22"/>
          <w:szCs w:val="22"/>
          <w:b w:val="1"/>
          <w:bCs w:val="1"/>
          <w:color w:val="auto"/>
        </w:rPr>
        <w:t>2.13</w:t>
        <w:tab/>
        <w:t xml:space="preserve">“Employer” </w:t>
      </w:r>
      <w:r>
        <w:rPr>
          <w:rFonts w:ascii="Arial" w:cs="Arial" w:eastAsia="Arial" w:hAnsi="Arial"/>
          <w:sz w:val="22"/>
          <w:szCs w:val="22"/>
          <w:color w:val="auto"/>
        </w:rPr>
        <w:t>means the Plan Sponsor and any other entity which is authorized by the Plan Sponsor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and, in fact, does adopt the Plan.</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21"/>
          <w:szCs w:val="21"/>
          <w:b w:val="1"/>
          <w:bCs w:val="1"/>
          <w:color w:val="auto"/>
        </w:rPr>
        <w:t xml:space="preserve">“ERISA” </w:t>
      </w:r>
      <w:r>
        <w:rPr>
          <w:rFonts w:ascii="Arial" w:cs="Arial" w:eastAsia="Arial" w:hAnsi="Arial"/>
          <w:sz w:val="21"/>
          <w:szCs w:val="21"/>
          <w:color w:val="auto"/>
        </w:rPr>
        <w:t>means the Employee Retirement Income Security Act of 1974, as amended.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21"/>
          <w:szCs w:val="21"/>
          <w:b w:val="1"/>
          <w:bCs w:val="1"/>
          <w:color w:val="auto"/>
        </w:rPr>
        <w:t xml:space="preserve">“Identification Date” </w:t>
      </w:r>
      <w:r>
        <w:rPr>
          <w:rFonts w:ascii="Arial" w:cs="Arial" w:eastAsia="Arial" w:hAnsi="Arial"/>
          <w:sz w:val="21"/>
          <w:szCs w:val="21"/>
          <w:color w:val="auto"/>
        </w:rPr>
        <w:t>means the date as of which Key Employees are determined which is specified in Section</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1.06 of the Adoption Agreement.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21"/>
          <w:szCs w:val="21"/>
          <w:b w:val="1"/>
          <w:bCs w:val="1"/>
          <w:color w:val="auto"/>
        </w:rPr>
        <w:t xml:space="preserve">“Key Employee” </w:t>
      </w:r>
      <w:r>
        <w:rPr>
          <w:rFonts w:ascii="Arial" w:cs="Arial" w:eastAsia="Arial" w:hAnsi="Arial"/>
          <w:sz w:val="21"/>
          <w:szCs w:val="21"/>
          <w:color w:val="auto"/>
        </w:rPr>
        <w:t>means an employee who satisfies the conditions set forth in Section 9.6.</w:t>
      </w:r>
    </w:p>
    <w:p>
      <w:pPr>
        <w:spacing w:after="0" w:line="220" w:lineRule="exact"/>
        <w:rPr>
          <w:sz w:val="20"/>
          <w:szCs w:val="20"/>
          <w:color w:val="auto"/>
        </w:rPr>
      </w:pPr>
    </w:p>
    <w:p>
      <w:pPr>
        <w:ind w:left="660" w:right="12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2.17</w:t>
        <w:tab/>
        <w:t xml:space="preserve">“Participant” </w:t>
      </w:r>
      <w:r>
        <w:rPr>
          <w:rFonts w:ascii="Arial" w:cs="Arial" w:eastAsia="Arial" w:hAnsi="Arial"/>
          <w:sz w:val="22"/>
          <w:szCs w:val="22"/>
          <w:color w:val="auto"/>
        </w:rPr>
        <w:t>means an Eligible Employee or Director who commences participation in the Plan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3.</w:t>
      </w:r>
    </w:p>
    <w:p>
      <w:pPr>
        <w:spacing w:after="0" w:line="152" w:lineRule="exact"/>
        <w:rPr>
          <w:sz w:val="20"/>
          <w:szCs w:val="20"/>
          <w:color w:val="auto"/>
        </w:rPr>
      </w:pPr>
    </w:p>
    <w:p>
      <w:pPr>
        <w:ind w:left="660" w:right="1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2.18</w:t>
        <w:tab/>
        <w:t xml:space="preserve">“Plan” </w:t>
      </w:r>
      <w:r>
        <w:rPr>
          <w:rFonts w:ascii="Arial" w:cs="Arial" w:eastAsia="Arial" w:hAnsi="Arial"/>
          <w:sz w:val="22"/>
          <w:szCs w:val="22"/>
          <w:color w:val="auto"/>
        </w:rPr>
        <w:t>means the unfunded plan of deferred compensation set forth herein, including the Adoption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trust agreement, as adopted by the Plan Sponsor and as amended from time to time.</w:t>
      </w:r>
    </w:p>
    <w:p>
      <w:pPr>
        <w:spacing w:after="0" w:line="152" w:lineRule="exact"/>
        <w:rPr>
          <w:sz w:val="20"/>
          <w:szCs w:val="20"/>
          <w:color w:val="auto"/>
        </w:rPr>
      </w:pPr>
    </w:p>
    <w:p>
      <w:pPr>
        <w:ind w:left="660" w:right="42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2.19</w:t>
        <w:tab/>
        <w:t xml:space="preserve">“Plan Sponsor” </w:t>
      </w:r>
      <w:r>
        <w:rPr>
          <w:rFonts w:ascii="Arial" w:cs="Arial" w:eastAsia="Arial" w:hAnsi="Arial"/>
          <w:sz w:val="22"/>
          <w:szCs w:val="22"/>
          <w:color w:val="auto"/>
        </w:rPr>
        <w:t>means the entity identified in Section 1.03 of the Adoption Agreement or any successor by</w:t>
      </w:r>
      <w:r>
        <w:rPr>
          <w:rFonts w:ascii="Arial" w:cs="Arial" w:eastAsia="Arial" w:hAnsi="Arial"/>
          <w:sz w:val="22"/>
          <w:szCs w:val="22"/>
          <w:b w:val="1"/>
          <w:bCs w:val="1"/>
          <w:color w:val="auto"/>
        </w:rPr>
        <w:t xml:space="preserve"> </w:t>
      </w:r>
      <w:r>
        <w:rPr>
          <w:rFonts w:ascii="Arial" w:cs="Arial" w:eastAsia="Arial" w:hAnsi="Arial"/>
          <w:sz w:val="22"/>
          <w:szCs w:val="22"/>
          <w:color w:val="auto"/>
        </w:rPr>
        <w:t>merger, consolidation or otherwise.</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21"/>
          <w:szCs w:val="21"/>
          <w:b w:val="1"/>
          <w:bCs w:val="1"/>
          <w:color w:val="auto"/>
        </w:rPr>
        <w:t xml:space="preserve">“Plan Year” </w:t>
      </w:r>
      <w:r>
        <w:rPr>
          <w:rFonts w:ascii="Arial" w:cs="Arial" w:eastAsia="Arial" w:hAnsi="Arial"/>
          <w:sz w:val="21"/>
          <w:szCs w:val="21"/>
          <w:color w:val="auto"/>
        </w:rPr>
        <w:t>means the period identified in Section 1.02 of the Adoption Agreement.</w:t>
      </w:r>
    </w:p>
    <w:p>
      <w:pPr>
        <w:spacing w:after="0" w:line="220" w:lineRule="exact"/>
        <w:rPr>
          <w:sz w:val="20"/>
          <w:szCs w:val="20"/>
          <w:color w:val="auto"/>
        </w:rPr>
      </w:pPr>
    </w:p>
    <w:p>
      <w:pPr>
        <w:ind w:left="660" w:right="80" w:hanging="647"/>
        <w:spacing w:after="0" w:line="258" w:lineRule="auto"/>
        <w:tabs>
          <w:tab w:leader="none" w:pos="640" w:val="left"/>
        </w:tabs>
        <w:rPr>
          <w:sz w:val="20"/>
          <w:szCs w:val="20"/>
          <w:color w:val="auto"/>
        </w:rPr>
      </w:pPr>
      <w:r>
        <w:rPr>
          <w:rFonts w:ascii="Arial" w:cs="Arial" w:eastAsia="Arial" w:hAnsi="Arial"/>
          <w:sz w:val="22"/>
          <w:szCs w:val="22"/>
          <w:b w:val="1"/>
          <w:bCs w:val="1"/>
          <w:color w:val="auto"/>
        </w:rPr>
        <w:t>2.21</w:t>
        <w:tab/>
        <w:t xml:space="preserve">“Related Employer” </w:t>
      </w:r>
      <w:r>
        <w:rPr>
          <w:rFonts w:ascii="Arial" w:cs="Arial" w:eastAsia="Arial" w:hAnsi="Arial"/>
          <w:sz w:val="22"/>
          <w:szCs w:val="22"/>
          <w:color w:val="auto"/>
        </w:rPr>
        <w:t>means the Employer and (a) any corporation that is a member of a controlled group of</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corporations as defined in Code Section 414(b) that includes the Employer and (b) any trade or business that is under common control as defined in Code Section 414(c) that includes the Employer.</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90" w:right="299" w:bottom="1440" w:gutter="0" w:footer="0" w:header="0"/>
        </w:sectPr>
      </w:pPr>
    </w:p>
    <w:bookmarkStart w:id="273" w:name="page274"/>
    <w:bookmarkEnd w:id="273"/>
    <w:p>
      <w:pPr>
        <w:spacing w:after="0"/>
        <w:tabs>
          <w:tab w:leader="none" w:pos="6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21"/>
          <w:szCs w:val="21"/>
          <w:b w:val="1"/>
          <w:bCs w:val="1"/>
          <w:color w:val="auto"/>
        </w:rPr>
        <w:t xml:space="preserve">“Retirement” </w:t>
      </w:r>
      <w:r>
        <w:rPr>
          <w:rFonts w:ascii="Arial" w:cs="Arial" w:eastAsia="Arial" w:hAnsi="Arial"/>
          <w:sz w:val="21"/>
          <w:szCs w:val="21"/>
          <w:color w:val="auto"/>
        </w:rPr>
        <w:t>has the meaning specified in 6.01(f) of the Adoption Agreement.</w:t>
      </w:r>
    </w:p>
    <w:p>
      <w:pPr>
        <w:spacing w:after="0" w:line="220"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22"/>
          <w:szCs w:val="22"/>
          <w:b w:val="1"/>
          <w:bCs w:val="1"/>
          <w:color w:val="auto"/>
        </w:rPr>
        <w:t>2.23</w:t>
        <w:tab/>
        <w:t xml:space="preserve">“Separation from Service” </w:t>
      </w:r>
      <w:r>
        <w:rPr>
          <w:rFonts w:ascii="Arial" w:cs="Arial" w:eastAsia="Arial" w:hAnsi="Arial"/>
          <w:sz w:val="22"/>
          <w:szCs w:val="22"/>
          <w:color w:val="auto"/>
        </w:rPr>
        <w:t>means the date that the Participant dies, retires or otherwise has a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212" w:lineRule="exact"/>
        <w:rPr>
          <w:sz w:val="20"/>
          <w:szCs w:val="20"/>
          <w:color w:val="auto"/>
        </w:rPr>
      </w:pPr>
    </w:p>
    <w:p>
      <w:pPr>
        <w:ind w:left="660" w:right="260"/>
        <w:spacing w:after="0" w:line="258" w:lineRule="auto"/>
        <w:rPr>
          <w:sz w:val="20"/>
          <w:szCs w:val="20"/>
          <w:color w:val="auto"/>
        </w:rPr>
      </w:pPr>
      <w:r>
        <w:rPr>
          <w:rFonts w:ascii="Arial" w:cs="Arial" w:eastAsia="Arial" w:hAnsi="Arial"/>
          <w:sz w:val="21"/>
          <w:szCs w:val="21"/>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195" w:lineRule="exact"/>
        <w:rPr>
          <w:sz w:val="20"/>
          <w:szCs w:val="20"/>
          <w:color w:val="auto"/>
        </w:rPr>
      </w:pPr>
    </w:p>
    <w:p>
      <w:pPr>
        <w:ind w:left="660" w:right="300"/>
        <w:spacing w:after="0" w:line="245" w:lineRule="auto"/>
        <w:rPr>
          <w:sz w:val="20"/>
          <w:szCs w:val="20"/>
          <w:color w:val="auto"/>
        </w:rPr>
      </w:pPr>
      <w:r>
        <w:rPr>
          <w:rFonts w:ascii="Arial" w:cs="Arial" w:eastAsia="Arial" w:hAnsi="Arial"/>
          <w:sz w:val="22"/>
          <w:szCs w:val="22"/>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210" w:lineRule="exact"/>
        <w:rPr>
          <w:sz w:val="20"/>
          <w:szCs w:val="20"/>
          <w:color w:val="auto"/>
        </w:rPr>
      </w:pPr>
    </w:p>
    <w:p>
      <w:pPr>
        <w:ind w:left="660" w:right="80"/>
        <w:spacing w:after="0" w:line="245" w:lineRule="auto"/>
        <w:rPr>
          <w:sz w:val="20"/>
          <w:szCs w:val="20"/>
          <w:color w:val="auto"/>
        </w:rPr>
      </w:pPr>
      <w:r>
        <w:rPr>
          <w:rFonts w:ascii="Arial" w:cs="Arial" w:eastAsia="Arial" w:hAnsi="Arial"/>
          <w:sz w:val="22"/>
          <w:szCs w:val="22"/>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sectPr>
      </w:pPr>
    </w:p>
    <w:bookmarkStart w:id="274" w:name="page275"/>
    <w:bookmarkEnd w:id="274"/>
    <w:p>
      <w:pPr>
        <w:jc w:val="both"/>
        <w:ind w:left="660" w:right="180"/>
        <w:spacing w:after="0" w:line="246" w:lineRule="auto"/>
        <w:rPr>
          <w:sz w:val="20"/>
          <w:szCs w:val="20"/>
          <w:color w:val="auto"/>
        </w:rPr>
      </w:pPr>
      <w:r>
        <w:rPr>
          <w:rFonts w:ascii="Arial" w:cs="Arial" w:eastAsia="Arial" w:hAnsi="Arial"/>
          <w:sz w:val="22"/>
          <w:szCs w:val="22"/>
          <w:color w:val="auto"/>
        </w:rPr>
        <w:t>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208" w:lineRule="exact"/>
        <w:rPr>
          <w:sz w:val="20"/>
          <w:szCs w:val="20"/>
          <w:color w:val="auto"/>
        </w:rPr>
      </w:pPr>
    </w:p>
    <w:p>
      <w:pPr>
        <w:ind w:left="660"/>
        <w:spacing w:after="0" w:line="244" w:lineRule="auto"/>
        <w:rPr>
          <w:sz w:val="20"/>
          <w:szCs w:val="20"/>
          <w:color w:val="auto"/>
        </w:rPr>
      </w:pPr>
      <w:r>
        <w:rPr>
          <w:rFonts w:ascii="Arial" w:cs="Arial" w:eastAsia="Arial" w:hAnsi="Arial"/>
          <w:sz w:val="22"/>
          <w:szCs w:val="22"/>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213" w:lineRule="exact"/>
        <w:rPr>
          <w:sz w:val="20"/>
          <w:szCs w:val="20"/>
          <w:color w:val="auto"/>
        </w:rPr>
      </w:pPr>
    </w:p>
    <w:p>
      <w:pPr>
        <w:ind w:left="660" w:right="100"/>
        <w:spacing w:after="0" w:line="244" w:lineRule="auto"/>
        <w:rPr>
          <w:sz w:val="20"/>
          <w:szCs w:val="20"/>
          <w:color w:val="auto"/>
        </w:rPr>
      </w:pPr>
      <w:r>
        <w:rPr>
          <w:rFonts w:ascii="Arial" w:cs="Arial" w:eastAsia="Arial" w:hAnsi="Arial"/>
          <w:sz w:val="22"/>
          <w:szCs w:val="22"/>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213" w:lineRule="exact"/>
        <w:rPr>
          <w:sz w:val="20"/>
          <w:szCs w:val="20"/>
          <w:color w:val="auto"/>
        </w:rPr>
      </w:pPr>
    </w:p>
    <w:p>
      <w:pPr>
        <w:ind w:left="660" w:right="160"/>
        <w:spacing w:after="0" w:line="249" w:lineRule="auto"/>
        <w:rPr>
          <w:sz w:val="20"/>
          <w:szCs w:val="20"/>
          <w:color w:val="auto"/>
        </w:rPr>
      </w:pPr>
      <w:r>
        <w:rPr>
          <w:rFonts w:ascii="Arial" w:cs="Arial" w:eastAsia="Arial" w:hAnsi="Arial"/>
          <w:sz w:val="22"/>
          <w:szCs w:val="22"/>
          <w:color w:val="auto"/>
        </w:rPr>
        <w:t>All determinations of whether a Separation from Service has occurred will be made in a manner consistent with Code Section 409A and the final regulations thereunder.</w:t>
      </w:r>
    </w:p>
    <w:p>
      <w:pPr>
        <w:spacing w:after="0" w:line="178" w:lineRule="exact"/>
        <w:rPr>
          <w:sz w:val="20"/>
          <w:szCs w:val="20"/>
          <w:color w:val="auto"/>
        </w:rPr>
      </w:pPr>
    </w:p>
    <w:p>
      <w:pPr>
        <w:ind w:left="660" w:right="60" w:hanging="647"/>
        <w:spacing w:after="0" w:line="251" w:lineRule="auto"/>
        <w:tabs>
          <w:tab w:leader="none" w:pos="640" w:val="left"/>
        </w:tabs>
        <w:rPr>
          <w:sz w:val="20"/>
          <w:szCs w:val="20"/>
          <w:color w:val="auto"/>
        </w:rPr>
      </w:pPr>
      <w:r>
        <w:rPr>
          <w:rFonts w:ascii="Arial" w:cs="Arial" w:eastAsia="Arial" w:hAnsi="Arial"/>
          <w:sz w:val="22"/>
          <w:szCs w:val="22"/>
          <w:b w:val="1"/>
          <w:bCs w:val="1"/>
          <w:color w:val="auto"/>
        </w:rPr>
        <w:t>2.24</w:t>
        <w:tab/>
        <w:t xml:space="preserve">“Unforeseeable Emergency” </w:t>
      </w:r>
      <w:r>
        <w:rPr>
          <w:rFonts w:ascii="Arial" w:cs="Arial" w:eastAsia="Arial" w:hAnsi="Arial"/>
          <w:sz w:val="22"/>
          <w:szCs w:val="22"/>
          <w:color w:val="auto"/>
        </w:rPr>
        <w:t>means a severe financial hardship of the Participant resulting from an illness or</w:t>
      </w:r>
      <w:r>
        <w:rPr>
          <w:rFonts w:ascii="Arial" w:cs="Arial" w:eastAsia="Arial" w:hAnsi="Arial"/>
          <w:sz w:val="22"/>
          <w:szCs w:val="22"/>
          <w:b w:val="1"/>
          <w:bCs w:val="1"/>
          <w:color w:val="auto"/>
        </w:rPr>
        <w:t xml:space="preserve"> </w:t>
      </w:r>
      <w:r>
        <w:rPr>
          <w:rFonts w:ascii="Arial" w:cs="Arial" w:eastAsia="Arial" w:hAnsi="Arial"/>
          <w:sz w:val="22"/>
          <w:szCs w:val="22"/>
          <w:color w:val="auto"/>
        </w:rPr>
        <w:t>accident of the Participant, the Participant’s spouse, the Participant’s Beneficiary, or the Participant’s dependent (as defined in Code Section 152, without regard to Code section 152(b)(1), (b)(2) and (d)(1)(B); loss of the Participant’s property due to casualty; or other similar extraordinary and unforeseeable circumstances arising as a result of events beyond the control of the Participant.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21"/>
          <w:szCs w:val="21"/>
          <w:b w:val="1"/>
          <w:bCs w:val="1"/>
          <w:color w:val="auto"/>
        </w:rPr>
        <w:t xml:space="preserve">“Valuation Date” </w:t>
      </w:r>
      <w:r>
        <w:rPr>
          <w:rFonts w:ascii="Arial" w:cs="Arial" w:eastAsia="Arial" w:hAnsi="Arial"/>
          <w:sz w:val="21"/>
          <w:szCs w:val="21"/>
          <w:color w:val="auto"/>
        </w:rPr>
        <w:t>means each business day of the Plan Year that the New York Stock Exchange is open.</w:t>
      </w:r>
    </w:p>
    <w:p>
      <w:pPr>
        <w:spacing w:after="0" w:line="220" w:lineRule="exact"/>
        <w:rPr>
          <w:sz w:val="20"/>
          <w:szCs w:val="20"/>
          <w:color w:val="auto"/>
        </w:rPr>
      </w:pPr>
    </w:p>
    <w:p>
      <w:pPr>
        <w:ind w:left="660" w:right="10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2.26</w:t>
        <w:tab/>
        <w:t xml:space="preserve">“Years of Service” </w:t>
      </w:r>
      <w:r>
        <w:rPr>
          <w:rFonts w:ascii="Arial" w:cs="Arial" w:eastAsia="Arial" w:hAnsi="Arial"/>
          <w:sz w:val="22"/>
          <w:szCs w:val="22"/>
          <w:color w:val="auto"/>
        </w:rPr>
        <w:t>means each one year period for which the Participant receives service credit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provisions of Section 7.01(d) of the Adoption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06" w:right="25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22"/>
          <w:szCs w:val="22"/>
          <w:b w:val="1"/>
          <w:bCs w:val="1"/>
          <w:color w:val="auto"/>
        </w:rPr>
        <w:t>ARTICLE 3 – PARTICIPATION</w:t>
      </w:r>
    </w:p>
    <w:p>
      <w:pPr>
        <w:spacing w:after="0" w:line="200" w:lineRule="exact"/>
        <w:rPr>
          <w:sz w:val="20"/>
          <w:szCs w:val="20"/>
          <w:color w:val="auto"/>
        </w:rPr>
      </w:pPr>
    </w:p>
    <w:p>
      <w:pPr>
        <w:spacing w:after="0" w:line="317" w:lineRule="exact"/>
        <w:rPr>
          <w:sz w:val="20"/>
          <w:szCs w:val="20"/>
          <w:color w:val="auto"/>
        </w:rPr>
      </w:pPr>
    </w:p>
    <w:p>
      <w:pPr>
        <w:ind w:left="620" w:right="100" w:hanging="647"/>
        <w:spacing w:after="0" w:line="274" w:lineRule="auto"/>
        <w:tabs>
          <w:tab w:leader="none" w:pos="600" w:val="left"/>
        </w:tabs>
        <w:rPr>
          <w:sz w:val="20"/>
          <w:szCs w:val="20"/>
          <w:color w:val="auto"/>
        </w:rPr>
      </w:pPr>
      <w:r>
        <w:rPr>
          <w:rFonts w:ascii="Arial" w:cs="Arial" w:eastAsia="Arial" w:hAnsi="Arial"/>
          <w:sz w:val="22"/>
          <w:szCs w:val="22"/>
          <w:b w:val="1"/>
          <w:bCs w:val="1"/>
          <w:color w:val="auto"/>
        </w:rPr>
        <w:t>3.1</w:t>
        <w:tab/>
        <w:t xml:space="preserve">Participation. </w:t>
      </w:r>
      <w:r>
        <w:rPr>
          <w:rFonts w:ascii="Arial" w:cs="Arial" w:eastAsia="Arial" w:hAnsi="Arial"/>
          <w:sz w:val="22"/>
          <w:szCs w:val="22"/>
          <w:color w:val="auto"/>
        </w:rPr>
        <w:t>The Participants in the Plan shall be those Directors and employees of the Employer who satisfy</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requirements of Section 2.01 of the Adoption Agreement.</w:t>
      </w:r>
    </w:p>
    <w:p>
      <w:pPr>
        <w:spacing w:after="0" w:line="152" w:lineRule="exact"/>
        <w:rPr>
          <w:sz w:val="20"/>
          <w:szCs w:val="20"/>
          <w:color w:val="auto"/>
        </w:rPr>
      </w:pPr>
    </w:p>
    <w:p>
      <w:pPr>
        <w:ind w:left="620" w:hanging="647"/>
        <w:spacing w:after="0" w:line="253" w:lineRule="auto"/>
        <w:tabs>
          <w:tab w:leader="none" w:pos="600" w:val="left"/>
        </w:tabs>
        <w:rPr>
          <w:sz w:val="20"/>
          <w:szCs w:val="20"/>
          <w:color w:val="auto"/>
        </w:rPr>
      </w:pPr>
      <w:r>
        <w:rPr>
          <w:rFonts w:ascii="Arial" w:cs="Arial" w:eastAsia="Arial" w:hAnsi="Arial"/>
          <w:sz w:val="22"/>
          <w:szCs w:val="22"/>
          <w:b w:val="1"/>
          <w:bCs w:val="1"/>
          <w:color w:val="auto"/>
        </w:rPr>
        <w:t>3.2</w:t>
        <w:tab/>
        <w:t xml:space="preserve">Termination of Participation. </w:t>
      </w:r>
      <w:r>
        <w:rPr>
          <w:rFonts w:ascii="Arial" w:cs="Arial" w:eastAsia="Arial" w:hAnsi="Arial"/>
          <w:sz w:val="22"/>
          <w:szCs w:val="22"/>
          <w:color w:val="auto"/>
        </w:rPr>
        <w:t>The Administrator may terminate a Participant’s participation in the Plan in a</w:t>
      </w:r>
      <w:r>
        <w:rPr>
          <w:rFonts w:ascii="Arial" w:cs="Arial" w:eastAsia="Arial" w:hAnsi="Arial"/>
          <w:sz w:val="22"/>
          <w:szCs w:val="22"/>
          <w:b w:val="1"/>
          <w:bCs w:val="1"/>
          <w:color w:val="auto"/>
        </w:rPr>
        <w:t xml:space="preserve"> </w:t>
      </w:r>
      <w:r>
        <w:rPr>
          <w:rFonts w:ascii="Arial" w:cs="Arial" w:eastAsia="Arial" w:hAnsi="Arial"/>
          <w:sz w:val="22"/>
          <w:szCs w:val="22"/>
          <w:color w:val="auto"/>
        </w:rPr>
        <w:t>manner 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620" w:right="27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22"/>
          <w:szCs w:val="22"/>
          <w:b w:val="1"/>
          <w:bCs w:val="1"/>
          <w:color w:val="auto"/>
        </w:rPr>
        <w:t>ARTICLE 4 – PARTICIPANT ELECTIONS</w:t>
      </w:r>
    </w:p>
    <w:p>
      <w:pPr>
        <w:spacing w:after="0" w:line="200" w:lineRule="exact"/>
        <w:rPr>
          <w:sz w:val="20"/>
          <w:szCs w:val="20"/>
          <w:color w:val="auto"/>
        </w:rPr>
      </w:pPr>
    </w:p>
    <w:p>
      <w:pPr>
        <w:spacing w:after="0" w:line="317" w:lineRule="exact"/>
        <w:rPr>
          <w:sz w:val="20"/>
          <w:szCs w:val="20"/>
          <w:color w:val="auto"/>
        </w:rPr>
      </w:pPr>
    </w:p>
    <w:p>
      <w:pPr>
        <w:ind w:left="660" w:right="4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1"/>
          <w:szCs w:val="21"/>
          <w:b w:val="1"/>
          <w:bCs w:val="1"/>
          <w:color w:val="auto"/>
        </w:rPr>
        <w:t xml:space="preserve">Deferral Agreement. </w:t>
      </w:r>
      <w:r>
        <w:rPr>
          <w:rFonts w:ascii="Arial" w:cs="Arial" w:eastAsia="Arial" w:hAnsi="Arial"/>
          <w:sz w:val="21"/>
          <w:szCs w:val="21"/>
          <w:color w:val="auto"/>
        </w:rPr>
        <w:t>If permitted by the Plan Sponsor in accordance with Section 4.01 of the Adoption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each Eligible Employee and Director may elect to defer his Compensation within the meaning of Section 3.01 of the Adoption Agreement by executing in writing or electronically, a deferral agreement in accordance with rules and procedures established by the Administrator and the provisions of this Article 4.</w:t>
      </w:r>
    </w:p>
    <w:p>
      <w:pPr>
        <w:spacing w:after="0" w:line="226"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A new deferral agreement must be timely executed for each Plan Year during which the Eligible Employee or Director desires to defer Compensation. An Eligible Employee or Director who does not timely execute a deferral agreement shall be deemed to have elected zero deferrals of Compensation for such Plan Year.</w:t>
      </w:r>
    </w:p>
    <w:p>
      <w:pPr>
        <w:spacing w:after="0" w:line="249" w:lineRule="exact"/>
        <w:rPr>
          <w:sz w:val="20"/>
          <w:szCs w:val="20"/>
          <w:color w:val="auto"/>
        </w:rPr>
      </w:pPr>
    </w:p>
    <w:p>
      <w:pPr>
        <w:ind w:left="660" w:right="340"/>
        <w:spacing w:after="0" w:line="246" w:lineRule="auto"/>
        <w:rPr>
          <w:sz w:val="20"/>
          <w:szCs w:val="20"/>
          <w:color w:val="auto"/>
        </w:rPr>
      </w:pPr>
      <w:r>
        <w:rPr>
          <w:rFonts w:ascii="Arial" w:cs="Arial" w:eastAsia="Arial" w:hAnsi="Arial"/>
          <w:sz w:val="22"/>
          <w:szCs w:val="22"/>
          <w:color w:val="auto"/>
        </w:rPr>
        <w:t>A deferral agreement may be changed or revoked during the period specified by the Administrator. Except as provided in Section 9.3 or in Section 4.01(c) of the Adoption Agreement, a deferral agreement becomes irrevocable at the close of the specified period.</w:t>
      </w:r>
    </w:p>
    <w:p>
      <w:pPr>
        <w:spacing w:after="0" w:line="223" w:lineRule="exact"/>
        <w:rPr>
          <w:sz w:val="20"/>
          <w:szCs w:val="20"/>
          <w:color w:val="auto"/>
        </w:rPr>
      </w:pPr>
    </w:p>
    <w:p>
      <w:pPr>
        <w:ind w:left="660" w:right="900" w:hanging="647"/>
        <w:spacing w:after="0" w:line="257" w:lineRule="auto"/>
        <w:tabs>
          <w:tab w:leader="none" w:pos="640" w:val="left"/>
        </w:tabs>
        <w:rPr>
          <w:sz w:val="20"/>
          <w:szCs w:val="20"/>
          <w:color w:val="auto"/>
        </w:rPr>
      </w:pPr>
      <w:r>
        <w:rPr>
          <w:rFonts w:ascii="Arial" w:cs="Arial" w:eastAsia="Arial" w:hAnsi="Arial"/>
          <w:sz w:val="22"/>
          <w:szCs w:val="22"/>
          <w:b w:val="1"/>
          <w:bCs w:val="1"/>
          <w:color w:val="auto"/>
        </w:rPr>
        <w:t>4.2</w:t>
        <w:tab/>
        <w:t xml:space="preserve">Amount of Deferral. </w:t>
      </w:r>
      <w:r>
        <w:rPr>
          <w:rFonts w:ascii="Arial" w:cs="Arial" w:eastAsia="Arial" w:hAnsi="Arial"/>
          <w:sz w:val="22"/>
          <w:szCs w:val="22"/>
          <w:color w:val="auto"/>
        </w:rPr>
        <w:t>An Eligible Employee or Director may elect to defer Compensation in any amount</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by Section 4.01(a) of the Adoption Agreement.</w:t>
      </w:r>
    </w:p>
    <w:p>
      <w:pPr>
        <w:jc w:val="center"/>
        <w:ind w:right="100"/>
        <w:spacing w:after="0"/>
        <w:tabs>
          <w:tab w:leader="none" w:pos="3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1"/>
          <w:szCs w:val="21"/>
          <w:b w:val="1"/>
          <w:bCs w:val="1"/>
          <w:color w:val="auto"/>
        </w:rPr>
        <w:t xml:space="preserve">Timing of Election to Defer. </w:t>
      </w:r>
      <w:r>
        <w:rPr>
          <w:rFonts w:ascii="Arial" w:cs="Arial" w:eastAsia="Arial" w:hAnsi="Arial"/>
          <w:sz w:val="21"/>
          <w:szCs w:val="21"/>
          <w:color w:val="auto"/>
        </w:rPr>
        <w:t>Each Eligible Employee or Director who desires to defer Compensation otherwise</w:t>
      </w:r>
    </w:p>
    <w:p>
      <w:pPr>
        <w:spacing w:after="0" w:line="14" w:lineRule="exact"/>
        <w:rPr>
          <w:sz w:val="20"/>
          <w:szCs w:val="20"/>
          <w:color w:val="auto"/>
        </w:rPr>
      </w:pPr>
    </w:p>
    <w:p>
      <w:pPr>
        <w:ind w:left="660"/>
        <w:spacing w:after="0" w:line="256" w:lineRule="auto"/>
        <w:rPr>
          <w:sz w:val="20"/>
          <w:szCs w:val="20"/>
          <w:color w:val="auto"/>
        </w:rPr>
      </w:pPr>
      <w:r>
        <w:rPr>
          <w:rFonts w:ascii="Arial" w:cs="Arial" w:eastAsia="Arial" w:hAnsi="Arial"/>
          <w:sz w:val="21"/>
          <w:szCs w:val="21"/>
          <w:color w:val="auto"/>
        </w:rPr>
        <w:t>payable during a Plan Year must 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Administrator, except that if the Bonus can be 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within the meaning of Reg. Sec 1.409A-2(a)(8). In addition, if the Compensation qualifies as ‘fiscal year compensation’ within the meaning of Reg. Sec.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20" w:right="259" w:bottom="1440" w:gutter="0" w:footer="0" w:header="0"/>
        </w:sectPr>
      </w:pPr>
    </w:p>
    <w:bookmarkStart w:id="277" w:name="page278"/>
    <w:bookmarkEnd w:id="277"/>
    <w:p>
      <w:pPr>
        <w:ind w:left="660" w:right="40"/>
        <w:spacing w:after="0" w:line="246" w:lineRule="auto"/>
        <w:rPr>
          <w:sz w:val="20"/>
          <w:szCs w:val="20"/>
          <w:color w:val="auto"/>
        </w:rPr>
      </w:pPr>
      <w:r>
        <w:rPr>
          <w:rFonts w:ascii="Arial" w:cs="Arial" w:eastAsia="Arial" w:hAnsi="Arial"/>
          <w:sz w:val="22"/>
          <w:szCs w:val="22"/>
          <w:color w:val="auto"/>
        </w:rPr>
        <w:t>1.409A-2(a)(6), the deferral agreement may be made not later than the end of the Employer’s taxable year immediately preceding the first taxable year of the Employer in which any services are performed for which such Compensation is payable.</w:t>
      </w:r>
    </w:p>
    <w:p>
      <w:pPr>
        <w:spacing w:after="0" w:line="249" w:lineRule="exact"/>
        <w:rPr>
          <w:sz w:val="20"/>
          <w:szCs w:val="20"/>
          <w:color w:val="auto"/>
        </w:rPr>
      </w:pPr>
    </w:p>
    <w:p>
      <w:pPr>
        <w:ind w:left="660"/>
        <w:spacing w:after="0" w:line="244" w:lineRule="auto"/>
        <w:rPr>
          <w:sz w:val="20"/>
          <w:szCs w:val="20"/>
          <w:color w:val="auto"/>
        </w:rPr>
      </w:pPr>
      <w:r>
        <w:rPr>
          <w:rFonts w:ascii="Arial" w:cs="Arial" w:eastAsia="Arial" w:hAnsi="Arial"/>
          <w:sz w:val="22"/>
          <w:szCs w:val="22"/>
          <w:color w:val="auto"/>
        </w:rPr>
        <w:t>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Reg. Sec. 1.409A-2(a)(7).</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1"/>
          <w:szCs w:val="21"/>
          <w:b w:val="1"/>
          <w:bCs w:val="1"/>
          <w:color w:val="auto"/>
        </w:rPr>
        <w:t>Election of Payment Schedule and Form of Payment.</w:t>
      </w:r>
    </w:p>
    <w:p>
      <w:pPr>
        <w:spacing w:after="0" w:line="43" w:lineRule="exact"/>
        <w:rPr>
          <w:sz w:val="20"/>
          <w:szCs w:val="20"/>
          <w:color w:val="auto"/>
        </w:rPr>
      </w:pPr>
    </w:p>
    <w:p>
      <w:pPr>
        <w:ind w:left="660" w:right="1080"/>
        <w:spacing w:after="0" w:line="249" w:lineRule="auto"/>
        <w:rPr>
          <w:sz w:val="20"/>
          <w:szCs w:val="20"/>
          <w:color w:val="auto"/>
        </w:rPr>
      </w:pPr>
      <w:r>
        <w:rPr>
          <w:rFonts w:ascii="Arial" w:cs="Arial" w:eastAsia="Arial" w:hAnsi="Arial"/>
          <w:sz w:val="22"/>
          <w:szCs w:val="22"/>
          <w:color w:val="auto"/>
        </w:rPr>
        <w:t>All elections of a payment schedule and a form of payment will be made in accordance with rules and procedures established by the Administrator and the provisions of this Section 4.4.</w:t>
      </w:r>
    </w:p>
    <w:p>
      <w:pPr>
        <w:spacing w:after="0" w:line="245" w:lineRule="exact"/>
        <w:rPr>
          <w:sz w:val="20"/>
          <w:szCs w:val="20"/>
          <w:color w:val="auto"/>
        </w:rPr>
      </w:pPr>
    </w:p>
    <w:p>
      <w:pPr>
        <w:ind w:left="660" w:hanging="4"/>
        <w:spacing w:after="0" w:line="245" w:lineRule="auto"/>
        <w:tabs>
          <w:tab w:leader="none" w:pos="110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 time required by Reg. Sec. 1.409A-2, the Eligible Employee or Director shall elect a distribution event (which includes a specified time) and a form of payment for any Employer contributions that may be credited to the Participant’s Account during the Plan Year. If an Eligible Employee or Director fails to elect a distribution event, he shall be deemed to have elected Separation from Service as the distribution event. If he fails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90"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elect a form of payment, he shall be deemed to have elected a lump sum form of payment.</w:t>
      </w:r>
    </w:p>
    <w:p>
      <w:pPr>
        <w:spacing w:after="0" w:line="26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1"/>
          <w:szCs w:val="21"/>
          <w:color w:val="auto"/>
        </w:rPr>
        <w:t>If the Plan Sponsor has elected not to permit annual distribution elections in accordance with Section</w:t>
      </w:r>
    </w:p>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6.01(h) of the Adoption Agreement the following rules apply. At the time an Eligible Employee or Director first completes a deferral agreement but in no event later than the time required by Reg. Sec. 1.409A-2, the Eligible Employee or Director must elect a distribution event (which includes a specified time) and a form of payment for amounts credited to his Account from among the options the Plan Sponsor has made available for this purpose and which are specified in Section 6.01(b) of the Adoption Agreement. If an Eligible Employee or Director fails to elect a distribution event, he shall be deemed to have elected Separation from Service in the distribution event. If the fails to elect a form of payment, he shall be deemed to have elected a lump sum form of payment.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900" w:top="390" w:right="239" w:bottom="1440" w:gutter="0" w:footer="0" w:header="0"/>
        </w:sectPr>
      </w:pPr>
    </w:p>
    <w:bookmarkStart w:id="279" w:name="page280"/>
    <w:bookmarkEnd w:id="279"/>
    <w:p>
      <w:pPr>
        <w:ind w:left="3580"/>
        <w:spacing w:after="0"/>
        <w:rPr>
          <w:sz w:val="20"/>
          <w:szCs w:val="20"/>
          <w:color w:val="auto"/>
        </w:rPr>
      </w:pPr>
      <w:r>
        <w:rPr>
          <w:rFonts w:ascii="Arial" w:cs="Arial" w:eastAsia="Arial" w:hAnsi="Arial"/>
          <w:sz w:val="22"/>
          <w:szCs w:val="22"/>
          <w:b w:val="1"/>
          <w:bCs w:val="1"/>
          <w:color w:val="auto"/>
        </w:rPr>
        <w:t>ARTICLE 5 – EMPLOYER CONTRIBUTIONS</w:t>
      </w:r>
    </w:p>
    <w:p>
      <w:pPr>
        <w:spacing w:after="0" w:line="200" w:lineRule="exact"/>
        <w:rPr>
          <w:sz w:val="20"/>
          <w:szCs w:val="20"/>
          <w:color w:val="auto"/>
        </w:rPr>
      </w:pPr>
    </w:p>
    <w:p>
      <w:pPr>
        <w:spacing w:after="0" w:line="317" w:lineRule="exact"/>
        <w:rPr>
          <w:sz w:val="20"/>
          <w:szCs w:val="20"/>
          <w:color w:val="auto"/>
        </w:rPr>
      </w:pPr>
    </w:p>
    <w:p>
      <w:pPr>
        <w:ind w:left="420" w:right="160" w:hanging="647"/>
        <w:spacing w:after="0" w:line="269" w:lineRule="auto"/>
        <w:tabs>
          <w:tab w:leader="none" w:pos="4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1"/>
          <w:szCs w:val="21"/>
          <w:b w:val="1"/>
          <w:bCs w:val="1"/>
          <w:color w:val="auto"/>
        </w:rPr>
        <w:t xml:space="preserve">Matching Contributions. </w:t>
      </w:r>
      <w:r>
        <w:rPr>
          <w:rFonts w:ascii="Arial" w:cs="Arial" w:eastAsia="Arial" w:hAnsi="Arial"/>
          <w:sz w:val="21"/>
          <w:szCs w:val="21"/>
          <w:color w:val="auto"/>
        </w:rPr>
        <w:t>If elected by the Plan Sponsor in Section 5.01(a) of the Adoption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will credit the Participant’s 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w:t>
      </w:r>
    </w:p>
    <w:p>
      <w:pPr>
        <w:spacing w:after="0" w:line="160" w:lineRule="exact"/>
        <w:rPr>
          <w:sz w:val="20"/>
          <w:szCs w:val="20"/>
          <w:color w:val="auto"/>
        </w:rPr>
      </w:pPr>
    </w:p>
    <w:p>
      <w:pPr>
        <w:ind w:left="420" w:hanging="647"/>
        <w:spacing w:after="0" w:line="253" w:lineRule="auto"/>
        <w:tabs>
          <w:tab w:leader="none" w:pos="400" w:val="left"/>
        </w:tabs>
        <w:rPr>
          <w:sz w:val="20"/>
          <w:szCs w:val="20"/>
          <w:color w:val="auto"/>
        </w:rPr>
      </w:pPr>
      <w:r>
        <w:rPr>
          <w:rFonts w:ascii="Arial" w:cs="Arial" w:eastAsia="Arial" w:hAnsi="Arial"/>
          <w:sz w:val="22"/>
          <w:szCs w:val="22"/>
          <w:b w:val="1"/>
          <w:bCs w:val="1"/>
          <w:color w:val="auto"/>
        </w:rPr>
        <w:t>5.2</w:t>
        <w:tab/>
        <w:t xml:space="preserve">Other Contributions. </w:t>
      </w:r>
      <w:r>
        <w:rPr>
          <w:rFonts w:ascii="Arial" w:cs="Arial" w:eastAsia="Arial" w:hAnsi="Arial"/>
          <w:sz w:val="22"/>
          <w:szCs w:val="22"/>
          <w:color w:val="auto"/>
        </w:rPr>
        <w:t>If elected by the Plan Sponsor in Section 5.01(b) of the Adoption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will credit the Participant’s Account with a contribution determined in accordance with the formula or method specified in Section 5.01(b) of the Adoption Agreement. The contribution will be treated as allocated to the Participant’s Account at the time specified in Section 5.01(b)(iii) of the 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621" w:right="459" w:bottom="1440" w:gutter="0" w:footer="0" w:header="0"/>
        </w:sectPr>
      </w:pPr>
    </w:p>
    <w:bookmarkStart w:id="280" w:name="page281"/>
    <w:bookmarkEnd w:id="280"/>
    <w:p>
      <w:pPr>
        <w:jc w:val="center"/>
        <w:spacing w:after="0"/>
        <w:rPr>
          <w:sz w:val="20"/>
          <w:szCs w:val="20"/>
          <w:color w:val="auto"/>
        </w:rPr>
      </w:pPr>
      <w:r>
        <w:rPr>
          <w:rFonts w:ascii="Arial" w:cs="Arial" w:eastAsia="Arial" w:hAnsi="Arial"/>
          <w:sz w:val="22"/>
          <w:szCs w:val="22"/>
          <w:b w:val="1"/>
          <w:bCs w:val="1"/>
          <w:color w:val="auto"/>
        </w:rPr>
        <w:t>ARTICLE 6 – ACCOUNTS AND CREDITS</w:t>
      </w:r>
    </w:p>
    <w:p>
      <w:pPr>
        <w:spacing w:after="0" w:line="200" w:lineRule="exact"/>
        <w:rPr>
          <w:sz w:val="20"/>
          <w:szCs w:val="20"/>
          <w:color w:val="auto"/>
        </w:rPr>
      </w:pPr>
    </w:p>
    <w:p>
      <w:pPr>
        <w:spacing w:after="0" w:line="317" w:lineRule="exact"/>
        <w:rPr>
          <w:sz w:val="20"/>
          <w:szCs w:val="20"/>
          <w:color w:val="auto"/>
        </w:rPr>
      </w:pPr>
    </w:p>
    <w:p>
      <w:pPr>
        <w:ind w:left="600" w:right="160" w:hanging="647"/>
        <w:spacing w:after="0" w:line="249" w:lineRule="auto"/>
        <w:tabs>
          <w:tab w:leader="none" w:pos="580" w:val="left"/>
        </w:tabs>
        <w:rPr>
          <w:sz w:val="20"/>
          <w:szCs w:val="20"/>
          <w:color w:val="auto"/>
        </w:rPr>
      </w:pPr>
      <w:r>
        <w:rPr>
          <w:rFonts w:ascii="Arial" w:cs="Arial" w:eastAsia="Arial" w:hAnsi="Arial"/>
          <w:sz w:val="22"/>
          <w:szCs w:val="22"/>
          <w:b w:val="1"/>
          <w:bCs w:val="1"/>
          <w:color w:val="auto"/>
        </w:rPr>
        <w:t>6.1</w:t>
        <w:tab/>
        <w:t xml:space="preserve">Establishment of Account. </w:t>
      </w:r>
      <w:r>
        <w:rPr>
          <w:rFonts w:ascii="Arial" w:cs="Arial" w:eastAsia="Arial" w:hAnsi="Arial"/>
          <w:sz w:val="22"/>
          <w:szCs w:val="22"/>
          <w:color w:val="auto"/>
        </w:rPr>
        <w:t>For accounting and computational purposes only, the Administrator will establish</w:t>
      </w:r>
      <w:r>
        <w:rPr>
          <w:rFonts w:ascii="Arial" w:cs="Arial" w:eastAsia="Arial" w:hAnsi="Arial"/>
          <w:sz w:val="22"/>
          <w:szCs w:val="22"/>
          <w:b w:val="1"/>
          <w:bCs w:val="1"/>
          <w:color w:val="auto"/>
        </w:rPr>
        <w:t xml:space="preserve"> </w:t>
      </w:r>
      <w:r>
        <w:rPr>
          <w:rFonts w:ascii="Arial" w:cs="Arial" w:eastAsia="Arial" w:hAnsi="Arial"/>
          <w:sz w:val="22"/>
          <w:szCs w:val="22"/>
          <w:color w:val="auto"/>
        </w:rPr>
        <w:t>and 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221" w:lineRule="exact"/>
        <w:rPr>
          <w:sz w:val="20"/>
          <w:szCs w:val="20"/>
          <w:color w:val="auto"/>
        </w:rPr>
      </w:pPr>
    </w:p>
    <w:p>
      <w:pPr>
        <w:ind w:left="600" w:hanging="647"/>
        <w:spacing w:after="0" w:line="253" w:lineRule="auto"/>
        <w:tabs>
          <w:tab w:leader="none" w:pos="580" w:val="left"/>
        </w:tabs>
        <w:rPr>
          <w:sz w:val="20"/>
          <w:szCs w:val="20"/>
          <w:color w:val="auto"/>
        </w:rPr>
      </w:pPr>
      <w:r>
        <w:rPr>
          <w:rFonts w:ascii="Arial" w:cs="Arial" w:eastAsia="Arial" w:hAnsi="Arial"/>
          <w:sz w:val="22"/>
          <w:szCs w:val="22"/>
          <w:b w:val="1"/>
          <w:bCs w:val="1"/>
          <w:color w:val="auto"/>
        </w:rPr>
        <w:t>6.2</w:t>
        <w:tab/>
        <w:t xml:space="preserve">Credits to Account. </w:t>
      </w:r>
      <w:r>
        <w:rPr>
          <w:rFonts w:ascii="Arial" w:cs="Arial" w:eastAsia="Arial" w:hAnsi="Arial"/>
          <w:sz w:val="22"/>
          <w:szCs w:val="22"/>
          <w:color w:val="auto"/>
        </w:rPr>
        <w:t>A Participant’s Account will be credited for each Plan Year with the amount of his elective</w:t>
      </w:r>
      <w:r>
        <w:rPr>
          <w:rFonts w:ascii="Arial" w:cs="Arial" w:eastAsia="Arial" w:hAnsi="Arial"/>
          <w:sz w:val="22"/>
          <w:szCs w:val="22"/>
          <w:b w:val="1"/>
          <w:bCs w:val="1"/>
          <w:color w:val="auto"/>
        </w:rPr>
        <w:t xml:space="preserve"> </w:t>
      </w:r>
      <w:r>
        <w:rPr>
          <w:rFonts w:ascii="Arial" w:cs="Arial" w:eastAsia="Arial" w:hAnsi="Arial"/>
          <w:sz w:val="22"/>
          <w:szCs w:val="22"/>
          <w:color w:val="auto"/>
        </w:rPr>
        <w:t>deferrals under Section 4.1 at or within a reasonable time following the time the amount subject to the deferral election would otherwise have been payable to the Participant and the amount of Employer contributions treated as allocated on his behalf under Article 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620" w:right="27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2"/>
          <w:szCs w:val="22"/>
          <w:b w:val="1"/>
          <w:bCs w:val="1"/>
          <w:color w:val="auto"/>
        </w:rPr>
        <w:t>ARTICLE 7 – INVESTMENT OF CONTRIBUTIONS</w:t>
      </w:r>
    </w:p>
    <w:p>
      <w:pPr>
        <w:spacing w:after="0" w:line="200" w:lineRule="exact"/>
        <w:rPr>
          <w:sz w:val="20"/>
          <w:szCs w:val="20"/>
          <w:color w:val="auto"/>
        </w:rPr>
      </w:pPr>
    </w:p>
    <w:p>
      <w:pPr>
        <w:spacing w:after="0" w:line="317" w:lineRule="exact"/>
        <w:rPr>
          <w:sz w:val="20"/>
          <w:szCs w:val="20"/>
          <w:color w:val="auto"/>
        </w:rPr>
      </w:pPr>
    </w:p>
    <w:p>
      <w:pPr>
        <w:ind w:left="660" w:right="6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7.1</w:t>
        <w:tab/>
        <w:t xml:space="preserve">Investment Options. </w:t>
      </w:r>
      <w:r>
        <w:rPr>
          <w:rFonts w:ascii="Arial" w:cs="Arial" w:eastAsia="Arial" w:hAnsi="Arial"/>
          <w:sz w:val="22"/>
          <w:szCs w:val="22"/>
          <w:color w:val="auto"/>
        </w:rPr>
        <w:t>The amount credited to each Account shall be treated as invested in the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designated for this purpose by the Administrator.</w:t>
      </w:r>
    </w:p>
    <w:p>
      <w:pPr>
        <w:spacing w:after="0" w:line="192"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b w:val="1"/>
          <w:bCs w:val="1"/>
          <w:color w:val="auto"/>
        </w:rPr>
        <w:t xml:space="preserve">Adjustment of Accounts. </w:t>
      </w:r>
      <w:r>
        <w:rPr>
          <w:rFonts w:ascii="Arial" w:cs="Arial" w:eastAsia="Arial" w:hAnsi="Arial"/>
          <w:sz w:val="21"/>
          <w:szCs w:val="21"/>
          <w:color w:val="auto"/>
        </w:rPr>
        <w:t>The amount credited to each Account shall be adjusted for hypothetical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expenses, gains or losses in 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w:t>
      </w:r>
    </w:p>
    <w:p>
      <w:pPr>
        <w:spacing w:after="0" w:line="6" w:lineRule="exact"/>
        <w:rPr>
          <w:sz w:val="20"/>
          <w:szCs w:val="20"/>
          <w:color w:val="auto"/>
        </w:rPr>
      </w:pPr>
    </w:p>
    <w:p>
      <w:pPr>
        <w:ind w:left="660" w:right="120"/>
        <w:spacing w:after="0" w:line="246" w:lineRule="auto"/>
        <w:rPr>
          <w:sz w:val="20"/>
          <w:szCs w:val="20"/>
          <w:color w:val="auto"/>
        </w:rPr>
      </w:pPr>
      <w:r>
        <w:rPr>
          <w:rFonts w:ascii="Arial" w:cs="Arial" w:eastAsia="Arial" w:hAnsi="Arial"/>
          <w:sz w:val="22"/>
          <w:szCs w:val="22"/>
          <w:color w:val="auto"/>
        </w:rPr>
        <w:t>6.2; and (c) distributions or withdrawals. In addition, each Account may be adjusted for its allocable share of the hypothetical costs and expenses associated with the maintenance of the hypothetical investments provided in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2"/>
          <w:szCs w:val="22"/>
          <w:b w:val="1"/>
          <w:bCs w:val="1"/>
          <w:color w:val="auto"/>
        </w:rPr>
        <w:t>ARTICLE 8 – RIGHT TO BENEFITS</w:t>
      </w:r>
    </w:p>
    <w:p>
      <w:pPr>
        <w:spacing w:after="0" w:line="200" w:lineRule="exact"/>
        <w:rPr>
          <w:sz w:val="20"/>
          <w:szCs w:val="20"/>
          <w:color w:val="auto"/>
        </w:rPr>
      </w:pPr>
    </w:p>
    <w:p>
      <w:pPr>
        <w:spacing w:after="0" w:line="317" w:lineRule="exact"/>
        <w:rPr>
          <w:sz w:val="20"/>
          <w:szCs w:val="20"/>
          <w:color w:val="auto"/>
        </w:rPr>
      </w:pPr>
    </w:p>
    <w:p>
      <w:pPr>
        <w:ind w:left="600" w:right="320" w:hanging="647"/>
        <w:spacing w:after="0" w:line="274" w:lineRule="auto"/>
        <w:tabs>
          <w:tab w:leader="none" w:pos="580" w:val="left"/>
        </w:tabs>
        <w:rPr>
          <w:sz w:val="20"/>
          <w:szCs w:val="20"/>
          <w:color w:val="auto"/>
        </w:rPr>
      </w:pPr>
      <w:r>
        <w:rPr>
          <w:rFonts w:ascii="Arial" w:cs="Arial" w:eastAsia="Arial" w:hAnsi="Arial"/>
          <w:sz w:val="22"/>
          <w:szCs w:val="22"/>
          <w:b w:val="1"/>
          <w:bCs w:val="1"/>
          <w:color w:val="auto"/>
        </w:rPr>
        <w:t>8.1</w:t>
        <w:tab/>
        <w:t xml:space="preserve">Vesting. </w:t>
      </w:r>
      <w:r>
        <w:rPr>
          <w:rFonts w:ascii="Arial" w:cs="Arial" w:eastAsia="Arial" w:hAnsi="Arial"/>
          <w:sz w:val="22"/>
          <w:szCs w:val="22"/>
          <w:color w:val="auto"/>
        </w:rPr>
        <w:t>A Participant, at all times, has a 100% nonforfeitable interest in the amounts credited to his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attributable to his elective deferrals made in accordance with Section 4.1.</w:t>
      </w:r>
    </w:p>
    <w:p>
      <w:pPr>
        <w:spacing w:after="0" w:line="218" w:lineRule="exact"/>
        <w:rPr>
          <w:sz w:val="20"/>
          <w:szCs w:val="20"/>
          <w:color w:val="auto"/>
        </w:rPr>
      </w:pPr>
    </w:p>
    <w:p>
      <w:pPr>
        <w:ind w:left="600" w:right="20"/>
        <w:spacing w:after="0" w:line="244" w:lineRule="auto"/>
        <w:rPr>
          <w:sz w:val="20"/>
          <w:szCs w:val="20"/>
          <w:color w:val="auto"/>
        </w:rPr>
      </w:pPr>
      <w:r>
        <w:rPr>
          <w:rFonts w:ascii="Arial" w:cs="Arial" w:eastAsia="Arial" w:hAnsi="Arial"/>
          <w:sz w:val="22"/>
          <w:szCs w:val="22"/>
          <w:color w:val="auto"/>
        </w:rPr>
        <w:t>A Participant’s right to the amounts credited to his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Account. If the Plan Sponsor maintains a trust described in Article 11, any forfeited nonvested amounts may be used by the Plan Sponsor to reduce future contributions to the Plan.</w:t>
      </w:r>
    </w:p>
    <w:p>
      <w:pPr>
        <w:spacing w:after="0" w:line="227" w:lineRule="exact"/>
        <w:rPr>
          <w:sz w:val="20"/>
          <w:szCs w:val="20"/>
          <w:color w:val="auto"/>
        </w:rPr>
      </w:pPr>
    </w:p>
    <w:p>
      <w:pPr>
        <w:ind w:left="600" w:right="160" w:hanging="647"/>
        <w:spacing w:after="0" w:line="265" w:lineRule="auto"/>
        <w:tabs>
          <w:tab w:leader="none" w:pos="5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21"/>
          <w:szCs w:val="21"/>
          <w:b w:val="1"/>
          <w:bCs w:val="1"/>
          <w:color w:val="auto"/>
        </w:rPr>
        <w:t xml:space="preserve">Death. </w:t>
      </w:r>
      <w:r>
        <w:rPr>
          <w:rFonts w:ascii="Arial" w:cs="Arial" w:eastAsia="Arial" w:hAnsi="Arial"/>
          <w:sz w:val="21"/>
          <w:szCs w:val="21"/>
          <w:color w:val="auto"/>
        </w:rPr>
        <w:t>The Plan Sponsor may elect to accelerate vesting upon the death of the Participant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7.01(c) of the Adoption Agreement and/or to accelerate distributions upon Death in accordance with Section 6.01(b) or Section 6.01(d) of the 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w:t>
      </w:r>
    </w:p>
    <w:p>
      <w:pPr>
        <w:spacing w:after="0" w:line="232" w:lineRule="exact"/>
        <w:rPr>
          <w:sz w:val="20"/>
          <w:szCs w:val="20"/>
          <w:color w:val="auto"/>
        </w:rPr>
      </w:pPr>
    </w:p>
    <w:p>
      <w:pPr>
        <w:ind w:left="600" w:firstLine="648"/>
        <w:spacing w:after="0" w:line="249" w:lineRule="auto"/>
        <w:rPr>
          <w:sz w:val="20"/>
          <w:szCs w:val="20"/>
          <w:color w:val="auto"/>
        </w:rPr>
      </w:pPr>
      <w:r>
        <w:rPr>
          <w:rFonts w:ascii="Arial" w:cs="Arial" w:eastAsia="Arial" w:hAnsi="Arial"/>
          <w:sz w:val="22"/>
          <w:szCs w:val="22"/>
          <w:color w:val="auto"/>
        </w:rPr>
        <w:t>A Participant may designate a Beneficiary or Beneficiaries, or change any prior designation of Beneficiary or Beneficiaries in accordance with rules and procedures established by the Administrator.</w:t>
      </w:r>
    </w:p>
    <w:p>
      <w:pPr>
        <w:spacing w:after="0" w:line="245" w:lineRule="exact"/>
        <w:rPr>
          <w:sz w:val="20"/>
          <w:szCs w:val="20"/>
          <w:color w:val="auto"/>
        </w:rPr>
      </w:pPr>
    </w:p>
    <w:p>
      <w:pPr>
        <w:ind w:left="600" w:right="40"/>
        <w:spacing w:after="0" w:line="261" w:lineRule="auto"/>
        <w:rPr>
          <w:sz w:val="20"/>
          <w:szCs w:val="20"/>
          <w:color w:val="auto"/>
        </w:rPr>
      </w:pPr>
      <w:r>
        <w:rPr>
          <w:rFonts w:ascii="Arial" w:cs="Arial" w:eastAsia="Arial" w:hAnsi="Arial"/>
          <w:sz w:val="21"/>
          <w:szCs w:val="21"/>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estate (such estate shall be deemed to be the Beneficiary for purposes of the Plan) in accordance with the provisions of Article 9.</w:t>
      </w:r>
    </w:p>
    <w:p>
      <w:pPr>
        <w:spacing w:after="0" w:line="207" w:lineRule="exact"/>
        <w:rPr>
          <w:sz w:val="20"/>
          <w:szCs w:val="20"/>
          <w:color w:val="auto"/>
        </w:rPr>
      </w:pPr>
    </w:p>
    <w:p>
      <w:pPr>
        <w:ind w:left="600" w:right="180" w:hanging="647"/>
        <w:spacing w:after="0" w:line="251" w:lineRule="auto"/>
        <w:tabs>
          <w:tab w:leader="none" w:pos="580" w:val="left"/>
        </w:tabs>
        <w:rPr>
          <w:sz w:val="20"/>
          <w:szCs w:val="20"/>
          <w:color w:val="auto"/>
        </w:rPr>
      </w:pPr>
      <w:r>
        <w:rPr>
          <w:rFonts w:ascii="Arial" w:cs="Arial" w:eastAsia="Arial" w:hAnsi="Arial"/>
          <w:sz w:val="22"/>
          <w:szCs w:val="22"/>
          <w:b w:val="1"/>
          <w:bCs w:val="1"/>
          <w:color w:val="auto"/>
        </w:rPr>
        <w:t>8.3</w:t>
        <w:tab/>
        <w:t xml:space="preserve">Disability. </w:t>
      </w:r>
      <w:r>
        <w:rPr>
          <w:rFonts w:ascii="Arial" w:cs="Arial" w:eastAsia="Arial" w:hAnsi="Arial"/>
          <w:sz w:val="22"/>
          <w:szCs w:val="22"/>
          <w:color w:val="auto"/>
        </w:rPr>
        <w:t>If the Plan Sponsor has elected to accelerate vesting upon the occurrence of a Disability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7.01(c) of the Adoption Agreement and/or to permit distributions upon Disability in accordance with Section 6.01(b) or Section 6.01(d) of the Adoption Agreement, the determination of whether a Participant has incurred a Disability shall be made by the Administrator in its sole discretion in a manner consistent with the requirements of Code Section 409A.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364" w:right="299" w:bottom="1440" w:gutter="0" w:footer="0" w:header="0"/>
        </w:sectPr>
      </w:pPr>
    </w:p>
    <w:bookmarkStart w:id="283" w:name="page284"/>
    <w:bookmarkEnd w:id="283"/>
    <w:p>
      <w:pPr>
        <w:jc w:val="center"/>
        <w:spacing w:after="0"/>
        <w:rPr>
          <w:sz w:val="20"/>
          <w:szCs w:val="20"/>
          <w:color w:val="auto"/>
        </w:rPr>
      </w:pPr>
      <w:r>
        <w:rPr>
          <w:rFonts w:ascii="Arial" w:cs="Arial" w:eastAsia="Arial" w:hAnsi="Arial"/>
          <w:sz w:val="22"/>
          <w:szCs w:val="22"/>
          <w:b w:val="1"/>
          <w:bCs w:val="1"/>
          <w:color w:val="auto"/>
        </w:rPr>
        <w:t>ARTICLE 9 – DISTRIBUTION OF BENEFITS</w:t>
      </w:r>
    </w:p>
    <w:p>
      <w:pPr>
        <w:spacing w:after="0" w:line="200" w:lineRule="exact"/>
        <w:rPr>
          <w:sz w:val="20"/>
          <w:szCs w:val="20"/>
          <w:color w:val="auto"/>
        </w:rPr>
      </w:pPr>
    </w:p>
    <w:p>
      <w:pPr>
        <w:spacing w:after="0" w:line="398" w:lineRule="exact"/>
        <w:rPr>
          <w:sz w:val="20"/>
          <w:szCs w:val="20"/>
          <w:color w:val="auto"/>
        </w:rPr>
      </w:pPr>
    </w:p>
    <w:p>
      <w:pPr>
        <w:ind w:left="620" w:hanging="647"/>
        <w:spacing w:after="0" w:line="295" w:lineRule="auto"/>
        <w:tabs>
          <w:tab w:leader="none" w:pos="60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1"/>
          <w:szCs w:val="21"/>
          <w:b w:val="1"/>
          <w:bCs w:val="1"/>
          <w:color w:val="auto"/>
        </w:rPr>
        <w:t xml:space="preserve">Amount of Benefits. </w:t>
      </w:r>
      <w:r>
        <w:rPr>
          <w:rFonts w:ascii="Arial" w:cs="Arial" w:eastAsia="Arial" w:hAnsi="Arial"/>
          <w:sz w:val="21"/>
          <w:szCs w:val="21"/>
          <w:color w:val="auto"/>
        </w:rPr>
        <w:t>The vested amount credited to a Participant’s Account as determined under Articles 6, 7</w:t>
      </w:r>
      <w:r>
        <w:rPr>
          <w:rFonts w:ascii="Arial" w:cs="Arial" w:eastAsia="Arial" w:hAnsi="Arial"/>
          <w:sz w:val="21"/>
          <w:szCs w:val="21"/>
          <w:b w:val="1"/>
          <w:bCs w:val="1"/>
          <w:color w:val="auto"/>
        </w:rPr>
        <w:t xml:space="preserve"> </w:t>
      </w:r>
      <w:r>
        <w:rPr>
          <w:rFonts w:ascii="Arial" w:cs="Arial" w:eastAsia="Arial" w:hAnsi="Arial"/>
          <w:sz w:val="21"/>
          <w:szCs w:val="21"/>
          <w:color w:val="auto"/>
        </w:rPr>
        <w:t>and 8 shall determine and constitute the basis for the value of benefits payable to the Participant under the Plan.</w:t>
      </w:r>
    </w:p>
    <w:p>
      <w:pPr>
        <w:spacing w:after="0" w:line="1" w:lineRule="exact"/>
        <w:rPr>
          <w:sz w:val="20"/>
          <w:szCs w:val="20"/>
          <w:color w:val="auto"/>
        </w:rPr>
      </w:pPr>
    </w:p>
    <w:p>
      <w:pPr>
        <w:ind w:left="620" w:right="40" w:hanging="647"/>
        <w:spacing w:after="0" w:line="246" w:lineRule="auto"/>
        <w:tabs>
          <w:tab w:leader="none" w:pos="600" w:val="left"/>
        </w:tabs>
        <w:rPr>
          <w:sz w:val="20"/>
          <w:szCs w:val="20"/>
          <w:color w:val="auto"/>
        </w:rPr>
      </w:pPr>
      <w:r>
        <w:rPr>
          <w:rFonts w:ascii="Arial" w:cs="Arial" w:eastAsia="Arial" w:hAnsi="Arial"/>
          <w:sz w:val="22"/>
          <w:szCs w:val="22"/>
          <w:b w:val="1"/>
          <w:bCs w:val="1"/>
          <w:color w:val="auto"/>
        </w:rPr>
        <w:t>9.2</w:t>
        <w:tab/>
        <w:t xml:space="preserve">Method and Timing of Distributions. </w:t>
      </w:r>
      <w:r>
        <w:rPr>
          <w:rFonts w:ascii="Arial" w:cs="Arial" w:eastAsia="Arial" w:hAnsi="Arial"/>
          <w:sz w:val="22"/>
          <w:szCs w:val="22"/>
          <w:color w:val="auto"/>
        </w:rPr>
        <w:t>Except as otherwise provided in this Article 9, distributions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be made in accordance with the elections made or deemed made by the Participant under Article 4. Subject to the provisions of Section 9.6 requiring a six month delay for certain distributions to Key Employees, distributions following a payment event shall commence 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Reg. Sec. 1.409A-2(b). For purposes of this Section 9.2, a series of installment payments is always treated as a single payment and not as a series of separate payments.</w:t>
      </w:r>
    </w:p>
    <w:p>
      <w:pPr>
        <w:spacing w:after="0" w:line="46" w:lineRule="exact"/>
        <w:rPr>
          <w:sz w:val="20"/>
          <w:szCs w:val="20"/>
          <w:color w:val="auto"/>
        </w:rPr>
      </w:pPr>
    </w:p>
    <w:p>
      <w:pPr>
        <w:ind w:left="620" w:right="40" w:hanging="647"/>
        <w:spacing w:after="0" w:line="246" w:lineRule="auto"/>
        <w:tabs>
          <w:tab w:leader="none" w:pos="600" w:val="left"/>
        </w:tabs>
        <w:rPr>
          <w:sz w:val="20"/>
          <w:szCs w:val="20"/>
          <w:color w:val="auto"/>
        </w:rPr>
      </w:pPr>
      <w:r>
        <w:rPr>
          <w:rFonts w:ascii="Arial" w:cs="Arial" w:eastAsia="Arial" w:hAnsi="Arial"/>
          <w:sz w:val="22"/>
          <w:szCs w:val="22"/>
          <w:b w:val="1"/>
          <w:bCs w:val="1"/>
          <w:color w:val="auto"/>
        </w:rPr>
        <w:t>9.3</w:t>
        <w:tab/>
        <w:t xml:space="preserve">Unforeseeable Emergency. </w:t>
      </w:r>
      <w:r>
        <w:rPr>
          <w:rFonts w:ascii="Arial" w:cs="Arial" w:eastAsia="Arial" w:hAnsi="Arial"/>
          <w:sz w:val="22"/>
          <w:szCs w:val="22"/>
          <w:color w:val="auto"/>
        </w:rPr>
        <w:t>A Participant may request a distribution due to an Unforeseeable Emergency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Sponsor has elected to permit Unforeseeable Emergency withdrawals under Section 8.01(a) of the Adoption Agreement.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836" w:right="279" w:bottom="1440" w:gutter="0" w:footer="0" w:header="0"/>
        </w:sectPr>
      </w:pPr>
    </w:p>
    <w:bookmarkStart w:id="284" w:name="page285"/>
    <w:bookmarkEnd w:id="284"/>
    <w:p>
      <w:pPr>
        <w:ind w:left="640" w:right="60"/>
        <w:spacing w:after="0" w:line="257" w:lineRule="auto"/>
        <w:rPr>
          <w:sz w:val="20"/>
          <w:szCs w:val="20"/>
          <w:color w:val="auto"/>
        </w:rPr>
      </w:pPr>
      <w:r>
        <w:rPr>
          <w:rFonts w:ascii="Arial" w:cs="Arial" w:eastAsia="Arial" w:hAnsi="Arial"/>
          <w:sz w:val="21"/>
          <w:szCs w:val="21"/>
          <w:color w:val="auto"/>
        </w:rPr>
        <w:t>insurance or otherwise, (b) by 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experiences an Unforeseeable Emergency, the amount being delayed shall not be subject to the provisions of this Section 9.3 until the expiration of the six month period of delay required by section 9.6.</w:t>
      </w:r>
    </w:p>
    <w:p>
      <w:pPr>
        <w:spacing w:after="0" w:line="373" w:lineRule="exact"/>
        <w:rPr>
          <w:sz w:val="20"/>
          <w:szCs w:val="20"/>
          <w:color w:val="auto"/>
        </w:rPr>
      </w:pPr>
    </w:p>
    <w:p>
      <w:pPr>
        <w:ind w:left="640" w:hanging="647"/>
        <w:spacing w:after="0" w:line="249" w:lineRule="auto"/>
        <w:tabs>
          <w:tab w:leader="none" w:pos="620" w:val="left"/>
        </w:tabs>
        <w:rPr>
          <w:sz w:val="20"/>
          <w:szCs w:val="20"/>
          <w:color w:val="auto"/>
        </w:rPr>
      </w:pPr>
      <w:r>
        <w:rPr>
          <w:rFonts w:ascii="Arial" w:cs="Arial" w:eastAsia="Arial" w:hAnsi="Arial"/>
          <w:sz w:val="22"/>
          <w:szCs w:val="22"/>
          <w:b w:val="1"/>
          <w:bCs w:val="1"/>
          <w:color w:val="auto"/>
        </w:rPr>
        <w:t>9.4</w:t>
        <w:tab/>
        <w:t xml:space="preserve">Payment Election Overrides. </w:t>
      </w:r>
      <w:r>
        <w:rPr>
          <w:rFonts w:ascii="Arial" w:cs="Arial" w:eastAsia="Arial" w:hAnsi="Arial"/>
          <w:sz w:val="22"/>
          <w:szCs w:val="22"/>
          <w:color w:val="auto"/>
        </w:rPr>
        <w:t>If the Plan Sponsor has elected one or more payment election overrides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6.01(d) of the Adoption Agreement, the following provisions apply. Upon the occurrence of the first event selected by the Plan Sponsor, the remaining vested amount credited to the Participant’s Account shall be paid in the form designated to the Participant or his Beneficiary regardless of whether the Participant had made different elections of time and /or form of payment or whether the Participant was receiving installment payments at the time of the event.</w:t>
      </w:r>
    </w:p>
    <w:p>
      <w:pPr>
        <w:spacing w:after="0" w:line="46" w:lineRule="exact"/>
        <w:rPr>
          <w:sz w:val="20"/>
          <w:szCs w:val="20"/>
          <w:color w:val="auto"/>
        </w:rPr>
      </w:pPr>
    </w:p>
    <w:p>
      <w:pPr>
        <w:ind w:left="640" w:right="40" w:hanging="647"/>
        <w:spacing w:after="0" w:line="247" w:lineRule="auto"/>
        <w:tabs>
          <w:tab w:leader="none" w:pos="620" w:val="left"/>
        </w:tabs>
        <w:rPr>
          <w:sz w:val="20"/>
          <w:szCs w:val="20"/>
          <w:color w:val="auto"/>
        </w:rPr>
      </w:pPr>
      <w:r>
        <w:rPr>
          <w:rFonts w:ascii="Arial" w:cs="Arial" w:eastAsia="Arial" w:hAnsi="Arial"/>
          <w:sz w:val="22"/>
          <w:szCs w:val="22"/>
          <w:b w:val="1"/>
          <w:bCs w:val="1"/>
          <w:color w:val="auto"/>
        </w:rPr>
        <w:t>9.5</w:t>
        <w:tab/>
        <w:t xml:space="preserve">Cashouts Of Amounts Not Exceeding Stated Limit. </w:t>
      </w:r>
      <w:r>
        <w:rPr>
          <w:rFonts w:ascii="Arial" w:cs="Arial" w:eastAsia="Arial" w:hAnsi="Arial"/>
          <w:sz w:val="22"/>
          <w:szCs w:val="22"/>
          <w:color w:val="auto"/>
        </w:rPr>
        <w:t>If the vested amount credited to the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does not exceed the limit established for this purpose by the Plan Sponsor in Section 6.01(e) of the Adoption Agreement at the time he incurs a Separation from Service for any reason, the Employer shall distribute such amount to the Participant at the time specified in Section 6.01(a) of the Adoption Agreement in a single lump sum cash payment following such Separation from Service regardless of whether the Participant had made different elections of time or form of payment as to the vested amount credited to his Account or whether the Participant was receiving installments at the time of such termination. A Participant’s Account, for purposes of this Section 9.5, shall include any amounts described in Section 1.3.</w:t>
      </w:r>
    </w:p>
    <w:p>
      <w:pPr>
        <w:spacing w:after="0" w:line="65" w:lineRule="exact"/>
        <w:rPr>
          <w:sz w:val="20"/>
          <w:szCs w:val="20"/>
          <w:color w:val="auto"/>
        </w:rPr>
      </w:pPr>
    </w:p>
    <w:p>
      <w:pPr>
        <w:ind w:left="640" w:hanging="647"/>
        <w:spacing w:after="0" w:line="258" w:lineRule="auto"/>
        <w:tabs>
          <w:tab w:leader="none" w:pos="620" w:val="left"/>
        </w:tabs>
        <w:rPr>
          <w:sz w:val="20"/>
          <w:szCs w:val="20"/>
          <w:color w:val="auto"/>
        </w:rPr>
      </w:pPr>
      <w:r>
        <w:rPr>
          <w:rFonts w:ascii="Arial" w:cs="Arial" w:eastAsia="Arial" w:hAnsi="Arial"/>
          <w:sz w:val="22"/>
          <w:szCs w:val="22"/>
          <w:b w:val="1"/>
          <w:bCs w:val="1"/>
          <w:color w:val="auto"/>
        </w:rPr>
        <w:t>9.6</w:t>
        <w:tab/>
        <w:t>Required Delay in Payment to Key Employees</w:t>
      </w:r>
      <w:r>
        <w:rPr>
          <w:rFonts w:ascii="Arial" w:cs="Arial" w:eastAsia="Arial" w:hAnsi="Arial"/>
          <w:sz w:val="22"/>
          <w:szCs w:val="22"/>
          <w:color w:val="auto"/>
        </w:rPr>
        <w:t>. Except as otherwise provided in this Section 9.6, a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made on account of Separation from Service (or Retirement, if applicable) to a Participant who is a Key Employee as of the date of his Separation from Service (or Retirement, if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471" w:right="239" w:bottom="1440" w:gutter="0" w:footer="0" w:header="0"/>
        </w:sectPr>
      </w:pPr>
    </w:p>
    <w:bookmarkStart w:id="285" w:name="page286"/>
    <w:bookmarkEnd w:id="285"/>
    <w:p>
      <w:pPr>
        <w:ind w:left="4" w:right="220"/>
        <w:spacing w:after="0" w:line="245" w:lineRule="auto"/>
        <w:rPr>
          <w:sz w:val="20"/>
          <w:szCs w:val="20"/>
          <w:color w:val="auto"/>
        </w:rPr>
      </w:pPr>
      <w:r>
        <w:rPr>
          <w:rFonts w:ascii="Arial" w:cs="Arial" w:eastAsia="Arial" w:hAnsi="Arial"/>
          <w:sz w:val="22"/>
          <w:szCs w:val="22"/>
          <w:color w:val="auto"/>
        </w:rPr>
        <w:t>applicable) shall not be made before the date which is six months after the Separation from Service (or Retirement, if applicable). If payments to a Key Employee are delayed in accordance with this Section 9.6, the payments to which the Key Employee would otherwise have been entitled during the six month period shall be accumulated and paid in a single lump sum at the time specified in Section 6.01(a) of the Adoption Agreement after the six month period elapses.</w:t>
      </w:r>
    </w:p>
    <w:p>
      <w:pPr>
        <w:spacing w:after="0" w:line="200" w:lineRule="exact"/>
        <w:rPr>
          <w:sz w:val="20"/>
          <w:szCs w:val="20"/>
          <w:color w:val="auto"/>
        </w:rPr>
      </w:pPr>
    </w:p>
    <w:p>
      <w:pPr>
        <w:spacing w:after="0" w:line="210" w:lineRule="exact"/>
        <w:rPr>
          <w:sz w:val="20"/>
          <w:szCs w:val="20"/>
          <w:color w:val="auto"/>
        </w:rPr>
      </w:pPr>
    </w:p>
    <w:p>
      <w:pPr>
        <w:jc w:val="both"/>
        <w:ind w:left="4" w:right="20" w:hanging="4"/>
        <w:spacing w:after="0" w:line="255" w:lineRule="auto"/>
        <w:tabs>
          <w:tab w:leader="none" w:pos="328"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 Participant is treated as a Key Employee if (i) he is employed by a Related Employer any of whose stock is publicly traded on an established securities market, and (ii) he satisfies the requirements of Code Section 416(i)</w:t>
      </w:r>
    </w:p>
    <w:p>
      <w:pPr>
        <w:ind w:left="4" w:right="380"/>
        <w:spacing w:after="0" w:line="249" w:lineRule="auto"/>
        <w:rPr>
          <w:rFonts w:ascii="Arial" w:cs="Arial" w:eastAsia="Arial" w:hAnsi="Arial"/>
          <w:sz w:val="21"/>
          <w:szCs w:val="21"/>
          <w:color w:val="auto"/>
        </w:rPr>
      </w:pPr>
      <w:r>
        <w:rPr>
          <w:rFonts w:ascii="Arial" w:cs="Arial" w:eastAsia="Arial" w:hAnsi="Arial"/>
          <w:sz w:val="22"/>
          <w:szCs w:val="22"/>
          <w:color w:val="auto"/>
        </w:rPr>
        <w:t>(1)(A)(i), (ii) or (iii), determined without regard to Code Section 416(i)(5), at any time during the twelve month period ending on the Identification Date.</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4" w:right="20" w:hanging="4"/>
        <w:spacing w:after="0" w:line="261" w:lineRule="auto"/>
        <w:tabs>
          <w:tab w:leader="none" w:pos="328"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 Participant who is a Key Employee on an Identification Date shall be treated as a Key Employee for purposes of the six month delay in distributions for the twelve month period beginning on the first day of a month no later than the fourth month following the Identification Date. The Identification Date and the effective date of the delay in distributions shall be determined in accordance with Section 1.06 of the Adoption Agreement.</w:t>
      </w:r>
    </w:p>
    <w:p>
      <w:pPr>
        <w:spacing w:after="0" w:line="394" w:lineRule="exact"/>
        <w:rPr>
          <w:rFonts w:ascii="Arial" w:cs="Arial" w:eastAsia="Arial" w:hAnsi="Arial"/>
          <w:sz w:val="21"/>
          <w:szCs w:val="21"/>
          <w:color w:val="auto"/>
        </w:rPr>
      </w:pPr>
    </w:p>
    <w:p>
      <w:pPr>
        <w:ind w:left="4" w:hanging="4"/>
        <w:spacing w:after="0" w:line="244" w:lineRule="auto"/>
        <w:tabs>
          <w:tab w:leader="none" w:pos="31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Plan Sponsor may elect to apply an alternative method to identify Participants who will be treated as Key Employees for purposes of the six month delay in distributions if the method satisfies each of the following requirements. The alternative method is reasonably designed to include all Key Employees, is an objectively determinable standard providing no direct or indirect election to any Participant regarding its application, and results in either all Key Employees or no more than 200 Key Employees being identified in the class as of any date. Use of an alternative method that satisfies the requirements of this Section 9.6(c ) will not be treated as a change in the time and form of payment for purposes of Reg. Sec. 1.409A-2(b).</w:t>
      </w:r>
    </w:p>
    <w:p>
      <w:pPr>
        <w:spacing w:after="0" w:line="238" w:lineRule="exact"/>
        <w:rPr>
          <w:sz w:val="20"/>
          <w:szCs w:val="20"/>
          <w:color w:val="auto"/>
        </w:rPr>
      </w:pPr>
    </w:p>
    <w:p>
      <w:pPr>
        <w:ind w:left="4" w:right="80"/>
        <w:spacing w:after="0" w:line="248" w:lineRule="auto"/>
        <w:rPr>
          <w:sz w:val="20"/>
          <w:szCs w:val="20"/>
          <w:color w:val="auto"/>
        </w:rPr>
      </w:pPr>
      <w:r>
        <w:rPr>
          <w:rFonts w:ascii="Arial" w:cs="Arial" w:eastAsia="Arial" w:hAnsi="Arial"/>
          <w:sz w:val="22"/>
          <w:szCs w:val="22"/>
          <w:color w:val="auto"/>
        </w:rPr>
        <w:t>(d) The six month delay does not apply to payments described in Section 9.9(a),(b) or (d) or to payments that occur after the death of the Participant. If the payment of all or any portion of the Participant’s vested Account is being delayed in accordance with this Section 9.6 at the time he incurs a Disability which would otherwise require a distribution under the terms of the Plan, no amount shall be paid until the expiration of the six month period of delay required by this Section 9.6.</w:t>
      </w:r>
    </w:p>
    <w:p>
      <w:pPr>
        <w:spacing w:after="0" w:line="200" w:lineRule="exact"/>
        <w:rPr>
          <w:sz w:val="20"/>
          <w:szCs w:val="20"/>
          <w:color w:val="auto"/>
        </w:rPr>
      </w:pPr>
    </w:p>
    <w:p>
      <w:pPr>
        <w:spacing w:after="0" w:line="2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4"/>
          </w:cols>
          <w:pgMar w:left="896" w:top="471" w:right="279" w:bottom="1440" w:gutter="0" w:footer="0" w:header="0"/>
        </w:sectPr>
      </w:pPr>
    </w:p>
    <w:bookmarkStart w:id="286" w:name="page287"/>
    <w:bookmarkEnd w:id="286"/>
    <w:p>
      <w:pPr>
        <w:ind w:left="580" w:right="20" w:hanging="647"/>
        <w:spacing w:after="0" w:line="261" w:lineRule="auto"/>
        <w:tabs>
          <w:tab w:leader="none" w:pos="560" w:val="left"/>
        </w:tabs>
        <w:rPr>
          <w:sz w:val="20"/>
          <w:szCs w:val="20"/>
          <w:color w:val="auto"/>
        </w:rPr>
      </w:pPr>
      <w:r>
        <w:rPr>
          <w:rFonts w:ascii="Arial" w:cs="Arial" w:eastAsia="Arial" w:hAnsi="Arial"/>
          <w:sz w:val="22"/>
          <w:szCs w:val="22"/>
          <w:b w:val="1"/>
          <w:bCs w:val="1"/>
          <w:color w:val="auto"/>
        </w:rPr>
        <w:t>9.7</w:t>
      </w:r>
      <w:r>
        <w:rPr>
          <w:sz w:val="20"/>
          <w:szCs w:val="20"/>
          <w:color w:val="auto"/>
        </w:rPr>
        <w:tab/>
      </w: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If the Plan Sponsor has elected to permit distributions upon a Change in Control,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provisions shall apply. A 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w:t>
      </w:r>
    </w:p>
    <w:p>
      <w:pPr>
        <w:spacing w:after="0" w:line="2" w:lineRule="exact"/>
        <w:rPr>
          <w:sz w:val="20"/>
          <w:szCs w:val="20"/>
          <w:color w:val="auto"/>
        </w:rPr>
      </w:pPr>
    </w:p>
    <w:p>
      <w:pPr>
        <w:ind w:left="580" w:right="40"/>
        <w:spacing w:after="0" w:line="257" w:lineRule="auto"/>
        <w:rPr>
          <w:sz w:val="20"/>
          <w:szCs w:val="20"/>
          <w:color w:val="auto"/>
        </w:rPr>
      </w:pPr>
      <w:r>
        <w:rPr>
          <w:rFonts w:ascii="Arial" w:cs="Arial" w:eastAsia="Arial" w:hAnsi="Arial"/>
          <w:sz w:val="21"/>
          <w:szCs w:val="21"/>
          <w:color w:val="auto"/>
        </w:rPr>
        <w:t>11.02 of the Adoption Agreement to require distributions upon a Change in Control, the Participant’s remaining vested Account shall be paid to the Participant or the Participant’s Beneficiary at the time specified in Section 6.01(a) of the Adoption Agreement as a single lump sum 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 For the avoidance of doubt, for purposes of the Dell Nonqualified Deferred Compensation Plan, an Initial Public Offering of Plan Sponsor stock or a purchase of outstanding shares of Plan Sponsor by Michael Dell shall not constitute a Change in Control.</w:t>
      </w:r>
    </w:p>
    <w:p>
      <w:pPr>
        <w:spacing w:after="0" w:line="250" w:lineRule="exact"/>
        <w:rPr>
          <w:sz w:val="20"/>
          <w:szCs w:val="20"/>
          <w:color w:val="auto"/>
        </w:rPr>
      </w:pPr>
    </w:p>
    <w:p>
      <w:pPr>
        <w:ind w:left="580" w:right="120"/>
        <w:spacing w:after="0" w:line="245" w:lineRule="auto"/>
        <w:rPr>
          <w:sz w:val="20"/>
          <w:szCs w:val="20"/>
          <w:color w:val="auto"/>
        </w:rPr>
      </w:pPr>
      <w:r>
        <w:rPr>
          <w:rFonts w:ascii="Arial" w:cs="Arial" w:eastAsia="Arial" w:hAnsi="Arial"/>
          <w:sz w:val="22"/>
          <w:szCs w:val="22"/>
          <w:color w:val="auto"/>
        </w:rPr>
        <w:t>If a Participant continues to make deferrals in accordance with Article 4 after he has received a distribution due to a Change in Control, the residual amount payable to the Participant shall be paid at the time and in the form specified in the elections he makes in accordance with Article 4 or upon his death or Disability as provided in Article 8.</w:t>
      </w:r>
    </w:p>
    <w:p>
      <w:pPr>
        <w:spacing w:after="0" w:line="264" w:lineRule="exact"/>
        <w:rPr>
          <w:sz w:val="20"/>
          <w:szCs w:val="20"/>
          <w:color w:val="auto"/>
        </w:rPr>
      </w:pPr>
    </w:p>
    <w:p>
      <w:pPr>
        <w:ind w:left="580" w:right="60"/>
        <w:spacing w:after="0" w:line="244" w:lineRule="auto"/>
        <w:rPr>
          <w:sz w:val="20"/>
          <w:szCs w:val="20"/>
          <w:color w:val="auto"/>
        </w:rPr>
      </w:pPr>
      <w:r>
        <w:rPr>
          <w:rFonts w:ascii="Arial" w:cs="Arial" w:eastAsia="Arial" w:hAnsi="Arial"/>
          <w:sz w:val="22"/>
          <w:szCs w:val="22"/>
          <w:color w:val="auto"/>
        </w:rPr>
        <w:t>Whether a Change in Control has occurred will be determined by the Administrator in accordance with the rules and definitions set forth in this Section 9.7.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1" w:lineRule="exact"/>
        <w:rPr>
          <w:sz w:val="20"/>
          <w:szCs w:val="20"/>
          <w:color w:val="auto"/>
        </w:rPr>
      </w:pPr>
    </w:p>
    <w:p>
      <w:pPr>
        <w:ind w:left="1580" w:hanging="1004"/>
        <w:spacing w:after="0" w:line="260" w:lineRule="auto"/>
        <w:tabs>
          <w:tab w:leader="none" w:pos="1058" w:val="left"/>
        </w:tabs>
        <w:numPr>
          <w:ilvl w:val="0"/>
          <w:numId w:val="170"/>
        </w:numPr>
        <w:rPr>
          <w:rFonts w:ascii="Arial" w:cs="Arial" w:eastAsia="Arial" w:hAnsi="Arial"/>
          <w:sz w:val="21"/>
          <w:szCs w:val="21"/>
          <w:color w:val="auto"/>
        </w:rPr>
      </w:pPr>
      <w:r>
        <w:rPr>
          <w:rFonts w:ascii="Arial" w:cs="Arial" w:eastAsia="Arial" w:hAnsi="Arial"/>
          <w:sz w:val="21"/>
          <w:szCs w:val="21"/>
          <w:b w:val="1"/>
          <w:bCs w:val="1"/>
          <w:color w:val="auto"/>
        </w:rPr>
        <w:t xml:space="preserve">Relevant Corporations. </w:t>
      </w:r>
      <w:r>
        <w:rPr>
          <w:rFonts w:ascii="Arial" w:cs="Arial" w:eastAsia="Arial" w:hAnsi="Arial"/>
          <w:sz w:val="21"/>
          <w:szCs w:val="21"/>
          <w:color w:val="auto"/>
        </w:rPr>
        <w:t>To constitute a Change in Control for purposes of the Plan, the event must relate</w:t>
      </w:r>
      <w:r>
        <w:rPr>
          <w:rFonts w:ascii="Arial" w:cs="Arial" w:eastAsia="Arial" w:hAnsi="Arial"/>
          <w:sz w:val="21"/>
          <w:szCs w:val="21"/>
          <w:b w:val="1"/>
          <w:bCs w:val="1"/>
          <w:color w:val="auto"/>
        </w:rPr>
        <w:t xml:space="preserve"> </w:t>
      </w:r>
      <w:r>
        <w:rPr>
          <w:rFonts w:ascii="Arial" w:cs="Arial" w:eastAsia="Arial" w:hAnsi="Arial"/>
          <w:sz w:val="21"/>
          <w:szCs w:val="21"/>
          <w:color w:val="auto"/>
        </w:rPr>
        <w:t>to (i) the 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702" w:right="319" w:bottom="1440" w:gutter="0" w:footer="0" w:header="0"/>
        </w:sectPr>
      </w:pPr>
    </w:p>
    <w:bookmarkStart w:id="287" w:name="page288"/>
    <w:bookmarkEnd w:id="287"/>
    <w:p>
      <w:pPr>
        <w:ind w:left="504" w:right="100"/>
        <w:spacing w:after="0" w:line="243" w:lineRule="auto"/>
        <w:rPr>
          <w:sz w:val="20"/>
          <w:szCs w:val="20"/>
          <w:color w:val="auto"/>
        </w:rPr>
      </w:pPr>
      <w:r>
        <w:rPr>
          <w:rFonts w:ascii="Arial" w:cs="Arial" w:eastAsia="Arial" w:hAnsi="Arial"/>
          <w:sz w:val="22"/>
          <w:szCs w:val="22"/>
          <w:color w:val="auto"/>
        </w:rPr>
        <w:t>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6" w:lineRule="exact"/>
        <w:rPr>
          <w:sz w:val="20"/>
          <w:szCs w:val="20"/>
          <w:color w:val="auto"/>
        </w:rPr>
      </w:pPr>
    </w:p>
    <w:p>
      <w:pPr>
        <w:ind w:left="1004" w:right="20" w:hanging="1004"/>
        <w:spacing w:after="0" w:line="245" w:lineRule="auto"/>
        <w:tabs>
          <w:tab w:leader="none" w:pos="482" w:val="left"/>
        </w:tabs>
        <w:numPr>
          <w:ilvl w:val="0"/>
          <w:numId w:val="171"/>
        </w:numPr>
        <w:rPr>
          <w:rFonts w:ascii="Arial" w:cs="Arial" w:eastAsia="Arial" w:hAnsi="Arial"/>
          <w:sz w:val="22"/>
          <w:szCs w:val="22"/>
          <w:color w:val="auto"/>
        </w:rPr>
      </w:pPr>
      <w:r>
        <w:rPr>
          <w:rFonts w:ascii="Arial" w:cs="Arial" w:eastAsia="Arial" w:hAnsi="Arial"/>
          <w:sz w:val="22"/>
          <w:szCs w:val="22"/>
          <w:b w:val="1"/>
          <w:bCs w:val="1"/>
          <w:color w:val="auto"/>
        </w:rPr>
        <w:t xml:space="preserve">Stock Ownership. </w:t>
      </w:r>
      <w:r>
        <w:rPr>
          <w:rFonts w:ascii="Arial" w:cs="Arial" w:eastAsia="Arial" w:hAnsi="Arial"/>
          <w:sz w:val="22"/>
          <w:szCs w:val="22"/>
          <w:color w:val="auto"/>
        </w:rPr>
        <w:t>Code Section 318(a) applies for purposes of determining stock ownership.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3" w:lineRule="exact"/>
        <w:rPr>
          <w:rFonts w:ascii="Arial" w:cs="Arial" w:eastAsia="Arial" w:hAnsi="Arial"/>
          <w:sz w:val="22"/>
          <w:szCs w:val="22"/>
          <w:color w:val="auto"/>
        </w:rPr>
      </w:pPr>
    </w:p>
    <w:p>
      <w:pPr>
        <w:ind w:left="1004" w:hanging="1004"/>
        <w:spacing w:after="0" w:line="244" w:lineRule="auto"/>
        <w:tabs>
          <w:tab w:leader="none" w:pos="482" w:val="left"/>
        </w:tabs>
        <w:numPr>
          <w:ilvl w:val="0"/>
          <w:numId w:val="171"/>
        </w:numPr>
        <w:rPr>
          <w:rFonts w:ascii="Arial" w:cs="Arial" w:eastAsia="Arial" w:hAnsi="Arial"/>
          <w:sz w:val="22"/>
          <w:szCs w:val="22"/>
          <w:color w:val="auto"/>
        </w:rPr>
      </w:pPr>
      <w:r>
        <w:rPr>
          <w:rFonts w:ascii="Arial" w:cs="Arial" w:eastAsia="Arial" w:hAnsi="Arial"/>
          <w:sz w:val="22"/>
          <w:szCs w:val="22"/>
          <w:b w:val="1"/>
          <w:bCs w:val="1"/>
          <w:color w:val="auto"/>
        </w:rPr>
        <w:t xml:space="preserve">Change in the Ownership of a Corporation. </w:t>
      </w:r>
      <w:r>
        <w:rPr>
          <w:rFonts w:ascii="Arial" w:cs="Arial" w:eastAsia="Arial" w:hAnsi="Arial"/>
          <w:sz w:val="22"/>
          <w:szCs w:val="22"/>
          <w:color w:val="auto"/>
        </w:rPr>
        <w:t>A change in the ownership of a corporation occurs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that 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w:t>
      </w:r>
    </w:p>
    <w:p>
      <w:pPr>
        <w:spacing w:after="0" w:line="22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4"/>
          </w:cols>
          <w:pgMar w:left="896" w:top="390" w:right="239" w:bottom="1440" w:gutter="0" w:footer="0" w:header="0"/>
        </w:sectPr>
      </w:pPr>
    </w:p>
    <w:bookmarkStart w:id="288" w:name="page289"/>
    <w:bookmarkEnd w:id="288"/>
    <w:p>
      <w:pPr>
        <w:ind w:left="504" w:right="60"/>
        <w:spacing w:after="0" w:line="244" w:lineRule="auto"/>
        <w:rPr>
          <w:sz w:val="20"/>
          <w:szCs w:val="20"/>
          <w:color w:val="auto"/>
        </w:rPr>
      </w:pPr>
      <w:r>
        <w:rPr>
          <w:rFonts w:ascii="Arial" w:cs="Arial" w:eastAsia="Arial" w:hAnsi="Arial"/>
          <w:sz w:val="22"/>
          <w:szCs w:val="22"/>
          <w:color w:val="auto"/>
        </w:rPr>
        <w:t>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ind w:left="1004" w:hanging="1004"/>
        <w:spacing w:after="0" w:line="256" w:lineRule="auto"/>
        <w:tabs>
          <w:tab w:leader="none" w:pos="482" w:val="left"/>
        </w:tabs>
        <w:numPr>
          <w:ilvl w:val="0"/>
          <w:numId w:val="172"/>
        </w:numPr>
        <w:rPr>
          <w:rFonts w:ascii="Arial" w:cs="Arial" w:eastAsia="Arial" w:hAnsi="Arial"/>
          <w:sz w:val="21"/>
          <w:szCs w:val="21"/>
          <w:color w:val="auto"/>
        </w:rPr>
      </w:pPr>
      <w:r>
        <w:rPr>
          <w:rFonts w:ascii="Arial" w:cs="Arial" w:eastAsia="Arial" w:hAnsi="Arial"/>
          <w:sz w:val="21"/>
          <w:szCs w:val="21"/>
          <w:b w:val="1"/>
          <w:bCs w:val="1"/>
          <w:color w:val="auto"/>
        </w:rPr>
        <w:t xml:space="preserve">Change in the effective control of a corporation. </w:t>
      </w:r>
      <w:r>
        <w:rPr>
          <w:rFonts w:ascii="Arial" w:cs="Arial" w:eastAsia="Arial" w:hAnsi="Arial"/>
          <w:sz w:val="21"/>
          <w:szCs w:val="21"/>
          <w:color w:val="auto"/>
        </w:rPr>
        <w:t>A change in the effective control of a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occurs on the 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 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w:t>
      </w:r>
    </w:p>
    <w:p>
      <w:pPr>
        <w:spacing w:after="0" w:line="200" w:lineRule="exact"/>
        <w:rPr>
          <w:sz w:val="20"/>
          <w:szCs w:val="20"/>
          <w:color w:val="auto"/>
        </w:rPr>
      </w:pPr>
    </w:p>
    <w:p>
      <w:pPr>
        <w:spacing w:after="0" w:line="2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44"/>
          </w:cols>
          <w:pgMar w:left="896" w:top="390" w:right="259" w:bottom="1440" w:gutter="0" w:footer="0" w:header="0"/>
        </w:sectPr>
      </w:pPr>
    </w:p>
    <w:bookmarkStart w:id="289" w:name="page290"/>
    <w:bookmarkEnd w:id="289"/>
    <w:p>
      <w:pPr>
        <w:ind w:left="1140"/>
        <w:spacing w:after="0"/>
        <w:rPr>
          <w:sz w:val="20"/>
          <w:szCs w:val="20"/>
          <w:color w:val="auto"/>
        </w:rPr>
      </w:pPr>
      <w:r>
        <w:rPr>
          <w:rFonts w:ascii="Arial" w:cs="Arial" w:eastAsia="Arial" w:hAnsi="Arial"/>
          <w:sz w:val="22"/>
          <w:szCs w:val="22"/>
          <w:color w:val="auto"/>
        </w:rPr>
        <w:t>other corporation.</w:t>
      </w:r>
    </w:p>
    <w:p>
      <w:pPr>
        <w:spacing w:after="0" w:line="7" w:lineRule="exact"/>
        <w:rPr>
          <w:sz w:val="20"/>
          <w:szCs w:val="20"/>
          <w:color w:val="auto"/>
        </w:rPr>
      </w:pPr>
    </w:p>
    <w:p>
      <w:pPr>
        <w:ind w:left="1640" w:hanging="1004"/>
        <w:spacing w:after="0" w:line="255" w:lineRule="auto"/>
        <w:tabs>
          <w:tab w:leader="none" w:pos="1118"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 xml:space="preserve">Change in the ownership of a substantial portion of a corporation’s assets. </w:t>
      </w:r>
      <w:r>
        <w:rPr>
          <w:rFonts w:ascii="Arial" w:cs="Arial" w:eastAsia="Arial" w:hAnsi="Arial"/>
          <w:sz w:val="21"/>
          <w:szCs w:val="21"/>
          <w:color w:val="auto"/>
        </w:rPr>
        <w:t>A change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ownership of a substantial portion of a corporation’s assets occurs on the date that any one person, or more than one person acting as a group (as determined in accordance with rules similar to those set forth in Section 9.7(d)),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w:t>
      </w:r>
    </w:p>
    <w:p>
      <w:pPr>
        <w:spacing w:after="0" w:line="10" w:lineRule="exact"/>
        <w:rPr>
          <w:rFonts w:ascii="Arial" w:cs="Arial" w:eastAsia="Arial" w:hAnsi="Arial"/>
          <w:sz w:val="21"/>
          <w:szCs w:val="21"/>
          <w:color w:val="auto"/>
        </w:rPr>
      </w:pPr>
    </w:p>
    <w:p>
      <w:pPr>
        <w:ind w:left="1640" w:right="20"/>
        <w:spacing w:after="0" w:line="246" w:lineRule="auto"/>
        <w:rPr>
          <w:rFonts w:ascii="Arial" w:cs="Arial" w:eastAsia="Arial" w:hAnsi="Arial"/>
          <w:sz w:val="21"/>
          <w:szCs w:val="21"/>
          <w:color w:val="auto"/>
        </w:rPr>
      </w:pPr>
      <w:r>
        <w:rPr>
          <w:rFonts w:ascii="Arial" w:cs="Arial" w:eastAsia="Arial" w:hAnsi="Arial"/>
          <w:sz w:val="22"/>
          <w:szCs w:val="22"/>
          <w:color w:val="auto"/>
        </w:rPr>
        <w:t>(50%) of the total value or voting power of which is owned, directly or indirectly, by a person described in Section 9.7(e)(iii). For purposes of the foregoing, and except as otherwise provided, a person’s status is determined immediately after the transfer of assets.</w:t>
      </w:r>
    </w:p>
    <w:p>
      <w:pPr>
        <w:spacing w:after="0" w:line="385" w:lineRule="exact"/>
        <w:rPr>
          <w:sz w:val="20"/>
          <w:szCs w:val="20"/>
          <w:color w:val="auto"/>
        </w:rPr>
      </w:pPr>
    </w:p>
    <w:p>
      <w:pPr>
        <w:ind w:left="640" w:right="200" w:hanging="647"/>
        <w:spacing w:after="0" w:line="258" w:lineRule="auto"/>
        <w:tabs>
          <w:tab w:leader="none" w:pos="620" w:val="left"/>
        </w:tabs>
        <w:rPr>
          <w:sz w:val="20"/>
          <w:szCs w:val="20"/>
          <w:color w:val="auto"/>
        </w:rPr>
      </w:pPr>
      <w:r>
        <w:rPr>
          <w:rFonts w:ascii="Arial" w:cs="Arial" w:eastAsia="Arial" w:hAnsi="Arial"/>
          <w:sz w:val="22"/>
          <w:szCs w:val="22"/>
          <w:b w:val="1"/>
          <w:bCs w:val="1"/>
          <w:color w:val="auto"/>
        </w:rPr>
        <w:t>9.8</w:t>
        <w:tab/>
        <w:t xml:space="preserve">Permissible Delays in Payment. </w:t>
      </w:r>
      <w:r>
        <w:rPr>
          <w:rFonts w:ascii="Arial" w:cs="Arial" w:eastAsia="Arial" w:hAnsi="Arial"/>
          <w:sz w:val="22"/>
          <w:szCs w:val="22"/>
          <w:color w:val="auto"/>
        </w:rPr>
        <w:t>Distributions may be delayed beyond the date payment would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occur in accordance with the provisions of Articles 8 and 9 in any of the following circumstances as long as the Employer treats all payments to similarly situated Participants on a reasonably consistent basis.</w:t>
      </w:r>
    </w:p>
    <w:p>
      <w:pPr>
        <w:spacing w:after="0" w:line="318" w:lineRule="exact"/>
        <w:rPr>
          <w:sz w:val="20"/>
          <w:szCs w:val="20"/>
          <w:color w:val="auto"/>
        </w:rPr>
      </w:pPr>
    </w:p>
    <w:p>
      <w:pPr>
        <w:ind w:left="1680" w:right="80" w:hanging="1044"/>
        <w:spacing w:after="0" w:line="245" w:lineRule="auto"/>
        <w:tabs>
          <w:tab w:leader="none" w:pos="115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390" w:right="259" w:bottom="1440" w:gutter="0" w:footer="0" w:header="0"/>
        </w:sectPr>
      </w:pPr>
    </w:p>
    <w:bookmarkStart w:id="290" w:name="page291"/>
    <w:bookmarkEnd w:id="290"/>
    <w:p>
      <w:pPr>
        <w:ind w:left="1140"/>
        <w:spacing w:after="0" w:line="244" w:lineRule="auto"/>
        <w:rPr>
          <w:sz w:val="20"/>
          <w:szCs w:val="20"/>
          <w:color w:val="auto"/>
        </w:rPr>
      </w:pPr>
      <w:r>
        <w:rPr>
          <w:rFonts w:ascii="Arial" w:cs="Arial" w:eastAsia="Arial" w:hAnsi="Arial"/>
          <w:sz w:val="22"/>
          <w:szCs w:val="22"/>
          <w:color w:val="auto"/>
        </w:rPr>
        <w:t>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w:t>
      </w:r>
    </w:p>
    <w:p>
      <w:pPr>
        <w:spacing w:after="0" w:line="253" w:lineRule="exact"/>
        <w:rPr>
          <w:sz w:val="20"/>
          <w:szCs w:val="20"/>
          <w:color w:val="auto"/>
        </w:rPr>
      </w:pPr>
    </w:p>
    <w:p>
      <w:pPr>
        <w:ind w:left="1680" w:right="160" w:hanging="1044"/>
        <w:spacing w:after="0" w:line="245" w:lineRule="auto"/>
        <w:tabs>
          <w:tab w:leader="none" w:pos="115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250" w:lineRule="exact"/>
        <w:rPr>
          <w:rFonts w:ascii="Arial" w:cs="Arial" w:eastAsia="Arial" w:hAnsi="Arial"/>
          <w:sz w:val="22"/>
          <w:szCs w:val="22"/>
          <w:color w:val="auto"/>
        </w:rPr>
      </w:pPr>
    </w:p>
    <w:p>
      <w:pPr>
        <w:ind w:left="1680" w:right="560" w:hanging="1044"/>
        <w:spacing w:after="0" w:line="246" w:lineRule="auto"/>
        <w:tabs>
          <w:tab w:leader="none" w:pos="115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304" w:lineRule="exact"/>
        <w:rPr>
          <w:sz w:val="20"/>
          <w:szCs w:val="20"/>
          <w:color w:val="auto"/>
        </w:rPr>
      </w:pPr>
    </w:p>
    <w:p>
      <w:pPr>
        <w:jc w:val="both"/>
        <w:ind w:left="640" w:right="480" w:hanging="647"/>
        <w:spacing w:after="0" w:line="276" w:lineRule="auto"/>
        <w:tabs>
          <w:tab w:leader="none" w:pos="620" w:val="left"/>
        </w:tabs>
        <w:rPr>
          <w:sz w:val="20"/>
          <w:szCs w:val="20"/>
          <w:color w:val="auto"/>
        </w:rPr>
      </w:pPr>
      <w:r>
        <w:rPr>
          <w:rFonts w:ascii="Arial" w:cs="Arial" w:eastAsia="Arial" w:hAnsi="Arial"/>
          <w:sz w:val="22"/>
          <w:szCs w:val="22"/>
          <w:b w:val="1"/>
          <w:bCs w:val="1"/>
          <w:color w:val="auto"/>
        </w:rPr>
        <w:t>9.9</w:t>
      </w:r>
      <w:r>
        <w:rPr>
          <w:sz w:val="20"/>
          <w:szCs w:val="20"/>
          <w:color w:val="auto"/>
        </w:rPr>
        <w:tab/>
      </w:r>
      <w:r>
        <w:rPr>
          <w:rFonts w:ascii="Arial" w:cs="Arial" w:eastAsia="Arial" w:hAnsi="Arial"/>
          <w:sz w:val="21"/>
          <w:szCs w:val="21"/>
          <w:b w:val="1"/>
          <w:bCs w:val="1"/>
          <w:color w:val="auto"/>
        </w:rPr>
        <w:t>Permitted Acceleration of Payment</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Employer may permit acceleration of the time or schedule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or amount scheduled to be paid pursuant to a payment under the Plan provided such acceleration would be permitted by the provisions of Reg. Sec. 1.409A-3(j)(4), including the following events:</w:t>
      </w:r>
    </w:p>
    <w:p>
      <w:pPr>
        <w:spacing w:after="0" w:line="153" w:lineRule="exact"/>
        <w:rPr>
          <w:sz w:val="20"/>
          <w:szCs w:val="20"/>
          <w:color w:val="auto"/>
        </w:rPr>
      </w:pPr>
    </w:p>
    <w:p>
      <w:pPr>
        <w:ind w:left="1280" w:right="300" w:hanging="644"/>
        <w:spacing w:after="0" w:line="258" w:lineRule="auto"/>
        <w:tabs>
          <w:tab w:leader="none" w:pos="1280" w:val="left"/>
        </w:tabs>
        <w:numPr>
          <w:ilvl w:val="0"/>
          <w:numId w:val="176"/>
        </w:numPr>
        <w:rPr>
          <w:rFonts w:ascii="Arial" w:cs="Arial" w:eastAsia="Arial" w:hAnsi="Arial"/>
          <w:sz w:val="22"/>
          <w:szCs w:val="22"/>
          <w:color w:val="auto"/>
        </w:rPr>
      </w:pPr>
      <w:r>
        <w:rPr>
          <w:rFonts w:ascii="Arial" w:cs="Arial" w:eastAsia="Arial" w:hAnsi="Arial"/>
          <w:sz w:val="22"/>
          <w:szCs w:val="22"/>
          <w:b w:val="1"/>
          <w:bCs w:val="1"/>
          <w:color w:val="auto"/>
        </w:rPr>
        <w:t xml:space="preserve">Domestic Relations Order. </w:t>
      </w:r>
      <w:r>
        <w:rPr>
          <w:rFonts w:ascii="Arial" w:cs="Arial" w:eastAsia="Arial" w:hAnsi="Arial"/>
          <w:sz w:val="22"/>
          <w:szCs w:val="22"/>
          <w:color w:val="auto"/>
        </w:rPr>
        <w:t>A payment may be accelerated if such payment is made to an alternate</w:t>
      </w:r>
      <w:r>
        <w:rPr>
          <w:rFonts w:ascii="Arial" w:cs="Arial" w:eastAsia="Arial" w:hAnsi="Arial"/>
          <w:sz w:val="22"/>
          <w:szCs w:val="22"/>
          <w:b w:val="1"/>
          <w:bCs w:val="1"/>
          <w:color w:val="auto"/>
        </w:rPr>
        <w:t xml:space="preserve"> </w:t>
      </w:r>
      <w:r>
        <w:rPr>
          <w:rFonts w:ascii="Arial" w:cs="Arial" w:eastAsia="Arial" w:hAnsi="Arial"/>
          <w:sz w:val="22"/>
          <w:szCs w:val="22"/>
          <w:color w:val="auto"/>
        </w:rPr>
        <w:t>payee pursuant to and following the receipt and qualification of a domestic relations order as defined in Code Section 414(p).</w:t>
      </w:r>
    </w:p>
    <w:p>
      <w:pPr>
        <w:spacing w:after="0" w:line="170" w:lineRule="exact"/>
        <w:rPr>
          <w:rFonts w:ascii="Arial" w:cs="Arial" w:eastAsia="Arial" w:hAnsi="Arial"/>
          <w:sz w:val="22"/>
          <w:szCs w:val="22"/>
          <w:color w:val="auto"/>
        </w:rPr>
      </w:pPr>
    </w:p>
    <w:p>
      <w:pPr>
        <w:ind w:left="1280" w:right="420" w:hanging="644"/>
        <w:spacing w:after="0" w:line="253" w:lineRule="auto"/>
        <w:tabs>
          <w:tab w:leader="none" w:pos="1280" w:val="left"/>
        </w:tabs>
        <w:numPr>
          <w:ilvl w:val="0"/>
          <w:numId w:val="176"/>
        </w:numPr>
        <w:rPr>
          <w:rFonts w:ascii="Arial" w:cs="Arial" w:eastAsia="Arial" w:hAnsi="Arial"/>
          <w:sz w:val="22"/>
          <w:szCs w:val="22"/>
          <w:color w:val="auto"/>
        </w:rPr>
      </w:pPr>
      <w:r>
        <w:rPr>
          <w:rFonts w:ascii="Arial" w:cs="Arial" w:eastAsia="Arial" w:hAnsi="Arial"/>
          <w:sz w:val="22"/>
          <w:szCs w:val="22"/>
          <w:b w:val="1"/>
          <w:bCs w:val="1"/>
          <w:color w:val="auto"/>
        </w:rPr>
        <w:t xml:space="preserve">Compliance with Ethics Agreements and Legal Requirements. </w:t>
      </w:r>
      <w:r>
        <w:rPr>
          <w:rFonts w:ascii="Arial" w:cs="Arial" w:eastAsia="Arial" w:hAnsi="Arial"/>
          <w:sz w:val="22"/>
          <w:szCs w:val="22"/>
          <w:color w:val="auto"/>
        </w:rPr>
        <w:t>A payment may be accelerated as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175" w:lineRule="exact"/>
        <w:rPr>
          <w:rFonts w:ascii="Arial" w:cs="Arial" w:eastAsia="Arial" w:hAnsi="Arial"/>
          <w:sz w:val="22"/>
          <w:szCs w:val="22"/>
          <w:color w:val="auto"/>
        </w:rPr>
      </w:pPr>
    </w:p>
    <w:p>
      <w:pPr>
        <w:ind w:left="1280" w:right="140" w:hanging="644"/>
        <w:spacing w:after="0" w:line="258" w:lineRule="auto"/>
        <w:tabs>
          <w:tab w:leader="none" w:pos="1280" w:val="left"/>
        </w:tabs>
        <w:numPr>
          <w:ilvl w:val="0"/>
          <w:numId w:val="176"/>
        </w:numPr>
        <w:rPr>
          <w:rFonts w:ascii="Arial" w:cs="Arial" w:eastAsia="Arial" w:hAnsi="Arial"/>
          <w:sz w:val="22"/>
          <w:szCs w:val="22"/>
          <w:color w:val="auto"/>
        </w:rPr>
      </w:pPr>
      <w:r>
        <w:rPr>
          <w:rFonts w:ascii="Arial" w:cs="Arial" w:eastAsia="Arial" w:hAnsi="Arial"/>
          <w:sz w:val="22"/>
          <w:szCs w:val="22"/>
          <w:b w:val="1"/>
          <w:bCs w:val="1"/>
          <w:color w:val="auto"/>
        </w:rPr>
        <w:t xml:space="preserve">De Minimis Amounts. </w:t>
      </w:r>
      <w:r>
        <w:rPr>
          <w:rFonts w:ascii="Arial" w:cs="Arial" w:eastAsia="Arial" w:hAnsi="Arial"/>
          <w:sz w:val="22"/>
          <w:szCs w:val="22"/>
          <w:color w:val="auto"/>
        </w:rPr>
        <w:t>A payment will be accelerated if (i) the amount of the payment is not greater than</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dollar amount under Code Section 402(g)(1)(B), (ii) at the time the payment is made the amount constitutes the Participant’s entire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390" w:right="239" w:bottom="1440" w:gutter="0" w:footer="0" w:header="0"/>
        </w:sectPr>
      </w:pPr>
    </w:p>
    <w:bookmarkStart w:id="291" w:name="page292"/>
    <w:bookmarkEnd w:id="291"/>
    <w:p>
      <w:pPr>
        <w:ind w:left="644"/>
        <w:spacing w:after="0"/>
        <w:rPr>
          <w:sz w:val="20"/>
          <w:szCs w:val="20"/>
          <w:color w:val="auto"/>
        </w:rPr>
      </w:pPr>
      <w:r>
        <w:rPr>
          <w:rFonts w:ascii="Arial" w:cs="Arial" w:eastAsia="Arial" w:hAnsi="Arial"/>
          <w:sz w:val="21"/>
          <w:szCs w:val="21"/>
          <w:color w:val="auto"/>
        </w:rPr>
        <w:t>interest under the Plan and all other plans that are aggregated with the Plan under Reg. Sec. 1.409A-1(c)</w:t>
      </w:r>
    </w:p>
    <w:p>
      <w:pPr>
        <w:spacing w:after="0" w:line="1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(2).</w:t>
      </w:r>
    </w:p>
    <w:p>
      <w:pPr>
        <w:spacing w:after="0" w:line="194" w:lineRule="exact"/>
        <w:rPr>
          <w:sz w:val="20"/>
          <w:szCs w:val="20"/>
          <w:color w:val="auto"/>
        </w:rPr>
      </w:pPr>
    </w:p>
    <w:p>
      <w:pPr>
        <w:ind w:left="644" w:right="100" w:hanging="644"/>
        <w:spacing w:after="0" w:line="248" w:lineRule="auto"/>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 xml:space="preserve">FICA Tax. </w:t>
      </w:r>
      <w:r>
        <w:rPr>
          <w:rFonts w:ascii="Arial" w:cs="Arial" w:eastAsia="Arial" w:hAnsi="Arial"/>
          <w:sz w:val="22"/>
          <w:szCs w:val="22"/>
          <w:color w:val="auto"/>
        </w:rPr>
        <w:t>A payment may be accelerated to the extent required to pay the Federal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Contributions Act tax 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182" w:lineRule="exact"/>
        <w:rPr>
          <w:rFonts w:ascii="Arial" w:cs="Arial" w:eastAsia="Arial" w:hAnsi="Arial"/>
          <w:sz w:val="22"/>
          <w:szCs w:val="22"/>
          <w:color w:val="auto"/>
        </w:rPr>
      </w:pPr>
    </w:p>
    <w:p>
      <w:pPr>
        <w:ind w:left="644" w:hanging="644"/>
        <w:spacing w:after="0" w:line="276" w:lineRule="auto"/>
        <w:tabs>
          <w:tab w:leader="none" w:pos="644" w:val="left"/>
        </w:tabs>
        <w:numPr>
          <w:ilvl w:val="0"/>
          <w:numId w:val="177"/>
        </w:numPr>
        <w:rPr>
          <w:rFonts w:ascii="Arial" w:cs="Arial" w:eastAsia="Arial" w:hAnsi="Arial"/>
          <w:sz w:val="21"/>
          <w:szCs w:val="21"/>
          <w:color w:val="auto"/>
        </w:rPr>
      </w:pPr>
      <w:r>
        <w:rPr>
          <w:rFonts w:ascii="Arial" w:cs="Arial" w:eastAsia="Arial" w:hAnsi="Arial"/>
          <w:sz w:val="21"/>
          <w:szCs w:val="21"/>
          <w:b w:val="1"/>
          <w:bCs w:val="1"/>
          <w:color w:val="auto"/>
        </w:rPr>
        <w:t xml:space="preserve">Section 409A Additional Tax. </w:t>
      </w:r>
      <w:r>
        <w:rPr>
          <w:rFonts w:ascii="Arial" w:cs="Arial" w:eastAsia="Arial" w:hAnsi="Arial"/>
          <w:sz w:val="21"/>
          <w:szCs w:val="21"/>
          <w:color w:val="auto"/>
        </w:rPr>
        <w:t>A payment may be accelerated if the Plan fails to meet the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of Code Section 409A; provided that such payment may not exceed the amount required to be included in income as a result of the failure to comply with the requirements of Code Section 409A.</w:t>
      </w:r>
    </w:p>
    <w:p>
      <w:pPr>
        <w:spacing w:after="0" w:line="152" w:lineRule="exact"/>
        <w:rPr>
          <w:rFonts w:ascii="Arial" w:cs="Arial" w:eastAsia="Arial" w:hAnsi="Arial"/>
          <w:sz w:val="21"/>
          <w:szCs w:val="21"/>
          <w:color w:val="auto"/>
        </w:rPr>
      </w:pPr>
    </w:p>
    <w:p>
      <w:pPr>
        <w:ind w:left="644" w:right="100" w:hanging="644"/>
        <w:spacing w:after="0" w:line="251" w:lineRule="auto"/>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 xml:space="preserve">Offset. </w:t>
      </w:r>
      <w:r>
        <w:rPr>
          <w:rFonts w:ascii="Arial" w:cs="Arial" w:eastAsia="Arial" w:hAnsi="Arial"/>
          <w:sz w:val="22"/>
          <w:szCs w:val="22"/>
          <w:color w:val="auto"/>
        </w:rPr>
        <w:t>A payment may be accelerated in the Employer’s discretion as satisfaction of a debt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the 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176" w:lineRule="exact"/>
        <w:rPr>
          <w:rFonts w:ascii="Arial" w:cs="Arial" w:eastAsia="Arial" w:hAnsi="Arial"/>
          <w:sz w:val="22"/>
          <w:szCs w:val="22"/>
          <w:color w:val="auto"/>
        </w:rPr>
      </w:pPr>
    </w:p>
    <w:p>
      <w:pPr>
        <w:ind w:left="644" w:right="300" w:hanging="644"/>
        <w:spacing w:after="0" w:line="274" w:lineRule="auto"/>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 xml:space="preserve">Other Events. </w:t>
      </w:r>
      <w:r>
        <w:rPr>
          <w:rFonts w:ascii="Arial" w:cs="Arial" w:eastAsia="Arial" w:hAnsi="Arial"/>
          <w:sz w:val="22"/>
          <w:szCs w:val="22"/>
          <w:color w:val="auto"/>
        </w:rPr>
        <w:t>A payment may be accelerated in the Administrator’s discretion in connection with such</w:t>
      </w:r>
      <w:r>
        <w:rPr>
          <w:rFonts w:ascii="Arial" w:cs="Arial" w:eastAsia="Arial" w:hAnsi="Arial"/>
          <w:sz w:val="22"/>
          <w:szCs w:val="22"/>
          <w:b w:val="1"/>
          <w:bCs w:val="1"/>
          <w:color w:val="auto"/>
        </w:rPr>
        <w:t xml:space="preserve"> </w:t>
      </w:r>
      <w:r>
        <w:rPr>
          <w:rFonts w:ascii="Arial" w:cs="Arial" w:eastAsia="Arial" w:hAnsi="Arial"/>
          <w:sz w:val="22"/>
          <w:szCs w:val="22"/>
          <w:color w:val="auto"/>
        </w:rPr>
        <w:t>other events and conditions as permitted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4"/>
          </w:cols>
          <w:pgMar w:left="896" w:top="606" w:right="259" w:bottom="1440" w:gutter="0" w:footer="0" w:header="0"/>
        </w:sectPr>
      </w:pPr>
    </w:p>
    <w:bookmarkStart w:id="292" w:name="page293"/>
    <w:bookmarkEnd w:id="292"/>
    <w:p>
      <w:pPr>
        <w:jc w:val="center"/>
        <w:spacing w:after="0"/>
        <w:rPr>
          <w:sz w:val="20"/>
          <w:szCs w:val="20"/>
          <w:color w:val="auto"/>
        </w:rPr>
      </w:pPr>
      <w:r>
        <w:rPr>
          <w:rFonts w:ascii="Arial" w:cs="Arial" w:eastAsia="Arial" w:hAnsi="Arial"/>
          <w:sz w:val="22"/>
          <w:szCs w:val="22"/>
          <w:b w:val="1"/>
          <w:bCs w:val="1"/>
          <w:color w:val="auto"/>
        </w:rPr>
        <w:t>ARTICLE 10 – AMENDMENT AND TERMINATION</w:t>
      </w:r>
    </w:p>
    <w:p>
      <w:pPr>
        <w:spacing w:after="0" w:line="200" w:lineRule="exact"/>
        <w:rPr>
          <w:sz w:val="20"/>
          <w:szCs w:val="20"/>
          <w:color w:val="auto"/>
        </w:rPr>
      </w:pPr>
    </w:p>
    <w:p>
      <w:pPr>
        <w:spacing w:after="0" w:line="317" w:lineRule="exact"/>
        <w:rPr>
          <w:sz w:val="20"/>
          <w:szCs w:val="20"/>
          <w:color w:val="auto"/>
        </w:rPr>
      </w:pPr>
    </w:p>
    <w:p>
      <w:pPr>
        <w:ind w:left="640" w:right="40" w:hanging="647"/>
        <w:spacing w:after="0" w:line="253" w:lineRule="auto"/>
        <w:tabs>
          <w:tab w:leader="none" w:pos="620" w:val="left"/>
        </w:tabs>
        <w:rPr>
          <w:sz w:val="20"/>
          <w:szCs w:val="20"/>
          <w:color w:val="auto"/>
        </w:rPr>
      </w:pPr>
      <w:r>
        <w:rPr>
          <w:rFonts w:ascii="Arial" w:cs="Arial" w:eastAsia="Arial" w:hAnsi="Arial"/>
          <w:sz w:val="22"/>
          <w:szCs w:val="22"/>
          <w:b w:val="1"/>
          <w:bCs w:val="1"/>
          <w:color w:val="auto"/>
        </w:rPr>
        <w:t>10.1</w:t>
        <w:tab/>
        <w:t xml:space="preserve">Amendment by Plan Sponsor. </w:t>
      </w:r>
      <w:r>
        <w:rPr>
          <w:rFonts w:ascii="Arial" w:cs="Arial" w:eastAsia="Arial" w:hAnsi="Arial"/>
          <w:sz w:val="22"/>
          <w:szCs w:val="22"/>
          <w:color w:val="auto"/>
        </w:rPr>
        <w:t>The Plan Sponsor reserves the right to amend the Plan (for itself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through action of its Board of Directors. No amendment can directly or indirectly deprive any current or former Participant or Beneficiary of all or any portion of his Account which had accrued and vested prior to the amendment.</w:t>
      </w:r>
    </w:p>
    <w:p>
      <w:pPr>
        <w:spacing w:after="0" w:line="216" w:lineRule="exact"/>
        <w:rPr>
          <w:sz w:val="20"/>
          <w:szCs w:val="20"/>
          <w:color w:val="auto"/>
        </w:rPr>
      </w:pPr>
    </w:p>
    <w:p>
      <w:pPr>
        <w:ind w:left="640" w:hanging="647"/>
        <w:spacing w:after="0" w:line="257" w:lineRule="auto"/>
        <w:tabs>
          <w:tab w:leader="none" w:pos="6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21"/>
          <w:szCs w:val="21"/>
          <w:b w:val="1"/>
          <w:bCs w:val="1"/>
          <w:color w:val="auto"/>
        </w:rPr>
        <w:t xml:space="preserve">Plan Termination Following Change in Control or Corporate Dissolution. </w:t>
      </w:r>
      <w:r>
        <w:rPr>
          <w:rFonts w:ascii="Arial" w:cs="Arial" w:eastAsia="Arial" w:hAnsi="Arial"/>
          <w:sz w:val="21"/>
          <w:szCs w:val="21"/>
          <w:color w:val="auto"/>
        </w:rPr>
        <w:t>If so elected by the Plan Sponsor</w:t>
      </w:r>
      <w:r>
        <w:rPr>
          <w:rFonts w:ascii="Arial" w:cs="Arial" w:eastAsia="Arial" w:hAnsi="Arial"/>
          <w:sz w:val="21"/>
          <w:szCs w:val="21"/>
          <w:b w:val="1"/>
          <w:bCs w:val="1"/>
          <w:color w:val="auto"/>
        </w:rPr>
        <w:t xml:space="preserve"> </w:t>
      </w:r>
      <w:r>
        <w:rPr>
          <w:rFonts w:ascii="Arial" w:cs="Arial" w:eastAsia="Arial" w:hAnsi="Arial"/>
          <w:sz w:val="21"/>
          <w:szCs w:val="21"/>
          <w:color w:val="auto"/>
        </w:rPr>
        <w:t>in 11.01 of the Adoption Agreement, 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w:t>
      </w:r>
    </w:p>
    <w:p>
      <w:pPr>
        <w:spacing w:after="0" w:line="2" w:lineRule="exact"/>
        <w:rPr>
          <w:sz w:val="20"/>
          <w:szCs w:val="20"/>
          <w:color w:val="auto"/>
        </w:rPr>
      </w:pPr>
    </w:p>
    <w:p>
      <w:pPr>
        <w:ind w:left="640" w:right="360" w:hanging="4"/>
        <w:spacing w:after="0" w:line="246" w:lineRule="auto"/>
        <w:tabs>
          <w:tab w:leader="none" w:pos="96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223" w:lineRule="exact"/>
        <w:rPr>
          <w:sz w:val="20"/>
          <w:szCs w:val="20"/>
          <w:color w:val="auto"/>
        </w:rPr>
      </w:pPr>
    </w:p>
    <w:p>
      <w:pPr>
        <w:ind w:left="640" w:right="60" w:hanging="647"/>
        <w:spacing w:after="0" w:line="247" w:lineRule="auto"/>
        <w:tabs>
          <w:tab w:leader="none" w:pos="620" w:val="left"/>
        </w:tabs>
        <w:rPr>
          <w:sz w:val="20"/>
          <w:szCs w:val="20"/>
          <w:color w:val="auto"/>
        </w:rPr>
      </w:pPr>
      <w:r>
        <w:rPr>
          <w:rFonts w:ascii="Arial" w:cs="Arial" w:eastAsia="Arial" w:hAnsi="Arial"/>
          <w:sz w:val="22"/>
          <w:szCs w:val="22"/>
          <w:b w:val="1"/>
          <w:bCs w:val="1"/>
          <w:color w:val="auto"/>
        </w:rPr>
        <w:t>10.3</w:t>
        <w:tab/>
        <w:t xml:space="preserve">Other Plan Terminations. </w:t>
      </w:r>
      <w:r>
        <w:rPr>
          <w:rFonts w:ascii="Arial" w:cs="Arial" w:eastAsia="Arial" w:hAnsi="Arial"/>
          <w:sz w:val="22"/>
          <w:szCs w:val="22"/>
          <w:color w:val="auto"/>
        </w:rPr>
        <w:t>The Plan Sponsor retains the discretion to terminate the Plan if (a) all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sponsored by the Plan Sponsor that would be aggregated with any terminated arrangement under Code Section 409A and Reg. Sec.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364" w:right="239" w:bottom="1440" w:gutter="0" w:footer="0" w:header="0"/>
        </w:sectPr>
      </w:pPr>
    </w:p>
    <w:bookmarkStart w:id="293" w:name="page294"/>
    <w:bookmarkEnd w:id="293"/>
    <w:p>
      <w:pPr>
        <w:spacing w:after="0" w:line="245" w:lineRule="auto"/>
        <w:rPr>
          <w:sz w:val="20"/>
          <w:szCs w:val="20"/>
          <w:color w:val="auto"/>
        </w:rPr>
      </w:pPr>
      <w:r>
        <w:rPr>
          <w:rFonts w:ascii="Arial" w:cs="Arial" w:eastAsia="Arial" w:hAnsi="Arial"/>
          <w:sz w:val="22"/>
          <w:szCs w:val="22"/>
          <w:color w:val="auto"/>
        </w:rPr>
        <w:t>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900" w:top="390" w:right="479" w:bottom="1440" w:gutter="0" w:footer="0" w:header="0"/>
        </w:sectPr>
      </w:pPr>
    </w:p>
    <w:bookmarkStart w:id="294" w:name="page295"/>
    <w:bookmarkEnd w:id="294"/>
    <w:p>
      <w:pPr>
        <w:jc w:val="center"/>
        <w:spacing w:after="0"/>
        <w:rPr>
          <w:sz w:val="20"/>
          <w:szCs w:val="20"/>
          <w:color w:val="auto"/>
        </w:rPr>
      </w:pPr>
      <w:r>
        <w:rPr>
          <w:rFonts w:ascii="Arial" w:cs="Arial" w:eastAsia="Arial" w:hAnsi="Arial"/>
          <w:sz w:val="22"/>
          <w:szCs w:val="22"/>
          <w:b w:val="1"/>
          <w:bCs w:val="1"/>
          <w:color w:val="auto"/>
        </w:rPr>
        <w:t>ARTICLE 11 – THE TRUST</w:t>
      </w:r>
    </w:p>
    <w:p>
      <w:pPr>
        <w:spacing w:after="0" w:line="200" w:lineRule="exact"/>
        <w:rPr>
          <w:sz w:val="20"/>
          <w:szCs w:val="20"/>
          <w:color w:val="auto"/>
        </w:rPr>
      </w:pPr>
    </w:p>
    <w:p>
      <w:pPr>
        <w:spacing w:after="0" w:line="317" w:lineRule="exact"/>
        <w:rPr>
          <w:sz w:val="20"/>
          <w:szCs w:val="20"/>
          <w:color w:val="auto"/>
        </w:rPr>
      </w:pPr>
    </w:p>
    <w:p>
      <w:pPr>
        <w:ind w:left="580" w:hanging="647"/>
        <w:spacing w:after="0" w:line="248" w:lineRule="auto"/>
        <w:tabs>
          <w:tab w:leader="none" w:pos="560" w:val="left"/>
        </w:tabs>
        <w:rPr>
          <w:sz w:val="20"/>
          <w:szCs w:val="20"/>
          <w:color w:val="auto"/>
        </w:rPr>
      </w:pPr>
      <w:r>
        <w:rPr>
          <w:rFonts w:ascii="Arial" w:cs="Arial" w:eastAsia="Arial" w:hAnsi="Arial"/>
          <w:sz w:val="22"/>
          <w:szCs w:val="22"/>
          <w:b w:val="1"/>
          <w:bCs w:val="1"/>
          <w:color w:val="auto"/>
        </w:rPr>
        <w:t>11.1</w:t>
        <w:tab/>
        <w:t xml:space="preserve">Establishment of Trust. </w:t>
      </w:r>
      <w:r>
        <w:rPr>
          <w:rFonts w:ascii="Arial" w:cs="Arial" w:eastAsia="Arial" w:hAnsi="Arial"/>
          <w:sz w:val="22"/>
          <w:szCs w:val="22"/>
          <w:color w:val="auto"/>
        </w:rPr>
        <w:t>The Plan Sponsor may but is not required to establish a trust to hold amounts which</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 If the Plan Sponsor elects to establish a trust in accordance with Section 10.01 of the Adoption Agreement, the provisions of Sections 11.2 and 11.3 shall become operative.</w:t>
      </w:r>
    </w:p>
    <w:p>
      <w:pPr>
        <w:spacing w:after="0" w:line="182" w:lineRule="exact"/>
        <w:rPr>
          <w:sz w:val="20"/>
          <w:szCs w:val="20"/>
          <w:color w:val="auto"/>
        </w:rPr>
      </w:pPr>
    </w:p>
    <w:p>
      <w:pPr>
        <w:ind w:left="580" w:right="40" w:hanging="647"/>
        <w:spacing w:after="0" w:line="249" w:lineRule="auto"/>
        <w:tabs>
          <w:tab w:leader="none" w:pos="560" w:val="left"/>
        </w:tabs>
        <w:rPr>
          <w:sz w:val="20"/>
          <w:szCs w:val="20"/>
          <w:color w:val="auto"/>
        </w:rPr>
      </w:pPr>
      <w:r>
        <w:rPr>
          <w:rFonts w:ascii="Arial" w:cs="Arial" w:eastAsia="Arial" w:hAnsi="Arial"/>
          <w:sz w:val="22"/>
          <w:szCs w:val="22"/>
          <w:b w:val="1"/>
          <w:bCs w:val="1"/>
          <w:color w:val="auto"/>
        </w:rPr>
        <w:t>11.2</w:t>
        <w:tab/>
        <w:t xml:space="preserve">Rabbi Trust. </w:t>
      </w:r>
      <w:r>
        <w:rPr>
          <w:rFonts w:ascii="Arial" w:cs="Arial" w:eastAsia="Arial" w:hAnsi="Arial"/>
          <w:sz w:val="22"/>
          <w:szCs w:val="22"/>
          <w:color w:val="auto"/>
        </w:rPr>
        <w:t>Any trust established by the Plan Sponsor shall be between the Plan Sponsor and a trustee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separate written agreement under which assets are held, administered and managed, subject to the claims of the Plan Sponsor’s creditors in the event of the Plan Sponsor’s insolvency. The trust is intended to be treated as a rabbi trust in accordance with existing guidance of the Internal Revenue Service, and the establishment of the trust shall not cause the Participant to realize current income on amounts contributed thereto. The Plan Sponsor must notify the trustee in the event of a bankruptcy or insolvency.</w:t>
      </w:r>
    </w:p>
    <w:p>
      <w:pPr>
        <w:spacing w:after="0" w:line="181" w:lineRule="exact"/>
        <w:rPr>
          <w:sz w:val="20"/>
          <w:szCs w:val="20"/>
          <w:color w:val="auto"/>
        </w:rPr>
      </w:pPr>
    </w:p>
    <w:p>
      <w:pPr>
        <w:ind w:left="580" w:right="20" w:hanging="647"/>
        <w:spacing w:after="0" w:line="251" w:lineRule="auto"/>
        <w:tabs>
          <w:tab w:leader="none" w:pos="560" w:val="left"/>
        </w:tabs>
        <w:rPr>
          <w:sz w:val="20"/>
          <w:szCs w:val="20"/>
          <w:color w:val="auto"/>
        </w:rPr>
      </w:pPr>
      <w:r>
        <w:rPr>
          <w:rFonts w:ascii="Arial" w:cs="Arial" w:eastAsia="Arial" w:hAnsi="Arial"/>
          <w:sz w:val="22"/>
          <w:szCs w:val="22"/>
          <w:b w:val="1"/>
          <w:bCs w:val="1"/>
          <w:color w:val="auto"/>
        </w:rPr>
        <w:t>11.3</w:t>
        <w:tab/>
        <w:t xml:space="preserve">Investment of Trust Funds. </w:t>
      </w:r>
      <w:r>
        <w:rPr>
          <w:rFonts w:ascii="Arial" w:cs="Arial" w:eastAsia="Arial" w:hAnsi="Arial"/>
          <w:sz w:val="22"/>
          <w:szCs w:val="22"/>
          <w:color w:val="auto"/>
        </w:rPr>
        <w:t>Any amounts contributed to the trust by the Plan Sponsor shall be invested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363" w:right="319" w:bottom="1440" w:gutter="0" w:footer="0" w:header="0"/>
        </w:sectPr>
      </w:pPr>
    </w:p>
    <w:bookmarkStart w:id="295" w:name="page296"/>
    <w:bookmarkEnd w:id="295"/>
    <w:p>
      <w:pPr>
        <w:ind w:left="3220"/>
        <w:spacing w:after="0"/>
        <w:rPr>
          <w:sz w:val="20"/>
          <w:szCs w:val="20"/>
          <w:color w:val="auto"/>
        </w:rPr>
      </w:pPr>
      <w:r>
        <w:rPr>
          <w:rFonts w:ascii="Arial" w:cs="Arial" w:eastAsia="Arial" w:hAnsi="Arial"/>
          <w:sz w:val="22"/>
          <w:szCs w:val="22"/>
          <w:b w:val="1"/>
          <w:bCs w:val="1"/>
          <w:color w:val="auto"/>
        </w:rPr>
        <w:t>ARTICLE 12 – PLAN ADMINISTRATION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right="180" w:hanging="647"/>
        <w:spacing w:after="0" w:line="258" w:lineRule="auto"/>
        <w:tabs>
          <w:tab w:leader="none" w:pos="140" w:val="left"/>
        </w:tabs>
        <w:rPr>
          <w:sz w:val="20"/>
          <w:szCs w:val="20"/>
          <w:color w:val="auto"/>
        </w:rPr>
      </w:pPr>
      <w:r>
        <w:rPr>
          <w:rFonts w:ascii="Arial" w:cs="Arial" w:eastAsia="Arial" w:hAnsi="Arial"/>
          <w:sz w:val="22"/>
          <w:szCs w:val="22"/>
          <w:b w:val="1"/>
          <w:bCs w:val="1"/>
          <w:color w:val="auto"/>
        </w:rPr>
        <w:t>12.1</w:t>
        <w:tab/>
        <w:t xml:space="preserve">Powers and Responsibilities of the Administrator. </w:t>
      </w:r>
      <w:r>
        <w:rPr>
          <w:rFonts w:ascii="Arial" w:cs="Arial" w:eastAsia="Arial" w:hAnsi="Arial"/>
          <w:sz w:val="22"/>
          <w:szCs w:val="22"/>
          <w:color w:val="auto"/>
        </w:rPr>
        <w:t>The Administrator has the full power and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to administer the Plan in all of its details, subject, however, to the applicable requirements of ERISA. The Administrator’s powers and responsibilities include, but are not limited to, the following:</w:t>
      </w:r>
    </w:p>
    <w:p>
      <w:pPr>
        <w:spacing w:after="0" w:line="196" w:lineRule="exact"/>
        <w:rPr>
          <w:sz w:val="20"/>
          <w:szCs w:val="20"/>
          <w:color w:val="auto"/>
        </w:rPr>
      </w:pPr>
    </w:p>
    <w:p>
      <w:pPr>
        <w:ind w:left="800" w:right="380" w:hanging="644"/>
        <w:spacing w:after="0" w:line="249" w:lineRule="auto"/>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make and enforce such rules and procedures as it deems necessary or proper for the efficient administration of the Plan;</w:t>
      </w:r>
    </w:p>
    <w:p>
      <w:pPr>
        <w:spacing w:after="0" w:line="204" w:lineRule="exact"/>
        <w:rPr>
          <w:rFonts w:ascii="Arial" w:cs="Arial" w:eastAsia="Arial" w:hAnsi="Arial"/>
          <w:sz w:val="22"/>
          <w:szCs w:val="22"/>
          <w:color w:val="auto"/>
        </w:rPr>
      </w:pPr>
    </w:p>
    <w:p>
      <w:pPr>
        <w:ind w:left="800" w:right="240" w:hanging="644"/>
        <w:spacing w:after="0" w:line="249" w:lineRule="auto"/>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interpret the Plan, its interpretation thereof to be final, except as provided in Section 12.2, on all persons claiming benefits under the Plan;</w:t>
      </w:r>
    </w:p>
    <w:p>
      <w:pPr>
        <w:spacing w:after="0" w:line="204" w:lineRule="exact"/>
        <w:rPr>
          <w:rFonts w:ascii="Arial" w:cs="Arial" w:eastAsia="Arial" w:hAnsi="Arial"/>
          <w:sz w:val="22"/>
          <w:szCs w:val="22"/>
          <w:color w:val="auto"/>
        </w:rPr>
      </w:pPr>
    </w:p>
    <w:p>
      <w:pPr>
        <w:ind w:left="800" w:hanging="644"/>
        <w:spacing w:after="0"/>
        <w:tabs>
          <w:tab w:leader="none" w:pos="8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To decide all questions concerning the Plan and the eligibility of any person to participate in the Plan;</w:t>
      </w:r>
    </w:p>
    <w:p>
      <w:pPr>
        <w:spacing w:after="0" w:line="231" w:lineRule="exact"/>
        <w:rPr>
          <w:rFonts w:ascii="Arial" w:cs="Arial" w:eastAsia="Arial" w:hAnsi="Arial"/>
          <w:sz w:val="21"/>
          <w:szCs w:val="21"/>
          <w:color w:val="auto"/>
        </w:rPr>
      </w:pPr>
    </w:p>
    <w:p>
      <w:pPr>
        <w:ind w:left="800" w:hanging="644"/>
        <w:spacing w:after="0"/>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administer the claims and review procedures specified in Section 12.2;</w:t>
      </w:r>
    </w:p>
    <w:p>
      <w:pPr>
        <w:spacing w:after="0" w:line="219" w:lineRule="exact"/>
        <w:rPr>
          <w:rFonts w:ascii="Arial" w:cs="Arial" w:eastAsia="Arial" w:hAnsi="Arial"/>
          <w:sz w:val="22"/>
          <w:szCs w:val="22"/>
          <w:color w:val="auto"/>
        </w:rPr>
      </w:pPr>
    </w:p>
    <w:p>
      <w:pPr>
        <w:ind w:left="800" w:right="400" w:hanging="644"/>
        <w:spacing w:after="0" w:line="249" w:lineRule="auto"/>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compute the amount of benefits which will be payable to any Participant, former Participant or Beneficiary in accordance with the provisions of the Plan;</w:t>
      </w:r>
    </w:p>
    <w:p>
      <w:pPr>
        <w:spacing w:after="0" w:line="204" w:lineRule="exact"/>
        <w:rPr>
          <w:rFonts w:ascii="Arial" w:cs="Arial" w:eastAsia="Arial" w:hAnsi="Arial"/>
          <w:sz w:val="22"/>
          <w:szCs w:val="22"/>
          <w:color w:val="auto"/>
        </w:rPr>
      </w:pPr>
    </w:p>
    <w:p>
      <w:pPr>
        <w:ind w:left="800" w:hanging="644"/>
        <w:spacing w:after="0"/>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determine the person or persons to whom such benefits will be paid;</w:t>
      </w:r>
    </w:p>
    <w:p>
      <w:pPr>
        <w:spacing w:after="0" w:line="219" w:lineRule="exact"/>
        <w:rPr>
          <w:rFonts w:ascii="Arial" w:cs="Arial" w:eastAsia="Arial" w:hAnsi="Arial"/>
          <w:sz w:val="22"/>
          <w:szCs w:val="22"/>
          <w:color w:val="auto"/>
        </w:rPr>
      </w:pPr>
    </w:p>
    <w:p>
      <w:pPr>
        <w:ind w:left="800" w:hanging="644"/>
        <w:spacing w:after="0"/>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authorize the payment of benefits;</w:t>
      </w:r>
    </w:p>
    <w:p>
      <w:pPr>
        <w:spacing w:after="0" w:line="219" w:lineRule="exact"/>
        <w:rPr>
          <w:rFonts w:ascii="Arial" w:cs="Arial" w:eastAsia="Arial" w:hAnsi="Arial"/>
          <w:sz w:val="22"/>
          <w:szCs w:val="22"/>
          <w:color w:val="auto"/>
        </w:rPr>
      </w:pPr>
    </w:p>
    <w:p>
      <w:pPr>
        <w:ind w:left="800" w:hanging="644"/>
        <w:spacing w:after="0"/>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comply with the reporting and disclosure requirements of Part 1 of Subtitle B of Title I of ERISA;</w:t>
      </w:r>
    </w:p>
    <w:p>
      <w:pPr>
        <w:spacing w:after="0" w:line="219" w:lineRule="exact"/>
        <w:rPr>
          <w:rFonts w:ascii="Arial" w:cs="Arial" w:eastAsia="Arial" w:hAnsi="Arial"/>
          <w:sz w:val="22"/>
          <w:szCs w:val="22"/>
          <w:color w:val="auto"/>
        </w:rPr>
      </w:pPr>
    </w:p>
    <w:p>
      <w:pPr>
        <w:ind w:left="800" w:right="620" w:hanging="644"/>
        <w:spacing w:after="0" w:line="249" w:lineRule="auto"/>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appoint such agents, counsel, accountants, and consultants as may be required to assist in administering the Plan;</w:t>
      </w:r>
    </w:p>
    <w:p>
      <w:pPr>
        <w:spacing w:after="0" w:line="204" w:lineRule="exact"/>
        <w:rPr>
          <w:rFonts w:ascii="Arial" w:cs="Arial" w:eastAsia="Arial" w:hAnsi="Arial"/>
          <w:sz w:val="22"/>
          <w:szCs w:val="22"/>
          <w:color w:val="auto"/>
        </w:rPr>
      </w:pPr>
    </w:p>
    <w:p>
      <w:pPr>
        <w:ind w:left="800" w:right="600" w:hanging="644"/>
        <w:spacing w:after="0" w:line="249" w:lineRule="auto"/>
        <w:tabs>
          <w:tab w:leader="none" w:pos="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By written instrument, to allocate and delegate its responsibilities, including the formation of an Administrative Committee to administer the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20"/>
          </w:cols>
          <w:pgMar w:left="740" w:top="580" w:right="739" w:bottom="1440" w:gutter="0" w:footer="0" w:header="0"/>
        </w:sectPr>
      </w:pPr>
    </w:p>
    <w:bookmarkStart w:id="296" w:name="page297"/>
    <w:bookmarkEnd w:id="296"/>
    <w:p>
      <w:pPr>
        <w:spacing w:after="0"/>
        <w:tabs>
          <w:tab w:leader="none" w:pos="6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21"/>
          <w:szCs w:val="21"/>
          <w:b w:val="1"/>
          <w:bCs w:val="1"/>
          <w:color w:val="auto"/>
        </w:rPr>
        <w:t>Claims and Review Procedures.</w:t>
      </w:r>
    </w:p>
    <w:p>
      <w:pPr>
        <w:spacing w:after="0" w:line="246" w:lineRule="exact"/>
        <w:rPr>
          <w:sz w:val="20"/>
          <w:szCs w:val="20"/>
          <w:color w:val="auto"/>
        </w:rPr>
      </w:pPr>
    </w:p>
    <w:p>
      <w:pPr>
        <w:ind w:left="1300" w:hanging="644"/>
        <w:spacing w:after="0"/>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Claims Procedure.</w:t>
      </w:r>
    </w:p>
    <w:p>
      <w:pPr>
        <w:spacing w:after="0" w:line="260" w:lineRule="exact"/>
        <w:rPr>
          <w:rFonts w:ascii="Arial" w:cs="Arial" w:eastAsia="Arial" w:hAnsi="Arial"/>
          <w:sz w:val="22"/>
          <w:szCs w:val="22"/>
          <w:color w:val="auto"/>
        </w:rPr>
      </w:pPr>
    </w:p>
    <w:p>
      <w:pPr>
        <w:ind w:left="1300"/>
        <w:spacing w:after="0" w:line="256" w:lineRule="auto"/>
        <w:rPr>
          <w:rFonts w:ascii="Arial" w:cs="Arial" w:eastAsia="Arial" w:hAnsi="Arial"/>
          <w:sz w:val="22"/>
          <w:szCs w:val="22"/>
          <w:color w:val="auto"/>
        </w:rPr>
      </w:pPr>
      <w:r>
        <w:rPr>
          <w:rFonts w:ascii="Arial" w:cs="Arial" w:eastAsia="Arial" w:hAnsi="Arial"/>
          <w:sz w:val="21"/>
          <w:szCs w:val="21"/>
          <w:color w:val="auto"/>
        </w:rPr>
        <w:t>If any person believes 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claim.</w:t>
      </w:r>
    </w:p>
    <w:p>
      <w:pPr>
        <w:spacing w:after="0" w:line="202" w:lineRule="exact"/>
        <w:rPr>
          <w:rFonts w:ascii="Arial" w:cs="Arial" w:eastAsia="Arial" w:hAnsi="Arial"/>
          <w:sz w:val="22"/>
          <w:szCs w:val="22"/>
          <w:color w:val="auto"/>
        </w:rPr>
      </w:pPr>
    </w:p>
    <w:p>
      <w:pPr>
        <w:ind w:left="1300" w:hanging="644"/>
        <w:spacing w:after="0"/>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Review Procedure.</w:t>
      </w:r>
    </w:p>
    <w:p>
      <w:pPr>
        <w:spacing w:after="0" w:line="260" w:lineRule="exact"/>
        <w:rPr>
          <w:rFonts w:ascii="Arial" w:cs="Arial" w:eastAsia="Arial" w:hAnsi="Arial"/>
          <w:sz w:val="22"/>
          <w:szCs w:val="22"/>
          <w:color w:val="auto"/>
        </w:rPr>
      </w:pPr>
    </w:p>
    <w:p>
      <w:pPr>
        <w:ind w:left="1300" w:right="60"/>
        <w:spacing w:after="0" w:line="244" w:lineRule="auto"/>
        <w:rPr>
          <w:rFonts w:ascii="Arial" w:cs="Arial" w:eastAsia="Arial" w:hAnsi="Arial"/>
          <w:sz w:val="22"/>
          <w:szCs w:val="22"/>
          <w:color w:val="auto"/>
        </w:rPr>
      </w:pPr>
      <w:r>
        <w:rPr>
          <w:rFonts w:ascii="Arial" w:cs="Arial" w:eastAsia="Arial" w:hAnsi="Arial"/>
          <w:sz w:val="22"/>
          <w:szCs w:val="22"/>
          <w:color w:val="auto"/>
        </w:rPr>
        <w:t>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053" w:right="259" w:bottom="1440" w:gutter="0" w:footer="0" w:header="0"/>
        </w:sectPr>
      </w:pPr>
    </w:p>
    <w:bookmarkStart w:id="297" w:name="page298"/>
    <w:bookmarkEnd w:id="297"/>
    <w:p>
      <w:pPr>
        <w:ind w:left="1280" w:right="40"/>
        <w:spacing w:after="0" w:line="244" w:lineRule="auto"/>
        <w:rPr>
          <w:sz w:val="20"/>
          <w:szCs w:val="20"/>
          <w:color w:val="auto"/>
        </w:rPr>
      </w:pPr>
      <w:r>
        <w:rPr>
          <w:rFonts w:ascii="Arial" w:cs="Arial" w:eastAsia="Arial" w:hAnsi="Arial"/>
          <w:sz w:val="22"/>
          <w:szCs w:val="22"/>
          <w:color w:val="auto"/>
        </w:rPr>
        <w:t>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w:t>
      </w:r>
    </w:p>
    <w:p>
      <w:pPr>
        <w:spacing w:after="0" w:line="224" w:lineRule="exact"/>
        <w:rPr>
          <w:sz w:val="20"/>
          <w:szCs w:val="20"/>
          <w:color w:val="auto"/>
        </w:rPr>
      </w:pPr>
    </w:p>
    <w:p>
      <w:pPr>
        <w:ind w:left="1280" w:hanging="644"/>
        <w:spacing w:after="0"/>
        <w:tabs>
          <w:tab w:leader="none" w:pos="12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Exhaustion of Claims Procedures and Right to Bring Legal Claim</w:t>
      </w:r>
    </w:p>
    <w:p>
      <w:pPr>
        <w:spacing w:after="0" w:line="273" w:lineRule="exact"/>
        <w:rPr>
          <w:rFonts w:ascii="Arial" w:cs="Arial" w:eastAsia="Arial" w:hAnsi="Arial"/>
          <w:sz w:val="22"/>
          <w:szCs w:val="22"/>
          <w:color w:val="auto"/>
        </w:rPr>
      </w:pPr>
    </w:p>
    <w:p>
      <w:pPr>
        <w:ind w:left="1280"/>
        <w:spacing w:after="0" w:line="246" w:lineRule="auto"/>
        <w:rPr>
          <w:rFonts w:ascii="Arial" w:cs="Arial" w:eastAsia="Arial" w:hAnsi="Arial"/>
          <w:sz w:val="22"/>
          <w:szCs w:val="22"/>
          <w:color w:val="auto"/>
        </w:rPr>
      </w:pPr>
      <w:r>
        <w:rPr>
          <w:rFonts w:ascii="Arial" w:cs="Arial" w:eastAsia="Arial" w:hAnsi="Arial"/>
          <w:sz w:val="22"/>
          <w:szCs w:val="22"/>
          <w:color w:val="auto"/>
        </w:rPr>
        <w:t>No action at law or equity shall be brought more than one (1) year after the Administrator’s affirmation of a denial of a claim, or, if earlier, more than four (4) years after the facts or events giving rising to the claimant’s allegation(s) or claim(s) first occurred.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40" w:right="480" w:hanging="647"/>
        <w:spacing w:after="0" w:line="258" w:lineRule="auto"/>
        <w:tabs>
          <w:tab w:leader="none" w:pos="620" w:val="left"/>
        </w:tabs>
        <w:rPr>
          <w:sz w:val="20"/>
          <w:szCs w:val="20"/>
          <w:color w:val="auto"/>
        </w:rPr>
      </w:pPr>
      <w:r>
        <w:rPr>
          <w:rFonts w:ascii="Arial" w:cs="Arial" w:eastAsia="Arial" w:hAnsi="Arial"/>
          <w:sz w:val="22"/>
          <w:szCs w:val="22"/>
          <w:b w:val="1"/>
          <w:bCs w:val="1"/>
          <w:color w:val="auto"/>
        </w:rPr>
        <w:t>12.3</w:t>
        <w:tab/>
        <w:t xml:space="preserve">Plan Administrative Costs. </w:t>
      </w:r>
      <w:r>
        <w:rPr>
          <w:rFonts w:ascii="Arial" w:cs="Arial" w:eastAsia="Arial" w:hAnsi="Arial"/>
          <w:sz w:val="22"/>
          <w:szCs w:val="22"/>
          <w:color w:val="auto"/>
        </w:rPr>
        <w:t>All reasonable costs and expenses (including legal, accounting, and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 fees) incurred by the Administrator in administering the Plan shall be paid by the Plan to the extent not paid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39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22"/>
          <w:szCs w:val="22"/>
          <w:b w:val="1"/>
          <w:bCs w:val="1"/>
          <w:color w:val="auto"/>
        </w:rPr>
        <w:t>ARTICLE 13 – MISCELLANEOUS</w:t>
      </w:r>
    </w:p>
    <w:p>
      <w:pPr>
        <w:spacing w:after="0" w:line="200" w:lineRule="exact"/>
        <w:rPr>
          <w:sz w:val="20"/>
          <w:szCs w:val="20"/>
          <w:color w:val="auto"/>
        </w:rPr>
      </w:pPr>
    </w:p>
    <w:p>
      <w:pPr>
        <w:spacing w:after="0" w:line="317" w:lineRule="exact"/>
        <w:rPr>
          <w:sz w:val="20"/>
          <w:szCs w:val="20"/>
          <w:color w:val="auto"/>
        </w:rPr>
      </w:pPr>
    </w:p>
    <w:p>
      <w:pPr>
        <w:ind w:left="620" w:right="80" w:hanging="647"/>
        <w:spacing w:after="0" w:line="251" w:lineRule="auto"/>
        <w:tabs>
          <w:tab w:leader="none" w:pos="600" w:val="left"/>
        </w:tabs>
        <w:rPr>
          <w:sz w:val="20"/>
          <w:szCs w:val="20"/>
          <w:color w:val="auto"/>
        </w:rPr>
      </w:pPr>
      <w:r>
        <w:rPr>
          <w:rFonts w:ascii="Arial" w:cs="Arial" w:eastAsia="Arial" w:hAnsi="Arial"/>
          <w:sz w:val="22"/>
          <w:szCs w:val="22"/>
          <w:b w:val="1"/>
          <w:bCs w:val="1"/>
          <w:color w:val="auto"/>
        </w:rPr>
        <w:t>13.1</w:t>
        <w:tab/>
        <w:t xml:space="preserve">Unsecured General Creditor of the Employer. </w:t>
      </w:r>
      <w:r>
        <w:rPr>
          <w:rFonts w:ascii="Arial" w:cs="Arial" w:eastAsia="Arial" w:hAnsi="Arial"/>
          <w:sz w:val="22"/>
          <w:szCs w:val="22"/>
          <w:color w:val="auto"/>
        </w:rPr>
        <w:t>Participants and their Beneficiaries, heirs, successors and</w:t>
      </w:r>
      <w:r>
        <w:rPr>
          <w:rFonts w:ascii="Arial" w:cs="Arial" w:eastAsia="Arial" w:hAnsi="Arial"/>
          <w:sz w:val="22"/>
          <w:szCs w:val="22"/>
          <w:b w:val="1"/>
          <w:bCs w:val="1"/>
          <w:color w:val="auto"/>
        </w:rPr>
        <w:t xml:space="preserve"> </w:t>
      </w:r>
      <w:r>
        <w:rPr>
          <w:rFonts w:ascii="Arial" w:cs="Arial" w:eastAsia="Arial" w:hAnsi="Arial"/>
          <w:sz w:val="22"/>
          <w:szCs w:val="22"/>
          <w:color w:val="auto"/>
        </w:rPr>
        <w:t>assigns shall 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176" w:lineRule="exact"/>
        <w:rPr>
          <w:sz w:val="20"/>
          <w:szCs w:val="20"/>
          <w:color w:val="auto"/>
        </w:rPr>
      </w:pPr>
    </w:p>
    <w:p>
      <w:pPr>
        <w:jc w:val="both"/>
        <w:ind w:left="620" w:right="140" w:hanging="647"/>
        <w:spacing w:after="0" w:line="269" w:lineRule="auto"/>
        <w:tabs>
          <w:tab w:leader="none" w:pos="60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21"/>
          <w:szCs w:val="21"/>
          <w:b w:val="1"/>
          <w:bCs w:val="1"/>
          <w:color w:val="auto"/>
        </w:rPr>
        <w:t>Employer’s Liability</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Each Employer’s liability for the payment of benefits under the Plan shall be defined only</w:t>
      </w:r>
      <w:r>
        <w:rPr>
          <w:rFonts w:ascii="Arial" w:cs="Arial" w:eastAsia="Arial" w:hAnsi="Arial"/>
          <w:sz w:val="21"/>
          <w:szCs w:val="21"/>
          <w:b w:val="1"/>
          <w:bCs w:val="1"/>
          <w:color w:val="auto"/>
        </w:rPr>
        <w:t xml:space="preserve"> </w:t>
      </w:r>
      <w:r>
        <w:rPr>
          <w:rFonts w:ascii="Arial" w:cs="Arial" w:eastAsia="Arial" w:hAnsi="Arial"/>
          <w:sz w:val="21"/>
          <w:szCs w:val="21"/>
          <w:color w:val="auto"/>
        </w:rPr>
        <w:t>by the Plan and by the deferral 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spacing w:after="0" w:line="160" w:lineRule="exact"/>
        <w:rPr>
          <w:sz w:val="20"/>
          <w:szCs w:val="20"/>
          <w:color w:val="auto"/>
        </w:rPr>
      </w:pPr>
    </w:p>
    <w:p>
      <w:pPr>
        <w:ind w:left="620" w:hanging="647"/>
        <w:spacing w:after="0" w:line="251" w:lineRule="auto"/>
        <w:tabs>
          <w:tab w:leader="none" w:pos="600" w:val="left"/>
        </w:tabs>
        <w:rPr>
          <w:sz w:val="20"/>
          <w:szCs w:val="20"/>
          <w:color w:val="auto"/>
        </w:rPr>
      </w:pPr>
      <w:r>
        <w:rPr>
          <w:rFonts w:ascii="Arial" w:cs="Arial" w:eastAsia="Arial" w:hAnsi="Arial"/>
          <w:sz w:val="22"/>
          <w:szCs w:val="22"/>
          <w:b w:val="1"/>
          <w:bCs w:val="1"/>
          <w:color w:val="auto"/>
        </w:rPr>
        <w:t>13.3</w:t>
        <w:tab/>
        <w:t>Limitation of Rights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establishment of the Plan, nor any amendment thereof, nor the creation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fund or 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176" w:lineRule="exact"/>
        <w:rPr>
          <w:sz w:val="20"/>
          <w:szCs w:val="20"/>
          <w:color w:val="auto"/>
        </w:rPr>
      </w:pPr>
    </w:p>
    <w:p>
      <w:pPr>
        <w:ind w:left="620" w:right="120" w:hanging="647"/>
        <w:spacing w:after="0" w:line="260" w:lineRule="auto"/>
        <w:tabs>
          <w:tab w:leader="none" w:pos="60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21"/>
          <w:szCs w:val="21"/>
          <w:b w:val="1"/>
          <w:bCs w:val="1"/>
          <w:color w:val="auto"/>
        </w:rPr>
        <w:t>Anti-Assignment</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may be necessary to fulfill a domestic relations order within the meaning of Code</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171" w:lineRule="exact"/>
        <w:rPr>
          <w:sz w:val="20"/>
          <w:szCs w:val="20"/>
          <w:color w:val="auto"/>
        </w:rPr>
      </w:pPr>
    </w:p>
    <w:p>
      <w:pPr>
        <w:ind w:left="620" w:right="920" w:hanging="647"/>
        <w:spacing w:after="0" w:line="274" w:lineRule="auto"/>
        <w:tabs>
          <w:tab w:leader="none" w:pos="600" w:val="left"/>
        </w:tabs>
        <w:rPr>
          <w:sz w:val="20"/>
          <w:szCs w:val="20"/>
          <w:color w:val="auto"/>
        </w:rPr>
      </w:pPr>
      <w:r>
        <w:rPr>
          <w:rFonts w:ascii="Arial" w:cs="Arial" w:eastAsia="Arial" w:hAnsi="Arial"/>
          <w:sz w:val="22"/>
          <w:szCs w:val="22"/>
          <w:b w:val="1"/>
          <w:bCs w:val="1"/>
          <w:color w:val="auto"/>
        </w:rPr>
        <w:t>13.5</w:t>
        <w:tab/>
        <w:t>Facility of Payment</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Administrator determines, on the basis of medical reports or other evidence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Administrator, that the recipient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80" w:top="621" w:right="259" w:bottom="1440" w:gutter="0" w:footer="0" w:header="0"/>
        </w:sectPr>
      </w:pPr>
    </w:p>
    <w:bookmarkStart w:id="299" w:name="page300"/>
    <w:bookmarkEnd w:id="299"/>
    <w:p>
      <w:pPr>
        <w:ind w:left="620" w:right="20"/>
        <w:spacing w:after="0" w:line="258" w:lineRule="auto"/>
        <w:rPr>
          <w:sz w:val="20"/>
          <w:szCs w:val="20"/>
          <w:color w:val="auto"/>
        </w:rPr>
      </w:pPr>
      <w:r>
        <w:rPr>
          <w:rFonts w:ascii="Arial" w:cs="Arial" w:eastAsia="Arial" w:hAnsi="Arial"/>
          <w:sz w:val="21"/>
          <w:szCs w:val="21"/>
          <w:color w:val="auto"/>
        </w:rPr>
        <w:t>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172" w:lineRule="exact"/>
        <w:rPr>
          <w:sz w:val="20"/>
          <w:szCs w:val="20"/>
          <w:color w:val="auto"/>
        </w:rPr>
      </w:pPr>
    </w:p>
    <w:p>
      <w:pPr>
        <w:ind w:left="620" w:right="160" w:hanging="647"/>
        <w:spacing w:after="0" w:line="251" w:lineRule="auto"/>
        <w:tabs>
          <w:tab w:leader="none" w:pos="600" w:val="left"/>
        </w:tabs>
        <w:rPr>
          <w:sz w:val="20"/>
          <w:szCs w:val="20"/>
          <w:color w:val="auto"/>
        </w:rPr>
      </w:pPr>
      <w:r>
        <w:rPr>
          <w:rFonts w:ascii="Arial" w:cs="Arial" w:eastAsia="Arial" w:hAnsi="Arial"/>
          <w:sz w:val="22"/>
          <w:szCs w:val="22"/>
          <w:b w:val="1"/>
          <w:bCs w:val="1"/>
          <w:color w:val="auto"/>
        </w:rPr>
        <w:t>13.6</w:t>
        <w:tab/>
        <w:t xml:space="preserve">Notices. </w:t>
      </w:r>
      <w:r>
        <w:rPr>
          <w:rFonts w:ascii="Arial" w:cs="Arial" w:eastAsia="Arial" w:hAnsi="Arial"/>
          <w:sz w:val="22"/>
          <w:szCs w:val="22"/>
          <w:color w:val="auto"/>
        </w:rPr>
        <w:t>Any notice or other communication to the Employer or Administrator in connection with the Plan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delivered in writing if addressed to the Plan Sponsor at the address specified in Section 1.03 of the Adoption Agreement and if either actually delivered at said address or, in the case or a letter, 5 business days shall have elapsed after the same shall have been deposited in the United States mails, first-class postage prepaid and registered or certified.</w:t>
      </w:r>
    </w:p>
    <w:p>
      <w:pPr>
        <w:spacing w:after="0" w:line="176" w:lineRule="exact"/>
        <w:rPr>
          <w:sz w:val="20"/>
          <w:szCs w:val="20"/>
          <w:color w:val="auto"/>
        </w:rPr>
      </w:pPr>
    </w:p>
    <w:p>
      <w:pPr>
        <w:ind w:left="620" w:right="200" w:hanging="647"/>
        <w:spacing w:after="0" w:line="248" w:lineRule="auto"/>
        <w:tabs>
          <w:tab w:leader="none" w:pos="600" w:val="left"/>
        </w:tabs>
        <w:rPr>
          <w:sz w:val="20"/>
          <w:szCs w:val="20"/>
          <w:color w:val="auto"/>
        </w:rPr>
      </w:pPr>
      <w:r>
        <w:rPr>
          <w:rFonts w:ascii="Arial" w:cs="Arial" w:eastAsia="Arial" w:hAnsi="Arial"/>
          <w:sz w:val="22"/>
          <w:szCs w:val="22"/>
          <w:b w:val="1"/>
          <w:bCs w:val="1"/>
          <w:color w:val="auto"/>
        </w:rPr>
        <w:t>13.7</w:t>
        <w:tab/>
        <w:t>Tax Withholding</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Employer concludes that tax is owing with respect to any deferral or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Employer shall withhold such 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182" w:lineRule="exact"/>
        <w:rPr>
          <w:sz w:val="20"/>
          <w:szCs w:val="20"/>
          <w:color w:val="auto"/>
        </w:rPr>
      </w:pPr>
    </w:p>
    <w:p>
      <w:pPr>
        <w:ind w:left="620" w:hanging="647"/>
        <w:spacing w:after="0" w:line="247" w:lineRule="auto"/>
        <w:tabs>
          <w:tab w:leader="none" w:pos="600" w:val="left"/>
        </w:tabs>
        <w:rPr>
          <w:sz w:val="20"/>
          <w:szCs w:val="20"/>
          <w:color w:val="auto"/>
        </w:rPr>
      </w:pPr>
      <w:r>
        <w:rPr>
          <w:rFonts w:ascii="Arial" w:cs="Arial" w:eastAsia="Arial" w:hAnsi="Arial"/>
          <w:sz w:val="22"/>
          <w:szCs w:val="22"/>
          <w:b w:val="1"/>
          <w:bCs w:val="1"/>
          <w:color w:val="auto"/>
        </w:rPr>
        <w:t>13.8</w:t>
        <w:tab/>
        <w:t xml:space="preserve">Indemnification. </w:t>
      </w:r>
      <w:r>
        <w:rPr>
          <w:rFonts w:ascii="Arial" w:cs="Arial" w:eastAsia="Arial" w:hAnsi="Arial"/>
          <w:sz w:val="22"/>
          <w:szCs w:val="22"/>
          <w:color w:val="auto"/>
        </w:rPr>
        <w:t>(a) Each Indemnitee (as defined in Section 13.8(e)) shall be indemnified and held harmless by</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Employer for all actions taken by him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208" w:lineRule="exact"/>
        <w:rPr>
          <w:sz w:val="20"/>
          <w:szCs w:val="20"/>
          <w:color w:val="auto"/>
        </w:rPr>
      </w:pPr>
    </w:p>
    <w:p>
      <w:pPr>
        <w:ind w:left="620" w:right="60" w:hanging="4"/>
        <w:spacing w:after="0" w:line="249" w:lineRule="auto"/>
        <w:tabs>
          <w:tab w:leader="none" w:pos="106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right to indemnification provided in this Section shall include the right to have the expenses incurred by the Indemnitee in defending any Proceeding paid by the Employer in advance of the final disposition of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80" w:top="606" w:right="279" w:bottom="1440" w:gutter="0" w:footer="0" w:header="0"/>
        </w:sectPr>
      </w:pPr>
    </w:p>
    <w:bookmarkStart w:id="300" w:name="page301"/>
    <w:bookmarkEnd w:id="300"/>
    <w:p>
      <w:pPr>
        <w:ind w:left="640" w:right="160"/>
        <w:spacing w:after="0" w:line="245" w:lineRule="auto"/>
        <w:rPr>
          <w:sz w:val="20"/>
          <w:szCs w:val="20"/>
          <w:color w:val="auto"/>
        </w:rPr>
      </w:pPr>
      <w:r>
        <w:rPr>
          <w:rFonts w:ascii="Arial" w:cs="Arial" w:eastAsia="Arial" w:hAnsi="Arial"/>
          <w:sz w:val="22"/>
          <w:szCs w:val="22"/>
          <w:color w:val="auto"/>
        </w:rPr>
        <w:t>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208" w:lineRule="exact"/>
        <w:rPr>
          <w:sz w:val="20"/>
          <w:szCs w:val="20"/>
          <w:color w:val="auto"/>
        </w:rPr>
      </w:pPr>
    </w:p>
    <w:p>
      <w:pPr>
        <w:jc w:val="both"/>
        <w:ind w:left="640" w:right="60" w:hanging="4"/>
        <w:spacing w:after="0" w:line="245" w:lineRule="auto"/>
        <w:tabs>
          <w:tab w:leader="none" w:pos="101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Indemnification pursuant to this Section shall continue as to an Indemnitee who has ceased to be such and shall inure to the benefit of his heirs, executors, and administrators. The Employer agrees that the undertakings made in this Section shall be binding on its successors or assigns and shall survive the termination, amendment or restatement of the Plan.</w:t>
      </w:r>
    </w:p>
    <w:p>
      <w:pPr>
        <w:spacing w:after="0" w:line="209" w:lineRule="exact"/>
        <w:rPr>
          <w:rFonts w:ascii="Arial" w:cs="Arial" w:eastAsia="Arial" w:hAnsi="Arial"/>
          <w:sz w:val="22"/>
          <w:szCs w:val="22"/>
          <w:color w:val="auto"/>
        </w:rPr>
      </w:pPr>
    </w:p>
    <w:p>
      <w:pPr>
        <w:ind w:left="640" w:right="240" w:hanging="4"/>
        <w:spacing w:after="0" w:line="264" w:lineRule="auto"/>
        <w:tabs>
          <w:tab w:leader="none" w:pos="102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188" w:lineRule="exact"/>
        <w:rPr>
          <w:rFonts w:ascii="Arial" w:cs="Arial" w:eastAsia="Arial" w:hAnsi="Arial"/>
          <w:sz w:val="21"/>
          <w:szCs w:val="21"/>
          <w:color w:val="auto"/>
        </w:rPr>
      </w:pPr>
    </w:p>
    <w:p>
      <w:pPr>
        <w:ind w:left="1020" w:hanging="384"/>
        <w:spacing w:after="0"/>
        <w:tabs>
          <w:tab w:leader="none" w:pos="10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For the purposes of this Section, the following definitions shall apply:</w:t>
      </w:r>
    </w:p>
    <w:p>
      <w:pPr>
        <w:spacing w:after="0" w:line="220" w:lineRule="exact"/>
        <w:rPr>
          <w:sz w:val="20"/>
          <w:szCs w:val="20"/>
          <w:color w:val="auto"/>
        </w:rPr>
      </w:pPr>
    </w:p>
    <w:p>
      <w:pPr>
        <w:ind w:left="640" w:hanging="4"/>
        <w:spacing w:after="0" w:line="245" w:lineRule="auto"/>
        <w:tabs>
          <w:tab w:leader="none" w:pos="10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is or was performing administrative functions under the Plan.</w:t>
      </w:r>
    </w:p>
    <w:p>
      <w:pPr>
        <w:spacing w:after="0" w:line="209" w:lineRule="exact"/>
        <w:rPr>
          <w:rFonts w:ascii="Arial" w:cs="Arial" w:eastAsia="Arial" w:hAnsi="Arial"/>
          <w:sz w:val="22"/>
          <w:szCs w:val="22"/>
          <w:color w:val="auto"/>
        </w:rPr>
      </w:pPr>
    </w:p>
    <w:p>
      <w:pPr>
        <w:ind w:left="640" w:right="660" w:hanging="4"/>
        <w:spacing w:after="0" w:line="246" w:lineRule="auto"/>
        <w:tabs>
          <w:tab w:leader="none" w:pos="10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182" w:lineRule="exact"/>
        <w:rPr>
          <w:sz w:val="20"/>
          <w:szCs w:val="20"/>
          <w:color w:val="auto"/>
        </w:rPr>
      </w:pPr>
    </w:p>
    <w:p>
      <w:pPr>
        <w:ind w:left="640" w:right="320" w:hanging="647"/>
        <w:spacing w:after="0" w:line="298" w:lineRule="auto"/>
        <w:tabs>
          <w:tab w:leader="none" w:pos="62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21"/>
          <w:szCs w:val="21"/>
          <w:b w:val="1"/>
          <w:bCs w:val="1"/>
          <w:color w:val="auto"/>
        </w:rPr>
        <w:t>Successors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of the Plan shall bind and inure to the benefit of the Plan Sponsor, the Employer</w:t>
      </w:r>
      <w:r>
        <w:rPr>
          <w:rFonts w:ascii="Arial" w:cs="Arial" w:eastAsia="Arial" w:hAnsi="Arial"/>
          <w:sz w:val="21"/>
          <w:szCs w:val="21"/>
          <w:b w:val="1"/>
          <w:bCs w:val="1"/>
          <w:color w:val="auto"/>
        </w:rPr>
        <w:t xml:space="preserve"> </w:t>
      </w:r>
      <w:r>
        <w:rPr>
          <w:rFonts w:ascii="Arial" w:cs="Arial" w:eastAsia="Arial" w:hAnsi="Arial"/>
          <w:sz w:val="21"/>
          <w:szCs w:val="21"/>
          <w:color w:val="auto"/>
        </w:rPr>
        <w:t>and their successors and assigns and the Participant and the Participant’s designated Beneficiaries.</w:t>
      </w:r>
    </w:p>
    <w:p>
      <w:pPr>
        <w:spacing w:after="0" w:line="130" w:lineRule="exact"/>
        <w:rPr>
          <w:sz w:val="20"/>
          <w:szCs w:val="20"/>
          <w:color w:val="auto"/>
        </w:rPr>
      </w:pPr>
    </w:p>
    <w:p>
      <w:pPr>
        <w:jc w:val="both"/>
        <w:ind w:left="640" w:right="80" w:hanging="647"/>
        <w:spacing w:after="0" w:line="258" w:lineRule="auto"/>
        <w:rPr>
          <w:sz w:val="20"/>
          <w:szCs w:val="20"/>
          <w:color w:val="auto"/>
        </w:rPr>
      </w:pPr>
      <w:r>
        <w:rPr>
          <w:rFonts w:ascii="Arial" w:cs="Arial" w:eastAsia="Arial" w:hAnsi="Arial"/>
          <w:sz w:val="22"/>
          <w:szCs w:val="22"/>
          <w:b w:val="1"/>
          <w:bCs w:val="1"/>
          <w:color w:val="auto"/>
        </w:rPr>
        <w:t xml:space="preserve">13.10 Disclaimer. </w:t>
      </w:r>
      <w:r>
        <w:rPr>
          <w:rFonts w:ascii="Arial" w:cs="Arial" w:eastAsia="Arial" w:hAnsi="Arial"/>
          <w:sz w:val="22"/>
          <w:szCs w:val="22"/>
          <w:color w:val="auto"/>
        </w:rPr>
        <w:t>It is the Plan Sponsor’s intention that the Plan comply with the requirements of Code 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Plan Sponsor nor the Employer shall have any liability to any Participant should any provision of the Plan fail to satisfy the requirements of Code Section 409A.</w:t>
      </w:r>
    </w:p>
    <w:p>
      <w:pPr>
        <w:spacing w:after="0" w:line="170" w:lineRule="exact"/>
        <w:rPr>
          <w:sz w:val="20"/>
          <w:szCs w:val="20"/>
          <w:color w:val="auto"/>
        </w:rPr>
      </w:pPr>
    </w:p>
    <w:p>
      <w:pPr>
        <w:ind w:left="640" w:right="600" w:hanging="647"/>
        <w:spacing w:after="0" w:line="274" w:lineRule="auto"/>
        <w:rPr>
          <w:sz w:val="20"/>
          <w:szCs w:val="20"/>
          <w:color w:val="auto"/>
        </w:rPr>
      </w:pPr>
      <w:r>
        <w:rPr>
          <w:rFonts w:ascii="Arial" w:cs="Arial" w:eastAsia="Arial" w:hAnsi="Arial"/>
          <w:sz w:val="22"/>
          <w:szCs w:val="22"/>
          <w:b w:val="1"/>
          <w:bCs w:val="1"/>
          <w:color w:val="auto"/>
        </w:rPr>
        <w:t>13.11 Governing Law</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will be construed, administered and enforced according to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by the Plan Sponsor in Section 12.01 of the Adoption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606" w:right="2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0" w:type="dxa"/>
            <w:vAlign w:val="bottom"/>
          </w:tcPr>
          <w:p>
            <w:pPr>
              <w:ind w:left="2980"/>
              <w:spacing w:after="0"/>
              <w:rPr>
                <w:sz w:val="20"/>
                <w:szCs w:val="20"/>
                <w:color w:val="auto"/>
              </w:rPr>
            </w:pPr>
            <w:r>
              <w:rPr>
                <w:rFonts w:ascii="Arial" w:cs="Arial" w:eastAsia="Arial" w:hAnsi="Arial"/>
                <w:sz w:val="18"/>
                <w:szCs w:val="18"/>
                <w:b w:val="1"/>
                <w:bCs w:val="1"/>
                <w:color w:val="auto"/>
              </w:rPr>
              <w:t>Dell Technologies Inc. Subsidiary List</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54"/>
        </w:trPr>
        <w:tc>
          <w:tcPr>
            <w:tcW w:w="80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1140" w:type="dxa"/>
            <w:vAlign w:val="bottom"/>
          </w:tcPr>
          <w:p>
            <w:pPr>
              <w:spacing w:after="0"/>
              <w:rPr>
                <w:sz w:val="24"/>
                <w:szCs w:val="24"/>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2"/>
              </w:rPr>
              <w:t>Country</w:t>
            </w:r>
          </w:p>
        </w:tc>
      </w:tr>
      <w:tr>
        <w:trPr>
          <w:trHeight w:val="48"/>
        </w:trPr>
        <w:tc>
          <w:tcPr>
            <w:tcW w:w="4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6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560" w:type="dxa"/>
            <w:vAlign w:val="bottom"/>
          </w:tcPr>
          <w:p>
            <w:pPr>
              <w:spacing w:after="0"/>
              <w:rPr>
                <w:sz w:val="4"/>
                <w:szCs w:val="4"/>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3401 Hillview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900 West Park Drive LLC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A.W.S. Holdinng,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Adstebe Limited</w:t>
            </w:r>
          </w:p>
        </w:tc>
        <w:tc>
          <w:tcPr>
            <w:tcW w:w="1140" w:type="dxa"/>
            <w:vAlign w:val="bottom"/>
          </w:tcPr>
          <w:p>
            <w:pPr>
              <w:spacing w:after="0"/>
              <w:rPr>
                <w:sz w:val="19"/>
                <w:szCs w:val="19"/>
                <w:color w:val="auto"/>
              </w:rPr>
            </w:pPr>
          </w:p>
        </w:tc>
        <w:tc>
          <w:tcPr>
            <w:tcW w:w="2200" w:type="dxa"/>
            <w:vAlign w:val="bottom"/>
            <w:gridSpan w:val="2"/>
          </w:tcPr>
          <w:p>
            <w:pPr>
              <w:jc w:val="center"/>
              <w:ind w:right="1540"/>
              <w:spacing w:after="0"/>
              <w:rPr>
                <w:sz w:val="20"/>
                <w:szCs w:val="20"/>
                <w:color w:val="auto"/>
              </w:rPr>
            </w:pPr>
            <w:r>
              <w:rPr>
                <w:rFonts w:ascii="Arial" w:cs="Arial" w:eastAsia="Arial" w:hAnsi="Arial"/>
                <w:sz w:val="16"/>
                <w:szCs w:val="16"/>
                <w:color w:val="auto"/>
                <w:w w:val="93"/>
              </w:rPr>
              <w:t>Ireland</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AirWatch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AirWatch Technologies India Private Ltd.</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Arkinnet Software Private Limited</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ASAP Software Express Inc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Boomi, Inc.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Bracknell Boulevard (Block C) LLC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Bracknell Boulevard (Block D)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Bracknell Boulevard Management Company Limited</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Branch of Dell (Free Zone Company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Saudi Arabia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Cloud Credo Limited</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Cohpack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Conchango (Holdings) Limited</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Conchango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Configuresoft International Holdings, Inc.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Credant Technologies GmbH</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1"/>
              </w:rPr>
              <w:t>Germany</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Credant Technologies International, Inc.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Credant Technologies, Inc.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Data Domain Bermuda LLC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Data Domain Data Storage India Private Limited</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Data Domain International III LLC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Data Domain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Data General International Inc.</w:t>
            </w:r>
          </w:p>
        </w:tc>
        <w:tc>
          <w:tcPr>
            <w:tcW w:w="334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DCC Executive Security Inc.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Decho Technology India Private Limited</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(Chengdu) Company Limited</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Beijing Branch</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Beijing Information Technology Branch Office</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Beijing Liaison Office</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Chengdu Liaison Office</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Dalian Branch</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Guangzhou Branch</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Guangzhou Liaison Office</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Hang Zhou Liaison Office</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Nanjing Liaison Office</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Shanghai Branch</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Shen Zhen Liaison Office</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(China) Company Limited - Shenzhen Branch</w:t>
            </w:r>
          </w:p>
        </w:tc>
        <w:tc>
          <w:tcPr>
            <w:tcW w:w="1140" w:type="dxa"/>
            <w:vAlign w:val="bottom"/>
          </w:tcPr>
          <w:p>
            <w:pPr>
              <w:spacing w:after="0"/>
              <w:rPr>
                <w:sz w:val="19"/>
                <w:szCs w:val="19"/>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Xiamen Branch</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24"/>
        </w:trPr>
        <w:tc>
          <w:tcPr>
            <w:tcW w:w="8080" w:type="dxa"/>
            <w:vAlign w:val="bottom"/>
            <w:gridSpan w:val="3"/>
          </w:tcPr>
          <w:p>
            <w:pPr>
              <w:ind w:left="40"/>
              <w:spacing w:after="0"/>
              <w:rPr>
                <w:sz w:val="20"/>
                <w:szCs w:val="20"/>
                <w:color w:val="auto"/>
              </w:rPr>
            </w:pPr>
            <w:r>
              <w:rPr>
                <w:rFonts w:ascii="Arial" w:cs="Arial" w:eastAsia="Arial" w:hAnsi="Arial"/>
                <w:sz w:val="16"/>
                <w:szCs w:val="16"/>
                <w:color w:val="auto"/>
              </w:rPr>
              <w:t>Dell (PS) Limited</w:t>
            </w:r>
          </w:p>
        </w:tc>
        <w:tc>
          <w:tcPr>
            <w:tcW w:w="1140" w:type="dxa"/>
            <w:vAlign w:val="bottom"/>
          </w:tcPr>
          <w:p>
            <w:pPr>
              <w:spacing w:after="0"/>
              <w:rPr>
                <w:sz w:val="19"/>
                <w:szCs w:val="19"/>
                <w:color w:val="auto"/>
              </w:rPr>
            </w:pPr>
          </w:p>
        </w:tc>
        <w:tc>
          <w:tcPr>
            <w:tcW w:w="2200" w:type="dxa"/>
            <w:vAlign w:val="bottom"/>
            <w:gridSpan w:val="2"/>
          </w:tcPr>
          <w:p>
            <w:pPr>
              <w:jc w:val="center"/>
              <w:ind w:right="1540"/>
              <w:spacing w:after="0"/>
              <w:rPr>
                <w:sz w:val="20"/>
                <w:szCs w:val="20"/>
                <w:color w:val="auto"/>
              </w:rPr>
            </w:pPr>
            <w:r>
              <w:rPr>
                <w:rFonts w:ascii="Arial" w:cs="Arial" w:eastAsia="Arial" w:hAnsi="Arial"/>
                <w:sz w:val="16"/>
                <w:szCs w:val="16"/>
                <w:color w:val="auto"/>
                <w:w w:val="93"/>
              </w:rPr>
              <w:t>Ireland</w:t>
            </w: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4"/>
        </w:trPr>
        <w:tc>
          <w:tcPr>
            <w:tcW w:w="8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Dell (Switzerland) GmbH</w:t>
            </w:r>
          </w:p>
        </w:tc>
        <w:tc>
          <w:tcPr>
            <w:tcW w:w="3340" w:type="dxa"/>
            <w:vAlign w:val="bottom"/>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Switzerland</w:t>
            </w:r>
          </w:p>
        </w:tc>
      </w:tr>
      <w:tr>
        <w:trPr>
          <w:trHeight w:val="33"/>
        </w:trPr>
        <w:tc>
          <w:tcPr>
            <w:tcW w:w="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1" w:right="239" w:bottom="1440" w:gutter="0" w:footer="0" w:header="0"/>
          <w:type w:val="continuous"/>
        </w:sectPr>
      </w:pPr>
    </w:p>
    <w:bookmarkStart w:id="302" w:name="page303"/>
    <w:bookmarkEnd w:id="302"/>
    <w:tbl>
      <w:tblPr>
        <w:tblLayout w:type="fixed"/>
        <w:tblInd w:w="0" w:type="dxa"/>
        <w:tblCellMar>
          <w:top w:w="0" w:type="dxa"/>
          <w:left w:w="0" w:type="dxa"/>
          <w:bottom w:w="0" w:type="dxa"/>
          <w:right w:w="0" w:type="dxa"/>
        </w:tblCellMar>
      </w:tblPr>
      <w:tr>
        <w:trPr>
          <w:trHeight w:val="206"/>
        </w:trPr>
        <w:tc>
          <w:tcPr>
            <w:tcW w:w="7040" w:type="dxa"/>
            <w:vAlign w:val="bottom"/>
          </w:tcPr>
          <w:p>
            <w:pPr>
              <w:ind w:left="40"/>
              <w:spacing w:after="0"/>
              <w:rPr>
                <w:sz w:val="20"/>
                <w:szCs w:val="20"/>
                <w:color w:val="auto"/>
              </w:rPr>
            </w:pPr>
            <w:r>
              <w:rPr>
                <w:rFonts w:ascii="Arial" w:cs="Arial" w:eastAsia="Arial" w:hAnsi="Arial"/>
                <w:sz w:val="16"/>
                <w:szCs w:val="16"/>
                <w:color w:val="auto"/>
              </w:rPr>
              <w:t>Dell (Xiamen) Company Limited</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5"/>
              </w:rPr>
              <w:t>China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(Xiamen) Company Limited - Dalian Branch</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5"/>
              </w:rPr>
              <w:t>China</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A/S</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2"/>
              </w:rPr>
              <w:t>Denmark</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AB</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89"/>
              </w:rPr>
              <w:t>Sweden</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America Latina Corp, Argentina Branch</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3"/>
              </w:rPr>
              <w:t>Argentina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America Latina Corp.</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AS</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5"/>
              </w:rPr>
              <w:t>Norway</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Asia B.V.</w:t>
            </w:r>
          </w:p>
        </w:tc>
        <w:tc>
          <w:tcPr>
            <w:tcW w:w="438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0"/>
              </w:rPr>
              <w:t>Netherlands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Asia Holdings Pte. Ltd.</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90"/>
              </w:rPr>
              <w:t>Singapore</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Asia Pacific Sdn. - Philippines Representative Office</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3"/>
              </w:rPr>
              <w:t>Philippines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Asia Pacific Sdn. Bhd.</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4"/>
              </w:rPr>
              <w:t>Malaysia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Asset Revolving Trust-B</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Asset Syndication L.L.C.</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Australia Pty Limited</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6"/>
              </w:rPr>
              <w:t>Australia</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B.V.</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90"/>
              </w:rPr>
              <w:t>Netherlands</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B.V., Taiwan Branch</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2"/>
              </w:rPr>
              <w:t>Taiwan</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Bank International Designated Activity Company</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93"/>
              </w:rPr>
              <w:t>Ireland</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Bank International Designated Activity Company, Sucursal en España</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87"/>
              </w:rPr>
              <w:t>Spain</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Canada Inc.</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85"/>
              </w:rPr>
              <w:t>Canada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Colombia Inc</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Colombia Inc - COLOMBIA BRANCH</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4"/>
              </w:rPr>
              <w:t>Colombia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Computadores do Brasil Ltda.</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9"/>
              </w:rPr>
              <w:t>Brazil</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Computer (Pty) Limited</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6"/>
              </w:rPr>
              <w:t>South Africa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De Chile Ltda.</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8"/>
              </w:rPr>
              <w:t>Chile</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Computer EEIG</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4"/>
              </w:rPr>
              <w:t>United Kingdom</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Holdings L.P.</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Computer SA</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87"/>
              </w:rPr>
              <w:t>Spain</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Services de Mexico S.A. de C.V.</w:t>
            </w:r>
          </w:p>
        </w:tc>
        <w:tc>
          <w:tcPr>
            <w:tcW w:w="438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8"/>
              </w:rPr>
              <w:t>Mexico</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Computer spol. s r.o.</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2"/>
              </w:rPr>
              <w:t>Czech Republic</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Conduit Funding-B L.L.C.</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Corporation (Thailand) Co., Ltd.</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94"/>
              </w:rPr>
              <w:t>Thailand</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Corporation Limited</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4"/>
              </w:rPr>
              <w:t>United Kingdom</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Costa Rica SA</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1"/>
              </w:rPr>
              <w:t>Costa Rica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Depositor L.L.C.</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DFS Corporation</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DFS Holdings Kft</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2"/>
              </w:rPr>
              <w:t>Hungary</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DFS Holdings LLC</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1"/>
              </w:rPr>
              <w:t>United States</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Direct</w:t>
            </w:r>
          </w:p>
        </w:tc>
        <w:tc>
          <w:tcPr>
            <w:tcW w:w="438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3"/>
              </w:rPr>
              <w:t>Ireland</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Distribution Maroc (Succ)</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94"/>
              </w:rPr>
              <w:t>Morocco</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El Salvador, Limitada</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2"/>
              </w:rPr>
              <w:t>El Salvador</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Emerging Markets (EMEA) Limited</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4"/>
              </w:rPr>
              <w:t>United Kingdom</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89"/>
              </w:rPr>
              <w:t>Jordan</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Emerging Markets (EMEA) Limited</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2"/>
              </w:rPr>
              <w:t>Tunisia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 Egypt Representative Office</w:t>
            </w:r>
          </w:p>
        </w:tc>
        <w:tc>
          <w:tcPr>
            <w:tcW w:w="43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97"/>
              </w:rPr>
              <w:t>Egypt</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Emerging Markets (EMEA) Limited - Representative Office</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89"/>
              </w:rPr>
              <w:t>Lebanon</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 Representative Office</w:t>
            </w:r>
          </w:p>
        </w:tc>
        <w:tc>
          <w:tcPr>
            <w:tcW w:w="438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0"/>
              </w:rPr>
              <w:t>Romania</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Emerging Markets (EMEA) Limited (Kazakhstan Representative Office)</w:t>
            </w:r>
          </w:p>
        </w:tc>
        <w:tc>
          <w:tcPr>
            <w:tcW w:w="4380" w:type="dxa"/>
            <w:vAlign w:val="bottom"/>
          </w:tcPr>
          <w:p>
            <w:pPr>
              <w:jc w:val="center"/>
              <w:ind w:left="539"/>
              <w:spacing w:after="0"/>
              <w:rPr>
                <w:sz w:val="20"/>
                <w:szCs w:val="20"/>
                <w:color w:val="auto"/>
              </w:rPr>
            </w:pPr>
            <w:r>
              <w:rPr>
                <w:rFonts w:ascii="Arial" w:cs="Arial" w:eastAsia="Arial" w:hAnsi="Arial"/>
                <w:sz w:val="16"/>
                <w:szCs w:val="16"/>
                <w:color w:val="auto"/>
                <w:w w:val="90"/>
              </w:rPr>
              <w:t>Kazakhstan</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(Kenya Branch)</w:t>
            </w:r>
          </w:p>
        </w:tc>
        <w:tc>
          <w:tcPr>
            <w:tcW w:w="438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2"/>
              </w:rPr>
              <w:t>Kenya</w:t>
            </w:r>
          </w:p>
        </w:tc>
      </w:tr>
      <w:tr>
        <w:trPr>
          <w:trHeight w:val="224"/>
        </w:trPr>
        <w:tc>
          <w:tcPr>
            <w:tcW w:w="7040" w:type="dxa"/>
            <w:vAlign w:val="bottom"/>
          </w:tcPr>
          <w:p>
            <w:pPr>
              <w:ind w:left="40"/>
              <w:spacing w:after="0"/>
              <w:rPr>
                <w:sz w:val="20"/>
                <w:szCs w:val="20"/>
                <w:color w:val="auto"/>
              </w:rPr>
            </w:pPr>
            <w:r>
              <w:rPr>
                <w:rFonts w:ascii="Arial" w:cs="Arial" w:eastAsia="Arial" w:hAnsi="Arial"/>
                <w:sz w:val="16"/>
                <w:szCs w:val="16"/>
                <w:color w:val="auto"/>
              </w:rPr>
              <w:t>Dell Emerging Markets (EMEA) Limited (Uganda Representative Office)</w:t>
            </w:r>
          </w:p>
        </w:tc>
        <w:tc>
          <w:tcPr>
            <w:tcW w:w="4380" w:type="dxa"/>
            <w:vAlign w:val="bottom"/>
          </w:tcPr>
          <w:p>
            <w:pPr>
              <w:jc w:val="center"/>
              <w:ind w:left="559"/>
              <w:spacing w:after="0"/>
              <w:rPr>
                <w:sz w:val="20"/>
                <w:szCs w:val="20"/>
                <w:color w:val="auto"/>
              </w:rPr>
            </w:pPr>
            <w:r>
              <w:rPr>
                <w:rFonts w:ascii="Arial" w:cs="Arial" w:eastAsia="Arial" w:hAnsi="Arial"/>
                <w:sz w:val="16"/>
                <w:szCs w:val="16"/>
                <w:color w:val="auto"/>
                <w:w w:val="89"/>
              </w:rPr>
              <w:t>Uganda</w:t>
            </w:r>
          </w:p>
        </w:tc>
      </w:tr>
      <w:tr>
        <w:trPr>
          <w:trHeight w:val="33"/>
        </w:trPr>
        <w:tc>
          <w:tcPr>
            <w:tcW w:w="70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24"/>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External Company (Ghana)</w:t>
            </w:r>
          </w:p>
        </w:tc>
        <w:tc>
          <w:tcPr>
            <w:tcW w:w="438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7"/>
              </w:rPr>
              <w:t>Ghana</w:t>
            </w:r>
          </w:p>
        </w:tc>
      </w:tr>
      <w:tr>
        <w:trPr>
          <w:trHeight w:val="33"/>
        </w:trPr>
        <w:tc>
          <w:tcPr>
            <w:tcW w:w="704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51" w:right="239" w:bottom="1440" w:gutter="0" w:footer="0" w:header="0"/>
          <w:type w:val="continuous"/>
        </w:sectPr>
      </w:pPr>
    </w:p>
    <w:bookmarkStart w:id="303" w:name="page304"/>
    <w:bookmarkEnd w:id="303"/>
    <w:tbl>
      <w:tblPr>
        <w:tblLayout w:type="fixed"/>
        <w:tblInd w:w="0" w:type="dxa"/>
        <w:tblCellMar>
          <w:top w:w="0" w:type="dxa"/>
          <w:left w:w="0" w:type="dxa"/>
          <w:bottom w:w="0" w:type="dxa"/>
          <w:right w:w="0" w:type="dxa"/>
        </w:tblCellMar>
      </w:tblPr>
      <w:tr>
        <w:trPr>
          <w:trHeight w:val="206"/>
        </w:trPr>
        <w:tc>
          <w:tcPr>
            <w:tcW w:w="7140" w:type="dxa"/>
            <w:vAlign w:val="bottom"/>
          </w:tcPr>
          <w:p>
            <w:pPr>
              <w:ind w:left="40"/>
              <w:spacing w:after="0"/>
              <w:rPr>
                <w:sz w:val="20"/>
                <w:szCs w:val="20"/>
                <w:color w:val="auto"/>
              </w:rPr>
            </w:pPr>
            <w:r>
              <w:rPr>
                <w:rFonts w:ascii="Arial" w:cs="Arial" w:eastAsia="Arial" w:hAnsi="Arial"/>
                <w:sz w:val="16"/>
                <w:szCs w:val="16"/>
                <w:color w:val="auto"/>
              </w:rPr>
              <w:t>Dell Emerging Markets (EMEA) Limited Trade Representative Office (Bulgaria)</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5"/>
              </w:rPr>
              <w:t>Bulgaria</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za usluge, Podružnica Zagreb</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2"/>
              </w:rPr>
              <w:t>Croatia</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Equipment Finance Trust 2014-1</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Finance Trust 2015-1</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Equipment Finance Trust 2015-2</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Finance Trust 2016-1</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Equipment Funding LP</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GP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Federal Systems Corporation</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Federal Systems GP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Federal Systems L.P.</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Federal Systems LP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Financial Services Canada Limited</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85"/>
              </w:rPr>
              <w:t>Canada</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Financial Services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Funding L.L.C.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FZ-LLC</w:t>
            </w:r>
          </w:p>
        </w:tc>
        <w:tc>
          <w:tcPr>
            <w:tcW w:w="4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3"/>
              </w:rPr>
              <w:t>United Arab Emirates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FZ-LLC - Abu Dhabi Branch</w:t>
            </w:r>
          </w:p>
        </w:tc>
        <w:tc>
          <w:tcPr>
            <w:tcW w:w="4280" w:type="dxa"/>
            <w:vAlign w:val="bottom"/>
          </w:tcPr>
          <w:p>
            <w:pPr>
              <w:jc w:val="center"/>
              <w:ind w:left="459"/>
              <w:spacing w:after="0"/>
              <w:rPr>
                <w:sz w:val="20"/>
                <w:szCs w:val="20"/>
                <w:color w:val="auto"/>
              </w:rPr>
            </w:pPr>
            <w:r>
              <w:rPr>
                <w:rFonts w:ascii="Arial" w:cs="Arial" w:eastAsia="Arial" w:hAnsi="Arial"/>
                <w:sz w:val="16"/>
                <w:szCs w:val="16"/>
                <w:color w:val="auto"/>
                <w:w w:val="93"/>
              </w:rPr>
              <w:t>United Arab Emirates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FZ-LLC - BAHRAIN BRANCH</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4"/>
              </w:rPr>
              <w:t>Bahrain</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FZ-LLC - Dubai Branch</w:t>
            </w:r>
          </w:p>
        </w:tc>
        <w:tc>
          <w:tcPr>
            <w:tcW w:w="4280" w:type="dxa"/>
            <w:vAlign w:val="bottom"/>
          </w:tcPr>
          <w:p>
            <w:pPr>
              <w:jc w:val="center"/>
              <w:ind w:left="459"/>
              <w:spacing w:after="0"/>
              <w:rPr>
                <w:sz w:val="20"/>
                <w:szCs w:val="20"/>
                <w:color w:val="auto"/>
              </w:rPr>
            </w:pPr>
            <w:r>
              <w:rPr>
                <w:rFonts w:ascii="Arial" w:cs="Arial" w:eastAsia="Arial" w:hAnsi="Arial"/>
                <w:sz w:val="16"/>
                <w:szCs w:val="16"/>
                <w:color w:val="auto"/>
                <w:w w:val="93"/>
              </w:rPr>
              <w:t>United Arab Emirates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FZ-LLC - Qatar Branch</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89"/>
              </w:rPr>
              <w:t>Qatar</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Gesellschaft m.b.H</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6"/>
              </w:rPr>
              <w:t>Austria</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w:t>
            </w:r>
          </w:p>
        </w:tc>
        <w:tc>
          <w:tcPr>
            <w:tcW w:w="4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0"/>
              </w:rPr>
              <w:t>Netherlands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B.V. - Bangladesh Liaison Office</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89"/>
              </w:rPr>
              <w:t>Bangladesh</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 Indonesia Representative Office</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2"/>
              </w:rPr>
              <w:t>Indonesia</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B.V. - Pakistan Liaison Office</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Pakistan</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 Philippines Representative Office</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3"/>
              </w:rPr>
              <w:t>Philippines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B.V. - Sri Lanka Liaison / Representative Office</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4"/>
              </w:rPr>
              <w:t>Sri Lanka</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(Singapore Branch)</w:t>
            </w:r>
          </w:p>
        </w:tc>
        <w:tc>
          <w:tcPr>
            <w:tcW w:w="4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0"/>
              </w:rPr>
              <w:t>Singapore</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Business Center Sdn. Bhd.</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4"/>
              </w:rPr>
              <w:t>Malaysia</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II B.V.</w:t>
            </w:r>
          </w:p>
        </w:tc>
        <w:tc>
          <w:tcPr>
            <w:tcW w:w="4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0"/>
              </w:rPr>
              <w:t>Netherlands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Holdings III B.V.</w:t>
            </w:r>
          </w:p>
        </w:tc>
        <w:tc>
          <w:tcPr>
            <w:tcW w:w="4280" w:type="dxa"/>
            <w:vAlign w:val="bottom"/>
          </w:tcPr>
          <w:p>
            <w:pPr>
              <w:jc w:val="center"/>
              <w:ind w:left="459"/>
              <w:spacing w:after="0"/>
              <w:rPr>
                <w:sz w:val="20"/>
                <w:szCs w:val="20"/>
                <w:color w:val="auto"/>
              </w:rPr>
            </w:pPr>
            <w:r>
              <w:rPr>
                <w:rFonts w:ascii="Arial" w:cs="Arial" w:eastAsia="Arial" w:hAnsi="Arial"/>
                <w:sz w:val="16"/>
                <w:szCs w:val="16"/>
                <w:color w:val="auto"/>
                <w:w w:val="90"/>
              </w:rPr>
              <w:t>Netherlands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IV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Holdings L.L.C.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VII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Holdings X L.L.C.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XI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Holdings XII L.L.C.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XIII L.L.C.</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Global International B.V.</w:t>
            </w:r>
          </w:p>
        </w:tc>
        <w:tc>
          <w:tcPr>
            <w:tcW w:w="4280" w:type="dxa"/>
            <w:vAlign w:val="bottom"/>
          </w:tcPr>
          <w:p>
            <w:pPr>
              <w:jc w:val="center"/>
              <w:ind w:left="459"/>
              <w:spacing w:after="0"/>
              <w:rPr>
                <w:sz w:val="20"/>
                <w:szCs w:val="20"/>
                <w:color w:val="auto"/>
              </w:rPr>
            </w:pPr>
            <w:r>
              <w:rPr>
                <w:rFonts w:ascii="Arial" w:cs="Arial" w:eastAsia="Arial" w:hAnsi="Arial"/>
                <w:sz w:val="16"/>
                <w:szCs w:val="16"/>
                <w:color w:val="auto"/>
                <w:w w:val="90"/>
              </w:rPr>
              <w:t>Netherlands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GmbH</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Germany</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GmbH - Munich Branch</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Germany</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Guatemala, Ltda.</w:t>
            </w:r>
          </w:p>
        </w:tc>
        <w:tc>
          <w:tcPr>
            <w:tcW w:w="4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89"/>
              </w:rPr>
              <w:t>Guatemala</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Halle GmbH</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Germany</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Hong Kong Limited</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4"/>
              </w:rPr>
              <w:t>Hong Kong</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Hungary Technology Solutions Trade LLC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2"/>
              </w:rPr>
              <w:t>Hungary</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III - Comercio de Computadores, Unipessoal Lda</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3"/>
              </w:rPr>
              <w:t>Portugal</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Inc.</w:t>
            </w:r>
          </w:p>
        </w:tc>
        <w:tc>
          <w:tcPr>
            <w:tcW w:w="4280" w:type="dxa"/>
            <w:vAlign w:val="bottom"/>
          </w:tcPr>
          <w:p>
            <w:pPr>
              <w:jc w:val="center"/>
              <w:ind w:left="439"/>
              <w:spacing w:after="0"/>
              <w:rPr>
                <w:sz w:val="20"/>
                <w:szCs w:val="20"/>
                <w:color w:val="auto"/>
              </w:rPr>
            </w:pPr>
            <w:r>
              <w:rPr>
                <w:rFonts w:ascii="Arial" w:cs="Arial" w:eastAsia="Arial" w:hAnsi="Arial"/>
                <w:sz w:val="16"/>
                <w:szCs w:val="16"/>
                <w:color w:val="auto"/>
                <w:w w:val="91"/>
              </w:rPr>
              <w:t>United States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Information Technology (Kunshan) Company Limited</w:t>
            </w:r>
          </w:p>
        </w:tc>
        <w:tc>
          <w:tcPr>
            <w:tcW w:w="428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5"/>
              </w:rPr>
              <w:t>China</w:t>
            </w:r>
          </w:p>
        </w:tc>
      </w:tr>
      <w:tr>
        <w:trPr>
          <w:trHeight w:val="224"/>
        </w:trPr>
        <w:tc>
          <w:tcPr>
            <w:tcW w:w="7140" w:type="dxa"/>
            <w:vAlign w:val="bottom"/>
          </w:tcPr>
          <w:p>
            <w:pPr>
              <w:ind w:left="40"/>
              <w:spacing w:after="0"/>
              <w:rPr>
                <w:sz w:val="20"/>
                <w:szCs w:val="20"/>
                <w:color w:val="auto"/>
              </w:rPr>
            </w:pPr>
            <w:r>
              <w:rPr>
                <w:rFonts w:ascii="Arial" w:cs="Arial" w:eastAsia="Arial" w:hAnsi="Arial"/>
                <w:sz w:val="16"/>
                <w:szCs w:val="16"/>
                <w:color w:val="auto"/>
              </w:rPr>
              <w:t>Dell International Holdings IX B.V.</w:t>
            </w:r>
          </w:p>
        </w:tc>
        <w:tc>
          <w:tcPr>
            <w:tcW w:w="4280" w:type="dxa"/>
            <w:vAlign w:val="bottom"/>
          </w:tcPr>
          <w:p>
            <w:pPr>
              <w:jc w:val="center"/>
              <w:ind w:left="459"/>
              <w:spacing w:after="0"/>
              <w:rPr>
                <w:sz w:val="20"/>
                <w:szCs w:val="20"/>
                <w:color w:val="auto"/>
              </w:rPr>
            </w:pPr>
            <w:r>
              <w:rPr>
                <w:rFonts w:ascii="Arial" w:cs="Arial" w:eastAsia="Arial" w:hAnsi="Arial"/>
                <w:sz w:val="16"/>
                <w:szCs w:val="16"/>
                <w:color w:val="auto"/>
                <w:w w:val="90"/>
              </w:rPr>
              <w:t>Netherlands</w:t>
            </w:r>
          </w:p>
        </w:tc>
      </w:tr>
      <w:tr>
        <w:trPr>
          <w:trHeight w:val="33"/>
        </w:trPr>
        <w:tc>
          <w:tcPr>
            <w:tcW w:w="71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24"/>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Dell International Holdings Kft</w:t>
            </w:r>
          </w:p>
        </w:tc>
        <w:tc>
          <w:tcPr>
            <w:tcW w:w="42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Hungary</w:t>
            </w:r>
          </w:p>
        </w:tc>
      </w:tr>
      <w:tr>
        <w:trPr>
          <w:trHeight w:val="33"/>
        </w:trPr>
        <w:tc>
          <w:tcPr>
            <w:tcW w:w="714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51" w:right="239" w:bottom="1440" w:gutter="0" w:footer="0" w:header="0"/>
          <w:type w:val="continuous"/>
        </w:sectPr>
      </w:pPr>
    </w:p>
    <w:bookmarkStart w:id="304" w:name="page305"/>
    <w:bookmarkEnd w:id="304"/>
    <w:tbl>
      <w:tblPr>
        <w:tblLayout w:type="fixed"/>
        <w:tblInd w:w="0" w:type="dxa"/>
        <w:tblCellMar>
          <w:top w:w="0" w:type="dxa"/>
          <w:left w:w="0" w:type="dxa"/>
          <w:bottom w:w="0" w:type="dxa"/>
          <w:right w:w="0" w:type="dxa"/>
        </w:tblCellMar>
      </w:tblPr>
      <w:tr>
        <w:trPr>
          <w:trHeight w:val="206"/>
        </w:trPr>
        <w:tc>
          <w:tcPr>
            <w:tcW w:w="6860" w:type="dxa"/>
            <w:vAlign w:val="bottom"/>
          </w:tcPr>
          <w:p>
            <w:pPr>
              <w:ind w:left="40"/>
              <w:spacing w:after="0"/>
              <w:rPr>
                <w:sz w:val="20"/>
                <w:szCs w:val="20"/>
                <w:color w:val="auto"/>
              </w:rPr>
            </w:pPr>
            <w:r>
              <w:rPr>
                <w:rFonts w:ascii="Arial" w:cs="Arial" w:eastAsia="Arial" w:hAnsi="Arial"/>
                <w:sz w:val="16"/>
                <w:szCs w:val="16"/>
                <w:color w:val="auto"/>
              </w:rPr>
              <w:t>Dell International Holdings SAS</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88"/>
              </w:rPr>
              <w:t>France</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Holdings VIII B.V.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International Holdings X B.V.</w:t>
            </w:r>
          </w:p>
        </w:tc>
        <w:tc>
          <w:tcPr>
            <w:tcW w:w="4560" w:type="dxa"/>
            <w:vAlign w:val="bottom"/>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Holdings XII Coöperatief U.A.</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International Inc. (Korea)</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4"/>
              </w:rPr>
              <w:t>Korea, Republic of</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International Services India Private Limited</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2"/>
              </w:rPr>
              <w:t>India</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Services Philippines, Inc.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3"/>
              </w:rPr>
              <w:t>Philippines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Japan Inc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82"/>
              </w:rPr>
              <w:t>Japan</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Latinoamerica, S. de R.L.</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87"/>
              </w:rPr>
              <w:t>Panama</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Leasing Mexico S. de RL de C.V.</w:t>
            </w:r>
          </w:p>
        </w:tc>
        <w:tc>
          <w:tcPr>
            <w:tcW w:w="4560" w:type="dxa"/>
            <w:vAlign w:val="bottom"/>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Leasing Mexico Services S. de. R.L. de C.V.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89"/>
              </w:rPr>
              <w:t>Russian Federation</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Marketing Corporation</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Marketing GP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Marketing L.P.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Marketing LP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Mexico S.A. de C.V.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Morocco SAS</w:t>
            </w:r>
          </w:p>
        </w:tc>
        <w:tc>
          <w:tcPr>
            <w:tcW w:w="4560" w:type="dxa"/>
            <w:vAlign w:val="bottom"/>
          </w:tcPr>
          <w:p>
            <w:pPr>
              <w:jc w:val="center"/>
              <w:ind w:left="739"/>
              <w:spacing w:after="0"/>
              <w:rPr>
                <w:sz w:val="20"/>
                <w:szCs w:val="20"/>
                <w:color w:val="auto"/>
              </w:rPr>
            </w:pPr>
            <w:r>
              <w:rPr>
                <w:rFonts w:ascii="Arial" w:cs="Arial" w:eastAsia="Arial" w:hAnsi="Arial"/>
                <w:sz w:val="16"/>
                <w:szCs w:val="16"/>
                <w:color w:val="auto"/>
                <w:w w:val="94"/>
              </w:rPr>
              <w:t>Morocco</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New Zealand Limited</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3"/>
              </w:rPr>
              <w:t>New Zealand</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NV</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6"/>
              </w:rPr>
              <w:t>Belgium</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Panama S de RL</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87"/>
              </w:rPr>
              <w:t>Panama</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Peru S.A.C.</w:t>
            </w:r>
          </w:p>
        </w:tc>
        <w:tc>
          <w:tcPr>
            <w:tcW w:w="4560" w:type="dxa"/>
            <w:vAlign w:val="bottom"/>
          </w:tcPr>
          <w:p>
            <w:pPr>
              <w:jc w:val="center"/>
              <w:ind w:left="739"/>
              <w:spacing w:after="0"/>
              <w:rPr>
                <w:sz w:val="20"/>
                <w:szCs w:val="20"/>
                <w:color w:val="auto"/>
              </w:rPr>
            </w:pPr>
            <w:r>
              <w:rPr>
                <w:rFonts w:ascii="Arial" w:cs="Arial" w:eastAsia="Arial" w:hAnsi="Arial"/>
                <w:sz w:val="16"/>
                <w:szCs w:val="16"/>
                <w:color w:val="auto"/>
                <w:w w:val="88"/>
              </w:rPr>
              <w:t>Peru</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Procurement (Xiamen) Company Limited</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Procurement (Xiamen) Company Limited - Shanghai Branch</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Procurement (Xiamen) Company Limited - Shenzhen Branch</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Procurement (Xiamen) Company Limited - Shenzhen Liaison Office</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 and Process Innovation Services Corp.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Products</w:t>
            </w:r>
          </w:p>
        </w:tc>
        <w:tc>
          <w:tcPr>
            <w:tcW w:w="4560" w:type="dxa"/>
            <w:vAlign w:val="bottom"/>
          </w:tcPr>
          <w:p>
            <w:pPr>
              <w:jc w:val="center"/>
              <w:ind w:left="739"/>
              <w:spacing w:after="0"/>
              <w:rPr>
                <w:sz w:val="20"/>
                <w:szCs w:val="20"/>
                <w:color w:val="auto"/>
              </w:rPr>
            </w:pPr>
            <w:r>
              <w:rPr>
                <w:rFonts w:ascii="Arial" w:cs="Arial" w:eastAsia="Arial" w:hAnsi="Arial"/>
                <w:sz w:val="16"/>
                <w:szCs w:val="16"/>
                <w:color w:val="auto"/>
                <w:w w:val="93"/>
              </w:rPr>
              <w:t>Ireland</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(Europe) B.V.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Products (Poland) Sp.z.o.o.</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88"/>
              </w:rPr>
              <w:t>Poland</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Corporation</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Products GP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L.P.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Products LP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Manufacturing Unlimited Company</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3"/>
              </w:rPr>
              <w:t>Ireland</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Protective Services Inc.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Puerto Rico Corp.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0"/>
              </w:rPr>
              <w:t>Puerto Rico</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Receivables Corporation</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Receivables GP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Receivables L.P.</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Receivables LP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Revolver Company L.P.</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Revolver Funding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Revolver GP L.L.C.</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Revolving Transferor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S.à r.l</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4"/>
              </w:rPr>
              <w:t>Luxembourg</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S.p.A</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rPr>
              <w:t>Italy</w:t>
            </w: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Dell s.r.o.</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2"/>
              </w:rPr>
              <w:t>Slovakia</w:t>
            </w:r>
          </w:p>
        </w:tc>
      </w:tr>
      <w:tr>
        <w:trPr>
          <w:trHeight w:val="33"/>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2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Dell SA</w:t>
            </w:r>
          </w:p>
        </w:tc>
        <w:tc>
          <w:tcPr>
            <w:tcW w:w="456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8"/>
              </w:rPr>
              <w:t>France</w:t>
            </w:r>
          </w:p>
        </w:tc>
      </w:tr>
      <w:tr>
        <w:trPr>
          <w:trHeight w:val="33"/>
        </w:trPr>
        <w:tc>
          <w:tcPr>
            <w:tcW w:w="686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50" w:right="239" w:bottom="1440" w:gutter="0" w:footer="0" w:header="0"/>
          <w:type w:val="continuous"/>
        </w:sectPr>
      </w:pPr>
    </w:p>
    <w:bookmarkStart w:id="305" w:name="page306"/>
    <w:bookmarkEnd w:id="305"/>
    <w:tbl>
      <w:tblPr>
        <w:tblLayout w:type="fixed"/>
        <w:tblInd w:w="0" w:type="dxa"/>
        <w:tblCellMar>
          <w:top w:w="0" w:type="dxa"/>
          <w:left w:w="0" w:type="dxa"/>
          <w:bottom w:w="0" w:type="dxa"/>
          <w:right w:w="0" w:type="dxa"/>
        </w:tblCellMar>
      </w:tblPr>
      <w:tr>
        <w:trPr>
          <w:trHeight w:val="206"/>
        </w:trPr>
        <w:tc>
          <w:tcPr>
            <w:tcW w:w="7200" w:type="dxa"/>
            <w:vAlign w:val="bottom"/>
          </w:tcPr>
          <w:p>
            <w:pPr>
              <w:ind w:left="40"/>
              <w:spacing w:after="0"/>
              <w:rPr>
                <w:sz w:val="20"/>
                <w:szCs w:val="20"/>
                <w:color w:val="auto"/>
              </w:rPr>
            </w:pPr>
            <w:r>
              <w:rPr>
                <w:rFonts w:ascii="Arial" w:cs="Arial" w:eastAsia="Arial" w:hAnsi="Arial"/>
                <w:sz w:val="16"/>
                <w:szCs w:val="16"/>
                <w:color w:val="auto"/>
              </w:rPr>
              <w:t>Dell SA</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Switzerland</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Sales Malaysia Sdn. Bhd.</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4"/>
              </w:rPr>
              <w:t>Malaysia</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SAS</w:t>
            </w:r>
          </w:p>
        </w:tc>
        <w:tc>
          <w:tcPr>
            <w:tcW w:w="4220" w:type="dxa"/>
            <w:vAlign w:val="bottom"/>
          </w:tcPr>
          <w:p>
            <w:pPr>
              <w:jc w:val="center"/>
              <w:ind w:left="399"/>
              <w:spacing w:after="0"/>
              <w:rPr>
                <w:sz w:val="20"/>
                <w:szCs w:val="20"/>
                <w:color w:val="auto"/>
              </w:rPr>
            </w:pPr>
            <w:r>
              <w:rPr>
                <w:rFonts w:ascii="Arial" w:cs="Arial" w:eastAsia="Arial" w:hAnsi="Arial"/>
                <w:sz w:val="16"/>
                <w:szCs w:val="16"/>
                <w:color w:val="auto"/>
                <w:w w:val="94"/>
              </w:rPr>
              <w:t>Morocco</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Services (China) Company Limited</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5"/>
              </w:rPr>
              <w:t>China</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Services (China) Company Limited - Beijing Consulting Branch</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5"/>
              </w:rPr>
              <w:t>China</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Services (China) Company Limited - Shanghai Branch</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5"/>
              </w:rPr>
              <w:t>China</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Services GmbH</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Germany</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Singapore Pte. Ltd.</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Singapore</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Sp.z o.o.</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88"/>
              </w:rPr>
              <w:t>Poland</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Systems (TSI) Mauritius Private Limited</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8"/>
              </w:rPr>
              <w:t>Mauritius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Systems (UK) Limited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4"/>
              </w:rPr>
              <w:t>United Kingdom</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Systems Applications Solutions, Inc.</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Systems TSI (Hungary) Likviditásmenedzsment Korlátolt Felelısségő Társaság</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2"/>
              </w:rPr>
              <w:t>Hungary</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Taiwan B.V.</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Taiwan B.V., Taiwan Branch</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2"/>
              </w:rPr>
              <w:t>Taiwan</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Technologies Inc.</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Technology &amp; Solutions Israel Ltd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Israel</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Technology &amp; Solutions Nigeria Limited</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4"/>
              </w:rPr>
              <w:t>Nigeria</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Technology Products And Services SA</w:t>
            </w:r>
          </w:p>
        </w:tc>
        <w:tc>
          <w:tcPr>
            <w:tcW w:w="4220" w:type="dxa"/>
            <w:vAlign w:val="bottom"/>
          </w:tcPr>
          <w:p>
            <w:pPr>
              <w:jc w:val="center"/>
              <w:ind w:left="399"/>
              <w:spacing w:after="0"/>
              <w:rPr>
                <w:sz w:val="20"/>
                <w:szCs w:val="20"/>
                <w:color w:val="auto"/>
              </w:rPr>
            </w:pPr>
            <w:r>
              <w:rPr>
                <w:rFonts w:ascii="Arial" w:cs="Arial" w:eastAsia="Arial" w:hAnsi="Arial"/>
                <w:sz w:val="16"/>
                <w:szCs w:val="16"/>
                <w:color w:val="auto"/>
                <w:w w:val="87"/>
              </w:rPr>
              <w:t>Greece</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Technology S.R.L.</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Romania</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Technology Services, Inc, Sociedad De Responsabilidad Limitada</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Costa Rica</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Teknoloji Limited Sirketi</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3"/>
              </w:rPr>
              <w:t>Turkey</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Trading (Kunshan) Company Limited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5"/>
              </w:rPr>
              <w:t>China</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USA Corporation</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USA GP L.L.C.</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USA L.P.</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USA LP LLC</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World Trade Corporation</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World Trade GP L.L.C.</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World Trade L.P.</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Dell World Trade LP L.L.C.</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Denali Finance Corp.</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Denali Intermediate Inc.</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B.V.</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DIH VII C.V.</w:t>
            </w:r>
          </w:p>
        </w:tc>
        <w:tc>
          <w:tcPr>
            <w:tcW w:w="4220" w:type="dxa"/>
            <w:vAlign w:val="bottom"/>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DIH VIII C.V.</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DIH X C.V.</w:t>
            </w:r>
          </w:p>
        </w:tc>
        <w:tc>
          <w:tcPr>
            <w:tcW w:w="4220" w:type="dxa"/>
            <w:vAlign w:val="bottom"/>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Documentum Services Russia Limited</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89"/>
              </w:rPr>
              <w:t>Russian Federation</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ECM Software Group Limited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4"/>
              </w:rPr>
              <w:t>Cyprus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(Benelux) B.V.</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EMC (Benelux) B.V. - Sri Lanka Liasion Office</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4"/>
              </w:rPr>
              <w:t>Sri Lanka</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(Benelux) B.V. ("Branch in Ireland")</w:t>
            </w:r>
          </w:p>
        </w:tc>
        <w:tc>
          <w:tcPr>
            <w:tcW w:w="422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3"/>
              </w:rPr>
              <w:t>Ireland</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EMC Australia Pty Limited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6"/>
              </w:rPr>
              <w:t>Australia</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Brasil Serviços De Ti LTDA.</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9"/>
              </w:rPr>
              <w:t>Brazil</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EMC Chile S.A.</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8"/>
              </w:rPr>
              <w:t>Chile</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Cloud Services LLC</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1"/>
              </w:rPr>
              <w:t>United States</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EMC Computer Storage Systems (Sales &amp; Services) Ltd.</w:t>
            </w:r>
          </w:p>
        </w:tc>
        <w:tc>
          <w:tcPr>
            <w:tcW w:w="4220" w:type="dxa"/>
            <w:vAlign w:val="bottom"/>
          </w:tcPr>
          <w:p>
            <w:pPr>
              <w:jc w:val="center"/>
              <w:ind w:left="379"/>
              <w:spacing w:after="0"/>
              <w:rPr>
                <w:sz w:val="20"/>
                <w:szCs w:val="20"/>
                <w:color w:val="auto"/>
              </w:rPr>
            </w:pPr>
            <w:r>
              <w:rPr>
                <w:rFonts w:ascii="Arial" w:cs="Arial" w:eastAsia="Arial" w:hAnsi="Arial"/>
                <w:sz w:val="16"/>
                <w:szCs w:val="16"/>
                <w:color w:val="auto"/>
                <w:w w:val="91"/>
              </w:rPr>
              <w:t>Israel</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Sysstems</w:t>
            </w:r>
          </w:p>
        </w:tc>
        <w:tc>
          <w:tcPr>
            <w:tcW w:w="42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89"/>
              </w:rPr>
              <w:t>Qater</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EMC Computer Systems (Benelux) B.V.</w:t>
            </w:r>
          </w:p>
        </w:tc>
        <w:tc>
          <w:tcPr>
            <w:tcW w:w="4220" w:type="dxa"/>
            <w:vAlign w:val="bottom"/>
          </w:tcPr>
          <w:p>
            <w:pPr>
              <w:jc w:val="center"/>
              <w:ind w:left="399"/>
              <w:spacing w:after="0"/>
              <w:rPr>
                <w:sz w:val="20"/>
                <w:szCs w:val="20"/>
                <w:color w:val="auto"/>
              </w:rPr>
            </w:pPr>
            <w:r>
              <w:rPr>
                <w:rFonts w:ascii="Arial" w:cs="Arial" w:eastAsia="Arial" w:hAnsi="Arial"/>
                <w:sz w:val="16"/>
                <w:szCs w:val="16"/>
                <w:color w:val="auto"/>
                <w:w w:val="90"/>
              </w:rPr>
              <w:t>Netherlands</w:t>
            </w:r>
          </w:p>
        </w:tc>
      </w:tr>
      <w:tr>
        <w:trPr>
          <w:trHeight w:val="33"/>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2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w:t>
            </w:r>
          </w:p>
        </w:tc>
        <w:tc>
          <w:tcPr>
            <w:tcW w:w="42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5"/>
              </w:rPr>
              <w:t>China</w:t>
            </w:r>
          </w:p>
        </w:tc>
      </w:tr>
      <w:tr>
        <w:trPr>
          <w:trHeight w:val="33"/>
        </w:trPr>
        <w:tc>
          <w:tcPr>
            <w:tcW w:w="720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50" w:right="239"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206"/>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Changsha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Chengdu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Chongqing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Fuzhou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Guangzhou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Hangzhou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Hefei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Jinan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Kunming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Nanjing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Nanning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Qingdao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Shanghai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Shenyang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Shenzhen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Shenzhen Futian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Urumqi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Wuhan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(China) Co., Ltd. - Xian Branch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Zhengzhou Branch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(FE) Limited</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4"/>
              </w:rPr>
              <w:t>Hong Kong</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(FE) Limited - Philippines Representative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3"/>
              </w:rPr>
              <w:t>Philippines</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(FE) Limited, Macau Representative Office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1"/>
              </w:rPr>
              <w:t>Macao</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(FE) Limited, Taiwan Branch</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2"/>
              </w:rPr>
              <w:t>Taiwan</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(Malaysia) Sdn. Bhd.</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4"/>
              </w:rPr>
              <w:t>Malaysia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 A) (Pty) Ltd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6"/>
              </w:rPr>
              <w:t>South Africa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(South Asia) Pte. Ltd.</w:t>
            </w:r>
          </w:p>
        </w:tc>
        <w:tc>
          <w:tcPr>
            <w:tcW w:w="4460" w:type="dxa"/>
            <w:vAlign w:val="bottom"/>
          </w:tcPr>
          <w:p>
            <w:pPr>
              <w:jc w:val="center"/>
              <w:ind w:left="639"/>
              <w:spacing w:after="0"/>
              <w:rPr>
                <w:sz w:val="20"/>
                <w:szCs w:val="20"/>
                <w:color w:val="auto"/>
              </w:rPr>
            </w:pPr>
            <w:r>
              <w:rPr>
                <w:rFonts w:ascii="Arial" w:cs="Arial" w:eastAsia="Arial" w:hAnsi="Arial"/>
                <w:sz w:val="16"/>
                <w:szCs w:val="16"/>
                <w:color w:val="auto"/>
                <w:w w:val="90"/>
              </w:rPr>
              <w:t>Singapore</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(South Asia) Pte. Ltd. - Bangladesh Liaison Office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89"/>
              </w:rPr>
              <w:t>Bangladesh</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(South Asia) Pte. Ltd. - Myanmar Branch</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Myanmar</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(U.K.) Limited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4"/>
              </w:rPr>
              <w:t>United Kingdom</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AG</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1"/>
              </w:rPr>
              <w:t>Switzerland</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Argentina S.A.</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3"/>
              </w:rPr>
              <w:t>Argentina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AS</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5"/>
              </w:rPr>
              <w:t>Norway</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6"/>
              </w:rPr>
              <w:t>Austria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 Branch Zagreb</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2"/>
              </w:rPr>
              <w:t>Croatia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Qatar Branch</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89"/>
              </w:rPr>
              <w:t>Qatar</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 Representative Office Skopje</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2"/>
              </w:rPr>
              <w:t>Macedonia, the former Yugoslav Republic of</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Saudi Arabia Branch</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Saudi Arabia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("Ghana External Company")</w:t>
            </w:r>
          </w:p>
        </w:tc>
        <w:tc>
          <w:tcPr>
            <w:tcW w:w="4460" w:type="dxa"/>
            <w:vAlign w:val="bottom"/>
          </w:tcPr>
          <w:p>
            <w:pPr>
              <w:jc w:val="center"/>
              <w:ind w:left="639"/>
              <w:spacing w:after="0"/>
              <w:rPr>
                <w:sz w:val="20"/>
                <w:szCs w:val="20"/>
                <w:color w:val="auto"/>
              </w:rPr>
            </w:pPr>
            <w:r>
              <w:rPr>
                <w:rFonts w:ascii="Arial" w:cs="Arial" w:eastAsia="Arial" w:hAnsi="Arial"/>
                <w:sz w:val="16"/>
                <w:szCs w:val="16"/>
                <w:color w:val="auto"/>
                <w:w w:val="87"/>
              </w:rPr>
              <w:t>Ghana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("Rep Office in Bahrain")</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4"/>
              </w:rPr>
              <w:t>Bahrain</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("Rep Office in Romania")</w:t>
            </w:r>
          </w:p>
        </w:tc>
        <w:tc>
          <w:tcPr>
            <w:tcW w:w="4460" w:type="dxa"/>
            <w:vAlign w:val="bottom"/>
          </w:tcPr>
          <w:p>
            <w:pPr>
              <w:jc w:val="center"/>
              <w:ind w:left="639"/>
              <w:spacing w:after="0"/>
              <w:rPr>
                <w:sz w:val="20"/>
                <w:szCs w:val="20"/>
                <w:color w:val="auto"/>
              </w:rPr>
            </w:pPr>
            <w:r>
              <w:rPr>
                <w:rFonts w:ascii="Arial" w:cs="Arial" w:eastAsia="Arial" w:hAnsi="Arial"/>
                <w:sz w:val="16"/>
                <w:szCs w:val="16"/>
                <w:color w:val="auto"/>
                <w:w w:val="90"/>
              </w:rPr>
              <w:t>Romania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("Rep. Office in the Republic of Bulgaria")</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Bulgaria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("Saudi Arabia" branch)</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1"/>
              </w:rPr>
              <w:t>Saudi Arabia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(“Branch in Kenya”)</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2"/>
              </w:rPr>
              <w:t>Kenya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(“Branch in Riyadh”)</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91"/>
              </w:rPr>
              <w:t>Saudi Arabia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(“Rep. Office in Egypt”)</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7"/>
              </w:rPr>
              <w:t>Egypt</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(“Rep. Office in Jordan”)</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89"/>
              </w:rPr>
              <w:t>Jordan</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atstovybė ("Representative Office in Lithuania")</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5"/>
              </w:rPr>
              <w:t>Lithuania</w:t>
            </w:r>
          </w:p>
        </w:tc>
      </w:tr>
      <w:tr>
        <w:trPr>
          <w:trHeight w:val="224"/>
        </w:trPr>
        <w:tc>
          <w:tcPr>
            <w:tcW w:w="6960" w:type="dxa"/>
            <w:vAlign w:val="bottom"/>
          </w:tcPr>
          <w:p>
            <w:pPr>
              <w:ind w:left="40"/>
              <w:spacing w:after="0"/>
              <w:rPr>
                <w:sz w:val="20"/>
                <w:szCs w:val="20"/>
                <w:color w:val="auto"/>
              </w:rPr>
            </w:pPr>
            <w:r>
              <w:rPr>
                <w:rFonts w:ascii="Arial" w:cs="Arial" w:eastAsia="Arial" w:hAnsi="Arial"/>
                <w:sz w:val="16"/>
                <w:szCs w:val="16"/>
                <w:color w:val="auto"/>
              </w:rPr>
              <w:t>EMC Computer Systems Austria GmbH Eesti filial ("branch in Estonia")</w:t>
            </w:r>
          </w:p>
        </w:tc>
        <w:tc>
          <w:tcPr>
            <w:tcW w:w="4460" w:type="dxa"/>
            <w:vAlign w:val="bottom"/>
          </w:tcPr>
          <w:p>
            <w:pPr>
              <w:jc w:val="center"/>
              <w:ind w:left="619"/>
              <w:spacing w:after="0"/>
              <w:rPr>
                <w:sz w:val="20"/>
                <w:szCs w:val="20"/>
                <w:color w:val="auto"/>
              </w:rPr>
            </w:pPr>
            <w:r>
              <w:rPr>
                <w:rFonts w:ascii="Arial" w:cs="Arial" w:eastAsia="Arial" w:hAnsi="Arial"/>
                <w:sz w:val="16"/>
                <w:szCs w:val="16"/>
                <w:color w:val="auto"/>
                <w:w w:val="89"/>
              </w:rPr>
              <w:t>Estonia</w:t>
            </w:r>
          </w:p>
        </w:tc>
      </w:tr>
      <w:tr>
        <w:trPr>
          <w:trHeight w:val="33"/>
        </w:trPr>
        <w:tc>
          <w:tcPr>
            <w:tcW w:w="69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24"/>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U.A.E. (Abu Dhabi) (Branch in Abu Dhabi)</w:t>
            </w:r>
          </w:p>
        </w:tc>
        <w:tc>
          <w:tcPr>
            <w:tcW w:w="446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99"/>
              </w:rPr>
              <w:t>U.A.E.</w:t>
            </w:r>
          </w:p>
        </w:tc>
      </w:tr>
      <w:tr>
        <w:trPr>
          <w:trHeight w:val="33"/>
        </w:trPr>
        <w:tc>
          <w:tcPr>
            <w:tcW w:w="696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51" w:right="239" w:bottom="1440" w:gutter="0" w:footer="0" w:header="0"/>
          <w:type w:val="continuous"/>
        </w:sectPr>
      </w:pPr>
    </w:p>
    <w:bookmarkStart w:id="307" w:name="page308"/>
    <w:bookmarkEnd w:id="307"/>
    <w:tbl>
      <w:tblPr>
        <w:tblLayout w:type="fixed"/>
        <w:tblInd w:w="0" w:type="dxa"/>
        <w:tblCellMar>
          <w:top w:w="0" w:type="dxa"/>
          <w:left w:w="0" w:type="dxa"/>
          <w:bottom w:w="0" w:type="dxa"/>
          <w:right w:w="0" w:type="dxa"/>
        </w:tblCellMar>
      </w:tblPr>
      <w:tr>
        <w:trPr>
          <w:trHeight w:val="206"/>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Austria GmbH, organizacna Slovkia zlozka - Slovakia Branch</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2"/>
              </w:rPr>
              <w:t>Slovakia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podruznica Ljubjana - Slovenia Branch</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Slovenia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Bilgisayar Sistemleri Ticaret A.S.</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w w:val="93"/>
              </w:rPr>
              <w:t>Turkey</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Danmark A/S</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2"/>
              </w:rPr>
              <w:t>Denmark</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France</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8"/>
              </w:rPr>
              <w:t>France</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Italia S.p.A.</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rPr>
              <w:t>Italy</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Mexico, S.A. de CV</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8"/>
              </w:rPr>
              <w:t>Mexico</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Philippines, Inc.</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3"/>
              </w:rPr>
              <w:t>Philippines</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Poland Sp. z o.o.</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8"/>
              </w:rPr>
              <w:t>Poland</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Spain, S.A. - Sucursal Portugal</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3"/>
              </w:rPr>
              <w:t>Portugal</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Spain, S.A.U.</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7"/>
              </w:rPr>
              <w:t>Spain</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Computer Systems Venezuela, S.A.</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3"/>
              </w:rPr>
              <w:t>Venezuela, Bolivarian Republic of</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Computer-Systems OY</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5"/>
              </w:rPr>
              <w:t>Finland</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Consulting (UK) Limited</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4"/>
              </w:rPr>
              <w:t>United Kingdom</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Corporation</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Corporation of Canada</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85"/>
              </w:rPr>
              <w:t>Canada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Czech Republic s.r.o.</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Czech Republic</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del Peru, S.A.</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w w:val="88"/>
              </w:rPr>
              <w:t>Peru</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Deutschland GmbH</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Germany</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Egypt Service Center Limited</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7"/>
              </w:rPr>
              <w:t>Egypt</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Equity Assets LLC</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Europe Limited</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4"/>
              </w:rPr>
              <w:t>United Kingdom</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Global Holdings Company</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Global Holdings Company - Australian Branch</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6"/>
              </w:rPr>
              <w:t>Australia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Group 1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Group 2</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Group 3</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Group 4</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Group 5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Hungary Trading and Servicing Ltd.</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2"/>
              </w:rPr>
              <w:t>Hungary</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 Egypt Limited LTD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7"/>
              </w:rPr>
              <w:t>Egypt</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(Thailand) Limited</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w w:val="94"/>
              </w:rPr>
              <w:t>Thailand</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CIS</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9"/>
              </w:rPr>
              <w:t>Russian Federation</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Colombia Ltda.</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4"/>
              </w:rPr>
              <w:t>Colombia</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International</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3"/>
              </w:rPr>
              <w:t>Ireland</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Kazakhstan LLP</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0"/>
              </w:rPr>
              <w:t>Kazakhstan</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Malta Limited</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7"/>
              </w:rPr>
              <w:t>Malta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Management Limited</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w w:val="93"/>
              </w:rPr>
              <w:t>Ireland</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Management Limited - German Branch</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Germany</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Management Limited ("Branch in France")</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88"/>
              </w:rPr>
              <w:t>France</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Management Limited (overseas company registered in Hong Kong)</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Hong Kong</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Management Limited Singapore Branch</w:t>
            </w:r>
          </w:p>
        </w:tc>
        <w:tc>
          <w:tcPr>
            <w:tcW w:w="4100" w:type="dxa"/>
            <w:vAlign w:val="bottom"/>
          </w:tcPr>
          <w:p>
            <w:pPr>
              <w:jc w:val="center"/>
              <w:ind w:left="279"/>
              <w:spacing w:after="0"/>
              <w:rPr>
                <w:sz w:val="20"/>
                <w:szCs w:val="20"/>
                <w:color w:val="auto"/>
              </w:rPr>
            </w:pPr>
            <w:r>
              <w:rPr>
                <w:rFonts w:ascii="Arial" w:cs="Arial" w:eastAsia="Arial" w:hAnsi="Arial"/>
                <w:sz w:val="16"/>
                <w:szCs w:val="16"/>
                <w:color w:val="auto"/>
                <w:w w:val="90"/>
              </w:rPr>
              <w:t>Singapore</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Morocco Limited</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4"/>
              </w:rPr>
              <w:t>Morocco</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N.V.</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6"/>
              </w:rPr>
              <w:t>Belgium</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Nigeria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Nigeria</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Pakistan (Private) Limited</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1"/>
              </w:rPr>
              <w:t>Pakistan</w:t>
            </w:r>
          </w:p>
        </w:tc>
      </w:tr>
      <w:tr>
        <w:trPr>
          <w:trHeight w:val="33"/>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Sweden AB</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9"/>
              </w:rPr>
              <w:t>Sweden</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EMC Information Systems Ukraine</w:t>
            </w:r>
          </w:p>
        </w:tc>
        <w:tc>
          <w:tcPr>
            <w:tcW w:w="4100" w:type="dxa"/>
            <w:vAlign w:val="bottom"/>
          </w:tcPr>
          <w:p>
            <w:pPr>
              <w:jc w:val="center"/>
              <w:ind w:left="259"/>
              <w:spacing w:after="0"/>
              <w:rPr>
                <w:sz w:val="20"/>
                <w:szCs w:val="20"/>
                <w:color w:val="auto"/>
              </w:rPr>
            </w:pPr>
            <w:r>
              <w:rPr>
                <w:rFonts w:ascii="Arial" w:cs="Arial" w:eastAsia="Arial" w:hAnsi="Arial"/>
                <w:sz w:val="16"/>
                <w:szCs w:val="16"/>
                <w:color w:val="auto"/>
                <w:w w:val="94"/>
              </w:rPr>
              <w:t>Ukraine</w:t>
            </w: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51" w:right="239" w:bottom="1440" w:gutter="0" w:footer="0" w:header="0"/>
          <w:type w:val="continuous"/>
        </w:sectPr>
      </w:pPr>
    </w:p>
    <w:bookmarkStart w:id="308" w:name="page309"/>
    <w:bookmarkEnd w:id="308"/>
    <w:tbl>
      <w:tblPr>
        <w:tblLayout w:type="fixed"/>
        <w:tblInd w:w="0" w:type="dxa"/>
        <w:tblCellMar>
          <w:top w:w="0" w:type="dxa"/>
          <w:left w:w="0" w:type="dxa"/>
          <w:bottom w:w="0" w:type="dxa"/>
          <w:right w:w="0" w:type="dxa"/>
        </w:tblCellMar>
      </w:tblP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Technology Research &amp; Development (Beijing) Co., Ltd.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5"/>
              </w:rPr>
              <w:t>China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Information Technology Research &amp; Development (Chengdu) Co., Ltd.</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5"/>
              </w:rPr>
              <w:t>China</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Technology Research &amp; Development (Shanghai) Co., Ltd.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5"/>
              </w:rPr>
              <w:t>China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International Company</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93"/>
              </w:rPr>
              <w:t>Ireland</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International U.S. Holdings, Inc.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Investment Corporation</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IP Holding Company LLC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Ireland Holdings</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93"/>
              </w:rPr>
              <w:t>Ireland</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Israel Advanced Information Technologies Ltd.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Israel</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Israel Development Center, Ltd.</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Israel</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IT Solutions India Private Limited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2"/>
              </w:rPr>
              <w:t>India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IT Solutions India Private Limited (Branch Office in Kolkata)</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2"/>
              </w:rPr>
              <w:t>India</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Japan K.K.</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82"/>
              </w:rPr>
              <w:t>Japan</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Luxembourg PSF S.à.r.l.</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4"/>
              </w:rPr>
              <w:t>Luxembourg</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Mexico Servicios, S.A. de C.V.</w:t>
            </w:r>
          </w:p>
        </w:tc>
        <w:tc>
          <w:tcPr>
            <w:tcW w:w="342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8"/>
              </w:rPr>
              <w:t>Mexico</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Middle East</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99"/>
              </w:rPr>
              <w:t>U.A.E.</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New Zealand Corporation Limited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3"/>
              </w:rPr>
              <w:t>New Zealand</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Puerto Rico, Inc.</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Research and Development Centre</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89"/>
              </w:rPr>
              <w:t>Russian Federation</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Software and Services India Private Limited</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2"/>
              </w:rPr>
              <w:t>India</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South Street Investments LLC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EMC St. Petersburg Development Centre</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89"/>
              </w:rPr>
              <w:t>Russian Federation</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Technology India Private Limited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2"/>
              </w:rPr>
              <w:t>India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Evolutionary Corporation</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Flanders Road Holdings LLC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Force10 Networks (Shanghai) Company Limited</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5"/>
              </w:rPr>
              <w:t>China</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Global, Inc.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Force10 Networks International, Inc</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Singapore Pte. Ltd.</w:t>
            </w:r>
          </w:p>
        </w:tc>
        <w:tc>
          <w:tcPr>
            <w:tcW w:w="342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0"/>
              </w:rPr>
              <w:t>Singapore</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Force10 Networks Singapore Pte. Ltd., Hong Kong Branch</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4"/>
              </w:rPr>
              <w:t>Hong Kong</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Inc.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GoPivotal (UK) Limited</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4"/>
              </w:rPr>
              <w:t>United Kingdom</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Israel Ltd.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Israel</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GoPivotal Italia S.r.l.</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rPr>
              <w:t>Italy</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Netherlands B.V.</w:t>
            </w:r>
          </w:p>
        </w:tc>
        <w:tc>
          <w:tcPr>
            <w:tcW w:w="342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0"/>
              </w:rPr>
              <w:t>Netherlands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GoPivotal Singapore Pte. Limited</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90"/>
              </w:rPr>
              <w:t>Singapore</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Software India Private Limited</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2"/>
              </w:rPr>
              <w:t>India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GoPivotal Spain, S.L.</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87"/>
              </w:rPr>
              <w:t>Spain</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GPVTL Canada Inc.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85"/>
              </w:rPr>
              <w:t>Canada</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Hankook EMC Computer Systems Chusik Hoesa</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4"/>
              </w:rPr>
              <w:t>Korea, Republic of</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Hankook EMC Computer Systems Chusik Hoesa - Hong Kong Branch</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4"/>
              </w:rPr>
              <w:t>Hong Kong</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Information Systems EMC Greece S.A.</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87"/>
              </w:rPr>
              <w:t>Greece</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Iomega Latin America, Inc.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Iomega LLC</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Isilon Systems International LLC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Isilon Systems LLC</w:t>
            </w:r>
          </w:p>
        </w:tc>
        <w:tc>
          <w:tcPr>
            <w:tcW w:w="3420" w:type="dxa"/>
            <w:vAlign w:val="bottom"/>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iWave Software LLC</w:t>
            </w:r>
          </w:p>
        </w:tc>
        <w:tc>
          <w:tcPr>
            <w:tcW w:w="342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Liaison Office (Bureau d’Etudes) of EMC Computer Systems Austria GmbH (“Liaison Office in Morocco”)</w:t>
            </w:r>
          </w:p>
        </w:tc>
        <w:tc>
          <w:tcPr>
            <w:tcW w:w="3420" w:type="dxa"/>
            <w:vAlign w:val="bottom"/>
          </w:tcPr>
          <w:p>
            <w:pPr>
              <w:jc w:val="center"/>
              <w:ind w:right="239"/>
              <w:spacing w:after="0"/>
              <w:rPr>
                <w:sz w:val="20"/>
                <w:szCs w:val="20"/>
                <w:color w:val="auto"/>
              </w:rPr>
            </w:pPr>
            <w:r>
              <w:rPr>
                <w:rFonts w:ascii="Arial" w:cs="Arial" w:eastAsia="Arial" w:hAnsi="Arial"/>
                <w:sz w:val="16"/>
                <w:szCs w:val="16"/>
                <w:color w:val="auto"/>
                <w:w w:val="94"/>
              </w:rPr>
              <w:t>Morocco</w:t>
            </w:r>
          </w:p>
        </w:tc>
      </w:tr>
      <w:tr>
        <w:trPr>
          <w:trHeight w:val="33"/>
        </w:trPr>
        <w:tc>
          <w:tcPr>
            <w:tcW w:w="80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24"/>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License Technologies Group, Inc.</w:t>
            </w:r>
          </w:p>
        </w:tc>
        <w:tc>
          <w:tcPr>
            <w:tcW w:w="342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w w:val="91"/>
              </w:rPr>
              <w:t>United States</w:t>
            </w:r>
          </w:p>
        </w:tc>
      </w:tr>
      <w:tr>
        <w:trPr>
          <w:trHeight w:val="33"/>
        </w:trPr>
        <w:tc>
          <w:tcPr>
            <w:tcW w:w="80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34" w:right="239" w:bottom="1440" w:gutter="0" w:footer="0" w:header="0"/>
          <w:type w:val="continuous"/>
        </w:sectPr>
      </w:pPr>
    </w:p>
    <w:bookmarkStart w:id="309" w:name="page310"/>
    <w:bookmarkEnd w:id="309"/>
    <w:tbl>
      <w:tblPr>
        <w:tblLayout w:type="fixed"/>
        <w:tblInd w:w="0" w:type="dxa"/>
        <w:tblCellMar>
          <w:top w:w="0" w:type="dxa"/>
          <w:left w:w="0" w:type="dxa"/>
          <w:bottom w:w="0" w:type="dxa"/>
          <w:right w:w="0" w:type="dxa"/>
        </w:tblCellMar>
      </w:tblPr>
      <w:tr>
        <w:trPr>
          <w:trHeight w:val="206"/>
        </w:trPr>
        <w:tc>
          <w:tcPr>
            <w:tcW w:w="7560" w:type="dxa"/>
            <w:vAlign w:val="bottom"/>
          </w:tcPr>
          <w:p>
            <w:pPr>
              <w:ind w:left="40"/>
              <w:spacing w:after="0"/>
              <w:rPr>
                <w:sz w:val="20"/>
                <w:szCs w:val="20"/>
                <w:color w:val="auto"/>
              </w:rPr>
            </w:pPr>
            <w:r>
              <w:rPr>
                <w:rFonts w:ascii="Arial" w:cs="Arial" w:eastAsia="Arial" w:hAnsi="Arial"/>
                <w:sz w:val="16"/>
                <w:szCs w:val="16"/>
                <w:color w:val="auto"/>
              </w:rPr>
              <w:t>Likewise Software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LLC Dell Ukraine</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Ukraine</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Maginatics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ManyWho, Inc.</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Delaware</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ManyWho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More I.T. Resources Ltd.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Israel</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Mozy Holdings Limited</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Mozy International Limited</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Mozy, Inc.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NBT Investment Partners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NetWitness International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Network I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Newfound Investment Partners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Nicira, Inc.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nLayers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Israel</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NTT DATA Services (PS) Investments B.V.</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0"/>
              </w:rPr>
              <w:t>Netherlands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Ocarina Networks India Private Limited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2"/>
              </w:rPr>
              <w:t>India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OptiGrowth Capital S.a.r.l</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Luxembourg</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Oy Dell AB</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5"/>
              </w:rPr>
              <w:t>Finland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Perot Systems India Foundation</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India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Brasil Consultoria em Technologia da Informacao Ltda.</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9"/>
              </w:rPr>
              <w:t>Brazil</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Group 1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Bermuda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Group 2 Limited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2"/>
              </w:rPr>
              <w:t>Bermuda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Japan K.K.</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2"/>
              </w:rPr>
              <w:t>Japan</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Labs Sydney Pty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8"/>
              </w:rPr>
              <w:t>France</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Software Australia Pty Limited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Deutschland GmbH</w:t>
            </w:r>
          </w:p>
        </w:tc>
        <w:tc>
          <w:tcPr>
            <w:tcW w:w="3860" w:type="dxa"/>
            <w:vAlign w:val="bottom"/>
            <w:tcBorders>
              <w:bottom w:val="single" w:sz="8" w:color="CCEEFF"/>
            </w:tcBorders>
            <w:shd w:val="clear" w:color="auto" w:fill="CCEEFF"/>
          </w:tcPr>
          <w:p>
            <w:pPr>
              <w:spacing w:after="0"/>
              <w:rPr>
                <w:sz w:val="21"/>
                <w:szCs w:val="21"/>
                <w:color w:val="auto"/>
              </w:rPr>
            </w:pP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Software Deutschland GmbH</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Germany</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International</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Software International Holdings</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Inc.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Pivotal Technology (Beijing) Co.,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5"/>
              </w:rPr>
              <w:t>China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Technology (Shanghai) Co., Ltd. (Branch)</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China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PT Dell Indonesia</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2"/>
              </w:rPr>
              <w:t>Indonesia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PT EMC Information Systems</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Indonesia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QTZ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Quickstep Technologies,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Representative Office of Dell Global B.V. in Hanoi</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5"/>
              </w:rPr>
              <w:t>Vietnam</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Representative Office of Dell Global B.V. in Ho Chi Minh City</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Vietnam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Representative Office of EMC Computer Systems (South Asia) Pte. Ltd. in Hanoi</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5"/>
              </w:rPr>
              <w:t>Vietnam</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Representative Office of EMC Computer Systems (South Asia) Pte. Ltd. in Ho Chi Minh City</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Vietnam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RSA Federal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RSA Partners I, L.P.</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RSA Security B.V. liaison office</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2"/>
              </w:rPr>
              <w:t>India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RSA Security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RSA Ventures I, L.P.</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ScaleIO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ScalelO,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Israel</w:t>
            </w:r>
          </w:p>
        </w:tc>
      </w:tr>
    </w:tbl>
    <w:p>
      <w:pPr>
        <w:spacing w:after="0" w:line="200" w:lineRule="exact"/>
        <w:rPr>
          <w:sz w:val="20"/>
          <w:szCs w:val="20"/>
          <w:color w:val="auto"/>
        </w:rPr>
      </w:pPr>
    </w:p>
    <w:p>
      <w:pPr>
        <w:sectPr>
          <w:pgSz w:w="11900" w:h="16838" w:orient="portrait"/>
          <w:cols w:equalWidth="0" w:num="1">
            <w:col w:w="11420"/>
          </w:cols>
          <w:pgMar w:left="240" w:top="750"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50" w:right="239" w:bottom="1440" w:gutter="0" w:footer="0" w:header="0"/>
          <w:type w:val="continuous"/>
        </w:sectPr>
      </w:pPr>
    </w:p>
    <w:bookmarkStart w:id="310" w:name="page311"/>
    <w:bookmarkEnd w:id="310"/>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Australia Pty. Ltd.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SecureWorks Corp.</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Europe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SecureWorks Europe S.R.L.</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0"/>
              </w:rPr>
              <w:t>Romania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India Private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India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SecureWorks Japan K.K.</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82"/>
              </w:rPr>
              <w:t>Japan</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SAS</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8"/>
              </w:rPr>
              <w:t>France</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SecureWorks, Inc.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Dynamics Foreign Sales Corp</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Virgin Islands, U.S.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Sichuan An Cheng Security Technology Co.</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5"/>
              </w:rPr>
              <w:t>China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Slice of Lime,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Spanning Cloud Apps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Stayup.io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Taiwan VMware Information Technology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2"/>
              </w:rPr>
              <w:t>Taiwan</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Representative Office of EMC Computer Systems Austria GmbH in Serbia and Montenegro</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Serbia &amp; Montenegro</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Company,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IP Holding Company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Solutions B.V.</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0"/>
              </w:rPr>
              <w:t>Netherlands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Solutions Ltd.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Solutions Pte. Ltd.</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0"/>
              </w:rPr>
              <w:t>Singapore</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Solutions S.A.S.</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8"/>
              </w:rPr>
              <w:t>France</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Technologies Pty Ltd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Technology Solutions GmbH</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Germany</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Technology Solutions K.K.</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82"/>
              </w:rPr>
              <w:t>Japan</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Technology Solutions Limited</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VCE Technology Solutions Limited Dubai (Branch)</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3"/>
              </w:rPr>
              <w:t>United Arab Emirates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Bulgaria EOOD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Bulgaria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Canada Holdings, Inc.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85"/>
              </w:rPr>
              <w:t>Canada</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Cloud Services Australia Pty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Cloud Services Ireland Unlimited Company</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Cloud Services Italia S.r.l.</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Italy</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Cloud Services Japan KK</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82"/>
              </w:rPr>
              <w:t>Japan</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DCS,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Germany GmbH</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Germany</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Group Holdings, Inc.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IP Holding Company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Ireland Limited</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Limited</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84"/>
              </w:rPr>
              <w:t>Jersey</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LT UAB</w:t>
            </w:r>
          </w:p>
        </w:tc>
        <w:tc>
          <w:tcPr>
            <w:tcW w:w="38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Lithuania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Security Solutions LLC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Security Solutions Private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2"/>
              </w:rPr>
              <w:t>India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Switzerland Sarl</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Switzerland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UK Limited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United Kingdom</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Virtustream, Inc.</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 Holdco LLC</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1"/>
              </w:rPr>
              <w:t>United States</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VMware (Thailand) Co., Ltd.</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4"/>
              </w:rPr>
              <w:t>Thailand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Australia Pty Ltd</w:t>
            </w:r>
          </w:p>
        </w:tc>
        <w:tc>
          <w:tcPr>
            <w:tcW w:w="38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6"/>
              </w:rPr>
              <w:t>Australia</w:t>
            </w:r>
          </w:p>
        </w:tc>
      </w:tr>
      <w:tr>
        <w:trPr>
          <w:trHeight w:val="224"/>
        </w:trPr>
        <w:tc>
          <w:tcPr>
            <w:tcW w:w="7560" w:type="dxa"/>
            <w:vAlign w:val="bottom"/>
          </w:tcPr>
          <w:p>
            <w:pPr>
              <w:ind w:left="40"/>
              <w:spacing w:after="0"/>
              <w:rPr>
                <w:sz w:val="20"/>
                <w:szCs w:val="20"/>
                <w:color w:val="auto"/>
              </w:rPr>
            </w:pPr>
            <w:r>
              <w:rPr>
                <w:rFonts w:ascii="Arial" w:cs="Arial" w:eastAsia="Arial" w:hAnsi="Arial"/>
                <w:sz w:val="16"/>
                <w:szCs w:val="16"/>
                <w:color w:val="auto"/>
              </w:rPr>
              <w:t>VMware Bermuda Limited</w:t>
            </w:r>
          </w:p>
        </w:tc>
        <w:tc>
          <w:tcPr>
            <w:tcW w:w="3860" w:type="dxa"/>
            <w:vAlign w:val="bottom"/>
          </w:tcPr>
          <w:p>
            <w:pPr>
              <w:jc w:val="center"/>
              <w:ind w:left="39"/>
              <w:spacing w:after="0"/>
              <w:rPr>
                <w:sz w:val="20"/>
                <w:szCs w:val="20"/>
                <w:color w:val="auto"/>
              </w:rPr>
            </w:pPr>
            <w:r>
              <w:rPr>
                <w:rFonts w:ascii="Arial" w:cs="Arial" w:eastAsia="Arial" w:hAnsi="Arial"/>
                <w:sz w:val="16"/>
                <w:szCs w:val="16"/>
                <w:color w:val="auto"/>
                <w:w w:val="93"/>
              </w:rPr>
              <w:t>Ireland</w:t>
            </w:r>
          </w:p>
        </w:tc>
      </w:tr>
      <w:tr>
        <w:trPr>
          <w:trHeight w:val="33"/>
        </w:trPr>
        <w:tc>
          <w:tcPr>
            <w:tcW w:w="75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4"/>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VMware Bulgaria EOOD</w:t>
            </w:r>
          </w:p>
        </w:tc>
        <w:tc>
          <w:tcPr>
            <w:tcW w:w="38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5"/>
              </w:rPr>
              <w:t>Bulgaria</w:t>
            </w:r>
          </w:p>
        </w:tc>
      </w:tr>
      <w:tr>
        <w:trPr>
          <w:trHeight w:val="33"/>
        </w:trPr>
        <w:tc>
          <w:tcPr>
            <w:tcW w:w="75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33" w:right="239" w:bottom="1440" w:gutter="0" w:footer="0" w:header="0"/>
          <w:type w:val="continuous"/>
        </w:sectPr>
      </w:pPr>
    </w:p>
    <w:bookmarkStart w:id="311" w:name="page312"/>
    <w:bookmarkEnd w:id="311"/>
    <w:tbl>
      <w:tblPr>
        <w:tblLayout w:type="fixed"/>
        <w:tblInd w:w="0" w:type="dxa"/>
        <w:tblCellMar>
          <w:top w:w="0" w:type="dxa"/>
          <w:left w:w="0" w:type="dxa"/>
          <w:bottom w:w="0" w:type="dxa"/>
          <w:right w:w="0" w:type="dxa"/>
        </w:tblCellMar>
      </w:tblP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VMware Canada Inc.</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85"/>
              </w:rPr>
              <w:t>Canada</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Costa Rica Ltda.</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Costa Rica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Denmark ApS</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2"/>
              </w:rPr>
              <w:t>Denmark</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Eastern Europe</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3"/>
              </w:rPr>
              <w:t>Armenia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France S.A.S.</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88"/>
              </w:rPr>
              <w:t>France</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Global, Inc.</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United States</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Hong Kong Limited</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4"/>
              </w:rPr>
              <w:t>Hong Kong</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Information Technology (China) Co. Ltd.</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5"/>
              </w:rPr>
              <w:t>China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International Limited</w:t>
            </w:r>
          </w:p>
        </w:tc>
        <w:tc>
          <w:tcPr>
            <w:tcW w:w="4680" w:type="dxa"/>
            <w:vAlign w:val="bottom"/>
          </w:tcPr>
          <w:p>
            <w:pPr>
              <w:jc w:val="center"/>
              <w:ind w:left="859"/>
              <w:spacing w:after="0"/>
              <w:rPr>
                <w:sz w:val="20"/>
                <w:szCs w:val="20"/>
                <w:color w:val="auto"/>
              </w:rPr>
            </w:pPr>
            <w:r>
              <w:rPr>
                <w:rFonts w:ascii="Arial" w:cs="Arial" w:eastAsia="Arial" w:hAnsi="Arial"/>
                <w:sz w:val="16"/>
                <w:szCs w:val="16"/>
                <w:color w:val="auto"/>
                <w:w w:val="93"/>
              </w:rPr>
              <w:t>Ireland</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International Marketing Limited</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Ireland</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Israel Ltd.</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1"/>
              </w:rPr>
              <w:t>Israel</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Italy S.r.l.</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rPr>
              <w:t>Italy</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Korea Co., Ltd.</w:t>
            </w:r>
          </w:p>
        </w:tc>
        <w:tc>
          <w:tcPr>
            <w:tcW w:w="4680" w:type="dxa"/>
            <w:vAlign w:val="bottom"/>
          </w:tcPr>
          <w:p>
            <w:pPr>
              <w:jc w:val="center"/>
              <w:ind w:left="859"/>
              <w:spacing w:after="0"/>
              <w:rPr>
                <w:sz w:val="20"/>
                <w:szCs w:val="20"/>
                <w:color w:val="auto"/>
              </w:rPr>
            </w:pPr>
            <w:r>
              <w:rPr>
                <w:rFonts w:ascii="Arial" w:cs="Arial" w:eastAsia="Arial" w:hAnsi="Arial"/>
                <w:sz w:val="16"/>
                <w:szCs w:val="16"/>
                <w:color w:val="auto"/>
                <w:w w:val="92"/>
              </w:rPr>
              <w:t>South Korea</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KSA</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Saudi Arabia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Malaysia SDN. BHD.</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4"/>
              </w:rPr>
              <w:t>Malaysia</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Marketing Austria GmbH</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6"/>
              </w:rPr>
              <w:t>Austria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Middle East FZ-LLC</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5"/>
              </w:rPr>
              <w:t>Dubai</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Netherlands B.V.</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0"/>
              </w:rPr>
              <w:t>Netherlands</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NZ Company</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3"/>
              </w:rPr>
              <w:t>New Zealand</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Singapore Pte. Ltd.</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0"/>
              </w:rPr>
              <w:t>Singapore</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Software e Servicos Brasil</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9"/>
              </w:rPr>
              <w:t>Brazil</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Software India Private Limited</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2"/>
              </w:rPr>
              <w:t>India</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Spain, S.L.</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87"/>
              </w:rPr>
              <w:t>Spain</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Sweden AB</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89"/>
              </w:rPr>
              <w:t>Sweden</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Switzerland GmbH</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1"/>
              </w:rPr>
              <w:t>Switzerland</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Turkey Software Solutions and Services Company Limited</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Turkey</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UK Limited</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4"/>
              </w:rPr>
              <w:t>United Kingdom</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Inc.</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United States</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VMware, K.K.</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82"/>
              </w:rPr>
              <w:t>Japan</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Wanova Technologies Ltd.</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Israel</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Woodland Street Partners, Inc.</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1"/>
              </w:rPr>
              <w:t>United States</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Wyse International LLC</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1"/>
              </w:rPr>
              <w:t>United States</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Wyse Technology (UK) Limited</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4"/>
              </w:rPr>
              <w:t>United Kingdom</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Wyse Technology China (HK) Limited</w:t>
            </w:r>
          </w:p>
        </w:tc>
        <w:tc>
          <w:tcPr>
            <w:tcW w:w="46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94"/>
              </w:rPr>
              <w:t>Hong Kong</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Wyse Technology GmbH</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1"/>
              </w:rPr>
              <w:t>Germany</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Wyse Technology International B.V.</w:t>
            </w:r>
          </w:p>
        </w:tc>
        <w:tc>
          <w:tcPr>
            <w:tcW w:w="4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0"/>
              </w:rPr>
              <w:t>Netherlands</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Wyse Technology L.L.C.</w:t>
            </w:r>
          </w:p>
        </w:tc>
        <w:tc>
          <w:tcPr>
            <w:tcW w:w="4680" w:type="dxa"/>
            <w:vAlign w:val="bottom"/>
          </w:tcPr>
          <w:p>
            <w:pPr>
              <w:jc w:val="center"/>
              <w:ind w:left="839"/>
              <w:spacing w:after="0"/>
              <w:rPr>
                <w:sz w:val="20"/>
                <w:szCs w:val="20"/>
                <w:color w:val="auto"/>
              </w:rPr>
            </w:pPr>
            <w:r>
              <w:rPr>
                <w:rFonts w:ascii="Arial" w:cs="Arial" w:eastAsia="Arial" w:hAnsi="Arial"/>
                <w:sz w:val="16"/>
                <w:szCs w:val="16"/>
                <w:color w:val="auto"/>
                <w:w w:val="91"/>
              </w:rPr>
              <w:t>United States</w:t>
            </w:r>
          </w:p>
        </w:tc>
      </w:tr>
      <w:tr>
        <w:trPr>
          <w:trHeight w:val="33"/>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Xtreml0 Lt.d</w:t>
            </w:r>
          </w:p>
        </w:tc>
        <w:tc>
          <w:tcPr>
            <w:tcW w:w="468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1"/>
              </w:rPr>
              <w:t>Israel</w:t>
            </w:r>
          </w:p>
        </w:tc>
      </w:tr>
      <w:tr>
        <w:trPr>
          <w:trHeight w:val="33"/>
        </w:trPr>
        <w:tc>
          <w:tcPr>
            <w:tcW w:w="67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51"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 on Form S-8 (No. Registration No. 333-213515) of Dell Technologies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our report dated March 31, 2017 relating to the financial statements, which appears in this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800" w:val="left"/>
        </w:tabs>
        <w:rPr>
          <w:sz w:val="20"/>
          <w:szCs w:val="20"/>
          <w:color w:val="auto"/>
        </w:rPr>
      </w:pPr>
      <w:r>
        <w:rPr>
          <w:rFonts w:ascii="Arial" w:cs="Arial" w:eastAsia="Arial" w:hAnsi="Arial"/>
          <w:sz w:val="18"/>
          <w:szCs w:val="18"/>
          <w:color w:val="auto"/>
        </w:rPr>
        <w:t>March 31, 2017</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60"/>
        <w:spacing w:after="0" w:line="261" w:lineRule="auto"/>
        <w:rPr>
          <w:sz w:val="20"/>
          <w:szCs w:val="20"/>
          <w:color w:val="auto"/>
        </w:rPr>
      </w:pPr>
      <w:r>
        <w:rPr>
          <w:rFonts w:ascii="Arial" w:cs="Arial" w:eastAsia="Arial" w:hAnsi="Arial"/>
          <w:sz w:val="18"/>
          <w:szCs w:val="18"/>
          <w:b w:val="1"/>
          <w:bCs w:val="1"/>
          <w:color w:val="auto"/>
        </w:rPr>
        <w:t>CERTIFICATION OF THOMAS W. SWEET, EXECTUIVE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March 31, 2017</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1860"/>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Annual Report on Form 10-K for the fiscal year ended February 3, 2017,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60"/>
        <w:spacing w:after="0"/>
        <w:tabs>
          <w:tab w:leader="none" w:pos="620" w:val="left"/>
          <w:tab w:leader="none" w:pos="7840" w:val="left"/>
        </w:tabs>
        <w:rPr>
          <w:sz w:val="20"/>
          <w:szCs w:val="20"/>
          <w:color w:val="auto"/>
        </w:rPr>
      </w:pPr>
      <w:r>
        <w:rPr>
          <w:rFonts w:ascii="Arial" w:cs="Arial" w:eastAsia="Arial" w:hAnsi="Arial"/>
          <w:sz w:val="18"/>
          <w:szCs w:val="18"/>
          <w:color w:val="auto"/>
        </w:rPr>
        <w:t>Date:</w:t>
        <w:tab/>
        <w:t>March 31, 2017</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87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60"/>
        <w:spacing w:after="0"/>
        <w:tabs>
          <w:tab w:leader="none" w:pos="620" w:val="left"/>
          <w:tab w:leader="none" w:pos="7780" w:val="left"/>
        </w:tabs>
        <w:rPr>
          <w:sz w:val="20"/>
          <w:szCs w:val="20"/>
          <w:color w:val="auto"/>
        </w:rPr>
      </w:pPr>
      <w:r>
        <w:rPr>
          <w:rFonts w:ascii="Arial" w:cs="Arial" w:eastAsia="Arial" w:hAnsi="Arial"/>
          <w:sz w:val="18"/>
          <w:szCs w:val="18"/>
          <w:color w:val="auto"/>
        </w:rPr>
        <w:t>Date:</w:t>
        <w:tab/>
        <w:t>March 31, 2017</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87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16" w:name="page317"/>
    <w:bookmarkEnd w:id="316"/>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(continued on next page)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information presented below is intended solely to show the attribution of assets, liabilities, revenue, and expenses to the Class V Group in accordance with the Tracking Stock Policy of Dell Technologies Inc. ("Dell Technologies" or the "Company"), a copy of which is filed as Exhibit 99.2 to the Company’s annual report on Form 10-K for the fiscal year ended February 3, 2017. The individual income and expense line item amounts reflected in the column for VMware, Inc. ("VMware") are for informational purposes and do not represent actual income and expenses of the Class V Group. The Class V stockholders do not have any special rights related to, direct ownership interest in, or recourse against the assets and liabilities attributed to the Class V Group. Holders of the DHI Group Common Stock and the Class V Common Stock are stockholders of the Company and subject to all risks associated with an investment in the Company and all of its businesses, assets, and liabilities. This financial information could change in the future based on allocations or reallocations of assets and liabilities to the Class V Group.</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0"/>
              </w:rPr>
              <w:t>September 7, 2016 through February 3, 2017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VMware Reportable</w:t>
            </w:r>
          </w:p>
        </w:tc>
        <w:tc>
          <w:tcPr>
            <w:tcW w:w="22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Adjustments and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Segment</w:t>
            </w:r>
          </w:p>
        </w:tc>
        <w:tc>
          <w:tcPr>
            <w:tcW w:w="22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Eliminations (a)</w:t>
            </w:r>
          </w:p>
        </w:tc>
        <w:tc>
          <w:tcPr>
            <w:tcW w:w="38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VMware</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15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 attributable to VMware</w:t>
            </w:r>
          </w:p>
        </w:tc>
        <w:tc>
          <w:tcPr>
            <w:tcW w:w="1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before income taxes attributable to VMware</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attributable to VMware</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income attributable to VMware</w:t>
            </w: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321" w:lineRule="auto"/>
        <w:tabs>
          <w:tab w:leader="none" w:pos="3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Adjustments and eliminations primarily consist of intercompany sales as well as expenses that are excluded from the VMware reportable segment, such as amortization of intangible assets, stock-based compensation expense, severance, and integration and acquisition-related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VMware to Class V Common Stock economic interest in Class V Group:</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September 7, 2016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9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center"/>
              <w:ind w:right="71"/>
              <w:spacing w:after="0"/>
              <w:rPr>
                <w:sz w:val="20"/>
                <w:szCs w:val="20"/>
                <w:color w:val="auto"/>
              </w:rPr>
            </w:pPr>
            <w:r>
              <w:rPr>
                <w:rFonts w:ascii="Arial" w:cs="Arial" w:eastAsia="Arial" w:hAnsi="Arial"/>
                <w:sz w:val="18"/>
                <w:szCs w:val="18"/>
                <w:b w:val="1"/>
                <w:bCs w:val="1"/>
                <w:color w:val="auto"/>
                <w:w w:val="92"/>
              </w:rPr>
              <w:t>February 3, 2017</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71"/>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9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VMware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9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Class V Group</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Less: DHI Group's 36.4% weighted average retained interest in Class V Group</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9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 V Common Stock allocated interest in Class V Group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532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VMware total net assets to Class V Common Stock allocated interest in Class V Group: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VMware as of February</w:t>
            </w:r>
          </w:p>
        </w:tc>
      </w:tr>
      <w:tr>
        <w:trPr>
          <w:trHeight w:val="234"/>
        </w:trPr>
        <w:tc>
          <w:tcPr>
            <w:tcW w:w="9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b w:val="1"/>
                <w:bCs w:val="1"/>
                <w:color w:val="auto"/>
              </w:rPr>
              <w:t>3, 2017</w:t>
            </w:r>
          </w:p>
        </w:tc>
      </w:tr>
      <w:tr>
        <w:trPr>
          <w:trHeight w:val="27"/>
        </w:trPr>
        <w:tc>
          <w:tcPr>
            <w:tcW w:w="9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(in millions)</w:t>
            </w: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VMware balance sheet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Total assets (1)(2)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16,414</w:t>
            </w: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(1)(2)</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8,212</w:t>
            </w: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Class V Group as of</w:t>
            </w:r>
          </w:p>
        </w:tc>
      </w:tr>
      <w:tr>
        <w:trPr>
          <w:trHeight w:val="234"/>
        </w:trPr>
        <w:tc>
          <w:tcPr>
            <w:tcW w:w="9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February 3, 2017</w:t>
            </w:r>
          </w:p>
        </w:tc>
      </w:tr>
      <w:tr>
        <w:trPr>
          <w:trHeight w:val="27"/>
        </w:trPr>
        <w:tc>
          <w:tcPr>
            <w:tcW w:w="9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96"/>
              </w:rPr>
              <w:t>(in millions)</w:t>
            </w: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Net assets attributable to non-controlling interests (3)</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attributable to Class V Group</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DHI Group's 37.8% retained interest in Class V Group</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7"/>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 V Common Stock allocated interest in Class V Group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r>
      <w:tr>
        <w:trPr>
          <w:trHeight w:val="20"/>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11"/>
        </w:trPr>
        <w:tc>
          <w:tcPr>
            <w:tcW w:w="9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Inter-group assets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Inter-group liabilities (4)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480" w:type="dxa"/>
            <w:vAlign w:val="bottom"/>
          </w:tcPr>
          <w:p>
            <w:pPr>
              <w:spacing w:after="0"/>
              <w:rPr>
                <w:sz w:val="20"/>
                <w:szCs w:val="20"/>
                <w:color w:val="auto"/>
              </w:rPr>
            </w:pPr>
            <w:r>
              <w:rPr>
                <w:rFonts w:ascii="Arial" w:cs="Arial" w:eastAsia="Arial" w:hAnsi="Arial"/>
                <w:sz w:val="18"/>
                <w:szCs w:val="18"/>
                <w:b w:val="1"/>
                <w:bCs w:val="1"/>
                <w:color w:val="auto"/>
              </w:rPr>
              <w:t>________________________</w:t>
            </w: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340" w:hanging="332"/>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Represents VMware's unadjusted assets and liabilities as of February 3, 2017 as consolidated into the Company's balance sheet.</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determined by Dell Technologies' board of directors, the Company has not allocated any assets or liabilities between the DHI Group and the Class V Group.</w:t>
      </w:r>
    </w:p>
    <w:p>
      <w:pPr>
        <w:ind w:left="340" w:right="540" w:hanging="332"/>
        <w:spacing w:after="0" w:line="250"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impact of non-controlling interests on net assets attributable to the Company, which had an ownership interest of 82.5% of VMware’s outstanding shares of common stock as of February 3, 2017.</w:t>
      </w:r>
    </w:p>
    <w:p>
      <w:pPr>
        <w:ind w:left="340" w:right="280" w:hanging="332"/>
        <w:spacing w:after="0" w:line="255"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Represents inter-group assets/liabilities between the Class V Group and the DHI Group in accordance with the Tracking Stock Policy. The Tracking Stock Policy states that any ordinary course commercial inter-group transactions are intended, to the extent practicable, to be on terms consistent with terms that would be applicable to arm's-length dealings with unrelated third parties.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12" w:right="25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Tracking Stock Policy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DENALI HOLDING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TRACKING STOCK POLICY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DHI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CLASS V GROUP MATTERS</w:t>
      </w:r>
    </w:p>
    <w:p>
      <w:pPr>
        <w:spacing w:after="0" w:line="369" w:lineRule="exact"/>
        <w:rPr>
          <w:sz w:val="20"/>
          <w:szCs w:val="20"/>
          <w:color w:val="auto"/>
        </w:rPr>
      </w:pPr>
    </w:p>
    <w:p>
      <w:pPr>
        <w:ind w:left="320" w:hanging="312"/>
        <w:spacing w:after="0"/>
        <w:tabs>
          <w:tab w:leader="none" w:pos="320"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Policy</w:t>
      </w:r>
    </w:p>
    <w:p>
      <w:pPr>
        <w:spacing w:after="0" w:line="12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Class V Common Stock is intended to initially reflect the direct and indirect economic rights of Denali Holding Inc., a Delaware corporation (the “Company”), in 43,025,308 shares of Class A Common Stock, par value $0.01 per share, of VMware, Inc., a Delaware corporation (“VMware”), and 300,000,000 shares of Class B Common Stock, par value $0.01 per share, of VMware, in each case as owned by the Company as of the Effective Date. From time to time additional assets and liabilities may be allocated and reallocated to the Class V Group in accordance with the limitations set forth in the Fourth Amended and Restated Certificate of Incorporation of the Company (the “Certificate of Incorporation”), the Bylaws of the Company and as set forth herein.</w:t>
      </w:r>
    </w:p>
    <w:p>
      <w:pPr>
        <w:spacing w:after="0" w:line="5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material matters as to which the holders of DHI Common Stock and the holders of Class V Common Stock may have potentially divergent interests will be resolved in a manner that the Board of Directors or any committee appointed by the Board of Directors to so act (in either case, the “Board”) of the Company and, where expressly provided herein or in the Bylaws, the Capital Stock Committee (as defined below) determine in accordance with such directors’ business judgment to be in the best interests of the Company and its stockholders as a whole. All capitalized terms used but not defined herein have the respective meanings assigned thereto in the Certificate of Incorporation.</w:t>
      </w:r>
    </w:p>
    <w:p>
      <w:pPr>
        <w:spacing w:after="0" w:line="8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the extent this or any subsequent policy statement (this “Policy Statement”) conflicts with any agreement that may exist from time to time between VMware and EMC (collectively, the “EMC/VMware Agreements”), the terms of such EMC/VMware Agreement shall control, and shall be deemed consistent with this Policy Statement.</w:t>
      </w:r>
    </w:p>
    <w:p>
      <w:pPr>
        <w:spacing w:after="0" w:line="393" w:lineRule="exact"/>
        <w:rPr>
          <w:sz w:val="20"/>
          <w:szCs w:val="20"/>
          <w:color w:val="auto"/>
        </w:rPr>
      </w:pPr>
    </w:p>
    <w:p>
      <w:pPr>
        <w:ind w:left="320" w:hanging="312"/>
        <w:spacing w:after="0"/>
        <w:tabs>
          <w:tab w:leader="none" w:pos="32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Modification</w:t>
      </w:r>
    </w:p>
    <w:p>
      <w:pPr>
        <w:spacing w:after="0" w:line="12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Board may, with the approval of the Capital Stock Committee (as defined below) but without stockholder approval, subject in each case to any limitations set forth in the Certificate of Incorporation, the Bylaws of the Company and to any limitations imposed by the fiduciary duties of the Board or applicable law, change the policies set forth in this Policy Statement, including any resolution implementing the provisions of this Policy Statement. The Board also may, with the approval of the Capital Stock Committee but without stockholder approval, adopt additional policies or make exceptions with respect to the application of the policies described in this Policy Statement in connection with particular facts and circumstances, all as the Board may determine in accordance with its business judgment to be in the best interests of the Company and its stockholders as a whole. Any decision by the Board to amend, modify or rescind this Policy Statement shall require the approval of the Capital Stock Committee and will be final, binding and conclusive.</w:t>
      </w:r>
    </w:p>
    <w:p>
      <w:pPr>
        <w:spacing w:after="0" w:line="379"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Opportunities</w:t>
      </w:r>
    </w:p>
    <w:p>
      <w:pPr>
        <w:spacing w:after="0" w:line="121" w:lineRule="exact"/>
        <w:rPr>
          <w:rFonts w:ascii="Arial" w:cs="Arial" w:eastAsia="Arial" w:hAnsi="Arial"/>
          <w:sz w:val="18"/>
          <w:szCs w:val="18"/>
          <w:color w:val="auto"/>
        </w:rPr>
      </w:pPr>
    </w:p>
    <w:p>
      <w:pPr>
        <w:ind w:left="660" w:right="20" w:firstLine="645"/>
        <w:spacing w:after="0" w:line="259" w:lineRule="auto"/>
        <w:tabs>
          <w:tab w:leader="none" w:pos="1523" w:val="left"/>
        </w:tabs>
        <w:numPr>
          <w:ilvl w:val="2"/>
          <w:numId w:val="191"/>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The Board will allocate any business opportunities and operations and any acquired assets and businesses between the DHI Group and the Class V Group (together, the “</w:t>
      </w:r>
      <w:r>
        <w:rPr>
          <w:rFonts w:ascii="Arial" w:cs="Arial" w:eastAsia="Arial" w:hAnsi="Arial"/>
          <w:sz w:val="18"/>
          <w:szCs w:val="18"/>
          <w:u w:val="single" w:color="auto"/>
          <w:color w:val="auto"/>
        </w:rPr>
        <w:t>Groups</w:t>
      </w:r>
      <w:r>
        <w:rPr>
          <w:rFonts w:ascii="Arial" w:cs="Arial" w:eastAsia="Arial" w:hAnsi="Arial"/>
          <w:sz w:val="18"/>
          <w:szCs w:val="18"/>
          <w:color w:val="auto"/>
        </w:rPr>
        <w:t>”), in whole or in part, in a manner it considers in accordance with its business judgment to be in the best interests of the Company and its stockholders as a whole. Any allocation of this type may involve the consideration of a number of factors that the Board determines to be relevant including, without limitation:</w:t>
      </w:r>
    </w:p>
    <w:p>
      <w:pPr>
        <w:spacing w:after="0" w:line="78"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whether the business opportunity or operation, or the acquired asset or business, is principally within or related to the then existing scope of one Group’s business;</w:t>
      </w:r>
    </w:p>
    <w:p>
      <w:pPr>
        <w:spacing w:after="0" w:line="62" w:lineRule="exact"/>
        <w:rPr>
          <w:rFonts w:ascii="Arial" w:cs="Arial" w:eastAsia="Arial" w:hAnsi="Arial"/>
          <w:sz w:val="18"/>
          <w:szCs w:val="18"/>
          <w:color w:val="auto"/>
        </w:rPr>
      </w:pPr>
    </w:p>
    <w:p>
      <w:pPr>
        <w:ind w:left="1300" w:right="70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whether one Group is better positioned to undertake or have allocated to it that business opportunity or operation, acquired asset or business;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existing contractual agreements and restrictions.</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2"/>
          <w:numId w:val="192"/>
        </w:numPr>
        <w:rPr>
          <w:rFonts w:ascii="Arial" w:cs="Arial" w:eastAsia="Arial" w:hAnsi="Arial"/>
          <w:sz w:val="18"/>
          <w:szCs w:val="18"/>
          <w:color w:val="auto"/>
        </w:rPr>
      </w:pPr>
      <w:r>
        <w:rPr>
          <w:rFonts w:ascii="Arial" w:cs="Arial" w:eastAsia="Arial" w:hAnsi="Arial"/>
          <w:sz w:val="18"/>
          <w:szCs w:val="18"/>
          <w:u w:val="single" w:color="auto"/>
          <w:color w:val="auto"/>
        </w:rPr>
        <w:t>No Prohibition</w:t>
      </w:r>
      <w:r>
        <w:rPr>
          <w:rFonts w:ascii="Arial" w:cs="Arial" w:eastAsia="Arial" w:hAnsi="Arial"/>
          <w:sz w:val="18"/>
          <w:szCs w:val="18"/>
          <w:color w:val="auto"/>
        </w:rPr>
        <w:t>. No Group will be prohibited from: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19" w:name="page320"/>
    <w:bookmarkEnd w:id="319"/>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engaging in the same or similar business activities or lines of business as the other Group;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doing business with any potential or actual supplier, competitor or customer of the other Group; or</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engaging in, or refraining from, any other activities whatsoever relating to any of the potential or actual suppliers, competitors or customers of the other Group.</w:t>
      </w:r>
    </w:p>
    <w:p>
      <w:pPr>
        <w:spacing w:after="0" w:line="62" w:lineRule="exact"/>
        <w:rPr>
          <w:rFonts w:ascii="Arial" w:cs="Arial" w:eastAsia="Arial" w:hAnsi="Arial"/>
          <w:sz w:val="18"/>
          <w:szCs w:val="18"/>
          <w:color w:val="auto"/>
        </w:rPr>
      </w:pPr>
    </w:p>
    <w:p>
      <w:pPr>
        <w:ind w:left="1440" w:hanging="325"/>
        <w:spacing w:after="0"/>
        <w:tabs>
          <w:tab w:leader="none" w:pos="1440"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No Duty, Responsibility or Obligation</w:t>
      </w:r>
      <w:r>
        <w:rPr>
          <w:rFonts w:ascii="Arial" w:cs="Arial" w:eastAsia="Arial" w:hAnsi="Arial"/>
          <w:sz w:val="17"/>
          <w:szCs w:val="17"/>
          <w:color w:val="auto"/>
        </w:rPr>
        <w:t>. In addition, neither the Company nor any Group will have any duty, responsibility or obligation:</w:t>
      </w:r>
    </w:p>
    <w:p>
      <w:pPr>
        <w:spacing w:after="0" w:line="129" w:lineRule="exact"/>
        <w:rPr>
          <w:sz w:val="20"/>
          <w:szCs w:val="20"/>
          <w:color w:val="auto"/>
        </w:rPr>
      </w:pPr>
    </w:p>
    <w:p>
      <w:pPr>
        <w:jc w:val="both"/>
        <w:ind w:left="1300" w:right="60" w:hanging="644"/>
        <w:spacing w:after="0" w:line="264"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communicate or offer any business or other corporate opportunity that one Group has to the other Group, including any business or other corporate opportunity that may arise that either Group may be financially able to undertake, and that is, from its nature, in the line of either Group’s business and is of practical advantage to either Group;</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have one Group provide financial support to the other Group;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otherwise to have one Group assist the other Group.</w:t>
      </w: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Relationship between the Groups</w:t>
      </w:r>
    </w:p>
    <w:p>
      <w:pPr>
        <w:spacing w:after="0" w:line="12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will manage the businesses in the DHI Group and the businesses in the Class V Group in a manner intended to maximize the operations, assets and value of both Groups, and with complementary deployment of personnel, capital and facilities, consistent with their respective business objectives.</w:t>
      </w:r>
    </w:p>
    <w:p>
      <w:pPr>
        <w:spacing w:after="0" w:line="73" w:lineRule="exact"/>
        <w:rPr>
          <w:sz w:val="20"/>
          <w:szCs w:val="20"/>
          <w:color w:val="auto"/>
        </w:rPr>
      </w:pPr>
    </w:p>
    <w:p>
      <w:pPr>
        <w:ind w:left="660" w:firstLine="645"/>
        <w:spacing w:after="0" w:line="259" w:lineRule="auto"/>
        <w:tabs>
          <w:tab w:leader="none" w:pos="1523"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Commercial Inter-Group Transactions</w:t>
      </w:r>
      <w:r>
        <w:rPr>
          <w:rFonts w:ascii="Arial" w:cs="Arial" w:eastAsia="Arial" w:hAnsi="Arial"/>
          <w:sz w:val="18"/>
          <w:szCs w:val="18"/>
          <w:color w:val="auto"/>
        </w:rPr>
        <w:t>. All material commercial transactions in the ordinary course of business between the Groups are intended, to the extent practicable, to be on terms consistent with terms that would be applicable to arm’s-length dealings with unrelated third parties. Neither Group is under any obligation to use or make available to its customers services provided by the other Group, and each Group may use or make available to its customers services provided by a competitor of the other Group.</w:t>
      </w:r>
    </w:p>
    <w:p>
      <w:pPr>
        <w:spacing w:after="0" w:line="78" w:lineRule="exact"/>
        <w:rPr>
          <w:rFonts w:ascii="Arial" w:cs="Arial" w:eastAsia="Arial" w:hAnsi="Arial"/>
          <w:sz w:val="18"/>
          <w:szCs w:val="18"/>
          <w:color w:val="auto"/>
        </w:rPr>
      </w:pPr>
    </w:p>
    <w:p>
      <w:pPr>
        <w:ind w:left="660" w:right="100" w:firstLine="645"/>
        <w:spacing w:after="0" w:line="264" w:lineRule="auto"/>
        <w:tabs>
          <w:tab w:leader="none" w:pos="1573"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Other Transfers of Assets and Liabilities</w:t>
      </w:r>
      <w:r>
        <w:rPr>
          <w:rFonts w:ascii="Arial" w:cs="Arial" w:eastAsia="Arial" w:hAnsi="Arial"/>
          <w:sz w:val="18"/>
          <w:szCs w:val="18"/>
          <w:color w:val="auto"/>
        </w:rPr>
        <w:t>. To the extent not governed by clause (i) above, the Board may, with the approval of the Capital Stock Committee but without stockholder approval, otherwise allocate and reallocate assets and liabilities from one Group to the other. Any such reallocation will be effected by:</w:t>
      </w:r>
    </w:p>
    <w:p>
      <w:pPr>
        <w:spacing w:after="0" w:line="7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reallocation of other assets or consideration (including services) of the transferee Group to the transferor Group and/or of liabilities of the transferor Group to the transferee Group;</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case of a reallocation of assets, the creation of inter-Group debt owed by the transferee Group to the transferor Group or the reduction of inter-Group debt owed by the transferor Group to the transferee Group;</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case of a reallocation of assets of the DHI Group to the Class V Group or an assumption by the DHI Group of liabilities of the Class V Group, an increase in the Number of Retained Interest Shares;</w:t>
      </w:r>
    </w:p>
    <w:p>
      <w:pPr>
        <w:spacing w:after="0" w:line="62"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case of a reallocation of assets of the Class V Group to the DHI Group or an assumption by the Class V Group of liabilities of the DHI Group, a decrease in the Number of Retained Interest Shares; or</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combination of any of the above;</w:t>
      </w:r>
    </w:p>
    <w:p>
      <w:pPr>
        <w:spacing w:after="0" w:line="11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in each case, in an amount having a fair value equivalent to the fair value of the assets or liabilities reallocated by the transferor Group. For these purposes, the fair value of the assets or liabilities transferred will be determined in accordance with the Certificate of Incorporation to the extent applicable and otherwise by the Board with the approval of the Capital Stock Committee, in each case in good faith in accordance with its business judgment.</w:t>
      </w:r>
    </w:p>
    <w:p>
      <w:pPr>
        <w:spacing w:after="0" w:line="79" w:lineRule="exact"/>
        <w:rPr>
          <w:sz w:val="20"/>
          <w:szCs w:val="20"/>
          <w:color w:val="auto"/>
        </w:rPr>
      </w:pPr>
    </w:p>
    <w:p>
      <w:pPr>
        <w:ind w:left="660" w:right="160" w:firstLine="645"/>
        <w:spacing w:after="0" w:line="264" w:lineRule="auto"/>
        <w:tabs>
          <w:tab w:leader="none" w:pos="1623"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Treasury and Cash Management Policies</w:t>
      </w:r>
      <w:r>
        <w:rPr>
          <w:rFonts w:ascii="Arial" w:cs="Arial" w:eastAsia="Arial" w:hAnsi="Arial"/>
          <w:sz w:val="18"/>
          <w:szCs w:val="18"/>
          <w:color w:val="auto"/>
        </w:rPr>
        <w:t>. As of the Effective Date, all of the debt and preferred stock of the Company and its subsidiaries (other than debt and preferred stock of VMware and its subsidiaries) will be allocated to the DHI Group. Thereafter, the following will apply:</w:t>
      </w:r>
    </w:p>
    <w:p>
      <w:pPr>
        <w:spacing w:after="0" w:line="73" w:lineRule="exact"/>
        <w:rPr>
          <w:rFonts w:ascii="Arial" w:cs="Arial" w:eastAsia="Arial" w:hAnsi="Arial"/>
          <w:sz w:val="18"/>
          <w:szCs w:val="18"/>
          <w:color w:val="auto"/>
        </w:rPr>
      </w:pPr>
    </w:p>
    <w:p>
      <w:pPr>
        <w:ind w:left="1300" w:right="120" w:hanging="644"/>
        <w:spacing w:after="0" w:line="276" w:lineRule="auto"/>
        <w:tabs>
          <w:tab w:leader="none" w:pos="13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will attribute each future incurrence or issuance of external debt or preferred stock (other than debt and preferred stock of VMware and its subsidiaries) and the proceeds thereof to the DHI Group, except as otherwise provided with respect to Convertible Securities in paragraph (c) below or where the Board with the approval of the Capital Stock Committee determines that such debt or preferred stock is being incurred for the benefit of the Class V Group rather than the DHI Group. Any repurchases or repayment of debt or preferred stock will be charged to the Group to which such debt or preferred stock was allocated.</w:t>
      </w:r>
    </w:p>
    <w:p>
      <w:pPr>
        <w:spacing w:after="0" w:line="64" w:lineRule="exact"/>
        <w:rPr>
          <w:rFonts w:ascii="Arial" w:cs="Arial" w:eastAsia="Arial" w:hAnsi="Arial"/>
          <w:sz w:val="17"/>
          <w:szCs w:val="17"/>
          <w:color w:val="auto"/>
        </w:rPr>
      </w:pPr>
    </w:p>
    <w:p>
      <w:pPr>
        <w:ind w:left="1300" w:right="40" w:hanging="644"/>
        <w:spacing w:after="0" w:line="277"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Debt attributed to the Class V Group (other than debt and preferred stock of VMware and its subsidiaries), including any loans made by the DHI Group to the Class V Group, will bear interest at a rate at which the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320" w:name="page321"/>
    <w:bookmarkEnd w:id="320"/>
    <w:p>
      <w:pPr>
        <w:ind w:left="644" w:right="100"/>
        <w:spacing w:after="0" w:line="334" w:lineRule="auto"/>
        <w:rPr>
          <w:sz w:val="20"/>
          <w:szCs w:val="20"/>
          <w:color w:val="auto"/>
        </w:rPr>
      </w:pPr>
      <w:r>
        <w:rPr>
          <w:rFonts w:ascii="Arial" w:cs="Arial" w:eastAsia="Arial" w:hAnsi="Arial"/>
          <w:sz w:val="16"/>
          <w:szCs w:val="16"/>
          <w:color w:val="auto"/>
        </w:rPr>
        <w:t>Company could borrow such funds. Debt attributed to the DHI Group will bear interest at a rate equal to the difference between the Company’s actual interest expense and the interest expense allocated to the Class V Group (inclusive of the interest expense of the debt of VMware and its subsidiaries). Interest rates will be calculated on a quarterly basis. Dividends on any preferred stock attributed to the DHI Group will be charged to the DHI Group, and dividends on any preferred stock attributed to the Class V Group will be charged to the Class</w:t>
      </w:r>
    </w:p>
    <w:p>
      <w:pPr>
        <w:spacing w:after="0" w:line="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V Group.</w:t>
      </w:r>
    </w:p>
    <w:p>
      <w:pPr>
        <w:spacing w:after="0" w:line="130" w:lineRule="exact"/>
        <w:rPr>
          <w:sz w:val="20"/>
          <w:szCs w:val="20"/>
          <w:color w:val="auto"/>
        </w:rPr>
      </w:pPr>
    </w:p>
    <w:p>
      <w:pPr>
        <w:ind w:left="644" w:right="40" w:hanging="644"/>
        <w:spacing w:after="0" w:line="297" w:lineRule="auto"/>
        <w:tabs>
          <w:tab w:leader="none" w:pos="64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will attribute each future issuance of DHI Common Stock (or any Convertible Securities convertible into or exchangeable or exercisable for shares of DHI Common Stock) and the proceeds thereof to the DHI Group. The Company will attribute each future issuance of Class V Common Stock (or any Convertible Securities convertible into or exchangeable or exercisable for shares of Class V Common Stock) and the proceeds thereof to the Class V Group, except to the extent the Company attributes any such issuance and the proceeds thereof to the DHI Group in respect of a reduction in the Number of Retained Interest Shares.</w:t>
      </w:r>
    </w:p>
    <w:p>
      <w:pPr>
        <w:spacing w:after="0" w:line="50" w:lineRule="exact"/>
        <w:rPr>
          <w:rFonts w:ascii="Arial" w:cs="Arial" w:eastAsia="Arial" w:hAnsi="Arial"/>
          <w:sz w:val="16"/>
          <w:szCs w:val="16"/>
          <w:color w:val="auto"/>
        </w:rPr>
      </w:pPr>
    </w:p>
    <w:p>
      <w:pPr>
        <w:ind w:left="644" w:hanging="644"/>
        <w:spacing w:after="0" w:line="279" w:lineRule="auto"/>
        <w:tabs>
          <w:tab w:leader="none" w:pos="64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Dividends on DHI Common Stock will be charged against the DHI Group, and dividends on Class V Common Stock will be charged against the Class V Group. At the time of any dividend on Class V Common Stock while the Number of Retained Interest Shares is greater than zero, the Company will reallocate to the DHI Group a proportionate amount of assets of the Class V Group (of the same kind as paid as a dividend on Class V Common Stock) in respect of the Number of Retained Interest Shares.</w:t>
      </w:r>
    </w:p>
    <w:p>
      <w:pPr>
        <w:spacing w:after="0" w:line="63" w:lineRule="exact"/>
        <w:rPr>
          <w:rFonts w:ascii="Arial" w:cs="Arial" w:eastAsia="Arial" w:hAnsi="Arial"/>
          <w:sz w:val="17"/>
          <w:szCs w:val="17"/>
          <w:color w:val="auto"/>
        </w:rPr>
      </w:pPr>
    </w:p>
    <w:p>
      <w:pPr>
        <w:ind w:left="644" w:right="20" w:hanging="644"/>
        <w:spacing w:after="0" w:line="297" w:lineRule="auto"/>
        <w:tabs>
          <w:tab w:leader="none" w:pos="64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Repurchases of DHI Common Stock will be charged against the DHI Group. Repurchases of Class V Common Stock may be charged either against the Class V Group and/or the DHI Group as determined by the Board in its sole discretion. If a repurchase of Class V Common Stock is charged against the DHI Group, such Class V Common Stock will be deemed to be purchased by the DHI Group, and the Number of Retained Interest Shares will be increased by the number of shares deemed to be so purchased. If a repurchase of Class V Common Stock is charged against the Class V Group, the Number of Retained Interest Shares shall not be changed as a result thereof.</w:t>
      </w:r>
    </w:p>
    <w:p>
      <w:pPr>
        <w:spacing w:after="0" w:line="50" w:lineRule="exact"/>
        <w:rPr>
          <w:rFonts w:ascii="Arial" w:cs="Arial" w:eastAsia="Arial" w:hAnsi="Arial"/>
          <w:sz w:val="16"/>
          <w:szCs w:val="16"/>
          <w:color w:val="auto"/>
        </w:rPr>
      </w:pPr>
    </w:p>
    <w:p>
      <w:pPr>
        <w:ind w:left="644" w:right="160" w:hanging="644"/>
        <w:spacing w:after="0" w:line="291" w:lineRule="auto"/>
        <w:tabs>
          <w:tab w:leader="none" w:pos="64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will account for all cash transfers from one Group to or for the account of the other Group (other than transfers in return for assets or services rendered or transfers in respect of the Number of Retained Interest Shares) as inter-Group revolving credit loans unless</w:t>
      </w:r>
    </w:p>
    <w:p>
      <w:pPr>
        <w:ind w:left="644" w:right="20"/>
        <w:spacing w:after="0" w:line="268" w:lineRule="auto"/>
        <w:rPr>
          <w:rFonts w:ascii="Arial" w:cs="Arial" w:eastAsia="Arial" w:hAnsi="Arial"/>
          <w:sz w:val="16"/>
          <w:szCs w:val="16"/>
          <w:color w:val="auto"/>
        </w:rPr>
      </w:pPr>
      <w:r>
        <w:rPr>
          <w:rFonts w:ascii="Arial" w:cs="Arial" w:eastAsia="Arial" w:hAnsi="Arial"/>
          <w:sz w:val="17"/>
          <w:szCs w:val="17"/>
          <w:color w:val="auto"/>
        </w:rPr>
        <w:t>(i) the Board determines that a given transfer (or type of transfer) should be accounted for as a long-term loan, (ii) the Board determines that a given transfer (or type of transfer) should be accounted for as a capital contribution to the Class V Group increasing the Number of Retained Interest Shares, or (iii) the Board determines that a given transfer (or type of transfer) should be accounted for as a repurchase of shares within the Number of Retained Interest Shares or as a dividend on the Number of Retained Interest Shares. There are no specific criteria to determine when the Company will account for a cash transfer as a long-term loan, a capital contribution or a repurchase of or dividend on the Number of Retained Interest Shares rather than an inter-Group revolving credit loan. The Board will make such a determination in the exercise of its business judgment at the time of such transfer based upon all relevant circumstances. Factors the Board may consider include, without limitation, the current and projected capital structure of each Group; the financing needs and objectives of the recipient Group; the availability, cost and time associated with alternative financing sources; and prevailing interest rates and general economic conditions.</w:t>
      </w:r>
    </w:p>
    <w:p>
      <w:pPr>
        <w:spacing w:after="0" w:line="71" w:lineRule="exact"/>
        <w:rPr>
          <w:rFonts w:ascii="Arial" w:cs="Arial" w:eastAsia="Arial" w:hAnsi="Arial"/>
          <w:sz w:val="16"/>
          <w:szCs w:val="16"/>
          <w:color w:val="auto"/>
        </w:rPr>
      </w:pPr>
    </w:p>
    <w:p>
      <w:pPr>
        <w:ind w:left="644" w:right="380" w:hanging="644"/>
        <w:spacing w:after="0" w:line="264"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Cash transfers accounted for as inter-Group loans will bear interest at the rates described in paragraph (a) above. In addition, any cash transfers accounted for as a long-term loan will have amortization, maturity, redemption and other terms that reflect the then-prevailing terms on which the Company could borrow such funds.</w:t>
      </w:r>
    </w:p>
    <w:p>
      <w:pPr>
        <w:spacing w:after="0" w:line="73"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cash transfer from the DHI Group to the Class V Group (or for its account) accounted for as a capital contribution will correspondingly increase the Class V Group’s equity account and the Number of Retained Interest Shares.</w:t>
      </w:r>
    </w:p>
    <w:p>
      <w:pPr>
        <w:spacing w:after="0" w:line="62" w:lineRule="exact"/>
        <w:rPr>
          <w:rFonts w:ascii="Arial" w:cs="Arial" w:eastAsia="Arial" w:hAnsi="Arial"/>
          <w:sz w:val="18"/>
          <w:szCs w:val="18"/>
          <w:color w:val="auto"/>
        </w:rPr>
      </w:pPr>
    </w:p>
    <w:p>
      <w:pPr>
        <w:ind w:left="644" w:right="100" w:hanging="644"/>
        <w:spacing w:after="0" w:line="342" w:lineRule="auto"/>
        <w:tabs>
          <w:tab w:leader="none" w:pos="64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cash transfer from the Class V Group to the DHI Group (or for its account) accounted for as a repurchase of shares within the Number of Retained Interest Shares will correspondingly reduce the Class V Group’s equity account and the Number of Retained Interest Shares.</w:t>
      </w:r>
    </w:p>
    <w:p>
      <w:pPr>
        <w:spacing w:after="0" w:line="15" w:lineRule="exact"/>
        <w:rPr>
          <w:rFonts w:ascii="Arial" w:cs="Arial" w:eastAsia="Arial" w:hAnsi="Arial"/>
          <w:sz w:val="16"/>
          <w:szCs w:val="16"/>
          <w:color w:val="auto"/>
        </w:rPr>
      </w:pPr>
    </w:p>
    <w:p>
      <w:pPr>
        <w:jc w:val="both"/>
        <w:ind w:left="644" w:right="40" w:hanging="644"/>
        <w:spacing w:after="0" w:line="264"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that any convertible securities or similar rights to acquire shares of Class V Common Stock that are attributed to the Number of Retained Interest Shares are exercised, the consideration for such exercise shall be allocated to the DHI Group and the Number of Retained Interest Shares will be correspondingly reduced.</w:t>
      </w:r>
    </w:p>
    <w:p>
      <w:pPr>
        <w:spacing w:after="0" w:line="31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611" w:right="239" w:bottom="1440" w:gutter="0" w:footer="0" w:header="0"/>
        </w:sectPr>
      </w:pPr>
    </w:p>
    <w:bookmarkStart w:id="321" w:name="page322"/>
    <w:bookmarkEnd w:id="321"/>
    <w:p>
      <w:pPr>
        <w:ind w:left="660" w:firstLine="645"/>
        <w:spacing w:after="0" w:line="255" w:lineRule="auto"/>
        <w:tabs>
          <w:tab w:leader="none" w:pos="161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 Intangible assets consist of the excess consideration paid over the fair value of net tangible assets acquired by the Company in business combinations accounted for under the purchase method and include goodwill, technology, leasehold interests, customer relationships and customer lists, trademarks and tradenames, non-compete agreements and in-process research and development. These assets will be attributed to the respective Groups based on specific identification and where acquired companies have been divided between the DHI Group and the Class V Group, the intangible assets will be allocated based on the respective fair values at the date of purchase of the related operations attributed to each Group.</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320" w:hanging="312"/>
        <w:spacing w:after="0"/>
        <w:tabs>
          <w:tab w:leader="none" w:pos="32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Policy</w:t>
      </w:r>
    </w:p>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Subject to the limitations on dividends set forth in the Certificate of Incorporation and to applicable law, the holders of DHI Common Stock and the holders of Class V Common Stock will be entitled to receive dividends on that stock when, as and if the Board authorizes and declares dividends on that stock.</w:t>
      </w:r>
    </w:p>
    <w:p>
      <w:pPr>
        <w:spacing w:after="0" w:line="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does not expect to pay any dividends on the Class V Common Stock before VMware pays dividends on its shares and/or the Class V Group includes other assets that generate positive cash flow. Thereafter, the Board will determine whether to pay dividends on the Class V Common Stock based primarily on the results of operations, financial condition and capital requirements of the Class V Group and of the Company as a whole, and other factors that the Board considers relevant.</w:t>
      </w:r>
    </w:p>
    <w:p>
      <w:pPr>
        <w:spacing w:after="0" w:line="399" w:lineRule="exact"/>
        <w:rPr>
          <w:sz w:val="20"/>
          <w:szCs w:val="20"/>
          <w:color w:val="auto"/>
        </w:rPr>
      </w:pPr>
    </w:p>
    <w:p>
      <w:pPr>
        <w:ind w:left="320" w:hanging="312"/>
        <w:spacing w:after="0"/>
        <w:tabs>
          <w:tab w:leader="none" w:pos="32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Reporting; Allocation Matters</w:t>
      </w:r>
    </w:p>
    <w:p>
      <w:pPr>
        <w:spacing w:after="0" w:line="121" w:lineRule="exact"/>
        <w:rPr>
          <w:rFonts w:ascii="Arial" w:cs="Arial" w:eastAsia="Arial" w:hAnsi="Arial"/>
          <w:sz w:val="18"/>
          <w:szCs w:val="18"/>
          <w:color w:val="auto"/>
        </w:rPr>
      </w:pPr>
    </w:p>
    <w:p>
      <w:pPr>
        <w:ind w:left="660" w:firstLine="645"/>
        <w:spacing w:after="0" w:line="257" w:lineRule="auto"/>
        <w:tabs>
          <w:tab w:leader="none" w:pos="1523"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Financial Reporting</w:t>
      </w:r>
      <w:r>
        <w:rPr>
          <w:rFonts w:ascii="Arial" w:cs="Arial" w:eastAsia="Arial" w:hAnsi="Arial"/>
          <w:sz w:val="18"/>
          <w:szCs w:val="18"/>
          <w:color w:val="auto"/>
        </w:rPr>
        <w:t>. The Company will prepare and include in its periodic filings with the Securities and Exchange Commission consolidated financial statements of the Company and unaudited financial information that will show the attribution of the Company’s assets, liabilities, revenue and expenses to the Class V Group in accordance with this tracking stock policy for so long as the Class V Common Stock is outstanding. For purposes of the unaudited financial information, the Class V Group will be allocated the debt and preferred stock of VMware and its subsidiaries outstanding from time to time.</w:t>
      </w:r>
    </w:p>
    <w:p>
      <w:pPr>
        <w:spacing w:after="0" w:line="80" w:lineRule="exact"/>
        <w:rPr>
          <w:rFonts w:ascii="Arial" w:cs="Arial" w:eastAsia="Arial" w:hAnsi="Arial"/>
          <w:sz w:val="18"/>
          <w:szCs w:val="18"/>
          <w:color w:val="auto"/>
        </w:rPr>
      </w:pPr>
    </w:p>
    <w:p>
      <w:pPr>
        <w:ind w:left="660" w:right="20" w:firstLine="645"/>
        <w:spacing w:after="0" w:line="259" w:lineRule="auto"/>
        <w:tabs>
          <w:tab w:leader="none" w:pos="1573"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Shared Services and Support Activities</w:t>
      </w:r>
      <w:r>
        <w:rPr>
          <w:rFonts w:ascii="Arial" w:cs="Arial" w:eastAsia="Arial" w:hAnsi="Arial"/>
          <w:sz w:val="18"/>
          <w:szCs w:val="18"/>
          <w:color w:val="auto"/>
        </w:rPr>
        <w:t>. If the Class V Group is allocated operating assets, the Company will directly charge specifically identifiable corporate overhead and other costs to the Class V Group. Where determinations based on specific usage alone are impracticable, the Company will use other allocation methods that it believes are fair, including methods based on factors such as the number of employees in and total revenues generated by each Group.</w:t>
      </w:r>
    </w:p>
    <w:p>
      <w:pPr>
        <w:spacing w:after="0" w:line="399" w:lineRule="exact"/>
        <w:rPr>
          <w:rFonts w:ascii="Arial" w:cs="Arial" w:eastAsia="Arial" w:hAnsi="Arial"/>
          <w:sz w:val="18"/>
          <w:szCs w:val="18"/>
          <w:color w:val="auto"/>
        </w:rPr>
      </w:pPr>
    </w:p>
    <w:p>
      <w:pPr>
        <w:ind w:left="320" w:hanging="312"/>
        <w:spacing w:after="0"/>
        <w:tabs>
          <w:tab w:leader="none" w:pos="32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p>
    <w:p>
      <w:pPr>
        <w:spacing w:after="0" w:line="1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general, any tax or tax item (including any tax item arising from a disposition) attributable to an asset, liability or other interest of a Group will be attributed to that Group in the reasonable discretion of the Board. Tax items that are attributable to a Group that are carried forward or back and used as a tax benefit in another tax year will be attributed to that Group. To the extent that any taxes or tax benefits are determined on a basis that includes the assets, liabilities or other tax items of both Groups, such taxes and tax benefits will be attributed to each Group based upon its contribution to such tax liability (or benefit) and, in the case of income taxes, principally based on the taxable income (or loss) tax credits, and other tax items directly related to each Group. Such allocation to or from a Group is intended to reflect its actual effect, whether positive or negative, on the Company’s taxable income, related tax liability and tax credit position. Consistent with the general policies described above, tax benefits that cannot be used by a Group generating those benefits but can be used to reduce the tax liability of the other Group will be credited to the Group that generated those benefits, and a corresponding amount will be charged to the Group utilizing such benefits. Accordingly, the amount of taxes payable or refundable that will be allocated to each Group may not necessarily be the same as that which would have been payable or refundable had that Group filed separate income tax returns.</w:t>
      </w:r>
    </w:p>
    <w:p>
      <w:pPr>
        <w:spacing w:after="0" w:line="6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EMC, VMware and the other entities included in the Company’s consolidated tax group are parties to a tax sharing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The Agreement provides that VMware will make payments to EMC, and EMC will make payments to VMware in respect of the consolidated federal income tax liability of a hypothetical affiliated group consisting of VMware and its subsidiaries, computed on a stand-alone basis as if the members of such hypothetical affiliated group were not members of the Company’s or EMC’s affiliated group. Any payments made pursuant to the Agreement will be credited or charged to the DHI Group or the Class V Group, as the case may be and, to the extent such payments relate to tax liabilities, tax benefits or other tax items charged or credited to the payor group hereunder, such payment shall offset the applicable charge or credit, as determined in the reasonable discretion of the Board.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5" w:right="239" w:bottom="1440" w:gutter="0" w:footer="0" w:header="0"/>
        </w:sectPr>
      </w:pPr>
    </w:p>
    <w:bookmarkStart w:id="322" w:name="page323"/>
    <w:bookmarkEnd w:id="322"/>
    <w:p>
      <w:pPr>
        <w:ind w:right="400" w:firstLine="648"/>
        <w:spacing w:after="0" w:line="277" w:lineRule="auto"/>
        <w:rPr>
          <w:sz w:val="20"/>
          <w:szCs w:val="20"/>
          <w:color w:val="auto"/>
        </w:rPr>
      </w:pPr>
      <w:r>
        <w:rPr>
          <w:rFonts w:ascii="Arial" w:cs="Arial" w:eastAsia="Arial" w:hAnsi="Arial"/>
          <w:sz w:val="18"/>
          <w:szCs w:val="18"/>
          <w:color w:val="auto"/>
        </w:rPr>
        <w:t>Taxes and tax items from employee or director compensation or employee benefits will be allocated to the Group responsible for the underlying obligation (either through the allocation of the related expenses or through the issuance of stock of that group).</w:t>
      </w:r>
    </w:p>
    <w:p>
      <w:pPr>
        <w:spacing w:after="0" w:line="6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Notwithstanding the foregoing, the DHI Group shall be allocated any tax liability of the Company or its subsidiaries resulting from the Class V Common Stock issued on the [closing date] being treated as other than stock of the Company or the deemed disposition of assets of the Class V Group resulting from the issuance of Class V Common Stock on the [closing date]; provided, that any such tax liability shall be allocated to the Class V Group to the extent such tax liability results from any change in U.S. federal income tax law described in clause (i) of the definition of Tax Event set forth in the Certificate of Incorporation or any comparable change in state or local income tax laws after the [closing date] (a “</w:t>
      </w:r>
      <w:r>
        <w:rPr>
          <w:rFonts w:ascii="Arial" w:cs="Arial" w:eastAsia="Arial" w:hAnsi="Arial"/>
          <w:sz w:val="16"/>
          <w:szCs w:val="16"/>
          <w:u w:val="single" w:color="auto"/>
          <w:color w:val="auto"/>
        </w:rPr>
        <w:t>Post-Change Tax Liability</w:t>
      </w:r>
      <w:r>
        <w:rPr>
          <w:rFonts w:ascii="Arial" w:cs="Arial" w:eastAsia="Arial" w:hAnsi="Arial"/>
          <w:sz w:val="16"/>
          <w:szCs w:val="16"/>
          <w:color w:val="auto"/>
        </w:rPr>
        <w:t>”). Notwithstanding the proviso set forth in the immediately preceding sentence, the Class V Group shall not be allocated any Post-Change Tax Liability, and the DHI Group shall be allocated any Post-Change Tax Liability, to the extent such tax liability reasonably could have been avoided by the conversion of Class V Common Stock into Class C Common Stock by the Company after the occurrence of a Tax Event pursuant to Section 5.2(r) of the Certificate of Incorporation and (i) the Company has not so converted the Class V Common Stock or (ii) has so converted the Class V Common Stock but failed to use its reasonable best efforts to list the Class C Common Stock for trading on the New York Stock Exchange or the NASDAQ Stock Market.</w:t>
      </w:r>
    </w:p>
    <w:p>
      <w:pPr>
        <w:spacing w:after="0" w:line="381" w:lineRule="exact"/>
        <w:rPr>
          <w:sz w:val="20"/>
          <w:szCs w:val="20"/>
          <w:color w:val="auto"/>
        </w:rPr>
      </w:pPr>
    </w:p>
    <w:p>
      <w:pPr>
        <w:ind w:left="320" w:hanging="312"/>
        <w:spacing w:after="0"/>
        <w:tabs>
          <w:tab w:leader="none" w:pos="320"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Stock Committee</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will establish a standing committee of the Board known as the Capital Stock Committee (the “</w:t>
      </w:r>
      <w:r>
        <w:rPr>
          <w:rFonts w:ascii="Arial" w:cs="Arial" w:eastAsia="Arial" w:hAnsi="Arial"/>
          <w:sz w:val="18"/>
          <w:szCs w:val="18"/>
          <w:u w:val="single" w:color="auto"/>
          <w:color w:val="auto"/>
        </w:rPr>
        <w:t>Capital Stock Committee</w:t>
      </w:r>
      <w:r>
        <w:rPr>
          <w:rFonts w:ascii="Arial" w:cs="Arial" w:eastAsia="Arial" w:hAnsi="Arial"/>
          <w:sz w:val="18"/>
          <w:szCs w:val="18"/>
          <w:color w:val="auto"/>
        </w:rPr>
        <w:t>”). The Capital Stock Committee shall consist of at least three members, and shall at all times be composed of a majority of directors who satisfy the independence requirements required to serve on the audit committee of a company listed on the principal securities exchange on which the Class V Common Stock is listed or if the Class V Common Stock is not so listed then of a company listed on the New York Stock Exchange. Each director serving on the Capital Stock Committee will have one vote on all matters presented to such committee. The Capital Stock Committee will have such powers, authority and responsibilities as are set forth in the Bylaws of the Company and in this Policy Statement, and such other powers, authority and responsibilities as the Board may grant to such committee, which shall include the authority to engage the services of accountants, investment bankers, appraisers, attorneys and other service providers to assist in discharging its duties.</w:t>
      </w:r>
    </w:p>
    <w:p>
      <w:pPr>
        <w:spacing w:after="0" w:line="8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To the extent the members of the Capital Stock Committee who are independent directors are granted equity compensation in either DHI Common Stock or Class V Common Stock and/or options thereon, approximately half (as determined by the Board) of the value at grant of all such compensation shall consist of Class V Common Stock or options thereon.</w:t>
      </w:r>
    </w:p>
    <w:p>
      <w:pPr>
        <w:spacing w:after="0" w:line="73"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In making determinations in connection with this Policy Statement, the members of the Board and the Capital Stock Committee will act in a fiduciary capacity and pursuant to legal guidance concerning their respective obligations under applicable law. The members of the Board and of the Capital Stock Committee, in performing their duties in connection with the matters covered by this Policy Statement, shall be fully protected in relying in good faith upon the records of the Company and upon such information, opinions, reports, advice or statements presented to the Company, the Board or the Capital Stock Committee by any of the Company’s officers or employees, or other committees of the Board, or by any accountants, investment bankers, appraisers, attorneys and other service providers retained by or on behalf of the Company, the Board or the Capital Stock Committee.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1)"/>
      <w:numFmt w:val="lowerLetter"/>
      <w:start w:val="1"/>
    </w:lvl>
  </w:abstractNum>
  <w:abstractNum w:abstractNumId="16">
    <w:nsid w:val="1CA0C5FA"/>
    <w:multiLevelType w:val="hybridMultilevel"/>
    <w:lvl w:ilvl="0">
      <w:lvlJc w:val="left"/>
      <w:lvlText w:val="(%1)"/>
      <w:numFmt w:val="lowerLetter"/>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1)"/>
      <w:numFmt w:val="lowerLetter"/>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
      <w:numFmt w:val="bullet"/>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1)"/>
      <w:numFmt w:val="lowerLetter"/>
      <w:start w:val="1"/>
    </w:lvl>
  </w:abstractNum>
  <w:abstractNum w:abstractNumId="37">
    <w:nsid w:val="3DD15094"/>
    <w:multiLevelType w:val="hybridMultilevel"/>
    <w:lvl w:ilvl="0">
      <w:lvlJc w:val="left"/>
      <w:lvlText w:val="(%1)"/>
      <w:numFmt w:val="lowerLetter"/>
      <w:start w:val="1"/>
    </w:lvl>
  </w:abstractNum>
  <w:abstractNum w:abstractNumId="38">
    <w:nsid w:val="3DB012B3"/>
    <w:multiLevelType w:val="hybridMultilevel"/>
    <w:lvl w:ilvl="0">
      <w:lvlJc w:val="left"/>
      <w:lvlText w:val="%1"/>
      <w:numFmt w:val="upperLetter"/>
      <w:start w:val="35"/>
    </w:lvl>
  </w:abstractNum>
  <w:abstractNum w:abstractNumId="39">
    <w:nsid w:val="2708C9AF"/>
    <w:multiLevelType w:val="hybridMultilevel"/>
    <w:lvl w:ilvl="0">
      <w:lvlJc w:val="left"/>
      <w:lvlText w:val="(%1)"/>
      <w:numFmt w:val="lowerLetter"/>
      <w:start w:val="1"/>
    </w:lvl>
  </w:abstractNum>
  <w:abstractNum w:abstractNumId="40">
    <w:nsid w:val="5B25ACE2"/>
    <w:multiLevelType w:val="hybridMultilevel"/>
    <w:lvl w:ilvl="0">
      <w:lvlJc w:val="left"/>
      <w:lvlText w:val="(%1)"/>
      <w:numFmt w:val="lowerLetter"/>
      <w:start w:val="1"/>
    </w:lvl>
  </w:abstractNum>
  <w:abstractNum w:abstractNumId="41">
    <w:nsid w:val="175DFCF0"/>
    <w:multiLevelType w:val="hybridMultilevel"/>
    <w:lvl w:ilvl="0">
      <w:lvlJc w:val="left"/>
      <w:lvlText w:val="(%1)"/>
      <w:numFmt w:val="lowerLetter"/>
      <w:start w:val="1"/>
    </w:lvl>
  </w:abstractNum>
  <w:abstractNum w:abstractNumId="42">
    <w:nsid w:val="4F97E3E4"/>
    <w:multiLevelType w:val="hybridMultilevel"/>
    <w:lvl w:ilvl="0">
      <w:lvlJc w:val="left"/>
      <w:lvlText w:val="(%1)"/>
      <w:numFmt w:val="lowerLetter"/>
      <w:start w:val="5"/>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lowerLetter"/>
      <w:start w:val="1"/>
    </w:lvl>
  </w:abstractNum>
  <w:abstractNum w:abstractNumId="45">
    <w:nsid w:val="5915FF32"/>
    <w:multiLevelType w:val="hybridMultilevel"/>
    <w:lvl w:ilvl="0">
      <w:lvlJc w:val="left"/>
      <w:lvlText w:val="(%1)"/>
      <w:numFmt w:val="lowerLetter"/>
      <w:start w:val="1"/>
    </w:lvl>
  </w:abstractNum>
  <w:abstractNum w:abstractNumId="46">
    <w:nsid w:val="56438D15"/>
    <w:multiLevelType w:val="hybridMultilevel"/>
    <w:lvl w:ilvl="0">
      <w:lvlJc w:val="left"/>
      <w:lvlText w:val="(%1)"/>
      <w:numFmt w:val="lowerLetter"/>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1)"/>
      <w:numFmt w:val="lowerLetter"/>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1)"/>
      <w:numFmt w:val="lowerLetter"/>
      <w:start w:val="1"/>
    </w:lvl>
  </w:abstractNum>
  <w:abstractNum w:abstractNumId="53">
    <w:nsid w:val="2A082C70"/>
    <w:multiLevelType w:val="hybridMultilevel"/>
    <w:lvl w:ilvl="0">
      <w:lvlJc w:val="left"/>
      <w:lvlText w:val="(%1)"/>
      <w:numFmt w:val="lowerLetter"/>
      <w:start w:val="1"/>
    </w:lvl>
  </w:abstractNum>
  <w:abstractNum w:abstractNumId="54">
    <w:nsid w:val="5EC6AFD4"/>
    <w:multiLevelType w:val="hybridMultilevel"/>
    <w:lvl w:ilvl="0">
      <w:lvlJc w:val="left"/>
      <w:lvlText w:val="(%1)"/>
      <w:numFmt w:val="lowerLetter"/>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
      <w:numFmt w:val="bullet"/>
      <w:start w:val="1"/>
    </w:lvl>
  </w:abstractNum>
  <w:abstractNum w:abstractNumId="57">
    <w:nsid w:val="57A61A29"/>
    <w:multiLevelType w:val="hybridMultilevel"/>
    <w:lvl w:ilvl="0">
      <w:lvlJc w:val="left"/>
      <w:lvlText w:val="(%1)"/>
      <w:numFmt w:val="lowerLetter"/>
      <w:start w:val="1"/>
    </w:lvl>
  </w:abstractNum>
  <w:abstractNum w:abstractNumId="58">
    <w:nsid w:val="5399C654"/>
    <w:multiLevelType w:val="hybridMultilevel"/>
    <w:lvl w:ilvl="0">
      <w:lvlJc w:val="left"/>
      <w:lvlText w:val="(%1)"/>
      <w:numFmt w:val="lowerLetter"/>
      <w:start w:val="1"/>
    </w:lvl>
  </w:abstractNum>
  <w:abstractNum w:abstractNumId="59">
    <w:nsid w:val="20EE1348"/>
    <w:multiLevelType w:val="hybridMultilevel"/>
    <w:lvl w:ilvl="0">
      <w:lvlJc w:val="left"/>
      <w:lvlText w:val="(%1)"/>
      <w:numFmt w:val="lowerLetter"/>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1)"/>
      <w:numFmt w:val="lowerLetter"/>
      <w:start w:val="1"/>
    </w:lvl>
  </w:abstractNum>
  <w:abstractNum w:abstractNumId="62">
    <w:nsid w:val="2157F6BC"/>
    <w:multiLevelType w:val="hybridMultilevel"/>
    <w:lvl w:ilvl="0">
      <w:lvlJc w:val="left"/>
      <w:lvlText w:val="(%1)"/>
      <w:numFmt w:val="lowerLetter"/>
      <w:start w:val="1"/>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1"/>
    </w:lvl>
  </w:abstractNum>
  <w:abstractNum w:abstractNumId="65">
    <w:nsid w:val="BFFAE18"/>
    <w:multiLevelType w:val="hybridMultilevel"/>
    <w:lvl w:ilvl="0">
      <w:lvlJc w:val="left"/>
      <w:lvlText w:val="(%1)"/>
      <w:numFmt w:val="lowerLetter"/>
      <w:start w:val="1"/>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decimal"/>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
      <w:numFmt w:val="bullet"/>
      <w:start w:val="1"/>
    </w:lvl>
  </w:abstractNum>
  <w:abstractNum w:abstractNumId="70">
    <w:nsid w:val="5551B9F3"/>
    <w:multiLevelType w:val="hybridMultilevel"/>
    <w:lvl w:ilvl="0">
      <w:lvlJc w:val="left"/>
      <w:lvlText w:val="**"/>
      <w:numFmt w:val="bullet"/>
      <w:start w:val="1"/>
    </w:lvl>
  </w:abstractNum>
  <w:abstractNum w:abstractNumId="71">
    <w:nsid w:val="24F6AB8E"/>
    <w:multiLevelType w:val="hybridMultilevel"/>
    <w:lvl w:ilvl="0">
      <w:lvlJc w:val="left"/>
      <w:lvlText w:val="%1."/>
      <w:numFmt w:val="decimal"/>
      <w:start w:val="1"/>
    </w:lvl>
  </w:abstractNum>
  <w:abstractNum w:abstractNumId="72">
    <w:nsid w:val="634C574C"/>
    <w:multiLevelType w:val="hybridMultilevel"/>
    <w:lvl w:ilvl="0">
      <w:lvlJc w:val="left"/>
      <w:lvlText w:val="%1."/>
      <w:numFmt w:val="decimal"/>
      <w:start w:val="2"/>
    </w:lvl>
  </w:abstractNum>
  <w:abstractNum w:abstractNumId="73">
    <w:nsid w:val="24E99DD7"/>
    <w:multiLevelType w:val="hybridMultilevel"/>
    <w:lvl w:ilvl="0">
      <w:lvlJc w:val="left"/>
      <w:lvlText w:val="%1."/>
      <w:numFmt w:val="decimal"/>
      <w:start w:val="3"/>
    </w:lvl>
  </w:abstractNum>
  <w:abstractNum w:abstractNumId="74">
    <w:nsid w:val="2A31B62D"/>
    <w:multiLevelType w:val="hybridMultilevel"/>
    <w:lvl w:ilvl="0">
      <w:lvlJc w:val="left"/>
      <w:lvlText w:val="(%1)"/>
      <w:numFmt w:val="lowerRoman"/>
      <w:start w:val="1"/>
    </w:lvl>
  </w:abstractNum>
  <w:abstractNum w:abstractNumId="75">
    <w:nsid w:val="1849C29B"/>
    <w:multiLevelType w:val="hybridMultilevel"/>
    <w:lvl w:ilvl="0">
      <w:lvlJc w:val="left"/>
      <w:lvlText w:val="(%1)"/>
      <w:numFmt w:val="lowerRoman"/>
      <w:start w:val="1"/>
    </w:lvl>
  </w:abstractNum>
  <w:abstractNum w:abstractNumId="76">
    <w:nsid w:val="7DFF9D09"/>
    <w:multiLevelType w:val="hybridMultilevel"/>
    <w:lvl w:ilvl="0">
      <w:lvlJc w:val="left"/>
      <w:lvlText w:val="%1."/>
      <w:numFmt w:val="decimal"/>
      <w:start w:val="4"/>
    </w:lvl>
  </w:abstractNum>
  <w:abstractNum w:abstractNumId="77">
    <w:nsid w:val="754342"/>
    <w:multiLevelType w:val="hybridMultilevel"/>
    <w:lvl w:ilvl="0">
      <w:lvlJc w:val="left"/>
      <w:lvlText w:val="%1."/>
      <w:numFmt w:val="decimal"/>
      <w:start w:val="11"/>
    </w:lvl>
  </w:abstractNum>
  <w:abstractNum w:abstractNumId="78">
    <w:nsid w:val="69E7F3E5"/>
    <w:multiLevelType w:val="hybridMultilevel"/>
    <w:lvl w:ilvl="0">
      <w:lvlJc w:val="left"/>
      <w:lvlText w:val="%1."/>
      <w:numFmt w:val="decimal"/>
      <w:start w:val="1"/>
    </w:lvl>
  </w:abstractNum>
  <w:abstractNum w:abstractNumId="79">
    <w:nsid w:val="2A6DE806"/>
    <w:multiLevelType w:val="hybridMultilevel"/>
    <w:lvl w:ilvl="0">
      <w:lvlJc w:val="left"/>
      <w:lvlText w:val="%1."/>
      <w:numFmt w:val="decimal"/>
      <w:start w:val="2"/>
    </w:lvl>
  </w:abstractNum>
  <w:abstractNum w:abstractNumId="80">
    <w:nsid w:val="1816F8C4"/>
    <w:multiLevelType w:val="hybridMultilevel"/>
    <w:lvl w:ilvl="0">
      <w:lvlJc w:val="left"/>
      <w:lvlText w:val="%1."/>
      <w:numFmt w:val="decimal"/>
      <w:start w:val="3"/>
    </w:lvl>
  </w:abstractNum>
  <w:abstractNum w:abstractNumId="81">
    <w:nsid w:val="37DF2233"/>
    <w:multiLevelType w:val="hybridMultilevel"/>
    <w:lvl w:ilvl="0">
      <w:lvlJc w:val="left"/>
      <w:lvlText w:val="%1."/>
      <w:numFmt w:val="decimal"/>
      <w:start w:val="4"/>
    </w:lvl>
  </w:abstractNum>
  <w:abstractNum w:abstractNumId="82">
    <w:nsid w:val="7AB49DAF"/>
    <w:multiLevelType w:val="hybridMultilevel"/>
    <w:lvl w:ilvl="0">
      <w:lvlJc w:val="left"/>
      <w:lvlText w:val="%1."/>
      <w:numFmt w:val="decimal"/>
      <w:start w:val="6"/>
    </w:lvl>
  </w:abstractNum>
  <w:abstractNum w:abstractNumId="83">
    <w:nsid w:val="759F82CD"/>
    <w:multiLevelType w:val="hybridMultilevel"/>
    <w:lvl w:ilvl="0">
      <w:lvlJc w:val="left"/>
      <w:lvlText w:val="%1."/>
      <w:numFmt w:val="upperLetter"/>
      <w:start w:val="1"/>
    </w:lvl>
  </w:abstractNum>
  <w:abstractNum w:abstractNumId="84">
    <w:nsid w:val="61E74EA3"/>
    <w:multiLevelType w:val="hybridMultilevel"/>
    <w:lvl w:ilvl="0">
      <w:lvlJc w:val="left"/>
      <w:lvlText w:val="%1."/>
      <w:numFmt w:val="decimal"/>
      <w:start w:val="7"/>
    </w:lvl>
  </w:abstractNum>
  <w:abstractNum w:abstractNumId="85">
    <w:nsid w:val="597B4D84"/>
    <w:multiLevelType w:val="hybridMultilevel"/>
    <w:lvl w:ilvl="0">
      <w:lvlJc w:val="left"/>
      <w:lvlText w:val="(%1)"/>
      <w:numFmt w:val="decimal"/>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1."/>
      <w:numFmt w:val="decimal"/>
      <w:start w:val="8"/>
    </w:lvl>
  </w:abstractNum>
  <w:abstractNum w:abstractNumId="88">
    <w:nsid w:val="312167AD"/>
    <w:multiLevelType w:val="hybridMultilevel"/>
    <w:lvl w:ilvl="0">
      <w:lvlJc w:val="left"/>
      <w:lvlText w:val="%1."/>
      <w:numFmt w:val="decimal"/>
      <w:start w:val="14"/>
    </w:lvl>
  </w:abstractNum>
  <w:abstractNum w:abstractNumId="89">
    <w:nsid w:val="631B64D4"/>
    <w:multiLevelType w:val="hybridMultilevel"/>
    <w:lvl w:ilvl="0">
      <w:lvlJc w:val="left"/>
      <w:lvlText w:val="(%1)"/>
      <w:numFmt w:val="lowerRoman"/>
      <w:start w:val="1"/>
    </w:lvl>
  </w:abstractNum>
  <w:abstractNum w:abstractNumId="90">
    <w:nsid w:val="78B5E776"/>
    <w:multiLevelType w:val="hybridMultilevel"/>
    <w:lvl w:ilvl="0">
      <w:lvlJc w:val="left"/>
      <w:lvlText w:val="(%1)"/>
      <w:numFmt w:val="lowerRoman"/>
      <w:start w:val="1"/>
    </w:lvl>
  </w:abstractNum>
  <w:abstractNum w:abstractNumId="91">
    <w:nsid w:val="75486E47"/>
    <w:multiLevelType w:val="hybridMultilevel"/>
    <w:lvl w:ilvl="0">
      <w:lvlJc w:val="left"/>
      <w:lvlText w:val="(%1)"/>
      <w:numFmt w:val="lowerRoman"/>
      <w:start w:val="4"/>
    </w:lvl>
  </w:abstractNum>
  <w:abstractNum w:abstractNumId="92">
    <w:nsid w:val="6E534CDE"/>
    <w:multiLevelType w:val="hybridMultilevel"/>
    <w:lvl w:ilvl="0">
      <w:lvlJc w:val="left"/>
      <w:lvlText w:val="(%1)"/>
      <w:numFmt w:val="lowerRoman"/>
      <w:start w:val="1"/>
    </w:lvl>
  </w:abstractNum>
  <w:abstractNum w:abstractNumId="93">
    <w:nsid w:val="1A0DDE32"/>
    <w:multiLevelType w:val="hybridMultilevel"/>
    <w:lvl w:ilvl="0">
      <w:lvlJc w:val="left"/>
      <w:lvlText w:val="(%1)"/>
      <w:numFmt w:val="lowerRoman"/>
      <w:start w:val="5"/>
    </w:lvl>
  </w:abstractNum>
  <w:abstractNum w:abstractNumId="94">
    <w:nsid w:val="65968C1C"/>
    <w:multiLevelType w:val="hybridMultilevel"/>
    <w:lvl w:ilvl="0">
      <w:lvlJc w:val="left"/>
      <w:lvlText w:val="(%1)"/>
      <w:numFmt w:val="lowerRoman"/>
      <w:start w:val="1"/>
    </w:lvl>
  </w:abstractNum>
  <w:abstractNum w:abstractNumId="95">
    <w:nsid w:val="46263DEC"/>
    <w:multiLevelType w:val="hybridMultilevel"/>
    <w:lvl w:ilvl="0">
      <w:lvlJc w:val="left"/>
      <w:lvlText w:val="(%1)"/>
      <w:numFmt w:val="lowerRoman"/>
      <w:start w:val="4"/>
    </w:lvl>
  </w:abstractNum>
  <w:abstractNum w:abstractNumId="96">
    <w:nsid w:val="260D8C4A"/>
    <w:multiLevelType w:val="hybridMultilevel"/>
    <w:lvl w:ilvl="0">
      <w:lvlJc w:val="left"/>
      <w:lvlText w:val="(%1)"/>
      <w:numFmt w:val="lowerRoman"/>
      <w:start w:val="1"/>
    </w:lvl>
  </w:abstractNum>
  <w:abstractNum w:abstractNumId="97">
    <w:nsid w:val="73D4D3C4"/>
    <w:multiLevelType w:val="hybridMultilevel"/>
    <w:lvl w:ilvl="0">
      <w:lvlJc w:val="left"/>
      <w:lvlText w:val="%1."/>
      <w:numFmt w:val="decimal"/>
      <w:start w:val="1"/>
    </w:lvl>
    <w:lvl w:ilvl="1">
      <w:lvlJc w:val="left"/>
      <w:lvlText w:val="•"/>
      <w:numFmt w:val="bullet"/>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1."/>
      <w:numFmt w:val="decimal"/>
      <w:start w:val="4"/>
    </w:lvl>
    <w:lvl w:ilvl="1">
      <w:lvlJc w:val="left"/>
      <w:lvlText w:val="•"/>
      <w:numFmt w:val="bullet"/>
      <w:start w:val="1"/>
    </w:lvl>
  </w:abstractNum>
  <w:abstractNum w:abstractNumId="100">
    <w:nsid w:val="3FC32E20"/>
    <w:multiLevelType w:val="hybridMultilevel"/>
    <w:lvl w:ilvl="0">
      <w:lvlJc w:val="left"/>
      <w:lvlText w:val="%1."/>
      <w:numFmt w:val="decimal"/>
      <w:start w:val="5"/>
    </w:lvl>
  </w:abstractNum>
  <w:abstractNum w:abstractNumId="101">
    <w:nsid w:val="49C0E823"/>
    <w:multiLevelType w:val="hybridMultilevel"/>
    <w:lvl w:ilvl="0">
      <w:lvlJc w:val="left"/>
      <w:lvlText w:val="%1."/>
      <w:numFmt w:val="decimal"/>
      <w:start w:val="1"/>
    </w:lvl>
  </w:abstractNum>
  <w:abstractNum w:abstractNumId="102">
    <w:nsid w:val="14D53685"/>
    <w:multiLevelType w:val="hybridMultilevel"/>
    <w:lvl w:ilvl="0">
      <w:lvlJc w:val="left"/>
      <w:lvlText w:val="(%1)"/>
      <w:numFmt w:val="lowerRoman"/>
      <w:start w:val="1"/>
    </w:lvl>
    <w:lvl w:ilvl="1">
      <w:lvlJc w:val="left"/>
      <w:lvlText w:val="(%2)"/>
      <w:numFmt w:val="upperLetter"/>
      <w:start w:val="1"/>
    </w:lvl>
  </w:abstractNum>
  <w:abstractNum w:abstractNumId="103">
    <w:nsid w:val="230F856C"/>
    <w:multiLevelType w:val="hybridMultilevel"/>
    <w:lvl w:ilvl="0">
      <w:lvlJc w:val="left"/>
      <w:lvlText w:val="%1."/>
      <w:numFmt w:val="decimal"/>
      <w:start w:val="2"/>
    </w:lvl>
  </w:abstractNum>
  <w:abstractNum w:abstractNumId="104">
    <w:nsid w:val="6EAA85FB"/>
    <w:multiLevelType w:val="hybridMultilevel"/>
    <w:lvl w:ilvl="0">
      <w:lvlJc w:val="left"/>
      <w:lvlText w:val="(%1)"/>
      <w:numFmt w:val="lowerRoman"/>
      <w:start w:val="1"/>
    </w:lvl>
  </w:abstractNum>
  <w:abstractNum w:abstractNumId="105">
    <w:nsid w:val="3F06ECB2"/>
    <w:multiLevelType w:val="hybridMultilevel"/>
    <w:lvl w:ilvl="0">
      <w:lvlJc w:val="left"/>
      <w:lvlText w:val="%1"/>
      <w:numFmt w:val="decimal"/>
      <w:start w:val="1"/>
    </w:lvl>
    <w:lvl w:ilvl="1">
      <w:lvlJc w:val="left"/>
      <w:lvlText w:val="(%2)"/>
      <w:numFmt w:val="lowerRoman"/>
      <w:start w:val="6"/>
    </w:lvl>
  </w:abstractNum>
  <w:abstractNum w:abstractNumId="106">
    <w:nsid w:val="3B594807"/>
    <w:multiLevelType w:val="hybridMultilevel"/>
    <w:lvl w:ilvl="0">
      <w:lvlJc w:val="left"/>
      <w:lvlText w:val="%1."/>
      <w:numFmt w:val="decimal"/>
      <w:start w:val="4"/>
    </w:lvl>
    <w:lvl w:ilvl="1">
      <w:lvlJc w:val="left"/>
      <w:lvlText w:val="%2"/>
      <w:numFmt w:val="lowerRoman"/>
      <w:start w:val="1"/>
    </w:lvl>
  </w:abstractNum>
  <w:abstractNum w:abstractNumId="107">
    <w:nsid w:val="6CAA2304"/>
    <w:multiLevelType w:val="hybridMultilevel"/>
    <w:lvl w:ilvl="0">
      <w:lvlJc w:val="left"/>
      <w:lvlText w:val="%1."/>
      <w:numFmt w:val="decimal"/>
      <w:start w:val="6"/>
    </w:lvl>
  </w:abstractNum>
  <w:abstractNum w:abstractNumId="108">
    <w:nsid w:val="3F7C2FF4"/>
    <w:multiLevelType w:val="hybridMultilevel"/>
    <w:lvl w:ilvl="0">
      <w:lvlJc w:val="left"/>
      <w:lvlText w:val="%1."/>
      <w:numFmt w:val="decimal"/>
      <w:start w:val="16"/>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1"/>
    </w:lvl>
  </w:abstractNum>
  <w:abstractNum w:abstractNumId="111">
    <w:nsid w:val="579328B9"/>
    <w:multiLevelType w:val="hybridMultilevel"/>
    <w:lvl w:ilvl="0">
      <w:lvlJc w:val="left"/>
      <w:lvlText w:val="(%1)"/>
      <w:numFmt w:val="lowerLetter"/>
      <w:start w:val="3"/>
    </w:lvl>
  </w:abstractNum>
  <w:abstractNum w:abstractNumId="112">
    <w:nsid w:val="5D205E20"/>
    <w:multiLevelType w:val="hybridMultilevel"/>
    <w:lvl w:ilvl="0">
      <w:lvlJc w:val="left"/>
      <w:lvlText w:val="(%1)"/>
      <w:numFmt w:val="lowerLetter"/>
      <w:start w:val="5"/>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1"/>
    </w:lvl>
  </w:abstractNum>
  <w:abstractNum w:abstractNumId="115">
    <w:nsid w:val="3F07ACC3"/>
    <w:multiLevelType w:val="hybridMultilevel"/>
    <w:lvl w:ilvl="0">
      <w:lvlJc w:val="left"/>
      <w:lvlText w:val="%1"/>
      <w:numFmt w:val="lowerLetter"/>
      <w:start w:val="1"/>
    </w:lvl>
    <w:lvl w:ilvl="1">
      <w:lvlJc w:val="left"/>
      <w:lvlText w:val="(%2)"/>
      <w:numFmt w:val="lowerLetter"/>
      <w:start w:val="1"/>
    </w:lvl>
  </w:abstractNum>
  <w:abstractNum w:abstractNumId="116">
    <w:nsid w:val="6B47F63E"/>
    <w:multiLevelType w:val="hybridMultilevel"/>
    <w:lvl w:ilvl="0">
      <w:lvlJc w:val="left"/>
      <w:lvlText w:val="(%1)"/>
      <w:numFmt w:val="lowerLetter"/>
      <w:start w:val="35"/>
    </w:lvl>
    <w:lvl w:ilvl="1">
      <w:lvlJc w:val="left"/>
      <w:lvlText w:val="(%2)"/>
      <w:numFmt w:val="lowerLetter"/>
      <w:start w:val="2"/>
    </w:lvl>
  </w:abstractNum>
  <w:abstractNum w:abstractNumId="117">
    <w:nsid w:val="5CB44A05"/>
    <w:multiLevelType w:val="hybridMultilevel"/>
    <w:lvl w:ilvl="0">
      <w:lvlJc w:val="left"/>
      <w:lvlText w:val="(%1)"/>
      <w:numFmt w:val="lowerLetter"/>
      <w:start w:val="3"/>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Roman"/>
      <w:start w:val="1"/>
    </w:lvl>
  </w:abstractNum>
  <w:abstractNum w:abstractNumId="120">
    <w:nsid w:val="3FCFAED9"/>
    <w:multiLevelType w:val="hybridMultilevel"/>
    <w:lvl w:ilvl="0">
      <w:lvlJc w:val="left"/>
      <w:lvlText w:val="%1."/>
      <w:numFmt w:val="decimal"/>
      <w:start w:val="1"/>
    </w:lvl>
    <w:lvl w:ilvl="1">
      <w:lvlJc w:val="left"/>
      <w:lvlText w:val="(%2)"/>
      <w:numFmt w:val="lowerLetter"/>
      <w:start w:val="1"/>
    </w:lvl>
  </w:abstractNum>
  <w:abstractNum w:abstractNumId="121">
    <w:nsid w:val="F856867"/>
    <w:multiLevelType w:val="hybridMultilevel"/>
    <w:lvl w:ilvl="0">
      <w:lvlJc w:val="left"/>
      <w:lvlText w:val="%1"/>
      <w:numFmt w:val="decimal"/>
      <w:start w:val="1"/>
    </w:lvl>
    <w:lvl w:ilvl="1">
      <w:lvlJc w:val="left"/>
      <w:lvlText w:val="(%2)"/>
      <w:numFmt w:val="lowerLetter"/>
      <w:start w:val="2"/>
    </w:lvl>
  </w:abstractNum>
  <w:abstractNum w:abstractNumId="122">
    <w:nsid w:val="11B1CC33"/>
    <w:multiLevelType w:val="hybridMultilevel"/>
    <w:lvl w:ilvl="0">
      <w:lvlJc w:val="left"/>
      <w:lvlText w:val="%1."/>
      <w:numFmt w:val="decimal"/>
      <w:start w:val="2"/>
    </w:lvl>
    <w:lvl w:ilvl="1">
      <w:lvlJc w:val="left"/>
      <w:lvlText w:val="(%2)"/>
      <w:numFmt w:val="lowerLetter"/>
      <w:start w:val="1"/>
    </w:lvl>
  </w:abstractNum>
  <w:abstractNum w:abstractNumId="123">
    <w:nsid w:val="2E22FBB7"/>
    <w:multiLevelType w:val="hybridMultilevel"/>
    <w:lvl w:ilvl="0">
      <w:lvlJc w:val="left"/>
      <w:lvlText w:val="(%1)"/>
      <w:numFmt w:val="lowerRoman"/>
      <w:start w:val="1"/>
    </w:lvl>
  </w:abstractNum>
  <w:abstractNum w:abstractNumId="124">
    <w:nsid w:val="29934699"/>
    <w:multiLevelType w:val="hybridMultilevel"/>
    <w:lvl w:ilvl="0">
      <w:lvlJc w:val="left"/>
      <w:lvlText w:val="(%1)"/>
      <w:numFmt w:val="lowerRoman"/>
      <w:start w:val="3"/>
    </w:lvl>
  </w:abstractNum>
  <w:abstractNum w:abstractNumId="125">
    <w:nsid w:val="77485850"/>
    <w:multiLevelType w:val="hybridMultilevel"/>
    <w:lvl w:ilvl="0">
      <w:lvlJc w:val="left"/>
      <w:lvlText w:val="(%1)"/>
      <w:numFmt w:val="lowerLetter"/>
      <w:start w:val="4"/>
    </w:lvl>
  </w:abstractNum>
  <w:abstractNum w:abstractNumId="126">
    <w:nsid w:val="744939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27">
    <w:nsid w:val="4FA0D2E3"/>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6"/>
    </w:lvl>
  </w:abstractNum>
  <w:abstractNum w:abstractNumId="128">
    <w:nsid w:val="6B1D2C14"/>
    <w:multiLevelType w:val="hybridMultilevel"/>
    <w:lvl w:ilvl="0">
      <w:lvlJc w:val="left"/>
      <w:lvlText w:val="%1."/>
      <w:numFmt w:val="decimal"/>
      <w:start w:val="5"/>
    </w:lvl>
  </w:abstractNum>
  <w:abstractNum w:abstractNumId="129">
    <w:nsid w:val="68B867D3"/>
    <w:multiLevelType w:val="hybridMultilevel"/>
    <w:lvl w:ilvl="0">
      <w:lvlJc w:val="left"/>
      <w:lvlText w:val="%1."/>
      <w:numFmt w:val="decimal"/>
      <w:start w:val="12"/>
    </w:lvl>
  </w:abstractNum>
  <w:abstractNum w:abstractNumId="130">
    <w:nsid w:val="3F7F5DD9"/>
    <w:multiLevelType w:val="hybridMultilevel"/>
    <w:lvl w:ilvl="0">
      <w:lvlJc w:val="left"/>
      <w:lvlText w:val="%1."/>
      <w:numFmt w:val="upperLetter"/>
      <w:start w:val="1"/>
    </w:lvl>
  </w:abstractNum>
  <w:abstractNum w:abstractNumId="131">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2">
    <w:nsid w:val="32794FF7"/>
    <w:multiLevelType w:val="hybridMultilevel"/>
    <w:lvl w:ilvl="0">
      <w:lvlJc w:val="left"/>
      <w:lvlText w:val="%1"/>
      <w:numFmt w:val="lowerLetter"/>
      <w:start w:val="1"/>
    </w:lvl>
    <w:lvl w:ilvl="1">
      <w:lvlJc w:val="left"/>
      <w:lvlText w:val="(%2)"/>
      <w:numFmt w:val="lowerRoman"/>
      <w:start w:val="3"/>
    </w:lvl>
  </w:abstractNum>
  <w:abstractNum w:abstractNumId="133">
    <w:nsid w:val="5454945E"/>
    <w:multiLevelType w:val="hybridMultilevel"/>
    <w:lvl w:ilvl="0">
      <w:lvlJc w:val="left"/>
      <w:lvlText w:val="(%1)"/>
      <w:numFmt w:val="lowerLetter"/>
      <w:start w:val="2"/>
    </w:lvl>
    <w:lvl w:ilvl="1">
      <w:lvlJc w:val="left"/>
      <w:lvlText w:val="%2"/>
      <w:numFmt w:val="lowerRoman"/>
      <w:start w:val="1"/>
    </w:lvl>
  </w:abstractNum>
  <w:abstractNum w:abstractNumId="134">
    <w:nsid w:val="4DEFDFA0"/>
    <w:multiLevelType w:val="hybridMultilevel"/>
    <w:lvl w:ilvl="0">
      <w:lvlJc w:val="left"/>
      <w:lvlText w:val="(%1)"/>
      <w:numFmt w:val="lowerLetter"/>
      <w:start w:val="3"/>
    </w:lvl>
    <w:lvl w:ilvl="1">
      <w:lvlJc w:val="left"/>
      <w:lvlText w:val="(%2)"/>
      <w:numFmt w:val="lowerRoman"/>
      <w:start w:val="1"/>
    </w:lvl>
  </w:abstractNum>
  <w:abstractNum w:abstractNumId="135">
    <w:nsid w:val="2123D5F2"/>
    <w:multiLevelType w:val="hybridMultilevel"/>
    <w:lvl w:ilvl="0">
      <w:lvlJc w:val="left"/>
      <w:lvlText w:val="(%1)"/>
      <w:numFmt w:val="lowerLetter"/>
      <w:start w:val="7"/>
    </w:lvl>
  </w:abstractNum>
  <w:abstractNum w:abstractNumId="136">
    <w:nsid w:val="135B8110"/>
    <w:multiLevelType w:val="hybridMultilevel"/>
    <w:lvl w:ilvl="0">
      <w:lvlJc w:val="left"/>
      <w:lvlText w:val="%1."/>
      <w:numFmt w:val="decimal"/>
      <w:start w:val="2"/>
    </w:lvl>
  </w:abstractNum>
  <w:abstractNum w:abstractNumId="137">
    <w:nsid w:val="94927A8"/>
    <w:multiLevelType w:val="hybridMultilevel"/>
    <w:lvl w:ilvl="0">
      <w:lvlJc w:val="left"/>
      <w:lvlText w:val="%1."/>
      <w:numFmt w:val="decimal"/>
      <w:start w:val="5"/>
    </w:lvl>
    <w:lvl w:ilvl="1">
      <w:lvlJc w:val="left"/>
      <w:lvlText w:val="(%2)"/>
      <w:numFmt w:val="lowerLetter"/>
      <w:start w:val="1"/>
    </w:lvl>
  </w:abstractNum>
  <w:abstractNum w:abstractNumId="138">
    <w:nsid w:val="DCDF8F6"/>
    <w:multiLevelType w:val="hybridMultilevel"/>
    <w:lvl w:ilvl="0">
      <w:lvlJc w:val="left"/>
      <w:lvlText w:val="(%1)"/>
      <w:numFmt w:val="lowerRoman"/>
      <w:start w:val="1"/>
    </w:lvl>
  </w:abstractNum>
  <w:abstractNum w:abstractNumId="139">
    <w:nsid w:val="52D7B105"/>
    <w:multiLevelType w:val="hybridMultilevel"/>
    <w:lvl w:ilvl="0">
      <w:lvlJc w:val="left"/>
      <w:lvlText w:val="%1"/>
      <w:numFmt w:val="lowerRoman"/>
      <w:start w:val="1"/>
    </w:lvl>
    <w:lvl w:ilvl="1">
      <w:lvlJc w:val="left"/>
      <w:lvlText w:val="(%2)"/>
      <w:numFmt w:val="upperLetter"/>
      <w:start w:val="1"/>
    </w:lvl>
  </w:abstractNum>
  <w:abstractNum w:abstractNumId="140">
    <w:nsid w:val="2E8A6394"/>
    <w:multiLevelType w:val="hybridMultilevel"/>
    <w:lvl w:ilvl="0">
      <w:lvlJc w:val="left"/>
      <w:lvlText w:val="(%1)"/>
      <w:numFmt w:val="lowerRoman"/>
      <w:start w:val="2"/>
    </w:lvl>
    <w:lvl w:ilvl="1">
      <w:lvlJc w:val="left"/>
      <w:lvlText w:val="%2"/>
      <w:numFmt w:val="upperLetter"/>
      <w:start w:val="1"/>
    </w:lvl>
  </w:abstractNum>
  <w:abstractNum w:abstractNumId="141">
    <w:nsid w:val="24E60401"/>
    <w:multiLevelType w:val="hybridMultilevel"/>
    <w:lvl w:ilvl="0">
      <w:lvlJc w:val="left"/>
      <w:lvlText w:val="(%1)"/>
      <w:numFmt w:val="lowerLetter"/>
      <w:start w:val="3"/>
    </w:lvl>
    <w:lvl w:ilvl="1">
      <w:lvlJc w:val="left"/>
      <w:lvlText w:val="(%2)"/>
      <w:numFmt w:val="upperLetter"/>
      <w:start w:val="2"/>
    </w:lvl>
  </w:abstractNum>
  <w:abstractNum w:abstractNumId="142">
    <w:nsid w:val="2A6AD9BE"/>
    <w:multiLevelType w:val="hybridMultilevel"/>
    <w:lvl w:ilvl="0">
      <w:lvlJc w:val="left"/>
      <w:lvlText w:val="(%1)"/>
      <w:numFmt w:val="lowerLetter"/>
      <w:start w:val="5"/>
    </w:lvl>
  </w:abstractNum>
  <w:abstractNum w:abstractNumId="143">
    <w:nsid w:val="BAAC1B4"/>
    <w:multiLevelType w:val="hybridMultilevel"/>
    <w:lvl w:ilvl="0">
      <w:lvlJc w:val="left"/>
      <w:lvlText w:val="%1."/>
      <w:numFmt w:val="decimal"/>
      <w:start w:val="8"/>
    </w:lvl>
  </w:abstractNum>
  <w:abstractNum w:abstractNumId="144">
    <w:nsid w:val="36B2ACBC"/>
    <w:multiLevelType w:val="hybridMultilevel"/>
    <w:lvl w:ilvl="0">
      <w:lvlJc w:val="left"/>
      <w:lvlText w:val="%1."/>
      <w:numFmt w:val="decimal"/>
      <w:start w:val="12"/>
    </w:lvl>
  </w:abstractNum>
  <w:abstractNum w:abstractNumId="145">
    <w:nsid w:val="779D8544"/>
    <w:multiLevelType w:val="hybridMultilevel"/>
    <w:lvl w:ilvl="0">
      <w:lvlJc w:val="left"/>
      <w:lvlText w:val="%1."/>
      <w:numFmt w:val="decimal"/>
      <w:start w:val="15"/>
    </w:lvl>
    <w:lvl w:ilvl="1">
      <w:lvlJc w:val="left"/>
      <w:lvlText w:val="(%2)"/>
      <w:numFmt w:val="lowerLetter"/>
      <w:start w:val="1"/>
    </w:lvl>
  </w:abstractNum>
  <w:abstractNum w:abstractNumId="146">
    <w:nsid w:val="4AB26E78"/>
    <w:multiLevelType w:val="hybridMultilevel"/>
    <w:lvl w:ilvl="0">
      <w:lvlJc w:val="left"/>
      <w:lvlText w:val="%1."/>
      <w:numFmt w:val="decimal"/>
      <w:start w:val="16"/>
    </w:lvl>
  </w:abstractNum>
  <w:abstractNum w:abstractNumId="147">
    <w:nsid w:val="21FAA2FA"/>
    <w:multiLevelType w:val="hybridMultilevel"/>
    <w:lvl w:ilvl="0">
      <w:lvlJc w:val="left"/>
      <w:lvlText w:val="%1."/>
      <w:numFmt w:val="decimal"/>
      <w:start w:val="21"/>
    </w:lvl>
    <w:lvl w:ilvl="1">
      <w:lvlJc w:val="left"/>
      <w:lvlText w:val="(%2)"/>
      <w:numFmt w:val="lowerLetter"/>
      <w:start w:val="1"/>
    </w:lvl>
  </w:abstractNum>
  <w:abstractNum w:abstractNumId="148">
    <w:nsid w:val="5451CF49"/>
    <w:multiLevelType w:val="hybridMultilevel"/>
    <w:lvl w:ilvl="0">
      <w:lvlJc w:val="left"/>
      <w:lvlText w:val="%1."/>
      <w:numFmt w:val="decimal"/>
      <w:start w:val="23"/>
    </w:lvl>
  </w:abstractNum>
  <w:abstractNum w:abstractNumId="149">
    <w:nsid w:val="6181EF6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0">
    <w:nsid w:val="3E6400E6"/>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3"/>
    </w:lvl>
  </w:abstractNum>
  <w:abstractNum w:abstractNumId="151">
    <w:nsid w:val="14217E2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2">
    <w:nsid w:val="710757D0"/>
    <w:multiLevelType w:val="hybridMultilevel"/>
    <w:lvl w:ilvl="0">
      <w:lvlJc w:val="left"/>
      <w:lvlText w:val="%1"/>
      <w:numFmt w:val="lowerLetter"/>
      <w:start w:val="1"/>
    </w:lvl>
    <w:lvl w:ilvl="1">
      <w:lvlJc w:val="left"/>
      <w:lvlText w:val="(%2)"/>
      <w:numFmt w:val="decimal"/>
      <w:start w:val="2"/>
    </w:lvl>
  </w:abstractNum>
  <w:abstractNum w:abstractNumId="153">
    <w:nsid w:val="5015CD1A"/>
    <w:multiLevelType w:val="hybridMultilevel"/>
    <w:lvl w:ilvl="0">
      <w:lvlJc w:val="left"/>
      <w:lvlText w:val="(%1)"/>
      <w:numFmt w:val="lowerLetter"/>
      <w:start w:val="3"/>
    </w:lvl>
    <w:lvl w:ilvl="1">
      <w:lvlJc w:val="left"/>
      <w:lvlText w:val="%2"/>
      <w:numFmt w:val="decimal"/>
      <w:start w:val="1"/>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lowerLetter"/>
      <w:start w:val="1"/>
    </w:lvl>
    <w:lvl w:ilvl="1">
      <w:lvlJc w:val="left"/>
      <w:lvlText w:val="(%2)"/>
      <w:numFmt w:val="lowerLetter"/>
      <w:start w:val="2"/>
    </w:lvl>
  </w:abstractNum>
  <w:abstractNum w:abstractNumId="156">
    <w:nsid w:val="475E256A"/>
    <w:multiLevelType w:val="hybridMultilevel"/>
    <w:lvl w:ilvl="0">
      <w:lvlJc w:val="left"/>
      <w:lvlText w:val="(%1)"/>
      <w:numFmt w:val="lowerLetter"/>
      <w:start w:val="5"/>
    </w:lvl>
    <w:lvl w:ilvl="1">
      <w:lvlJc w:val="left"/>
      <w:lvlText w:val="(%2)"/>
      <w:numFmt w:val="lowerLetter"/>
      <w:start w:val="3"/>
    </w:lvl>
  </w:abstractNum>
  <w:abstractNum w:abstractNumId="157">
    <w:nsid w:val="368DB37E"/>
    <w:multiLevelType w:val="hybridMultilevel"/>
    <w:lvl w:ilvl="0">
      <w:lvlJc w:val="left"/>
      <w:lvlText w:val="(%1)"/>
      <w:numFmt w:val="lowerLetter"/>
      <w:start w:val="1"/>
    </w:lvl>
    <w:lvl w:ilvl="1">
      <w:lvlJc w:val="left"/>
      <w:lvlText w:val="(%2)"/>
      <w:numFmt w:val="decimal"/>
      <w:start w:val="1"/>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2"/>
    </w:lvl>
    <w:lvl w:ilvl="1">
      <w:lvlJc w:val="left"/>
      <w:lvlText w:val="(%2)"/>
      <w:numFmt w:val="decimal"/>
      <w:start w:val="1"/>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lowerLetter"/>
      <w:start w:val="3"/>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lowerLetter"/>
      <w:start w:val="2"/>
    </w:lvl>
  </w:abstractNum>
  <w:abstractNum w:abstractNumId="164">
    <w:nsid w:val="7E0F6384"/>
    <w:multiLevelType w:val="hybridMultilevel"/>
    <w:lvl w:ilvl="0">
      <w:lvlJc w:val="left"/>
      <w:lvlText w:val="(%1)"/>
      <w:numFmt w:val="lowerLetter"/>
      <w:start w:val="1"/>
    </w:lvl>
  </w:abstractNum>
  <w:abstractNum w:abstractNumId="165">
    <w:nsid w:val="2B4B8B53"/>
    <w:multiLevelType w:val="hybridMultilevel"/>
    <w:lvl w:ilvl="0">
      <w:lvlJc w:val="left"/>
      <w:lvlText w:val="(%1)"/>
      <w:numFmt w:val="lowerLetter"/>
      <w:start w:val="2"/>
    </w:lvl>
  </w:abstractNum>
  <w:abstractNum w:abstractNumId="166">
    <w:nsid w:val="72E3413A"/>
    <w:multiLevelType w:val="hybridMultilevel"/>
    <w:lvl w:ilvl="0">
      <w:lvlJc w:val="left"/>
      <w:lvlText w:val="(%1)"/>
      <w:numFmt w:val="lowerLetter"/>
      <w:start w:val="1"/>
    </w:lvl>
  </w:abstractNum>
  <w:abstractNum w:abstractNumId="167">
    <w:nsid w:val="116AE494"/>
    <w:multiLevelType w:val="hybridMultilevel"/>
    <w:lvl w:ilvl="0">
      <w:lvlJc w:val="left"/>
      <w:lvlText w:val="(%1)"/>
      <w:numFmt w:val="lowerLetter"/>
      <w:start w:val="1"/>
    </w:lvl>
  </w:abstractNum>
  <w:abstractNum w:abstractNumId="168">
    <w:nsid w:val="3494B2FB"/>
    <w:multiLevelType w:val="hybridMultilevel"/>
    <w:lvl w:ilvl="0">
      <w:lvlJc w:val="left"/>
      <w:lvlText w:val="(%1)"/>
      <w:numFmt w:val="lowerLetter"/>
      <w:start w:val="1"/>
    </w:lvl>
  </w:abstractNum>
  <w:abstractNum w:abstractNumId="169">
    <w:nsid w:val="B13A31"/>
    <w:multiLevelType w:val="hybridMultilevel"/>
    <w:lvl w:ilvl="0">
      <w:lvlJc w:val="left"/>
      <w:lvlText w:val="(%1)"/>
      <w:numFmt w:val="lowerLetter"/>
      <w:start w:val="1"/>
    </w:lvl>
  </w:abstractNum>
  <w:abstractNum w:abstractNumId="170">
    <w:nsid w:val="64429599"/>
    <w:multiLevelType w:val="hybridMultilevel"/>
    <w:lvl w:ilvl="0">
      <w:lvlJc w:val="left"/>
      <w:lvlText w:val="(%1)"/>
      <w:numFmt w:val="lowerLetter"/>
      <w:start w:val="2"/>
    </w:lvl>
  </w:abstractNum>
  <w:abstractNum w:abstractNumId="171">
    <w:nsid w:val="631F1690"/>
    <w:multiLevelType w:val="hybridMultilevel"/>
    <w:lvl w:ilvl="0">
      <w:lvlJc w:val="left"/>
      <w:lvlText w:val="(%1)"/>
      <w:numFmt w:val="lowerLetter"/>
      <w:start w:val="4"/>
    </w:lvl>
  </w:abstractNum>
  <w:abstractNum w:abstractNumId="172">
    <w:nsid w:val="25973E32"/>
    <w:multiLevelType w:val="hybridMultilevel"/>
    <w:lvl w:ilvl="0">
      <w:lvlJc w:val="left"/>
      <w:lvlText w:val="(%1)"/>
      <w:numFmt w:val="lowerLetter"/>
      <w:start w:val="5"/>
    </w:lvl>
  </w:abstractNum>
  <w:abstractNum w:abstractNumId="173">
    <w:nsid w:val="EAD6F57"/>
    <w:multiLevelType w:val="hybridMultilevel"/>
    <w:lvl w:ilvl="0">
      <w:lvlJc w:val="left"/>
      <w:lvlText w:val="(%1)"/>
      <w:numFmt w:val="lowerLetter"/>
      <w:start w:val="1"/>
    </w:lvl>
  </w:abstractNum>
  <w:abstractNum w:abstractNumId="174">
    <w:nsid w:val="6EC9D844"/>
    <w:multiLevelType w:val="hybridMultilevel"/>
    <w:lvl w:ilvl="0">
      <w:lvlJc w:val="left"/>
      <w:lvlText w:val="(%1)"/>
      <w:numFmt w:val="lowerLetter"/>
      <w:start w:val="2"/>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1)"/>
      <w:numFmt w:val="lowerLetter"/>
      <w:start w:val="4"/>
    </w:lvl>
  </w:abstractNum>
  <w:abstractNum w:abstractNumId="177">
    <w:nsid w:val="397C46BC"/>
    <w:multiLevelType w:val="hybridMultilevel"/>
    <w:lvl w:ilvl="0">
      <w:lvlJc w:val="left"/>
      <w:lvlText w:val="(%1)"/>
      <w:numFmt w:val="lowerLetter"/>
      <w:start w:val="1"/>
    </w:lvl>
  </w:abstractNum>
  <w:abstractNum w:abstractNumId="178">
    <w:nsid w:val="7E448DE9"/>
    <w:multiLevelType w:val="hybridMultilevel"/>
    <w:lvl w:ilvl="0">
      <w:lvlJc w:val="left"/>
      <w:lvlText w:val="(%1)"/>
      <w:numFmt w:val="lowerLetter"/>
      <w:start w:val="1"/>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Letter"/>
      <w:start w:val="3"/>
    </w:lvl>
  </w:abstractNum>
  <w:abstractNum w:abstractNumId="181">
    <w:nsid w:val="3CA88ECF"/>
    <w:multiLevelType w:val="hybridMultilevel"/>
    <w:lvl w:ilvl="0">
      <w:lvlJc w:val="left"/>
      <w:lvlText w:val="(%1)"/>
      <w:numFmt w:val="lowerLetter"/>
      <w:start w:val="2"/>
    </w:lvl>
  </w:abstractNum>
  <w:abstractNum w:abstractNumId="182">
    <w:nsid w:val="6EBE4208"/>
    <w:multiLevelType w:val="hybridMultilevel"/>
    <w:lvl w:ilvl="0">
      <w:lvlJc w:val="left"/>
      <w:lvlText w:val="(%1)"/>
      <w:numFmt w:val="lowerLetter"/>
      <w:start w:val="3"/>
    </w:lvl>
  </w:abstractNum>
  <w:abstractNum w:abstractNumId="183">
    <w:nsid w:val="C058DF5"/>
    <w:multiLevelType w:val="hybridMultilevel"/>
    <w:lvl w:ilvl="0">
      <w:lvlJc w:val="left"/>
      <w:lvlText w:val="(%1)"/>
      <w:numFmt w:val="decimal"/>
      <w:start w:val="1"/>
    </w:lvl>
  </w:abstractNum>
  <w:abstractNum w:abstractNumId="184">
    <w:nsid w:val="CBE5BE9"/>
    <w:multiLevelType w:val="hybridMultilevel"/>
    <w:lvl w:ilvl="0">
      <w:lvlJc w:val="left"/>
      <w:lvlText w:val="%1."/>
      <w:numFmt w:val="decimal"/>
      <w:start w:val="1"/>
    </w:lvl>
    <w:lvl w:ilvl="1">
      <w:lvlJc w:val="left"/>
      <w:lvlText w:val="(%2)"/>
      <w:numFmt w:val="lowerLetter"/>
      <w:start w:val="1"/>
    </w:lvl>
  </w:abstractNum>
  <w:abstractNum w:abstractNumId="185">
    <w:nsid w:val="3102BBE2"/>
    <w:multiLevelType w:val="hybridMultilevel"/>
    <w:lvl w:ilvl="0">
      <w:lvlJc w:val="left"/>
      <w:lvlText w:val="%1."/>
      <w:numFmt w:val="decimal"/>
      <w:start w:val="1"/>
    </w:lvl>
    <w:lvl w:ilvl="1">
      <w:lvlJc w:val="left"/>
      <w:lvlText w:val="(%2)"/>
      <w:numFmt w:val="lowerLetter"/>
      <w:start w:val="1"/>
    </w:lvl>
  </w:abstractNum>
  <w:abstractNum w:abstractNumId="186">
    <w:nsid w:val="26A02C5E"/>
    <w:multiLevelType w:val="hybridMultilevel"/>
    <w:lvl w:ilvl="0">
      <w:lvlJc w:val="left"/>
      <w:lvlText w:val="(%1)"/>
      <w:numFmt w:val="lowerLetter"/>
      <w:start w:val="1"/>
    </w:lvl>
  </w:abstractNum>
  <w:abstractNum w:abstractNumId="187">
    <w:nsid w:val="541C8153"/>
    <w:multiLevelType w:val="hybridMultilevel"/>
    <w:lvl w:ilvl="0">
      <w:lvlJc w:val="left"/>
      <w:lvlText w:val="(%1)"/>
      <w:numFmt w:val="decimal"/>
      <w:start w:val="1"/>
    </w:lvl>
  </w:abstractNum>
  <w:abstractNum w:abstractNumId="188">
    <w:nsid w:val="67906F60"/>
    <w:multiLevelType w:val="hybridMultilevel"/>
    <w:lvl w:ilvl="0">
      <w:lvlJc w:val="left"/>
      <w:lvlText w:val="%1."/>
      <w:numFmt w:val="decimal"/>
      <w:start w:val="1"/>
    </w:lvl>
  </w:abstractNum>
  <w:abstractNum w:abstractNumId="189">
    <w:nsid w:val="10DB9DAA"/>
    <w:multiLevelType w:val="hybridMultilevel"/>
    <w:lvl w:ilvl="0">
      <w:lvlJc w:val="left"/>
      <w:lvlText w:val="%1."/>
      <w:numFmt w:val="decimal"/>
      <w:start w:val="2"/>
    </w:lvl>
  </w:abstractNum>
  <w:abstractNum w:abstractNumId="190">
    <w:nsid w:val="697D2D2"/>
    <w:multiLevelType w:val="hybridMultilevel"/>
    <w:lvl w:ilvl="0">
      <w:lvlJc w:val="left"/>
      <w:lvlText w:val="%1."/>
      <w:numFmt w:val="decimal"/>
      <w:start w:val="3"/>
    </w:lvl>
    <w:lvl w:ilvl="1">
      <w:lvlJc w:val="left"/>
      <w:lvlText w:val="(%2)"/>
      <w:numFmt w:val="lowerLetter"/>
    </w:lvl>
    <w:lvl w:ilvl="2">
      <w:lvlJc w:val="left"/>
      <w:lvlText w:val="(%3)"/>
      <w:numFmt w:val="lowerLetter"/>
      <w:start w:val="9"/>
    </w:lvl>
  </w:abstractNum>
  <w:abstractNum w:abstractNumId="191">
    <w:nsid w:val="6D68A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2">
    <w:nsid w:val="3A966CD0"/>
    <w:multiLevelType w:val="hybridMultilevel"/>
    <w:lvl w:ilvl="0">
      <w:lvlJc w:val="left"/>
      <w:lvlText w:val="(%1)"/>
      <w:numFmt w:val="lowerLetter"/>
      <w:start w:val="1"/>
    </w:lvl>
    <w:lvl w:ilvl="1">
      <w:lvlJc w:val="left"/>
      <w:lvlText w:val="(%2)"/>
      <w:numFmt w:val="lowerLetter"/>
      <w:start w:val="61"/>
    </w:lvl>
  </w:abstractNum>
  <w:abstractNum w:abstractNumId="193">
    <w:nsid w:val="63F37E85"/>
    <w:multiLevelType w:val="hybridMultilevel"/>
    <w:lvl w:ilvl="0">
      <w:lvlJc w:val="left"/>
      <w:lvlText w:val="(%1)"/>
      <w:numFmt w:val="lowerLetter"/>
      <w:start w:val="1"/>
    </w:lvl>
  </w:abstractNum>
  <w:abstractNum w:abstractNumId="194">
    <w:nsid w:val="5895F5FA"/>
    <w:multiLevelType w:val="hybridMultilevel"/>
    <w:lvl w:ilvl="0">
      <w:lvlJc w:val="left"/>
      <w:lvlText w:val="%1."/>
      <w:numFmt w:val="decimal"/>
      <w:start w:val="4"/>
    </w:lvl>
  </w:abstractNum>
  <w:abstractNum w:abstractNumId="195">
    <w:nsid w:val="38A5D054"/>
    <w:multiLevelType w:val="hybridMultilevel"/>
    <w:lvl w:ilvl="0">
      <w:lvlJc w:val="left"/>
      <w:lvlText w:val="%1"/>
      <w:numFmt w:val="lowerLetter"/>
      <w:start w:val="1"/>
    </w:lvl>
    <w:lvl w:ilvl="1">
      <w:lvlJc w:val="left"/>
      <w:lvlText w:val="(%2)"/>
      <w:numFmt w:val="lowerRoman"/>
      <w:start w:val="1"/>
    </w:lvl>
  </w:abstractNum>
  <w:abstractNum w:abstractNumId="196">
    <w:nsid w:val="F3F09D8"/>
    <w:multiLevelType w:val="hybridMultilevel"/>
    <w:lvl w:ilvl="0">
      <w:lvlJc w:val="left"/>
      <w:lvlText w:val="(%1)"/>
      <w:numFmt w:val="lowerLetter"/>
      <w:start w:val="1"/>
    </w:lvl>
    <w:lvl w:ilvl="1">
      <w:lvlJc w:val="left"/>
      <w:lvlText w:val="%2"/>
      <w:numFmt w:val="lowerRoman"/>
      <w:start w:val="1"/>
    </w:lvl>
  </w:abstractNum>
  <w:abstractNum w:abstractNumId="197">
    <w:nsid w:val="4B793735"/>
    <w:multiLevelType w:val="hybridMultilevel"/>
    <w:lvl w:ilvl="0">
      <w:lvlJc w:val="left"/>
      <w:lvlText w:val="%1"/>
      <w:numFmt w:val="lowerLetter"/>
      <w:start w:val="1"/>
    </w:lvl>
    <w:lvl w:ilvl="1">
      <w:lvlJc w:val="left"/>
      <w:lvlText w:val="(%2)"/>
      <w:numFmt w:val="lowerLetter"/>
      <w:start w:val="61"/>
    </w:lvl>
  </w:abstractNum>
  <w:abstractNum w:abstractNumId="198">
    <w:nsid w:val="4A10B4E8"/>
    <w:multiLevelType w:val="hybridMultilevel"/>
    <w:lvl w:ilvl="0">
      <w:lvlJc w:val="left"/>
      <w:lvlText w:val="(%1)"/>
      <w:numFmt w:val="lowerLetter"/>
      <w:start w:val="1"/>
    </w:lvl>
    <w:lvl w:ilvl="1">
      <w:lvlJc w:val="left"/>
      <w:lvlText w:val="%2"/>
      <w:numFmt w:val="lowerLetter"/>
      <w:start w:val="1"/>
    </w:lvl>
  </w:abstractNum>
  <w:abstractNum w:abstractNumId="199">
    <w:nsid w:val="43D3BCD4"/>
    <w:multiLevelType w:val="hybridMultilevel"/>
    <w:lvl w:ilvl="0">
      <w:lvlJc w:val="left"/>
      <w:lvlText w:val="(%1)"/>
      <w:numFmt w:val="lowerLetter"/>
      <w:start w:val="3"/>
    </w:lvl>
  </w:abstractNum>
  <w:abstractNum w:abstractNumId="200">
    <w:nsid w:val="4C2A7166"/>
    <w:multiLevelType w:val="hybridMultilevel"/>
    <w:lvl w:ilvl="0">
      <w:lvlJc w:val="left"/>
      <w:lvlText w:val="%1"/>
      <w:numFmt w:val="decimal"/>
      <w:start w:val="1"/>
    </w:lvl>
    <w:lvl w:ilvl="1">
      <w:lvlJc w:val="left"/>
      <w:lvlText w:val="(%2)"/>
      <w:numFmt w:val="lowerRoman"/>
      <w:start w:val="4"/>
    </w:lvl>
  </w:abstractNum>
  <w:abstractNum w:abstractNumId="201">
    <w:nsid w:val="2E534A82"/>
    <w:multiLevelType w:val="hybridMultilevel"/>
    <w:lvl w:ilvl="0">
      <w:lvlJc w:val="left"/>
      <w:lvlText w:val="%1."/>
      <w:numFmt w:val="decimal"/>
      <w:start w:val="5"/>
    </w:lvl>
    <w:lvl w:ilvl="1">
      <w:lvlJc w:val="left"/>
      <w:lvlText w:val="%2"/>
      <w:numFmt w:val="lowerRoman"/>
      <w:start w:val="1"/>
    </w:lvl>
  </w:abstractNum>
  <w:abstractNum w:abstractNumId="202">
    <w:nsid w:val="26F2D364"/>
    <w:multiLevelType w:val="hybridMultilevel"/>
    <w:lvl w:ilvl="0">
      <w:lvlJc w:val="left"/>
      <w:lvlText w:val="%1."/>
      <w:numFmt w:val="decimal"/>
      <w:start w:val="6"/>
    </w:lvl>
    <w:lvl w:ilvl="1">
      <w:lvlJc w:val="left"/>
      <w:lvlText w:val="(%2)"/>
      <w:numFmt w:val="lowerRoman"/>
      <w:start w:val="1"/>
    </w:lvl>
  </w:abstractNum>
  <w:abstractNum w:abstractNumId="203">
    <w:nsid w:val="71C1AF9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2019-12-29T08:16:47Z</dcterms:created>
  <dcterms:modified xsi:type="dcterms:W3CDTF">2019-12-29T08:16:47Z</dcterms:modified>
</cp:coreProperties>
</file>