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Technology Investors IV, L.P.</w:t>
              </w:r>
            </w:hyperlink>
          </w:p>
        </w:tc>
        <w:tc>
          <w:tcPr>
            <w:tcW w:w="80" w:type="dxa"/>
            <w:vAlign w:val="bottom"/>
          </w:tcPr>
          <w:p>
            <w:pPr>
              <w:spacing w:after="0"/>
              <w:rPr>
                <w:sz w:val="9"/>
                <w:szCs w:val="9"/>
                <w:color w:val="auto"/>
              </w:rPr>
            </w:pPr>
          </w:p>
        </w:tc>
        <w:tc>
          <w:tcPr>
            <w:tcW w:w="27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7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840" w:type="dxa"/>
            <w:vAlign w:val="bottom"/>
            <w:gridSpan w:val="3"/>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16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06/09/2026</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5"/>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70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84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4060" w:type="dxa"/>
            <w:vAlign w:val="bottom"/>
            <w:tcBorders>
              <w:bottom w:val="single" w:sz="8" w:color="2C2C2C"/>
            </w:tcBorders>
            <w:gridSpan w:val="6"/>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jc w:val="center"/>
              <w:ind w:right="1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78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vMerge w:val="restart"/>
          </w:tcPr>
          <w:p>
            <w:pPr>
              <w:jc w:val="center"/>
              <w:ind w:left="864"/>
              <w:spacing w:after="0"/>
              <w:rPr>
                <w:sz w:val="20"/>
                <w:szCs w:val="20"/>
                <w:color w:val="auto"/>
              </w:rPr>
            </w:pPr>
            <w:r>
              <w:rPr>
                <w:rFonts w:ascii="Times New Roman" w:cs="Times New Roman" w:eastAsia="Times New Roman" w:hAnsi="Times New Roman"/>
                <w:sz w:val="17"/>
                <w:szCs w:val="17"/>
                <w:color w:val="0000FF"/>
              </w:rPr>
              <w:t>06/09/2026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28</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403.51</w:t>
            </w:r>
            <w:r>
              <w:rPr>
                <w:rFonts w:ascii="Times New Roman" w:cs="Times New Roman" w:eastAsia="Times New Roman" w:hAnsi="Times New Roman"/>
                <w:sz w:val="22"/>
                <w:szCs w:val="22"/>
                <w:color w:val="008000"/>
                <w:w w:val="91"/>
                <w:vertAlign w:val="superscript"/>
              </w:rPr>
              <w:t>(10)</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vMerge w:val="restart"/>
          </w:tcPr>
          <w:p>
            <w:pPr>
              <w:jc w:val="center"/>
              <w:ind w:left="864"/>
              <w:spacing w:after="0"/>
              <w:rPr>
                <w:sz w:val="20"/>
                <w:szCs w:val="20"/>
                <w:color w:val="auto"/>
              </w:rPr>
            </w:pPr>
            <w:r>
              <w:rPr>
                <w:rFonts w:ascii="Times New Roman" w:cs="Times New Roman" w:eastAsia="Times New Roman" w:hAnsi="Times New Roman"/>
                <w:sz w:val="17"/>
                <w:szCs w:val="17"/>
                <w:color w:val="0000FF"/>
              </w:rPr>
              <w:t>06/09/2026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22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404.39</w:t>
            </w:r>
            <w:r>
              <w:rPr>
                <w:rFonts w:ascii="Times New Roman" w:cs="Times New Roman" w:eastAsia="Times New Roman" w:hAnsi="Times New Roman"/>
                <w:sz w:val="22"/>
                <w:szCs w:val="22"/>
                <w:color w:val="008000"/>
                <w:w w:val="91"/>
                <w:vertAlign w:val="superscript"/>
              </w:rPr>
              <w:t>(11)</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vMerge w:val="restart"/>
          </w:tcPr>
          <w:p>
            <w:pPr>
              <w:jc w:val="center"/>
              <w:ind w:left="864"/>
              <w:spacing w:after="0"/>
              <w:rPr>
                <w:sz w:val="20"/>
                <w:szCs w:val="20"/>
                <w:color w:val="auto"/>
              </w:rPr>
            </w:pPr>
            <w:r>
              <w:rPr>
                <w:rFonts w:ascii="Times New Roman" w:cs="Times New Roman" w:eastAsia="Times New Roman" w:hAnsi="Times New Roman"/>
                <w:sz w:val="17"/>
                <w:szCs w:val="17"/>
                <w:color w:val="0000FF"/>
              </w:rPr>
              <w:t>06/09/2026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right"/>
              <w:ind w:right="245"/>
              <w:spacing w:after="0"/>
              <w:rPr>
                <w:sz w:val="20"/>
                <w:szCs w:val="20"/>
                <w:color w:val="auto"/>
              </w:rPr>
            </w:pPr>
            <w:r>
              <w:rPr>
                <w:rFonts w:ascii="Times New Roman" w:cs="Times New Roman" w:eastAsia="Times New Roman" w:hAnsi="Times New Roman"/>
                <w:sz w:val="17"/>
                <w:szCs w:val="17"/>
                <w:color w:val="0000FF"/>
              </w:rPr>
              <w:t>23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405.64</w:t>
            </w:r>
            <w:r>
              <w:rPr>
                <w:rFonts w:ascii="Times New Roman" w:cs="Times New Roman" w:eastAsia="Times New Roman" w:hAnsi="Times New Roman"/>
                <w:sz w:val="22"/>
                <w:szCs w:val="22"/>
                <w:color w:val="008000"/>
                <w:w w:val="91"/>
                <w:vertAlign w:val="superscript"/>
              </w:rPr>
              <w:t>(12)</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06/09/2026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ind w:left="60"/>
              <w:spacing w:after="0" w:line="233"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tcPr>
          <w:p>
            <w:pPr>
              <w:jc w:val="right"/>
              <w:ind w:right="245"/>
              <w:spacing w:after="0"/>
              <w:rPr>
                <w:sz w:val="20"/>
                <w:szCs w:val="20"/>
                <w:color w:val="auto"/>
              </w:rPr>
            </w:pPr>
            <w:r>
              <w:rPr>
                <w:rFonts w:ascii="Times New Roman" w:cs="Times New Roman" w:eastAsia="Times New Roman" w:hAnsi="Times New Roman"/>
                <w:sz w:val="17"/>
                <w:szCs w:val="17"/>
                <w:color w:val="0000FF"/>
              </w:rPr>
              <w:t>10</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jc w:val="center"/>
              <w:spacing w:after="0" w:line="23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406.3</w:t>
            </w:r>
            <w:r>
              <w:rPr>
                <w:rFonts w:ascii="Times New Roman" w:cs="Times New Roman" w:eastAsia="Times New Roman" w:hAnsi="Times New Roman"/>
                <w:sz w:val="22"/>
                <w:szCs w:val="22"/>
                <w:color w:val="008000"/>
                <w:w w:val="91"/>
                <w:vertAlign w:val="superscript"/>
              </w:rPr>
              <w:t>(13)</w:t>
            </w: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bl>
    <w:p>
      <w:pPr>
        <w:ind w:left="10060"/>
        <w:spacing w:after="0"/>
        <w:rPr>
          <w:sz w:val="20"/>
          <w:szCs w:val="20"/>
          <w:color w:val="auto"/>
        </w:rPr>
      </w:pPr>
      <w:r>
        <w:rPr>
          <w:rFonts w:ascii="Times New Roman" w:cs="Times New Roman" w:eastAsia="Times New Roman" w:hAnsi="Times New Roman"/>
          <w:sz w:val="17"/>
          <w:szCs w:val="17"/>
          <w:color w:val="0000FF"/>
        </w:rPr>
        <w:t>Technology</w:t>
      </w:r>
    </w:p>
    <w:p>
      <w:pPr>
        <w:spacing w:after="0" w:line="11"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Investors</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(3)(4)</w:t>
      </w:r>
    </w:p>
    <w:p>
      <w:pPr>
        <w:spacing w:after="0" w:line="80"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Held</w:t>
      </w:r>
    </w:p>
    <w:p>
      <w:pPr>
        <w:spacing w:after="0" w:line="31"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through</w:t>
      </w:r>
    </w:p>
    <w:p>
      <w:pPr>
        <w:spacing w:after="0" w:line="18" w:lineRule="exact"/>
        <w:rPr>
          <w:sz w:val="20"/>
          <w:szCs w:val="20"/>
          <w:color w:val="auto"/>
        </w:rPr>
      </w:pPr>
    </w:p>
    <w:p>
      <w:pPr>
        <w:ind w:left="80"/>
        <w:spacing w:after="0"/>
        <w:tabs>
          <w:tab w:leader="none" w:pos="8320" w:val="left"/>
          <w:tab w:leader="none" w:pos="9500" w:val="left"/>
          <w:tab w:leader="none" w:pos="10040" w:val="left"/>
        </w:tabs>
        <w:rPr>
          <w:sz w:val="20"/>
          <w:szCs w:val="20"/>
          <w:color w:val="auto"/>
        </w:rPr>
      </w:pPr>
      <w:r>
        <w:rPr>
          <w:rFonts w:ascii="Times New Roman" w:cs="Times New Roman" w:eastAsia="Times New Roman" w:hAnsi="Times New Roman"/>
          <w:sz w:val="17"/>
          <w:szCs w:val="17"/>
          <w:color w:val="0000FF"/>
        </w:rPr>
        <w:t>Class C Common Stock</w:t>
      </w:r>
      <w:r>
        <w:rPr>
          <w:sz w:val="20"/>
          <w:szCs w:val="20"/>
          <w:color w:val="auto"/>
        </w:rPr>
        <w:tab/>
      </w:r>
      <w:r>
        <w:rPr>
          <w:rFonts w:ascii="Times New Roman" w:cs="Times New Roman" w:eastAsia="Times New Roman" w:hAnsi="Times New Roman"/>
          <w:sz w:val="17"/>
          <w:szCs w:val="17"/>
          <w:color w:val="0000FF"/>
        </w:rPr>
        <w:t>9,359</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Silver Lake</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Group,</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(4)(5)</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4200" w:type="dxa"/>
            <w:vAlign w:val="bottom"/>
            <w:vMerge w:val="restart"/>
          </w:tcPr>
          <w:p>
            <w:pPr>
              <w:jc w:val="center"/>
              <w:ind w:left="2853"/>
              <w:spacing w:after="0"/>
              <w:rPr>
                <w:sz w:val="20"/>
                <w:szCs w:val="20"/>
                <w:color w:val="auto"/>
              </w:rPr>
            </w:pPr>
            <w:r>
              <w:rPr>
                <w:rFonts w:ascii="Times New Roman" w:cs="Times New Roman" w:eastAsia="Times New Roman" w:hAnsi="Times New Roman"/>
                <w:sz w:val="17"/>
                <w:szCs w:val="17"/>
                <w:color w:val="0000FF"/>
                <w:w w:val="99"/>
              </w:rPr>
              <w:t>4,845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4940" w:type="dxa"/>
            <w:vAlign w:val="bottom"/>
            <w:vMerge w:val="continue"/>
          </w:tcPr>
          <w:p>
            <w:pPr>
              <w:spacing w:after="0"/>
              <w:rPr>
                <w:sz w:val="10"/>
                <w:szCs w:val="10"/>
                <w:color w:val="auto"/>
              </w:rPr>
            </w:pPr>
          </w:p>
        </w:tc>
        <w:tc>
          <w:tcPr>
            <w:tcW w:w="42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4940" w:type="dxa"/>
            <w:vAlign w:val="bottom"/>
            <w:tcBorders>
              <w:bottom w:val="single" w:sz="8" w:color="2C2C2C"/>
            </w:tcBorders>
          </w:tcPr>
          <w:p>
            <w:pPr>
              <w:spacing w:after="0"/>
              <w:rPr>
                <w:sz w:val="14"/>
                <w:szCs w:val="14"/>
                <w:color w:val="auto"/>
              </w:rPr>
            </w:pPr>
          </w:p>
        </w:tc>
        <w:tc>
          <w:tcPr>
            <w:tcW w:w="42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4200" w:type="dxa"/>
            <w:vAlign w:val="bottom"/>
            <w:vMerge w:val="restart"/>
          </w:tcPr>
          <w:p>
            <w:pPr>
              <w:jc w:val="center"/>
              <w:ind w:left="2873"/>
              <w:spacing w:after="0"/>
              <w:rPr>
                <w:sz w:val="20"/>
                <w:szCs w:val="20"/>
                <w:color w:val="auto"/>
              </w:rPr>
            </w:pPr>
            <w:r>
              <w:rPr>
                <w:rFonts w:ascii="Times New Roman" w:cs="Times New Roman" w:eastAsia="Times New Roman" w:hAnsi="Times New Roman"/>
                <w:sz w:val="17"/>
                <w:szCs w:val="17"/>
                <w:color w:val="0000FF"/>
              </w:rPr>
              <w:t>164,214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4940" w:type="dxa"/>
            <w:vAlign w:val="bottom"/>
            <w:vMerge w:val="continue"/>
          </w:tcPr>
          <w:p>
            <w:pPr>
              <w:spacing w:after="0"/>
              <w:rPr>
                <w:sz w:val="10"/>
                <w:szCs w:val="10"/>
                <w:color w:val="auto"/>
              </w:rPr>
            </w:pPr>
          </w:p>
        </w:tc>
        <w:tc>
          <w:tcPr>
            <w:tcW w:w="42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4940" w:type="dxa"/>
            <w:vAlign w:val="bottom"/>
            <w:tcBorders>
              <w:bottom w:val="single" w:sz="8" w:color="2C2C2C"/>
            </w:tcBorders>
          </w:tcPr>
          <w:p>
            <w:pPr>
              <w:spacing w:after="0"/>
              <w:rPr>
                <w:sz w:val="14"/>
                <w:szCs w:val="14"/>
                <w:color w:val="auto"/>
              </w:rPr>
            </w:pPr>
          </w:p>
        </w:tc>
        <w:tc>
          <w:tcPr>
            <w:tcW w:w="42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49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4200" w:type="dxa"/>
            <w:vAlign w:val="bottom"/>
            <w:tcBorders>
              <w:bottom w:val="single" w:sz="8" w:color="2C2C2C"/>
            </w:tcBorders>
          </w:tcPr>
          <w:p>
            <w:pPr>
              <w:jc w:val="center"/>
              <w:ind w:left="2853"/>
              <w:spacing w:after="0"/>
              <w:rPr>
                <w:sz w:val="20"/>
                <w:szCs w:val="20"/>
                <w:color w:val="auto"/>
              </w:rPr>
            </w:pPr>
            <w:r>
              <w:rPr>
                <w:rFonts w:ascii="Times New Roman" w:cs="Times New Roman" w:eastAsia="Times New Roman" w:hAnsi="Times New Roman"/>
                <w:sz w:val="17"/>
                <w:szCs w:val="17"/>
                <w:color w:val="0000FF"/>
              </w:rPr>
              <w:t>1,317,963</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(8)</w:t>
            </w:r>
          </w:p>
        </w:tc>
        <w:tc>
          <w:tcPr>
            <w:tcW w:w="10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4200" w:type="dxa"/>
            <w:vAlign w:val="bottom"/>
            <w:vMerge w:val="restart"/>
          </w:tcPr>
          <w:p>
            <w:pPr>
              <w:jc w:val="center"/>
              <w:ind w:left="2873"/>
              <w:spacing w:after="0"/>
              <w:rPr>
                <w:sz w:val="20"/>
                <w:szCs w:val="20"/>
                <w:color w:val="auto"/>
              </w:rPr>
            </w:pPr>
            <w:r>
              <w:rPr>
                <w:rFonts w:ascii="Times New Roman" w:cs="Times New Roman" w:eastAsia="Times New Roman" w:hAnsi="Times New Roman"/>
                <w:sz w:val="17"/>
                <w:szCs w:val="17"/>
                <w:color w:val="0000FF"/>
              </w:rPr>
              <w:t>47,234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4940" w:type="dxa"/>
            <w:vAlign w:val="bottom"/>
            <w:vMerge w:val="continue"/>
          </w:tcPr>
          <w:p>
            <w:pPr>
              <w:spacing w:after="0"/>
              <w:rPr>
                <w:sz w:val="10"/>
                <w:szCs w:val="10"/>
                <w:color w:val="auto"/>
              </w:rPr>
            </w:pPr>
          </w:p>
        </w:tc>
        <w:tc>
          <w:tcPr>
            <w:tcW w:w="42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1"/>
        </w:trPr>
        <w:tc>
          <w:tcPr>
            <w:tcW w:w="494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0" w:gutter="0" w:footer="0" w:header="0"/>
          <w:type w:val="continuous"/>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4"/>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5,322</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6"/>
            <w:vMerge w:val="continue"/>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760" w:type="dxa"/>
            <w:vAlign w:val="bottom"/>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ind w:left="4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Lake Technology Investors IV,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Silver Lake Technology Associates IV,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SLTA IV (GP), L.L.C.</w:t>
              </w:r>
            </w:hyperlink>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Silver Lake Group, L.L.C.</w:t>
              </w:r>
            </w:hyperlink>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-8889365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46" w:orient="portrait"/>
          <w:cols w:equalWidth="0" w:num="1">
            <w:col w:w="11080"/>
          </w:cols>
          <w:pgMar w:left="460" w:top="191" w:right="359" w:bottom="0" w:gutter="0" w:footer="0" w:header="0"/>
        </w:sectPr>
      </w:pPr>
    </w:p>
    <w:bookmarkStart w:id="2" w:name="page3"/>
    <w:bookmarkEnd w:id="2"/>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Durban Egon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1620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6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p>
      <w:pPr>
        <w:spacing w:after="0" w:line="24"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p>
      <w:pPr>
        <w:spacing w:after="0" w:line="20"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IV, L.P. The general partner of Silver Lake Technology Investors IV, L.P. is Silver Lake Technology Associates IV, L.P. and the general partner of Silver Lake Technology Associates IV, L.P. is SLTA IV (GP), L.L.C.</w:t>
      </w:r>
    </w:p>
    <w:p>
      <w:pPr>
        <w:spacing w:after="0" w:line="7" w:lineRule="exact"/>
        <w:rPr>
          <w:rFonts w:ascii="Times New Roman" w:cs="Times New Roman" w:eastAsia="Times New Roman" w:hAnsi="Times New Roman"/>
          <w:sz w:val="13"/>
          <w:szCs w:val="13"/>
          <w:color w:val="008000"/>
        </w:rPr>
      </w:pPr>
    </w:p>
    <w:p>
      <w:pPr>
        <w:ind w:right="2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right="3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80" w:firstLine="7"/>
        <w:spacing w:after="0" w:line="258"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p>
      <w:pPr>
        <w:spacing w:after="0" w:line="171" w:lineRule="exact"/>
        <w:rPr>
          <w:rFonts w:ascii="Times New Roman" w:cs="Times New Roman" w:eastAsia="Times New Roman" w:hAnsi="Times New Roman"/>
          <w:sz w:val="13"/>
          <w:szCs w:val="13"/>
          <w:color w:val="008000"/>
        </w:rPr>
      </w:pPr>
    </w:p>
    <w:p>
      <w:pPr>
        <w:ind w:right="20" w:firstLine="7"/>
        <w:spacing w:after="0" w:line="248"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p>
      <w:pPr>
        <w:spacing w:after="0" w:line="176"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Durban including shares received in connection with the distributions of shares of Class C Common Stock on June 9, 2026. The receipt of such shares of Class C Common Stock was exempt from reporting pursuant to Rule 16a-13 of the Exchange Act. Mr. Durban has filed a separate Form 4 reporting transactions in securities of the Issuer on June 9, 2026.</w:t>
      </w:r>
    </w:p>
    <w:p>
      <w:pPr>
        <w:spacing w:after="0" w:line="20" w:lineRule="exact"/>
        <w:rPr>
          <w:rFonts w:ascii="Times New Roman" w:cs="Times New Roman" w:eastAsia="Times New Roman" w:hAnsi="Times New Roman"/>
          <w:sz w:val="13"/>
          <w:szCs w:val="13"/>
          <w:color w:val="008000"/>
        </w:rPr>
      </w:pPr>
    </w:p>
    <w:p>
      <w:pPr>
        <w:ind w:right="1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$402.8869 to $403.8201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$403.9600 to $404.9423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$405.1000 to $406.0000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$406.1500 to $406.4200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Silver Lake Partners IV, L.P. directly holds 0 shares of Class C Common Stock, Silver Lake Partners V DE (AIV), L.P. directly holds 5,322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80"/>
          </w:cols>
          <w:pgMar w:left="500" w:top="111" w:right="519" w:bottom="0" w:gutter="0" w:footer="0" w:header="0"/>
        </w:sectPr>
      </w:pP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L.P.,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7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Investors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2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55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555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61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96" w:lineRule="exact"/>
        <w:rPr>
          <w:sz w:val="20"/>
          <w:szCs w:val="20"/>
          <w:color w:val="auto"/>
        </w:rPr>
      </w:pPr>
    </w:p>
    <w:p>
      <w:pPr>
        <w:sectPr>
          <w:pgSz w:w="11900" w:h="16838" w:orient="portrait"/>
          <w:cols w:equalWidth="0" w:num="2">
            <w:col w:w="8680" w:space="60"/>
            <w:col w:w="2140"/>
          </w:cols>
          <w:pgMar w:left="500" w:top="111" w:right="519" w:bottom="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Justin G. Hamill,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06/11/2026</w:t>
            </w:r>
          </w:p>
        </w:tc>
      </w:tr>
      <w:tr>
        <w:trPr>
          <w:trHeight w:val="193"/>
        </w:trPr>
        <w:tc>
          <w:tcPr>
            <w:tcW w:w="20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Managing Director and Chief</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0880"/>
          </w:cols>
          <w:pgMar w:left="500" w:top="111" w:right="51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03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61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Egon</w:t>
      </w:r>
      <w:r>
        <w:rPr>
          <w:sz w:val="20"/>
          <w:szCs w:val="20"/>
          <w:color w:val="auto"/>
        </w:rPr>
        <w:tab/>
      </w: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95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13" Type="http://schemas.openxmlformats.org/officeDocument/2006/relationships/hyperlink" Target="http://www.sec.gov/cgi-bin/browse-edgar?action=getcompany&amp;CIK=0001672565" TargetMode="External"/><Relationship Id="rId14" Type="http://schemas.openxmlformats.org/officeDocument/2006/relationships/hyperlink" Target="http://www.sec.gov/cgi-bin/browse-edgar?action=getcompany&amp;CIK=0001571996" TargetMode="External"/><Relationship Id="rId16" Type="http://schemas.openxmlformats.org/officeDocument/2006/relationships/hyperlink" Target="http://www.sec.gov/cgi-bin/browse-edgar?action=getcompany&amp;CIK=0001672566" TargetMode="External"/><Relationship Id="rId17" Type="http://schemas.openxmlformats.org/officeDocument/2006/relationships/hyperlink" Target="http://www.sec.gov/cgi-bin/browse-edgar?action=getcompany&amp;CIK=0001672568" TargetMode="External"/><Relationship Id="rId18" Type="http://schemas.openxmlformats.org/officeDocument/2006/relationships/hyperlink" Target="http://www.sec.gov/cgi-bin/browse-edgar?action=getcompany&amp;CIK=0001418226" TargetMode="External"/><Relationship Id="rId20"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2026-06-11T16:44:53Z</dcterms:created>
  <dcterms:modified xsi:type="dcterms:W3CDTF">2026-06-11T16:44:53Z</dcterms:modified>
</cp:coreProperties>
</file>