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6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2280" w:right="3020" w:hanging="501"/>
        <w:spacing w:after="0" w:line="181" w:lineRule="auto"/>
        <w:tabs>
          <w:tab w:leader="none" w:pos="228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For the fiscal year ended February 2, 2024</w:t>
      </w:r>
    </w:p>
    <w:p>
      <w:pPr>
        <w:spacing w:after="0" w:line="32"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2280" w:right="2700" w:hanging="501"/>
        <w:spacing w:after="0" w:line="181" w:lineRule="auto"/>
        <w:tabs>
          <w:tab w:leader="none" w:pos="228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40" w:type="dxa"/>
            <w:vAlign w:val="bottom"/>
            <w:gridSpan w:val="2"/>
          </w:tcPr>
          <w:p>
            <w:pPr>
              <w:spacing w:after="0"/>
              <w:rPr>
                <w:sz w:val="16"/>
                <w:szCs w:val="16"/>
                <w:color w:val="auto"/>
              </w:rPr>
            </w:pPr>
          </w:p>
        </w:tc>
      </w:tr>
      <w:tr>
        <w:trPr>
          <w:trHeight w:val="325"/>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Commission File Number: 001-37867</w:t>
            </w:r>
          </w:p>
        </w:tc>
      </w:tr>
      <w:tr>
        <w:trPr>
          <w:trHeight w:val="418"/>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29"/>
                <w:szCs w:val="29"/>
                <w:b w:val="1"/>
                <w:bCs w:val="1"/>
                <w:color w:val="auto"/>
                <w:w w:val="98"/>
              </w:rPr>
              <w:t>Dell Technologies Inc.</w:t>
            </w:r>
          </w:p>
        </w:tc>
      </w:tr>
      <w:tr>
        <w:trPr>
          <w:trHeight w:val="28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63"/>
        </w:trPr>
        <w:tc>
          <w:tcPr>
            <w:tcW w:w="1220" w:type="dxa"/>
            <w:vAlign w:val="bottom"/>
          </w:tcPr>
          <w:p>
            <w:pPr>
              <w:spacing w:after="0"/>
              <w:rPr>
                <w:sz w:val="24"/>
                <w:szCs w:val="24"/>
                <w:color w:val="auto"/>
              </w:rPr>
            </w:pPr>
          </w:p>
        </w:tc>
        <w:tc>
          <w:tcPr>
            <w:tcW w:w="24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4"/>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80-0890963</w:t>
            </w:r>
          </w:p>
        </w:tc>
      </w:tr>
      <w:tr>
        <w:trPr>
          <w:trHeight w:val="230"/>
        </w:trPr>
        <w:tc>
          <w:tcPr>
            <w:tcW w:w="6080" w:type="dxa"/>
            <w:vAlign w:val="bottom"/>
            <w:gridSpan w:val="7"/>
          </w:tcPr>
          <w:p>
            <w:pPr>
              <w:jc w:val="center"/>
              <w:ind w:right="16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gridSpan w:val="2"/>
          </w:tcPr>
          <w:p>
            <w:pPr>
              <w:jc w:val="center"/>
              <w:ind w:right="4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3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39"/>
              <w:spacing w:after="0"/>
              <w:rPr>
                <w:sz w:val="20"/>
                <w:szCs w:val="20"/>
                <w:color w:val="auto"/>
              </w:rPr>
            </w:pPr>
            <w:r>
              <w:rPr>
                <w:rFonts w:ascii="Times New Roman" w:cs="Times New Roman" w:eastAsia="Times New Roman" w:hAnsi="Times New Roman"/>
                <w:sz w:val="16"/>
                <w:szCs w:val="16"/>
                <w:b w:val="1"/>
                <w:bCs w:val="1"/>
                <w:color w:val="auto"/>
              </w:rPr>
              <w:t>One Dell Way, Round Rock, Texas 78682</w:t>
            </w: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424"/>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2"/>
          </w:tcPr>
          <w:p>
            <w:pPr>
              <w:jc w:val="center"/>
              <w:ind w:left="808"/>
              <w:spacing w:after="0"/>
              <w:rPr>
                <w:sz w:val="20"/>
                <w:szCs w:val="20"/>
                <w:color w:val="auto"/>
              </w:rPr>
            </w:pPr>
            <w:r>
              <w:rPr>
                <w:rFonts w:ascii="Times New Roman" w:cs="Times New Roman" w:eastAsia="Times New Roman" w:hAnsi="Times New Roman"/>
                <w:sz w:val="16"/>
                <w:szCs w:val="16"/>
                <w:b w:val="1"/>
                <w:bCs w:val="1"/>
                <w:color w:val="auto"/>
              </w:rPr>
              <w:t>1-800-289-3355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3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40" w:type="dxa"/>
            <w:vAlign w:val="bottom"/>
            <w:gridSpan w:val="9"/>
          </w:tcPr>
          <w:p>
            <w:pPr>
              <w:jc w:val="center"/>
              <w:ind w:right="18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90"/>
        </w:trPr>
        <w:tc>
          <w:tcPr>
            <w:tcW w:w="1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44"/>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Class C Common Stock, par value of $0.01 per share</w:t>
            </w:r>
          </w:p>
        </w:tc>
        <w:tc>
          <w:tcPr>
            <w:tcW w:w="840" w:type="dxa"/>
            <w:vAlign w:val="bottom"/>
          </w:tcPr>
          <w:p>
            <w:pPr>
              <w:spacing w:after="0"/>
              <w:rPr>
                <w:sz w:val="21"/>
                <w:szCs w:val="21"/>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DELL</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1440" w:gutter="0" w:footer="0" w:header="0"/>
        </w:sect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of August 4, 2023, the last business day of the registrant’s most recently completed second fiscal quarter, the aggregate market value of the shares of the registrant’s common stock held by non-affiliates was approximately $13.2 billion (based on the closing price of $53.24 per share of Class C Common Stock reported on the New York Stock Exchange on that date).</w:t>
      </w:r>
    </w:p>
    <w:p>
      <w:pPr>
        <w:spacing w:after="0" w:line="90"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As of March 18, 2024, there were 713,790,335 shares of the registrant’s common stock outstanding, consisting of 305,216,717 outstanding shares of Class C Common Stock, 328,262,341 outstanding shares of Class A Common Stock, and 80,311,277 outstanding shares of Class B Common Stock.</w:t>
      </w:r>
    </w:p>
    <w:p>
      <w:pPr>
        <w:spacing w:after="0" w:line="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information required by Part III of this report, to the extent not set forth herein, is incorporated by reference from the registrant’s proxy statement relating to its annual meeting of stockholders to be held in 2024. The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report contains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within the meaning of Section 27A of the Securities Act of 1933 and Section 21E of the Securities Exchange Act of 1934. The words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may,</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anticipate,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estimate,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expect,</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intend,</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plan,</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aim,</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seek,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10"/>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600" w:type="dxa"/>
            <w:vAlign w:val="bottom"/>
            <w:tcBorders>
              <w:bottom w:val="single" w:sz="8" w:color="0000FF"/>
            </w:tcBorders>
            <w:gridSpan w:val="2"/>
            <w:vMerge w:val="continue"/>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80" w:type="dxa"/>
            <w:vAlign w:val="bottom"/>
            <w:gridSpan w:val="5"/>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940" w:type="dxa"/>
            <w:vAlign w:val="bottom"/>
            <w:gridSpan w:val="2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800" w:type="dxa"/>
            <w:vAlign w:val="bottom"/>
            <w:gridSpan w:val="4"/>
          </w:tcPr>
          <w:p>
            <w:pPr>
              <w:spacing w:after="0"/>
              <w:rPr>
                <w:sz w:val="18"/>
                <w:szCs w:val="18"/>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40" w:type="dxa"/>
            <w:vAlign w:val="bottom"/>
            <w:gridSpan w:val="12"/>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Pr>
          <w:p>
            <w:pPr>
              <w:spacing w:after="0"/>
              <w:rPr>
                <w:sz w:val="18"/>
                <w:szCs w:val="18"/>
                <w:color w:val="auto"/>
              </w:rPr>
            </w:pPr>
          </w:p>
        </w:tc>
        <w:tc>
          <w:tcPr>
            <w:tcW w:w="800" w:type="dxa"/>
            <w:vAlign w:val="bottom"/>
            <w:gridSpan w:val="4"/>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80" w:type="dxa"/>
            <w:vAlign w:val="bottom"/>
            <w:gridSpan w:val="18"/>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80" w:type="dxa"/>
            <w:vAlign w:val="bottom"/>
            <w:tcBorders>
              <w:bottom w:val="single" w:sz="8" w:color="0000FF"/>
            </w:tcBorders>
          </w:tcPr>
          <w:p>
            <w:pPr>
              <w:spacing w:after="0"/>
              <w:rPr>
                <w:sz w:val="18"/>
                <w:szCs w:val="18"/>
                <w:color w:val="auto"/>
              </w:rPr>
            </w:pPr>
          </w:p>
        </w:tc>
        <w:tc>
          <w:tcPr>
            <w:tcW w:w="800" w:type="dxa"/>
            <w:vAlign w:val="bottom"/>
            <w:gridSpan w:val="4"/>
          </w:tcPr>
          <w:p>
            <w:pPr>
              <w:spacing w:after="0"/>
              <w:rPr>
                <w:sz w:val="18"/>
                <w:szCs w:val="18"/>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40" w:type="dxa"/>
            <w:vAlign w:val="bottom"/>
            <w:gridSpan w:val="16"/>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80" w:type="dxa"/>
            <w:vAlign w:val="bottom"/>
            <w:gridSpan w:val="5"/>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72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880" w:type="dxa"/>
            <w:vAlign w:val="bottom"/>
            <w:gridSpan w:val="5"/>
          </w:tcPr>
          <w:p>
            <w:pPr>
              <w:spacing w:after="0"/>
              <w:rPr>
                <w:sz w:val="18"/>
                <w:szCs w:val="18"/>
                <w:color w:val="auto"/>
              </w:rPr>
            </w:pP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00" w:type="dxa"/>
            <w:vAlign w:val="bottom"/>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880" w:type="dxa"/>
            <w:vAlign w:val="bottom"/>
            <w:gridSpan w:val="5"/>
          </w:tcPr>
          <w:p>
            <w:pPr>
              <w:spacing w:after="0"/>
              <w:rPr>
                <w:sz w:val="18"/>
                <w:szCs w:val="18"/>
                <w:color w:val="auto"/>
              </w:rPr>
            </w:pP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00" w:type="dxa"/>
            <w:vAlign w:val="bottom"/>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Borders>
              <w:bottom w:val="single" w:sz="8" w:color="0000FF"/>
            </w:tcBorders>
          </w:tcPr>
          <w:p>
            <w:pPr>
              <w:spacing w:after="0"/>
              <w:rPr>
                <w:sz w:val="18"/>
                <w:szCs w:val="18"/>
                <w:color w:val="auto"/>
              </w:rPr>
            </w:pPr>
          </w:p>
        </w:tc>
        <w:tc>
          <w:tcPr>
            <w:tcW w:w="800" w:type="dxa"/>
            <w:vAlign w:val="bottom"/>
            <w:gridSpan w:val="4"/>
          </w:tcPr>
          <w:p>
            <w:pPr>
              <w:spacing w:after="0"/>
              <w:rPr>
                <w:sz w:val="18"/>
                <w:szCs w:val="18"/>
                <w:color w:val="auto"/>
              </w:rPr>
            </w:pP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4"/>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680" w:type="dxa"/>
            <w:vAlign w:val="bottom"/>
            <w:gridSpan w:val="2"/>
          </w:tcPr>
          <w:p>
            <w:pPr>
              <w:spacing w:after="0"/>
              <w:rPr>
                <w:sz w:val="18"/>
                <w:szCs w:val="18"/>
                <w:color w:val="auto"/>
              </w:rPr>
            </w:pP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7"/>
          </w:tcPr>
          <w:p>
            <w:pPr>
              <w:spacing w:after="0"/>
              <w:rPr>
                <w:sz w:val="18"/>
                <w:szCs w:val="18"/>
                <w:color w:val="auto"/>
              </w:rPr>
            </w:pP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880" w:type="dxa"/>
            <w:vAlign w:val="bottom"/>
            <w:gridSpan w:val="5"/>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0000FF"/>
                <w:w w:val="99"/>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880" w:type="dxa"/>
            <w:vAlign w:val="bottom"/>
            <w:gridSpan w:val="5"/>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0" w:type="dxa"/>
            <w:vAlign w:val="bottom"/>
            <w:gridSpan w:val="4"/>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gridSpan w:val="3"/>
          </w:tcPr>
          <w:p>
            <w:pPr>
              <w:spacing w:after="0"/>
              <w:rPr>
                <w:sz w:val="18"/>
                <w:szCs w:val="18"/>
                <w:color w:val="auto"/>
              </w:rPr>
            </w:pPr>
          </w:p>
        </w:tc>
        <w:tc>
          <w:tcPr>
            <w:tcW w:w="6820" w:type="dxa"/>
            <w:vAlign w:val="bottom"/>
            <w:gridSpan w:val="14"/>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800" w:type="dxa"/>
            <w:vAlign w:val="bottom"/>
            <w:gridSpan w:val="4"/>
          </w:tcPr>
          <w:p>
            <w:pPr>
              <w:spacing w:after="0"/>
              <w:rPr>
                <w:sz w:val="18"/>
                <w:szCs w:val="18"/>
                <w:color w:val="auto"/>
              </w:rPr>
            </w:pPr>
          </w:p>
        </w:tc>
        <w:tc>
          <w:tcPr>
            <w:tcW w:w="4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80" w:type="dxa"/>
            <w:vAlign w:val="bottom"/>
            <w:gridSpan w:val="6"/>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Borders>
              <w:bottom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800" w:type="dxa"/>
            <w:vAlign w:val="bottom"/>
            <w:gridSpan w:val="4"/>
          </w:tcPr>
          <w:p>
            <w:pPr>
              <w:spacing w:after="0"/>
              <w:rPr>
                <w:sz w:val="18"/>
                <w:szCs w:val="18"/>
                <w:color w:val="auto"/>
              </w:rPr>
            </w:pP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480" w:type="dxa"/>
            <w:vAlign w:val="bottom"/>
            <w:gridSpan w:val="8"/>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800" w:type="dxa"/>
            <w:vAlign w:val="bottom"/>
            <w:gridSpan w:val="4"/>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800" w:type="dxa"/>
            <w:vAlign w:val="bottom"/>
            <w:gridSpan w:val="4"/>
          </w:tcPr>
          <w:p>
            <w:pPr>
              <w:spacing w:after="0"/>
              <w:rPr>
                <w:sz w:val="18"/>
                <w:szCs w:val="18"/>
                <w:color w:val="auto"/>
              </w:rPr>
            </w:pP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00" w:type="dxa"/>
            <w:vAlign w:val="bottom"/>
            <w:gridSpan w:val="2"/>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800" w:type="dxa"/>
            <w:vAlign w:val="bottom"/>
            <w:gridSpan w:val="4"/>
          </w:tcPr>
          <w:p>
            <w:pPr>
              <w:spacing w:after="0"/>
              <w:rPr>
                <w:sz w:val="18"/>
                <w:szCs w:val="18"/>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6"/>
          </w:tcPr>
          <w:p>
            <w:pPr>
              <w:spacing w:after="0"/>
              <w:rPr>
                <w:sz w:val="18"/>
                <w:szCs w:val="18"/>
                <w:color w:val="auto"/>
              </w:rPr>
            </w:pPr>
          </w:p>
        </w:tc>
        <w:tc>
          <w:tcPr>
            <w:tcW w:w="3140" w:type="dxa"/>
            <w:vAlign w:val="bottom"/>
            <w:gridSpan w:val="5"/>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680" w:type="dxa"/>
            <w:vAlign w:val="bottom"/>
            <w:gridSpan w:val="2"/>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156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163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0000FF"/>
                <w:w w:val="96"/>
              </w:rPr>
              <w:t>164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fiscal year is the 52- or 53-week period ending on the Friday nearest January 31. We refer to our fiscal years ended February 2, 2024, February 3, 2023, and January 28, 2022 as “Fiscal 2024,” “Fiscal 2023,” and “Fiscal 2022,” respectively. Fiscal 2024 and Fiscal 2022 included 52 weeks, while Fiscal 2023 included 53 weeks.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Dell Technologies helps organizations build their digital futures and individuals transform how they work, live, and play. We provide customers with a broad and innovative solutions portfolio for the data and artificial intelligence (“AI”) era, including traditional and modern infrastructure. Our differentiated and holistic information technology (“IT”) solutions enable us to capture growth as customer spending priorities evolve.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Dell Technologies’ integrated solutions help customers modernize their IT infrastructure, manage and operate in a multicloud world, address workforce transformation, and provide critical solutions that keep people and organizations connected.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AI, software-defined, and cloud native infrastructure solutions.</w:t>
      </w:r>
    </w:p>
    <w:p>
      <w:pPr>
        <w:spacing w:after="0" w:line="2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Dell Technologies operates globally in over 170 countries, supported by a world-class organization across key functional areas, including technology and product development, marketing, sales, services, and financing. We have a number of operational advantages that provide a critical foundation for our success. Our go-to-market engine includes an extensive direct sales force, with the ability to build deep customer relationships, and a global network of channel partners. Our global services footprint consists of service and support professionals and vendor-managed service centers that support customers across the world. We also manage a world-class supply chain at a significant scale with the ability to remain agile in a variety of environments.</w:t>
      </w:r>
    </w:p>
    <w:p>
      <w:pPr>
        <w:spacing w:after="0" w:line="19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traditional purchasing and financing offerings provided by Dell Financial Services and its affiliates (“DFS”). We also offer flexible consumption models, including utility, subscription, and as-a-Service models. These offerings allow our customers to pay over time and provide them with operational and financial flexibility.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 and Strategy</w:t>
      </w:r>
    </w:p>
    <w:p>
      <w:pPr>
        <w:spacing w:after="0" w:line="25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vision is to become the most essential technology partner. We help customers address their IT needs and digital transformation objectives as they embrace today’s changing technology landscape. We intend to realize our vision as we execute our strategy to leverage our strengths to extend our leadership positions and capture new growth.</w:t>
      </w:r>
    </w:p>
    <w:p>
      <w:pPr>
        <w:spacing w:after="0" w:line="20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believe we are uniquely positioned in our industry and that our results will continue to benefit from our operational advantages, which position our Company for long-term growth and value creation while keeping our purpose at the forefront of our decision-making: to create technologies that drive human progress.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Technology is rapidly evolving with demand for simple and holistic solutions as companies navigate an increasingly complex IT environment. To meet our customers’ needs, we invest in research and development, sales, and other key areas of our business to deliver superior products and solutions capabilities and to drive sustainable long-term growth.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impacts of technological advancement and data expansion continue to be a force for progress as artificial intelligence and generative AI have become the next wave of technological innovation. Through each wave of technological progress, we look to advance our capabilities to change the way we work, make decisions, improve business outcomes and customer experience, and reduce cost by leveraging new technology to streamline our systems and optimize business processes. We believe our unique operating advantages, our leadership, and our way of doing business provide a foundation to foster growth, drive efficiencies, and capitalize on each successive wave of innovation in a dynamic industry.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design, develop, manufacture, market, sell, and support a wide range of comprehensive and integrated solutions, products, and services. We are organized into two business units which are also our reportable segments: Infrastructure Solutions Group and Client Solutions Group.</w:t>
      </w:r>
    </w:p>
    <w:p>
      <w:pPr>
        <w:spacing w:after="0" w:line="187" w:lineRule="exact"/>
        <w:rPr>
          <w:sz w:val="20"/>
          <w:szCs w:val="20"/>
          <w:color w:val="auto"/>
        </w:rPr>
      </w:pPr>
    </w:p>
    <w:p>
      <w:pPr>
        <w:ind w:left="660" w:right="200" w:hanging="328"/>
        <w:spacing w:after="0" w:line="26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Infrastructure Solutions Group (“ISG”)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ISG enables our customers’ digital transformations with solutions that address AI, machine learning,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analytics, and multicloud environments. ISG helps customers simplify, streamline, and automate IT operations. ISG solutions are built for multicloud environments and are optimized to run workloads in both public and private clouds, as well as on-premise.</w:t>
      </w:r>
    </w:p>
    <w:p>
      <w:pPr>
        <w:spacing w:after="0" w:line="202" w:lineRule="exact"/>
        <w:rPr>
          <w:rFonts w:ascii="Times New Roman" w:cs="Times New Roman" w:eastAsia="Times New Roman" w:hAnsi="Times New Roman"/>
          <w:sz w:val="18"/>
          <w:szCs w:val="18"/>
          <w:i w:val="1"/>
          <w:iCs w:val="1"/>
          <w:color w:val="auto"/>
        </w:rPr>
      </w:pPr>
    </w:p>
    <w:p>
      <w:pPr>
        <w:ind w:left="660" w:right="1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comprehensive storage portfolio includes modern and traditional storage solutions, including all-flash arrays, scale-out file, object platforms, hyper-converged infrastructure, and software-defined storage.</w:t>
      </w:r>
    </w:p>
    <w:p>
      <w:pPr>
        <w:spacing w:after="0" w:line="188" w:lineRule="exact"/>
        <w:rPr>
          <w:rFonts w:ascii="Times New Roman" w:cs="Times New Roman" w:eastAsia="Times New Roman" w:hAnsi="Times New Roman"/>
          <w:sz w:val="18"/>
          <w:szCs w:val="18"/>
          <w:i w:val="1"/>
          <w:iCs w:val="1"/>
          <w:color w:val="auto"/>
        </w:rPr>
      </w:pPr>
    </w:p>
    <w:p>
      <w:pPr>
        <w:ind w:left="660" w:right="20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server portfolio includes high-performance general-purpose and AI-optimized servers able to run workloads across customers’ IT environments, on-premises and in multicloud and edge environments. Our AI-optimized servers are designed to run high-value workloads, including AI model training, fine-tuning, and inferencing. Our networking portfolio helps our business customers transform and modernize their infrastructure, mobilize and enrich end-user experiences, and accelerate business applications and processes.</w:t>
      </w:r>
    </w:p>
    <w:p>
      <w:pPr>
        <w:spacing w:after="0" w:line="206" w:lineRule="exact"/>
        <w:rPr>
          <w:rFonts w:ascii="Times New Roman" w:cs="Times New Roman" w:eastAsia="Times New Roman" w:hAnsi="Times New Roman"/>
          <w:sz w:val="18"/>
          <w:szCs w:val="18"/>
          <w:i w:val="1"/>
          <w:iCs w:val="1"/>
          <w:color w:val="auto"/>
        </w:rPr>
      </w:pPr>
    </w:p>
    <w:p>
      <w:pPr>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strengths in server, storage, and virtualization software solutions allow us to offer leading converged and hyper-converged solutions, enabling our customers to accelerate their IT transformation with scalable integrated solutions. ISG also offers software, peripherals, and services, including consulting, configuration, and support and deployment.</w:t>
      </w:r>
    </w:p>
    <w:p>
      <w:pPr>
        <w:spacing w:after="0" w:line="202" w:lineRule="exact"/>
        <w:rPr>
          <w:rFonts w:ascii="Times New Roman" w:cs="Times New Roman" w:eastAsia="Times New Roman" w:hAnsi="Times New Roman"/>
          <w:sz w:val="18"/>
          <w:szCs w:val="18"/>
          <w:i w:val="1"/>
          <w:iCs w:val="1"/>
          <w:color w:val="auto"/>
        </w:rPr>
      </w:pPr>
    </w:p>
    <w:p>
      <w:pPr>
        <w:ind w:left="6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86" w:lineRule="exact"/>
        <w:rPr>
          <w:rFonts w:ascii="Times New Roman" w:cs="Times New Roman" w:eastAsia="Times New Roman" w:hAnsi="Times New Roman"/>
          <w:sz w:val="18"/>
          <w:szCs w:val="18"/>
          <w:i w:val="1"/>
          <w:iCs w:val="1"/>
          <w:color w:val="auto"/>
        </w:rPr>
      </w:pPr>
    </w:p>
    <w:p>
      <w:pPr>
        <w:ind w:left="660" w:right="360" w:hanging="328"/>
        <w:spacing w:after="0" w:line="26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Client Solutions Group (“CSG”)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CSG offers branded PCs including notebooks, desktops, and workstations and branded peripherals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displays, docking stations, keyboards, mice, and webcam and audio devices, as well as third-party software and peripherals. CSG also includes services offerings, such as configuration, support and deployment, and extended warranties.</w:t>
      </w:r>
    </w:p>
    <w:p>
      <w:pPr>
        <w:spacing w:after="0" w:line="202" w:lineRule="exact"/>
        <w:rPr>
          <w:rFonts w:ascii="Times New Roman" w:cs="Times New Roman" w:eastAsia="Times New Roman" w:hAnsi="Times New Roman"/>
          <w:sz w:val="18"/>
          <w:szCs w:val="18"/>
          <w:i w:val="1"/>
          <w:iCs w:val="1"/>
          <w:color w:val="auto"/>
        </w:rPr>
      </w:pPr>
    </w:p>
    <w:p>
      <w:pPr>
        <w:ind w:left="660" w:right="4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CSG offerings are designed to optimize performance, reliability, manageability, design, and security for our customers. Our commercial portfolio provides our customers with solutions centered on flexibility to address their complex needs such as IT modernization, hybrid work transformation, and other critical areas. Within our high-end consumer and gaming offerings, we provide our customers with powerful performance, processing, and end-user experiences.</w:t>
      </w:r>
    </w:p>
    <w:p>
      <w:pPr>
        <w:spacing w:after="0" w:line="207"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Approximately 60% of CSG revenue is generated by sales to customers in the Americas, with the remaining portion derived from sales to customers in EMEA and APJ.</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“other businesses,” described below, primarily consist of our resale of standalone offerings of VMware LLC (formerly “VMware, Inc.” and individually and together with its subsidiaries, “VMware”), referred to as “VMware Resale,” and offerings of SecureWorks Corp. (“Secureworks”). These businesses are not classified as reportable segments, either individually or collectively.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20" w:hanging="328"/>
        <w:spacing w:after="0" w:line="254"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i w:val="1"/>
          <w:iCs w:val="1"/>
          <w:color w:val="auto"/>
        </w:rPr>
        <w:t xml:space="preserve">VMware Resale </w:t>
      </w:r>
      <w:r>
        <w:rPr>
          <w:rFonts w:ascii="Times New Roman" w:cs="Times New Roman" w:eastAsia="Times New Roman" w:hAnsi="Times New Roman"/>
          <w:sz w:val="18"/>
          <w:szCs w:val="18"/>
          <w:color w:val="auto"/>
        </w:rPr>
        <w:t>consists of our sale of standalone VMware offerings. Following the completion of our spin-off of VMware in November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Dell Technologies continued to resell VMware’s offerings to our customers under our Commercial Framework Agreement (the “CFA”) with VMware discussed in this report. On November 22, 2023, VMware was acquired by Broadcom, Inc. (“Broadcom”). Subsequent to the acquisition, Broadcom announced changes to its go-to-market approach for VMware offerings, resulting in a change in our commercial relationship with VMware. On January 25, 2024, under a provision of the CFA permitting us to terminate the agreement upon a change in control of VMware, we delivered notice of termination of the CFA to Broadcom under which the agreement will terminate on March 25, 2024.</w:t>
      </w:r>
    </w:p>
    <w:p>
      <w:pPr>
        <w:spacing w:after="0" w:line="215" w:lineRule="exact"/>
        <w:rPr>
          <w:rFonts w:ascii="Times New Roman" w:cs="Times New Roman" w:eastAsia="Times New Roman" w:hAnsi="Times New Roman"/>
          <w:sz w:val="20"/>
          <w:szCs w:val="20"/>
          <w:i w:val="1"/>
          <w:iCs w:val="1"/>
          <w:color w:val="auto"/>
        </w:rPr>
      </w:pPr>
    </w:p>
    <w:p>
      <w:pPr>
        <w:ind w:left="660" w:right="140"/>
        <w:spacing w:after="0" w:line="266"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color w:val="auto"/>
        </w:rPr>
        <w:t>The Company continues to integrate select VMware products and services with Dell Technologies’ offerings and sell them to end-users. The results of such offerings are reflected within CSG or ISG, depending upon the nature of the underlying offering sold. See Note 20 of the Notes to the Consolidated Financial Statements included in this report for more information about our relationship with VMware.</w:t>
      </w:r>
    </w:p>
    <w:p>
      <w:pPr>
        <w:spacing w:after="0" w:line="200" w:lineRule="exact"/>
        <w:rPr>
          <w:rFonts w:ascii="Times New Roman" w:cs="Times New Roman" w:eastAsia="Times New Roman" w:hAnsi="Times New Roman"/>
          <w:sz w:val="20"/>
          <w:szCs w:val="20"/>
          <w:i w:val="1"/>
          <w:iCs w:val="1"/>
          <w:color w:val="auto"/>
        </w:rPr>
      </w:pPr>
    </w:p>
    <w:p>
      <w:pPr>
        <w:ind w:left="660" w:right="180" w:hanging="328"/>
        <w:spacing w:after="0" w:line="290" w:lineRule="auto"/>
        <w:tabs>
          <w:tab w:leader="none" w:pos="655"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Secureworks </w:t>
      </w:r>
      <w:r>
        <w:rPr>
          <w:rFonts w:ascii="Times New Roman" w:cs="Times New Roman" w:eastAsia="Times New Roman" w:hAnsi="Times New Roman"/>
          <w:sz w:val="17"/>
          <w:szCs w:val="17"/>
          <w:color w:val="auto"/>
        </w:rPr>
        <w:t>(NASDAQ: SCWX) is a global cybersecurity provider of technology-driven security solutions singularly focused on protecting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by outpacing and outmaneuvering the adversary. The solutions offered by Secureworks enable organizations of varying size and complexity to prevent security breaches, detect malicious activity, respond rapidly when a security breach occurs, and identify emerging threats.</w:t>
      </w:r>
    </w:p>
    <w:p>
      <w:pPr>
        <w:spacing w:after="0" w:line="18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further discussion regarding our current reportable segments, see “Part II — Item 7 — Management’s Discussion and Analysis of Financial Condition and Results of Operations — Results of Operations — Business Unit Results” and Note 19 of the Notes to the Consolidated Financial Statements included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Consumption Models</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customers are seeking choice in how they consume our solutions and are looking to remove cost and complexity, align solution offerings to their business needs, and provide consistent, high-quality operations throughout their IT enterprise.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offer our customers choices that include as-a-Service, subscription, utility, leases, loans, and immediate pay models designed to match customers' consumption and financing preferences. We continue to enhance our as-a-Service offerings, inclusive of our offerings under Dell APEX. We believe these options provide operational and financial flexibility and strengthen our customer relationships.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offerings typically result in multiyear agreements which generate recurring revenue streams over the term of the arrangement. We expect that these offerings will provide a foundation for growth in recurring revenue. We define recurring revenue as revenue recognized that is primarily related to hardware and software maintenance as well as to subscription, as-a-Service, usage-based offerings, and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Financial Services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DFS supports our businesses by offering and arranging various financing options and services for our customers globally. DFS originates, collects, and services customer receivables primarily related to the purchase or use of our product, software, and services offerings. We also arrange financing for some of our customers in countries where DFS does not currently operate as a captive enterprise. Additionally, as described above, we offer flexible consumption models, including utility, subscription, and as-a-Service models. DFS funded $8.4 billion of originations in Fiscal 2024 and maintains an $10.5 billion global portfolio of high-quality financing receivables. The results of these operations are allocated to our segments based on the underlying product or service financed and may be impacted by, among other factors, changes in the interest rate environment and the translation of those changes to pricing. For additional information about our financing arrangements, see Note 6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focus on developing innovative solutions that incorporate desirable features and capabilities at competitive prices. We employ a collaborative approach to design and development in which our engineers, with direct customer input, design solutions and work with a global network of technology partners to architect new system designs, influence the direction of future development, and integrate new technologies into our products and solutions. We strive to deliver new and relevant products to the market quickly and efficiently.</w:t>
      </w:r>
    </w:p>
    <w:p>
      <w:pPr>
        <w:spacing w:after="0" w:line="23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software engineers are focused on developing the next generation of innovative solutions. Our embedded software simplifies the complex through automation, increasingly leveraging artificial intelligence and machine-learning technology. Most of our research and development (“R&amp;D”) expenditures represent costs to develop the software that powers these solutions.</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manage our R&amp;D expenses by concentrating on solutions that we believe are most valuable to our customers and by leveraging the capabilities of our strategic partnerships. We have a global R&amp;D presence, with total R&amp;D expenses of $2.8 billion for both Fiscal 2024 and Fiscal 2023, and $2.6 billion for Fiscal 2022. These investments reflect our commitment to innovation that aim to create the right solutions to help our customers build their digital future and transform their businesses.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 and Acquisitions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our strategy, we will continue to evaluate opportunities for strategic investments through our venture capital investment arm, Dell Technologies Capital, with a focus on emerging technology areas that are relevant to our business and that will complement our existing portfolio of solutions. We target investments in such areas as storage, software-defined networking, management and orchestration, security, machine learning and AI, Big Data and analytics, cloud, edge computing, and software development operations. The technologies or products these companies have under development are typically in the early stages and may never have commercial value, which could result in a loss of a substantial part of our investment in the companies.</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both February 2, 2024 and February 3, 2023, we held strategic investments in non-marketable securities of $1.3 billion. See Note 5 of the Notes to the Consolidated Financial Statements included in this report for additional information.</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to these investments, we may also make disciplined acquisitions of businesses that advance our strategic objectives and accelerate our innovation agenda.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Materials</w:t>
      </w:r>
    </w:p>
    <w:p>
      <w:pPr>
        <w:spacing w:after="0" w:line="25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also utilize contract manufacturers throughout the world to manufacture or assemble our products under the Dell Technologies brand to provide operational flexibility, achieve cost efficiencies, deliver products faster, better serve our customers, and enhance our supply chain. When using contract manufacturers, we purchase components from suppliers and subsequently sell those components to the manufacturer. 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processing of information from customers obtained through services and support programs. This system is certified to the ISO 9001 International Standard that includes our global sites and organizations that design, manufacture, and service our products.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order fulfillment, manufacturing, and test facilities are also certified to the ISO 9001 International Standard for quality management systems, the ISO 14001 International Standard for environmental management systems, the ISO 45001 International Standard for health and safety management systems, and the ISO 50001 International Standard for energy management systems. These internationally-recognized endorsements of ongoing quality, environmental, health and safety, and energy management are among the highest levels of certifications available. We also have implemented programs and methodologies to ensure that the quality of our designs, manufacturing, test processes, and supplier relationships are continually improved.</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maintain a Supplier Code of Conduct, actively manage recycling processes for our returned products, and are certified by the Environmental Protection Agency as a Smartway Transport Partner.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Our reliance on vendors for products and components, many of which are single-source or limited-source suppliers, could harm our business by adversely affecting product availability, delivery, reliability, and cost. ” for information about the risks associated with Dell Technologies’ use of single- or limited-source suppliers.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Backlog</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Product backlog represents the value of unfulfilled manufacturing orders and is included as a component of remaining performance obligations to the extent we determine that the manufacturing orders are non-cancelable. Our business model generally gives us the flexibility to optimize product backlog including by expediting shipping or prioritizing customer orders for products that have shorter lead times. During Fiscal 2023, we reduced our backlog across both CSG and ISG from previously elevated levels as constraints in limited-source components began to diminish as a result of improving supply positions and overall declines in the demand environment. During Fiscal 2024, while our supply chain operated efficiently at standard lead times, demand for AI-optimized servers outpaced the supply of graphics processing units (“GPUs”), resulting in elevated backlog levels for such offerings as we exited the fiscal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Operations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Round Rock, Texas. We have operations and conduct business in many countries located in the Americas, Europe, the Middle East, Asia, and other geographic regions. To increase our global reach,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For information about the amount of net revenue we generated from our operations outside of the United States during the last three fiscal years, see Note 19 of the Notes to the Consolidated Financial Statements included 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sales can be affected by seasonal trends. Within ISG, our storage sales are typically stronger in our fourth fiscal quarter. Our sales within the Americas are typically stronger in the second and fourth fiscal quarters, while our sales in EMEA are typically stronger during the fourth fiscal quarter. Historical seasonal patterns have been impacted by the changing macroeconomic environment and our mix of business, and may not continue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face competition from non-traditional IT companies, including large Infrastructure-as-a-Service providers, that often buy their infrastructure directly from original design manufacturers. Competitive pressures could increase if customers choose to move existing workloads to these Infrastructure-as-a-Service providers.</w:t>
      </w:r>
    </w:p>
    <w:p>
      <w:pPr>
        <w:spacing w:after="0" w:line="19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markets in which we compete span countries around the world with customers that range from the world’s largest corporations to small and medium-sized businesses to consumers and also include government and not-for-profit organizations. We believe that new businesses will continue to enter these markets and develop technologies that, if successfully commercialized, may compete with our products and services. Moreover, current competitors may enter into new strategic relationships with new or existing competitors, which may further increase the competitive pressures. See “Item 1A — Risk Factors — Risks Relating to Our Business and Our Industry” for information about our competitive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sales and marketing efforts are organized around our customers. Our global sales and marketing team has created a go-to-market model that is collaborative and customer-focused. We generally organize our go-to-market operations with a focus on geographic and customer segments which encompass large global and national enterprises, governmental agencies and other public institutions, educational institutions, healthcare organizations, small and medium-sized businesses, and consumers.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Go-to-market strategy </w:t>
      </w:r>
      <w:r>
        <w:rPr>
          <w:rFonts w:ascii="Times New Roman" w:cs="Times New Roman" w:eastAsia="Times New Roman" w:hAnsi="Times New Roman"/>
          <w:sz w:val="18"/>
          <w:szCs w:val="18"/>
          <w:color w:val="auto"/>
        </w:rPr>
        <w:t>— We sell products and services directly to customers and through other sales channels, which include value-added resellers,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integrators, distributors, and retailers. We manage our direct sales team and channel partners to offer a unified customer experience.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our direct sales channel is a significant competitive advantage and emphasizes direct communication with customers, allowing us to refine our products and marketing programs while providing insight to better navigate through supply chain challenges and complexity.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our direct sales channel, we use our network of channel partners to sell our products and services, enabling us to efficiently reach and serve a greater number of customers. The Dell Technologies partner program provides partners with appropriate incentives to encourage sales generation. We also facilitate access to third-party financing to help our channel partners manage their working capital. We believe that building long-term relationships with our channel partners enhances our ability to deliver a high-quality customer experience. During Fiscal 2024, our other sales channels generated approximately 50% of our net revenue.</w:t>
      </w:r>
    </w:p>
    <w:p>
      <w:pPr>
        <w:spacing w:after="0" w:line="20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Large enterprises and public institutions </w:t>
      </w:r>
      <w:r>
        <w:rPr>
          <w:rFonts w:ascii="Times New Roman" w:cs="Times New Roman" w:eastAsia="Times New Roman" w:hAnsi="Times New Roman"/>
          <w:sz w:val="18"/>
          <w:szCs w:val="18"/>
          <w:color w:val="auto"/>
        </w:rPr>
        <w:t>— For large enterprises and public institutions, we maintain a field sales force across the world to serve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customers. Dedicated account teams, which include technical sales specialists, form long-term relationships and support our largest customers, develop tailored solutions to meet their needs,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Small and medium-sized business and consumers </w:t>
      </w:r>
      <w:r>
        <w:rPr>
          <w:rFonts w:ascii="Times New Roman" w:cs="Times New Roman" w:eastAsia="Times New Roman" w:hAnsi="Times New Roman"/>
          <w:sz w:val="18"/>
          <w:szCs w:val="18"/>
          <w:color w:val="auto"/>
        </w:rPr>
        <w:t>— We market our products and services to small and medium-sized businesses and consumers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advertising media.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social media.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February 2, 2024, we held a worldwide portfolio of 22,522 granted patents and 8,386 pending patent applications. We continue to obtain new patents through our ongoing research and development activities. The inventions claimed in our patents and patent applications cover aspects of our current and possible future offerings, computer systems,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have used, registered, or applied to register certain trademarks and copyrights in the United States and in other countries. We believe that Dell Technologies, DELL, Alienware, and Secureworks word marks and logo marks in the United States are material to our operations.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entered into software licensing agreements with other companies. We also license certain technologies and intellectual property from third parties for use in our offerings and processes, and license some of our technologies and intellectual property to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U.S.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w:t>
      </w: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operations are subject to a variety of environmental, performance, and safety regulations in all aspects of our operations. Product design and procurement operations must comply with requirements relating to materials composition, sourcing, radiated emissions, energy efficiency and collection, recycling, treatment, transportation, and disposal of electronics products, including restrictions on mercury, lead, cadmium, lithium metal, lithium ion, and other substances. Our operations may also become subject to new or emergent standards relating to climate change laws and regulations. The amount and timing of costs under environmental and safety laws are difficult to predict. We were not assessed any material environmental fines, nor did we have any material environmental remediation or other environmental costs, during Fiscal 2024.</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subsidiaries are subject to various anti-corruption laws that prohibit improper payments or offers of payments to foreign governments and their officials for the purpose of obtaining or retaining business, and are also subject to export controls, customs regulations, economic sanctions laws, including those currently imposed on Russia, and embargoes imposed by the U.S. government. Violations of the U.S. Foreign Corrupt Practices Act or other anti-corruption laws or export controls, customs regulations, or economic sanctions laws may result in severe criminal or civil sanctions and penalties.</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Environmental, Social, and Governance Activities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Dell Technologies is committed to driving human progress by putting our technology and expertise to work where we believe it can do the most good for both people and the planet. We recognize that all of our stakeholders — shareholders, customers, suppliers, employees, and communities — as well as the environment and society, are essential to our business.</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Dell Technologies is committed to progressing towards the goals set forth in our plan for 2030 and beyond, which we refer to as our 2030 goals. We are using these goals to help build our business, promote long-term shareholder value creation, and guide our societal impact strategies over the next decade. Our 2030 goals have four pillars:</w:t>
      </w:r>
    </w:p>
    <w:p>
      <w:pPr>
        <w:spacing w:after="0" w:line="201" w:lineRule="exact"/>
        <w:rPr>
          <w:sz w:val="20"/>
          <w:szCs w:val="20"/>
          <w:color w:val="auto"/>
        </w:rPr>
      </w:pPr>
    </w:p>
    <w:p>
      <w:pPr>
        <w:ind w:left="660" w:right="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Advancing Sustainability </w:t>
      </w:r>
      <w:r>
        <w:rPr>
          <w:rFonts w:ascii="Times New Roman" w:cs="Times New Roman" w:eastAsia="Times New Roman" w:hAnsi="Times New Roman"/>
          <w:sz w:val="18"/>
          <w:szCs w:val="18"/>
          <w:color w:val="auto"/>
        </w:rPr>
        <w:t>— We believe we have a responsibility to create a more sustainable future and to protect and enrich our planet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customers, suppliers, and communities. We seek to achieve this by focusing our impact on selected key areas, including both climate change and circular economy. We continue to emphasize sustainability across our business ecosystem, valuing natural resources and seeking to minimize our environmental impact. With the power of our global supply chain, Dell Technologies pursues the highest standards of sustainability and ethical practices.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40" w:hanging="328"/>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Cultivating Inclusion </w:t>
      </w:r>
      <w:r>
        <w:rPr>
          <w:rFonts w:ascii="Times New Roman" w:cs="Times New Roman" w:eastAsia="Times New Roman" w:hAnsi="Times New Roman"/>
          <w:sz w:val="18"/>
          <w:szCs w:val="18"/>
          <w:color w:val="auto"/>
        </w:rPr>
        <w:t>— We view diversity and inclusion as a business imperative to help build and empower our future workforce. We strive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cultivate an inclusive workforce, and believe our team members should be representative of the diversity in our global customer base. Further, we believe diversity of leadership enhances innovation and ensures that company decisions reflect our diverse stakeholder groups.</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67"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Transforming Lives </w:t>
      </w:r>
      <w:r>
        <w:rPr>
          <w:rFonts w:ascii="Times New Roman" w:cs="Times New Roman" w:eastAsia="Times New Roman" w:hAnsi="Times New Roman"/>
          <w:sz w:val="18"/>
          <w:szCs w:val="18"/>
          <w:color w:val="auto"/>
        </w:rPr>
        <w:t>— We believe our scale, support, and the innovative application of our technology can be a catalyst in advancing fundamental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rights and addressing complex societal challenges, such as digital inclusion, for the underserved. We endeavor to harness the power of technology, our scale, and our expertise to create a digital future that can contribute to the realization of human potential.</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Upholding Trust </w:t>
      </w:r>
      <w:r>
        <w:rPr>
          <w:rFonts w:ascii="Times New Roman" w:cs="Times New Roman" w:eastAsia="Times New Roman" w:hAnsi="Times New Roman"/>
          <w:sz w:val="18"/>
          <w:szCs w:val="18"/>
          <w:color w:val="auto"/>
        </w:rPr>
        <w:t>— Upholding trust through security, ethics, and privacy plays a critical role in creating business success. We are committed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upholding ethics and integrity and ensuring that new talent and existing team members align with our ethical culture. We will continue to invest in our advanced privacy governance and risk-management technology and continue seeking to select, evaluate, and do business with third parties who share our dedication to ethics and privacy.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Dell Technologies measures progress against our 2030 goals in our annually released reports available on our website.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Dell Technologies, we believe that by addressing climate change, we are demonstrating our commitment to protect our communities and our planet. As part of this mission, we seek to manage the greenhouse gas emissions (“GHG”) associated with our direct and indirect footprint. Technology plays an important role in this undertaking. We have set clear and ambitious GHG emissions targets to reach by 2030, aiming to achieve net zero emissions across scopes 1, 2, and 3 by 2050.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 diverse team with unique perspectives united in our purpose, strategy, and culture. Our goal is to ensure that employees of different backgrounds feel valued, engaged, and inspired to do their best work. We aim to attract, develop, and retain an inclusive workforce through our ongoing diversity and inclusion efforts, training and development offerings, and competitive and comprehensive benefits that include health and wellness resources. We believe the success of our commitment is demonstrated through our consistent market recognition as a best-in-class employer.</w:t>
      </w:r>
    </w:p>
    <w:p>
      <w:pPr>
        <w:spacing w:after="0" w:line="20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February 2, 2024, we had approximately 120,000 employees. Throughout Fiscal 2024, we continued to take certain measures to reduce costs, including limiting external hiring, employee reorganizations, and other actions to align our investments with our announced strategic and customer priorities. These actions resulted in a reduction in our overall headcount. Despite these difficult decisions, we continue focused efforts to empower our employees and attract, develop, and retain talent.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support our culture in four key focus areas:</w:t>
      </w:r>
    </w:p>
    <w:p>
      <w:pPr>
        <w:spacing w:after="0" w:line="2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 At Dell Technologies, we believe diversity is powerful. Our pillar on cultivating inclusion highlights how our human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are vital to our social impact and long-term business success. We believe closing the gap in employment of underrepresented minorities in the technology industry is critical to meeting future business needs and ensuring that diverse perspectives reflect our global customer base. We are committed to equal employment opportunity and continuing to implement inclusive policies.</w:t>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2, 2024, excluding employees of Secureworks, approximately 35% of our global employees self-identified as women. Of our global people leaders, approximately 29% self-identified as women. We define people leaders as employees in a management level or executive position.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the same date, our U.S. employee base was composed of employees who self-identified with the following races and ethnicities: 62% as White or Caucasian; 16% as Asian; 10% as Hispanic or Latino; 6% as Black or African American; 2% with two or more races; and 1% with additional groups (including American Indian, Alaska Native, Native Hawaiian or Other Pacific Islander). Approximately 3% of our U.S. employee base did not self-report or specify race and ethnicity status. Of our U.S. people leaders, 13% self-identified as Hispanic or Latino or as Black or African American.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the composition of the workforce evolves, we recognize that many companies embracing diversity and inclusion report experiencing greater productivity, engagement, and employee satisfaction. We are committed to increasing gender and ethnic diversity throughout Dell Technologies. We seek to achieve the following representation goals within our workforce (excluding employees of Secureworks):</w:t>
      </w:r>
    </w:p>
    <w:p>
      <w:pPr>
        <w:spacing w:after="0" w:line="2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2030, 50% of our global workforce and 40% of our global people leaders will be those who self-identify as women.</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2030, 25% of our U.S. workforce and 15% of our U.S. people leaders will be those who self-identify as Black or African American or as Hispanic or Latino.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meet these goals by:</w:t>
      </w:r>
    </w:p>
    <w:p>
      <w:pPr>
        <w:spacing w:after="0" w:line="250" w:lineRule="exact"/>
        <w:rPr>
          <w:sz w:val="20"/>
          <w:szCs w:val="20"/>
          <w:color w:val="auto"/>
        </w:rPr>
      </w:pPr>
    </w:p>
    <w:p>
      <w:pPr>
        <w:ind w:left="660" w:right="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building and attracting an inclusive workforce </w:t>
      </w:r>
      <w:r>
        <w:rPr>
          <w:rFonts w:ascii="Times New Roman" w:cs="Times New Roman" w:eastAsia="Times New Roman" w:hAnsi="Times New Roman"/>
          <w:sz w:val="18"/>
          <w:szCs w:val="18"/>
          <w:color w:val="auto"/>
        </w:rPr>
        <w:t>by investing in innovative recruiting and hiring programs intended to attract the best talent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 the global technology talent gap; and</w:t>
      </w:r>
    </w:p>
    <w:p>
      <w:pPr>
        <w:spacing w:after="0" w:line="185" w:lineRule="exact"/>
        <w:rPr>
          <w:rFonts w:ascii="Times New Roman" w:cs="Times New Roman" w:eastAsia="Times New Roman" w:hAnsi="Times New Roman"/>
          <w:sz w:val="18"/>
          <w:szCs w:val="18"/>
          <w:i w:val="1"/>
          <w:iCs w:val="1"/>
          <w:color w:val="auto"/>
        </w:rPr>
      </w:pPr>
    </w:p>
    <w:p>
      <w:pPr>
        <w:ind w:left="660" w:right="22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developing and retaining our current team members </w:t>
      </w:r>
      <w:r>
        <w:rPr>
          <w:rFonts w:ascii="Times New Roman" w:cs="Times New Roman" w:eastAsia="Times New Roman" w:hAnsi="Times New Roman"/>
          <w:sz w:val="18"/>
          <w:szCs w:val="18"/>
          <w:color w:val="auto"/>
        </w:rPr>
        <w:t>through a supportive corporate culture focused on equality of access to career advancement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upskilling programs.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Achievement Through Learning, Development, and Competitive Compensation and Rewards </w:t>
      </w:r>
      <w:r>
        <w:rPr>
          <w:rFonts w:ascii="Times New Roman" w:cs="Times New Roman" w:eastAsia="Times New Roman" w:hAnsi="Times New Roman"/>
          <w:sz w:val="18"/>
          <w:szCs w:val="18"/>
          <w:color w:val="auto"/>
        </w:rPr>
        <w:t>— We have designed our comprehensive rewards programs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globally consistent, locally relevant, and effective in attracting, motivating, and retaining high-quality talent. Our rewards programs seek to inspire employees to do their best work for our customers and the growth of our business. Through our comprehensive rewards programs, we are committed to equal pay. We believe people should be equitably compensated for the value they deliver to our customers and other stakeholders, no matter their gender, ethnicity, or other diversity attributes.</w:t>
      </w: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provide a multitude of programs to support employees’ career growth and development through a centralized program. Through this program, we offer formal training options, individualized development programs, tools for 360-degree feedback, mentoring, networking, stretch assignments, and growth opportunities. Our tools and resources are designed to empower and inspire employees to direct their own career paths and build a portfolio of transferable skills for success in the technology industry. Our internal Career Hub supports employee growth by providing personalized development suggestions, such as mentorship and internal opportunities, that align with their skills and development goals. We are committed to building a diverse leadership pipeline with a broad spectrum of skills, including the ability to act with integrity and inspire others.</w:t>
      </w:r>
    </w:p>
    <w:p>
      <w:pPr>
        <w:spacing w:after="0" w:line="19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Balance and Wellness </w:t>
      </w:r>
      <w:r>
        <w:rPr>
          <w:rFonts w:ascii="Times New Roman" w:cs="Times New Roman" w:eastAsia="Times New Roman" w:hAnsi="Times New Roman"/>
          <w:sz w:val="18"/>
          <w:szCs w:val="18"/>
          <w:color w:val="auto"/>
        </w:rPr>
        <w:t>— We offer a competitive and comprehensive benefits package and strive to provide the best choice and value at the best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benefits package, we support our employees’ overall health and well-being through a comprehensive approach which provides programs and resources focused on mental, physical, and financial health, connection, and flexibility. Work flexibility is part of our culture and remains a priority for us. We strive to provide innovative and inclusive offerings, such as virtual live and on-demand educational sessions, counseling and support services, fitness and wellness challenges, voluntary progress tracking, and other incentives.</w:t>
      </w:r>
    </w:p>
    <w:p>
      <w:pPr>
        <w:spacing w:after="0" w:line="20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Connection and Engagement </w:t>
      </w:r>
      <w:r>
        <w:rPr>
          <w:rFonts w:ascii="Times New Roman" w:cs="Times New Roman" w:eastAsia="Times New Roman" w:hAnsi="Times New Roman"/>
          <w:sz w:val="18"/>
          <w:szCs w:val="18"/>
          <w:color w:val="auto"/>
        </w:rPr>
        <w:t>— We believe employee feedback is an important part of our culture and a key strategy to foster connection and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example, through our annual Tell Dell survey, employees can confidentially voice their perceptions of the Company and our leadership, culture, and inclusiveness so we can continue to improve the employee experience. We promote further employee connection and engagement through a variety of initiatives including, among others, our broader team member listening strategy and our Employee Resource Groups (“ERGs”). We have 13 unique ERGs that cultivate inclusion and bring many collective voices together for a greater business impact. Our ERGs also provide personal and professional development through networking opportunities, mentoring, volunteer activities, and community involvement.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Resources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manage our responsible business practices in one of the world’s largest supply chains, which involves hundreds of thousands of people around the world. We seek to drive responsible manufacturing through robust assurance practices, including human rights due diligence and environmental stewardship. We recognize that looking after the wellbeing of people in our supply chain is important and have various objectives for our work in this area, including:</w:t>
      </w:r>
    </w:p>
    <w:p>
      <w:pPr>
        <w:spacing w:after="0" w:line="20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healthy work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future-ready skills development for employees in our supply chain;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engagement with the people who make our products.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support workers in the value chain with training on key topics, including forced labor and health and safety, and we continue to work with suppliers to deliver training directly to employees via their mobile phones. Through this initiative, Dell Technologies covers the cost of developing training modules and shares training costs with suppliers who deliver them.</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Dell Technologies works to ensure that we and our suppliers manufacture our products responsibly, in part through our social and environmental responsibility assurance program. Through risk assessments and audits conducted under this program, we seek to monitor factories’ adherence to the Responsible Business Alliance (“RBA”) Code of Conduct. Audits are conducted by third-party auditors that have been trained and certified by the RBA. The audits cover topics across five areas: labor, including risks of forced labor and weekly working hours; employee health and safety; environment; ethics; and management systems. Through our audit program, we aim to identify and solve concerns in our supply chain, and seek continual improvements to address issues and enable suppliers to build their own in-house capabilities. We supplement our audits with targeted assessments of suppliers when we identify opportunities to drive further improvements.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supply chain sustainability progress is available through annual reporting on our website.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Dell Technologies, upholding and advancing respect for the fundamental human rights of all people is core to our business strategy, purpose, and commitment to drive human progress and create a positive and lasting social impact. We believe everyone deserves to be treated equally with dignity and respect, and we are committed to responsible, ethical, inclusive, and sustainable business practices. We strive to align our approach and actions to fulfill this commitment with the United Nations Guiding Principles on Business and Human Rights, and the Principles of the United Nations Global Compact, to which Dell is a signatory. We endeavor to ensure that we are not complicit in human rights violations, and we seek to hold our suppliers and other business partners to this same standard. We believe in winning with integrity, and we use training and technology to assist our team members in applying the principles of integrity and compliance as part of everyday business transactions, activities, and decisions.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holding company that conducts our operations through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mailing address of our principal executive offices is One Dell Way, Round Rock, Texas 78682. Our telephone number is 1-800-289-3355.</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website address is www.delltechnologies.com.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information on, or accessible through, our website referred to above or any other website we refer to in this report is not part of, and is not incorporated by reference into,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18, 2024, information about our executive officers, who are appointed by our Board of Directors.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 Dell</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W. Clarke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and Chief Operating Officer</w:t>
            </w:r>
          </w:p>
        </w:tc>
      </w:tr>
      <w:tr>
        <w:trPr>
          <w:trHeight w:val="22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Allison Dew</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Yvonne McGill</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J. Rothberg</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D. Saavedra, Ph.D.</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F. Scannell</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Global Sales and Customer Operations</w:t>
            </w:r>
          </w:p>
        </w:tc>
      </w:tr>
    </w:tbl>
    <w:p>
      <w:pPr>
        <w:spacing w:after="0" w:line="3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Michael S. Dell </w:t>
      </w:r>
      <w:r>
        <w:rPr>
          <w:rFonts w:ascii="Times New Roman" w:cs="Times New Roman" w:eastAsia="Times New Roman" w:hAnsi="Times New Roman"/>
          <w:sz w:val="18"/>
          <w:szCs w:val="18"/>
          <w:color w:val="auto"/>
        </w:rPr>
        <w:t>— Mr. Dell serves as Chairman of the Board and Chief Executive Officer of Dell Technologies. Mr. Dell served as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Dell Inc., a wholly-owned subsidiary of Dell Technologies, from 1984 until July 2004 and resumed that role in January 2007. In 1998, Mr. Dell formed MSD Capital, L.P., now DFO Management, LLC, a private investment firm, for the purpose of managing his and his family’s investments. In 1999, he and his wife established the Michael &amp; Susan Dell Foundation to provide philanthropic support to a variety of global causes. Mr. Dell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on the governing board of the Indian School of Business in Hyderabad, India, and as a board member of Catalyst, Inc., a non-profit organization that promotes inclusive workplaces for women. In June 2014, Mr. Dell was named the United Nations Foundation’s first Global Advocate for Entrepreneurship. Mr. Dell is Non-Executive Chairman of SecureWorks Corp., a public majority-owned subsidiary of Dell Technologies and a global provider of intelligence-driven information security solutions. Mr. Dell was Chairman of the Board of Directors of VMware, Inc., a cloud infrastructure and digital workspace technology company that was formerly a public majority-owned subsidiary of Dell Technologies, from September 2016 until it was acquired by Broadcom Inc. in November 2023 and was a board member of Pivotal Software, Inc., formerly a public majority-owned subsidiary of Dell Technologies that provides a leading cloud-native platform, from September 2016 until it was acquired by VMware, Inc. in December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Jeffrey W. Clarke </w:t>
      </w:r>
      <w:r>
        <w:rPr>
          <w:rFonts w:ascii="Times New Roman" w:cs="Times New Roman" w:eastAsia="Times New Roman" w:hAnsi="Times New Roman"/>
          <w:sz w:val="18"/>
          <w:szCs w:val="18"/>
          <w:color w:val="auto"/>
        </w:rPr>
        <w:t>— Mr. Clarke serves as Vice Chairman and Chief Operating Officer of Dell Technologies, responsible for running day-to-day business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shaping the Company’s strategic agenda, and setting priorities across the Dell Technologies executive leadership team. Mr. Clarke directs the</w:t>
      </w:r>
    </w:p>
    <w:p>
      <w:pPr>
        <w:spacing w:after="0" w:line="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Infrastructure Solutions Group and the Client Solutions Group and manages Global Operations, including manufacturing, procurement, and supply chain. He is also responsible for setting the long-term strategy and leads planning for emerging technology areas such as Cloud, Edge, Telecom, and as-a-Service. Mr. Clarke served as Chief Operating Officer from December 2019 to August 2021 before resuming that role in August 2023 and as Co-Chief Operating Officer from August 2021 until August 2023, and has served as Vice Chairman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 Before joining Dell Technologies, Mr. Clarke served as a reliability and product engineer at Motorola, Inc, a global technology company.</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Allison Dew </w:t>
      </w:r>
      <w:r>
        <w:rPr>
          <w:rFonts w:ascii="Times New Roman" w:cs="Times New Roman" w:eastAsia="Times New Roman" w:hAnsi="Times New Roman"/>
          <w:sz w:val="18"/>
          <w:szCs w:val="18"/>
          <w:color w:val="auto"/>
        </w:rPr>
        <w:t>— Ms. Dew serves as the Chief Marketing Officer of Dell Technologies. In this role, in which she has served since March 2018, Ms. Dew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responsible for the global marketing organization, strategy, and all aspects of Dell Technologies’ marketing efforts, including brand and creative, product marketing, communications, digital, and field and channel marketing. Since joining Dell in 2008, Ms. Dew has been instrumental in Dell Technologies’ marketing transformation, leading an emphasis on data-driven marketing, customer understanding, and integrated planning. Most recently, prior to her current position, Ms. Dew led marketing for the Dell Technologies Client Solutions Group from December 2013 to March 2018. Before joining Dell, Ms. Dew served in various marketing leadership roles at Microsoft Corporation, a global technology company. Ms. Dew also worked in both a regional advertising firm in Tokyo, Japan and an independent multicultural agency in New York.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2024, Ms. Dew notified the Company of her decision to retire from her position as Chief Marketing Officer effective as of March 29, 2024.</w:t>
      </w:r>
    </w:p>
    <w:p>
      <w:pPr>
        <w:spacing w:after="0" w:line="2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29, 2024, the Board of Directors appointed Geraldine Tunnell, who currently serves as the Company’s Senior Vice President of Global Field &amp; Partner Marketing, as the Company’s Chief Marketing Officer, to succeed Ms. Dew in that position effective as of March 30, 2024.</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Yvonne McGill </w:t>
      </w:r>
      <w:r>
        <w:rPr>
          <w:rFonts w:ascii="Times New Roman" w:cs="Times New Roman" w:eastAsia="Times New Roman" w:hAnsi="Times New Roman"/>
          <w:sz w:val="18"/>
          <w:szCs w:val="18"/>
          <w:color w:val="auto"/>
        </w:rPr>
        <w:t>— Ms. McGill serves as Chief Financial Officer of Dell Technologies. In this role, in which she has served since August 2023, she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all aspects of the Company’s finance function, including accounting, financial planning and analysis, tax, treasury, and investor relations, as well as corporate development, global business operations and Dell Financial Services. She also partners closely with the office of the CEO to develop and execute a long-term strategy that creates value for Dell Technologies stakeholders. From August 2015 to August 2023, Ms. McGill served in a variety of finance leadership roles for Dell, including Corporate Controller, where she had responsibility for accounting, tax, treasury, and investor relations, Chief Financial Officer and Senior Vice President, Infrastructure Solutions Group, and Senior Vice President, Global Financial Planning and Analysis. Since joining Dell in 1997, Ms. McGill has served in various other finance leadership roles, including Chief Financial Officer for the Company’s Asia-Pacific, Japan and China region and Chief Accounting Officer. Before beginning her service with Dell, Ms. McGill worked at ManTech International Corporation, a company providing technology solutions and services to U.S. intelligence, defense and federal civilian agencies, and Price Waterhouse LLP (now PricewaterhouseCoopers LLP), a firm specializing in accounting, assurance, tax, and consulting services. Ms. McGill serves on the board of directors of Applied Materials, Inc., an international materials engineering company.</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Richard J. Rothberg </w:t>
      </w:r>
      <w:r>
        <w:rPr>
          <w:rFonts w:ascii="Times New Roman" w:cs="Times New Roman" w:eastAsia="Times New Roman" w:hAnsi="Times New Roman"/>
          <w:sz w:val="18"/>
          <w:szCs w:val="18"/>
          <w:color w:val="auto"/>
        </w:rPr>
        <w:t>— Mr. Rothberg serves as General Counsel and Secretary for Dell Technologies. In this role, in which he has served since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Jennifer D. Saavedra, Ph.D. </w:t>
      </w:r>
      <w:r>
        <w:rPr>
          <w:rFonts w:ascii="Times New Roman" w:cs="Times New Roman" w:eastAsia="Times New Roman" w:hAnsi="Times New Roman"/>
          <w:sz w:val="18"/>
          <w:szCs w:val="18"/>
          <w:color w:val="auto"/>
        </w:rPr>
        <w:t>— Dr. Saavedra is Dell Technologies' Chief Human Resources Officer. In this role, Dr. Saavedra leads Dell’s Global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Facilities function and accelerates the performance and growth of the company through its culture and its people. Dr. Saavedra previously served as Dell Technologies’ Senior Vice President, Human Resources – Sales from December 2019 to March 2021 and as its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William F. Scannell </w:t>
      </w:r>
      <w:r>
        <w:rPr>
          <w:rFonts w:ascii="Times New Roman" w:cs="Times New Roman" w:eastAsia="Times New Roman" w:hAnsi="Times New Roman"/>
          <w:sz w:val="18"/>
          <w:szCs w:val="18"/>
          <w:color w:val="auto"/>
        </w:rPr>
        <w:t>— Mr. Scannell serves as President, Global Sales and Customer Operations for Dell Technologies, heading the global go-to-market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including Channel, OEM, Global Alliances, and Specialty Sales. In this role, in which he has served since February 2020, Mr. Scannell is responsible for go-to-market strategy and driving global growth by delivering Dell Technologies’ solutions to organizations in established and new markets globally. Mr. Scannell previously served as President, Global Enterprise Sales and Customer Operations for Dell Technologies from September 2017 to January 2020, leading the sales teams to deliver innovative and practical technology solutions to large enterprises and public institutions worldwide. Prior to joining Dell Technologies, Mr. Scannell served as President, Global Sales and Customer Operations at EMC until EMC was acquired by Dell Technologies in September 2016.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Mr. Scannell serves on the board of directors of IonQ, Inc., a quantum computing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global economic conditions may harm our business and result in reduced net revenue and profitability.</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global company with customers operating in a broad range of businesses and industries, our performance is affected by global economic conditions and the demand for technology products and services in international markets. Adverse economic conditions may negatively affect customer demand, and could result in postponed or decreased spending amid customer concerns over unemployment or slowing demand for their products, reduced asset values, volatile energy costs, the availability and cost of credit, and the stability and solvency of financial institutions, financial markets, businesses, local and state governments, and sovereign nations. In Fiscal 2024, global economic uncertainty adversely affected the demand for our products and services as some of our larger customers exhibited increased caution in their IT spending. Factors contributing to weak or unstable global economic conditions, including those attributable to geopolitical volatility (such as ongoing military conflicts in Ukraine and the Middle East and tensions across the Taiwan Strait), international trade protection measures and disputes, such as those between the United States and China, or public health issues such as the coronavirus pandemic also could harm our business by contributing to product shortages or delays, supply chain disruptions, insolvency of key suppliers, customer and counterparty insolvencies, increased product costs and associated price increases, reduced global sales, and other adverse effects on our operations. Any such effects could have a negative impact on our net revenue and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pressures may adversely affect our industry unit share position, revenue, and profitability.</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operate in an industry in which there are rapid technological advances in hardware, software, and services offerings. As a result, we face aggressive offering and price competition from both branded and generic competitors. We compete based on our ability to offer to our customers integrated solutions that provide desired features at a competitive price. Our competitors may provide offerings that are less costly, perform better, or include additional features. Further, our offering portfolios may quickly become outdated or our market share may quickly erode. Efforts to balance the mix of products and services to optimize profitability, liquidity, and growth may put pressure on our industry position.</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the technology industry continues to expand, there may be new and increased competition in different geographic regions. The generally low barriers to entry into the technology industry increase the potential for challenges from new competitors. Competition also may intensify from an increase in alternatives for mobile and cloud computing solutions. In addition, companies with which we have strategic alliances may become competitors in other product areas, or current competitors may enter into new strategic relationships with new or existing competitors, all of which may further increase competitive pressures.</w:t>
      </w:r>
    </w:p>
    <w:p>
      <w:pPr>
        <w:spacing w:after="0" w:line="2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vendors for products and components, many of which are single-source or limited-source suppliers, could harm our business by adversely affecting product availability, delivery, reliability, and cost.</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w:t>
      </w:r>
    </w:p>
    <w:p>
      <w:pPr>
        <w:spacing w:after="0" w:line="2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Although these relationships generate cost efficiencies, they limit our direct control over production. The increasing reliance on vendors subjects us to a greater risk of shortages and reduced control over delivery schedules of components and products, as well as a greater risk of increases in product and component costs. We experienced some of these adverse effects in recent periods, primarily as a result of impacts of the coronavirus pandemic.</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experience additional supply shortages and price increases caused by changes to raw material availability, manufacturing capacity, labor shortages, public health issues, tariffs, trade disputes and protectionist measures, natural catastrophes or the effects of climate change (such as extreme weather conditions, sea level rise, drought, flooding, and wildfires), and significant changes in the financial condition of our suppliers. Because we maintain minimal levels of component and product inventories, a disruption in component or product availability could harm our ability to fill customer orders on a timely basis and at an acceptable price. The impact of supply constraints on our operations may be more acute during periods of rapid growth in demand for new products and services, such as the current demand for AI-optimized solutions. We are also subject to risks associated with our receipt from vendors of defective parts and products, which could require the replacement of such parts and products and expose us to reputational harm.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achieve favorable pricing from vendors, our profitability could be adversely affected.</w:t>
      </w:r>
    </w:p>
    <w:p>
      <w:pPr>
        <w:spacing w:after="0" w:line="25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can affect our profitability. The vendor programs may change periodically, potentially resulting in adverse profitability trends if we cannot adjust pricing or variable costs. An inability to establish a cost and product advantage, or determine alternative means to deliver value to customers, may adversely affect our revenue and profitability.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results of operations of our business units may be adversely affected if we fail to successfully execute our strategy.</w:t>
      </w:r>
    </w:p>
    <w:p>
      <w:pPr>
        <w:spacing w:after="0" w:line="256"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Our strategy involves enabling the digital transformation of our customers while leading in the core infrastructure markets in which we compete. Accordingly, we must continue to expand our customer base through direct sales, new distribution channels, continued development of new growth businesses, further development of relationships with resellers, and augmentation of selected business areas through targeted acquisitions and other commercial arrangements.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we reach more customers through new distribution channels and expanded reseller relationships, we may fail to effectively manage the increasingly difficult tasks of inventory management and demand forecasting. Our ability to implement this strategy depends on efficiently transitioning sales capabilities, successfully adding to the breadth of our solutions capabilities through internal development and selective acquisitions of other businesses, and effectively managing the consequences of these strategic initiatives. If we are unable to meet these challenges, our results of operations could be adversely affected.</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organized into two business units consisting of ISG and CSG that are each important components of our strategy. ISG offers a portfolio of storage, server, and networking solutions, including AI-optimized technologies, and faces intense competition from existing on-premises competitors and increasing competitive pressures from Infrastructure-as-a-Service providers. Accordingly, we expect we will be required to make additional investments to address such competitive pressures and drive future growth. Such pressures could result in the erosion of revenue and operating income and adversely affect ISG’s results of operations. To address industry trends, we have developed and continue to develop traditional, converged, and hyper-converged infrastructure solutions as well as AI-optimized products and solutions. ISG’s results of operations could be adversely affected if such products and solutions are not adopted by our customers or potential customers, or if customers move rapidly to adopt public cloud solutions.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CSG largely relies on sales of desktops, workstations, and notebooks. Revenue from CSG absorbs our overhead costs and provides for scaled procurement. CSG faces risk and uncertainties from fundamental changes in the personal computer market, including a decline in worldwide revenues for desktops, workstations, and notebooks, and lower shipment forecasts for these products due to a general lengthening of the replacement cycle. Reduced demand for PC products or a significant increase in competition could cause our operating income to fluctuate and adversely impact CSG’s results of operations.</w:t>
      </w:r>
    </w:p>
    <w:p>
      <w:pPr>
        <w:spacing w:after="0" w:line="1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Social and ethical issues relating to the use of new and evolving technologies, such as AI, in our offerings may result in reputational harm and liability.</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view our continued investment in AI and generative AI (“GAI”) research and development as an opportunity to enhance our solutions, strengthen our competitive advantage, and contribute to the responsible advancement of AI and GAI technology. While we aim to do so in a responsible, legal, and ethical manner, social, ethical, regulatory, and legal issues relating to the use of AI and GAI in our offerings may result in reputational harm or liability, and may cause us to incur additional research, development, and compliance costs. As with many innovations, AI and GAI present risks that could affect their adoption and contribution to our business. If we enable or offer solutions that draw controversy due to their perceived or actual impact on society, we may experience brand or reputational harm, competitive harm, or legal liability. Potential government regulation related to AI and GAI use and ethics also may increase the burden and cost of research and development and delay implementation of these technologies.</w:t>
      </w:r>
    </w:p>
    <w:p>
      <w:pPr>
        <w:spacing w:after="0" w:line="21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manage solutions and product and services transitions in an effective manner could reduce the demand for our solutions, products, and services, and negatively affect the profitability of our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Continuing improvements in technology result in the frequent introduction of new solutions, products, and services, improvements in product performance characteristics, and short product life cycles. If we fail to effectively manage transitions to new solutions and offerings, the products and services associated with such offerings and customer demand for our solutions, products, and services could diminish, and our profitability could suffer.</w:t>
      </w:r>
    </w:p>
    <w:p>
      <w:pPr>
        <w:spacing w:after="0" w:line="20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increasingly source new products and transition existing products through our contract manufacturers and manufacturing outsourcing relationships to generate cost efficiencies and better serve our customers. The success of product transitions depends on a number of factors, including the availability of sufficient quantities of components at an acceptable cost. Product transitions also present execution uncertainties and risks, including the risk that new or upgraded products may have quality problems or other defects.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deliver high-quality products, software, and services could lead to loss of customers and diminished profitability.</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must identify and address quality issues associated with our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w:t>
      </w:r>
    </w:p>
    <w:p>
      <w:pPr>
        <w:spacing w:after="0" w:line="20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Cyber-attacks and other security incidents that disrupt our operations or result in a network intrusion, breach or loss, or other compromise of proprietary or confidential information about us or our workforce, customers, partners, or third parties could negatively affect our business, harm our reputation, cause us to lose clients and expose us to costly regulatory enforcement and litigation.</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routinely receive, collect, manage, store, transmit, and otherwise process large amounts of proprietary information and confidential data, including personally identifiable and other sensitive information, relating to our operations, products, partners, and customers. We face numerous sophisticated and evolving cyber threats of significant scale, volume, severity, and complexity, including threats specifically designed for or directly targeted at us, making it increasingly difficult to defend against security incidents successfully or to implement adequate preventative measures.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our cybersecurity governance and investment in controls and security measures, criminal or other unauthorized threat actors, including nation states and state-sponsored organizations, pose a significant risk of penetrating or bypassing our security defenses, breaching our information technology systems, and misappropriating, breaching, or compromising confidential and proprietary information of our company, our partners, or our customers, causing system disruptions and shutdowns, or introducing ransomware, malware, or vulnerabilities into our products, systems, and networks or those of our customers and partners. We also face a risk that employees, contractors, or other insiders, particularly those with connectivity to our systems, may introduce vulnerabilities into our environments, facilitate a cybersecurity attack, or take actions to misappropriate our intellectual property and proprietary information. Continued work-from-home and flexible work arrangements further increase our risk, as employees and contractors of our company and third-party providers are working remotely and using home networks that may pose an increased risk to our networks, data, and cybersecurity. In addition, our business may be adversely affected by cyber-attacks and data thefts resulting from ongoing wars and geopolitical conflicts.</w:t>
      </w:r>
    </w:p>
    <w:p>
      <w:pPr>
        <w:spacing w:after="0" w:line="21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past, we have been targeted by criminal and other threat actors that attempted cyber-attacks of our systems and networks. These attacks are common in our industry for companies of our size and can include such malicious techniques as ransomware, network intrusions, exploitation of zero-day vulnerabilities, distributed denial of service, man-in-the-middle, phishing, vishing, domain name system spoofing, password spraying and other credential attacks, structural query language injection, and malware. The costs associated with cybersecurity tools and infrastructure and competition for scarce cybersecurity and IT resources have at times limited, and may in the future limit, our ability to efficiently identify, eliminate, or remediate cybersecurity or other security vulnerabilities or problems or enact changes to minimize the attack surface of our network. While our security systems and controls have successfully protected us against, and mitigated the impacts of, many attacks of this nature, we have experienced security incidents that negatively affected our business and expect that we will experience similar incidents in the future.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costs to address cybersecurity risks, both before and after a security incident, could be significant, regardless of whether incidents result from an attack on us directly, on customers we service, or on partners or third-party vendors upon which we rely. Our customers, partners, and third-party vendors continue to experience security incidents of varying severity, including, among others, ransomware attacks, network intrusions, and exploitations of product and software security vulnerabilities. These parties also possess or transmit our proprietary information and confidential data, including personal data, personally identifiable information, and other sensitive information, which may be exfiltrated if they are impacted by a security incident. Targeted cyber-attacks or those that result from a security incident directed at a partner or third-party vendor create a risk of compromise to our internal systems, products, services, and offerings, as well as the systems of our customers, which could result in interruptions, delays, or cessation of service that could disrupt business operations for us and our customers. Our proactive measures and remediation efforts are not always successful or timely. In addition, breaches of our security measures, including through the use and the unapproved dissemination of proprietary information or sensitive or confidential data about us, our customers, partners or other third parties, could impair our intellectual property rights and expose us, our customers, partners, or such other third parties to a risk of loss or misuse of such information or data. Any such incidents could subject us to government investigations and regulatory enforcement actions, litigation, potential liability, and damage to our brand and reputation, or otherwise harm our business and operations.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Hardware, software, and applications that we produce or procure from third parties also may contain defects in design or manufacture or other deficiencies, including security vulnerabilities that could interfere with the operation or security of our products, services, and offerings. In the event of a security vulnerability or other flaws in third-party components or software code, we may have to rely on multiple third parties to mitigate vulnerabilities. The mitigation techniques they deploy may be ineffective or result in adverse performance, system instability, or data loss, and may not always be available, or available on a timely basis. Any actual or perceived security vulnerabilities in our products or services, or those of third-party products we sell, could lead to loss of existing or potential customers, and may impede our sales, manufacturing, distribution, outsourcing services, information technology solutions, and other critical functions and offerings. Failure to comply with internal security policies and standards, including secure development lifecycle practices, or to prevent or promptly mitigate security vulnerabilities in our products and offerings may adversely affect our brand and reputation and subject us to government investigations, regulatory enforcement actions, litigation, and potential liability resulting from our inability to fulfill our contractual obligations to our customers and partners.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As a global enterprise, we are subject to compliance risks under a significant and increasing number of laws and regulations in the United States, the European Union, China, and numerous other countries relating to cybersecurity, product and software supply chain security, and the collection, use, residency, transfer, and protection of data, including customer data, and other personal, sensitive, confidential, and proprietary information. Such information security, data protection, and privacy laws and regulations continue to evolve and may be interpreted and applied differently in different jurisdictions, making it difficult to determine how they may develop and apply to us.</w:t>
      </w:r>
    </w:p>
    <w:p>
      <w:pPr>
        <w:spacing w:after="0" w:line="21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execution of transactions and processing and use of customer data, including personal data and personal identifiable information and other data in the conduct of our business, the operation of our products and offerings, and the provision of services to our customers subject us to increased obligations to comply with applicable laws and regulations and may require us to notify regulators, customers, employees, or other third parties of our data processing and data transfer activities, cybersecurity and data protection practices, as well as to provide notification and disclosure of security incidents and data or privacy breaches. We also face the increasing cost of disparate global regulatory compliance obligations and potential enforcement activities and litigation action in the event we experience a significant disruption of our operations or breach, loss, or other compromise of proprietary or confidential information as a result of a cyber-attack or insider activity. While we continue to incur significant expenditures to comply with mandatory privacy, security, data protection and localization requirements imposed by law, regulation, industry standards and contractual obligation, we may fail to comply fully with these requirements. Any such non-compliance could adversely affect our ability to conduct business or sell our products or offerings in a specific jurisdiction or result in fines or penalties that could impact our financial results.</w:t>
      </w:r>
    </w:p>
    <w:p>
      <w:pPr>
        <w:spacing w:after="0" w:line="2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successfully execute on strategic initiatives including acquisitions, divestitures, or cost saving measures may negatively affect our future results.</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make strategic acquisitions of other companies as part of our growth strategy. We could experience unforeseen operating difficulties in integrating the businesses, technologies, services, products, personnel, or operations of acquired companies, especially if we are unable to retain the key personnel of an acquired company. Further, future acquisitions may result in a delay or reduction of sales for both us and the acquired company because of customer uncertainty about the continuity and effectiveness of solutions offered by either company and may disrupt our existing business by diverting resources and significant management attention that otherwise would be focused on development of the existing business. Acquisitions also may negatively affect our relationships with strategic partners if the acquisitions are seen as bringing us into competition with such partners.</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complete an acquisition, we may be required to use substantial amounts of cash, engage in equity or debt financings, or enter into credit agreements to secure additional funds. Such debt financings could involve restrictive covenants that might limit our capital-raising activities and operating flexibility. Further, an acquisition may negatively affect our results of operations because it may expose us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21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addition, we periodically divest businesses, including businesses that are no longer a part of our strategic plan.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financial results.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focus on minimizing operating expenses through cost improvements and simplification of our corporate structure. Cost saving measures, reorganizations, and divestitures have resulted in workforce reductions and consolidation of facilities. As a result of these actions, we may experience a loss of continuity, loss of accumulated knowledge, diminished employee productivity, disruptions to our operations, and inefficiency during transitional periods. These actions could also impact employee retention. We may experience delays or unanticipated costs in implementing our cost efficiency plans, which could prevent the timely or full achievement of expected cost efficiencies and adversely affect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substantial non-U.S. net revenue is subject to additional risks and uncertainties.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Sales outside the United States accounted for approximately half of our consolidated net revenue for Fiscal 2024.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our ability to conduct business in non-U.S. markets; changes in tax laws; potential theft or other compromise, and limited or unfavorable protection, of our technology, data, or intellectual property; copyright levies; and volatility in foreign currency exchange rates. We could incur additional operating costs, or sustain supply chain disruptions, due to any such changes. Any of these factors could negatively affect our international business results and growth prospects.</w:t>
      </w:r>
    </w:p>
    <w:p>
      <w:pPr>
        <w:spacing w:after="0" w:line="2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profitability may be adversely affected by changes in the mix of products and services, customers, or geographic sales, and by seasonal sales trends.</w:t>
      </w:r>
    </w:p>
    <w:p>
      <w:pPr>
        <w:spacing w:after="0" w:line="18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For example, our services offerings generally have a higher profit margin than consumer products. In addition, parts of our business are subject to seasonal sales trends. Within ISG, our storage sales are typically stronger in our fourth fiscal quarter. Our sales within the Americas are typically stronger in the second and fourth fiscal quarters, while our sales in EMEA are typically stronger during the fourth fiscal quarter. Seasonality in our business may change over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lose revenue opportunities and experience gross margin pressure if sales channel participants fail to perform as expected.</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value-added resellers, system integrators, distributors, and retailers as sales channels to complement our direct sales organization in order to reach more end-users. Our future operating results depend on the performance of sales channel participants and on our success in maintaining and developing these relationships. Our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some channel participants may consider the expansion of our direct sales initiatives to conflict with their business interests as distributors or resellers of our products, which could lead them to reduce their investment in the distribution and sale of such products, or to cease all sales of our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performance could suffer from reduced access to the capital markets by us or some of our customers.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access debt and capital sources to provide financing for customers and to obtain funds for general corporate purposes, including working capital, acquisitions, capital expenditures, and funding of customer receivables. 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 The debt and capital markets may experience extreme volatility and disruption from time to time, which could result in higher credit spreads in such markets and higher funding costs for us. Deterioration in our business performance, a credit rating downgrade, volatility in the securitization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the value of our goodwill or intangible assets is materially impaired, our results of operations and financial condition could be materially and adversely affected.</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February 2, 2024, our goodwill and intangible assets, net had a combined carrying value of $25.4 billion, representing approximately 31%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 economic conditions and additional regulation could harm our financial services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services activities primarily through DFS can be negatively affected by adverse economic conditions that contribute to loan delinquencies and defaults. An increase in loan delinquencies and defaults would result in greater net credit losses, which may require us to increase our reserves for customer receivables.</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addition, the implementation of new financial services regulation, or the application of existing financial services regulation, in countries where we conduct our financial services and related supporting activities, could unfavorably affect the profitability and cash flows of our consumer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default risks.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w:t>
      </w:r>
    </w:p>
    <w:p>
      <w:pPr>
        <w:spacing w:after="0" w:line="21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performance and business could suffer if our contracts for ISG services and solutions fail to produce revenue at expected levels due to exercise of customer rights under the contracts, inaccurate estimation of costs, or customer defaults in payment.</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offer our ISG customers a range of consumption models for our services and solutions, including as-a-Service, utility, leases, or immediate pay models,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government contracts could harm our business.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our products and services. In addition, if we violate legal or regulatory requirements, the applicable government could suspend or disbar us as a contractor, which would unfavorably affect our net revenue and profitability.</w:t>
      </w:r>
    </w:p>
    <w:p>
      <w:pPr>
        <w:spacing w:after="0" w:line="2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suffer if we do not develop and protect our proprietary intellectual property or obtain or protect licenses to intellectual property developed by others on commercially reasonable and competitive terms.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or our suppliers are unable to develop or protect desirable technology or technology licenses, we may be prevented from marketing products, may have to market products without desirable features, or may incur substantial costs to redesign products. We also may have to defend or enforce legal actions or pay damages in jurisdictions throughout the world if we are found to have violated patents or other intellectual property rights of other parties. Although our suppliers might be contractually obligated to obtain or protect such licenses and indemnify us against related expenses,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disruptions could harm our business.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including those provided by third parties,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hedge effectively our exposure to fluctuations in foreign currency exchange rates and interest rates could adversely affect our financial condition and results of operations.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could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Adverse legislative or regulatory tax changes, the expiration of tax holidays or favorable tax rate structures, or unfavorable outcomes in tax audits and other tax compliance matters could result in an increase in our tax expense or our effective income tax rate.</w:t>
      </w:r>
    </w:p>
    <w:p>
      <w:pPr>
        <w:spacing w:after="0" w:line="17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Changes in tax laws could adversely affect our operations and profitability. In recent years, numerous legislative, judicial, and administrative changes have been made to tax laws applicable to us and similar companies. The Organisation for Economic Co-operation and Development (the “OECD”) is continuing discussions regarding fundamental changes in allocation of profits among tax jurisdictions in which companies do business, as well as the implementation of a global minimum tax, referred to as the “Pillar One” and “Pillar Two” proposals. Many countries, including countries in which we have tax holidays, have enacted or are in the process of enacting laws based on the Pillar Two proposal. Our effective tax rate and cash tax payments could increase in future years as a result of these changes.</w:t>
      </w:r>
    </w:p>
    <w:p>
      <w:pPr>
        <w:spacing w:after="0" w:line="21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Portions of our operations are subject to a reduced tax rate or are free of tax under various tax holidays that expire in whole or in part from time to time. Many of these holidays may be extended when certain conditions are met, or may be terminated if certain conditions are not met or as a result of changes in tax legislation. If the tax holidays are not extended, if tax legislation changes, or if we fail to satisfy the conditions of the reduced tax rate, our effective tax rate would be affected. In addition, our overall tax benefit from tax incentives could be adversely affected if the global minimum tax provisions discussed above are adopted in a country in which we benefit from an existing tax incentive. Our effective tax rate also could be impacted if our geographic distribution of earnings changes. In addition, any actions by us to repatriate non-U.S. earnings for which we have not previously provided for U.S. taxes may affect the effective tax rate.</w:t>
      </w:r>
    </w:p>
    <w:p>
      <w:pPr>
        <w:spacing w:after="0" w:line="2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continually under audit in various tax jurisdictions. We may not be successful in resolving potential tax claims that arise from these audits. A final determination of tax audits or disputes may differ from what is reflected in our historical income tax provisions or benefits and accruals. An unfavorable outcome in certain of these matters could result in a substantial increase in our tax expense. In addition, our provision for income taxes could be adversely affected by changes in the valuation of deferred tax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could suffer from declines in fair value or impairment of our portfolio investments.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invest a portion of available funds in a portfolio consisting of both equity and debt securities of various types and maturities pending the deployment of these funds in our business. Our equity investments consist of strategic investments in both marketable and non-marketable securities. Investments in marketable securities are measured at fair value on a recurring basis. We have elected to apply the measurement alternative for non-marketable securities. Under the alternative, we measure investments without readily determinable fair values at cost, less impairment, adjusted by observable price changes. Our debt securities generally are classified as held to maturity and are recorded in our financial statements at amortized cost. Our earnings performance could suffer from declines in fair value or impairment of our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results of legal proceedings could harm our business and result in substantial costs.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involved in various claims, suits, investigations, and legal proceedings that arise from time to time in the ordinary course of business or otherwise. Additional legal claims or regulatory matters affecting us and our subsidiaries may arise in the future and could involve stockholder, consumer, regulatory, compliance, intellectual property, antitrust, tax,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Even if we are not named a party to a particular suit, we may be subject to indemnification obligations to the named parties that could subject us to liability for damages or other amounts payable as a result of such judgments or settlements. In addition, our business, operating results, and financial condition could be adversely affected if any infringement or other intellectual property claim made against us by any third party is successful, or if we fail to develop non-infringing technology or license the proprietary rights on commercially reasonable terms and conditions.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achieve our ESG goals and initiatives, comply with ESG legal standards or meet the expectations of our stakeholders regarding our ESG activities could harm our reputation, adversely affect our business, and expose us to regulatory proceedings and litigation.</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(“ESG”) considerations relating to businesses, including climate change and greenhouse gas emissions, human and civil rights, and diversity and inclusion. We make statements about our ESG goals and initiatives through our SEC filings, our annual ESG report, our other non-financial reports, information provided on our website, press statements and other communications. Responding to these ESG considerations and implementation of these goals and initiatives involves risks and uncertainties, requires investments, and depends in part on third-party performance or data that is outside our control. We cannot guarantee that we will achieve our announced ESG goals and initiatives. In addition, some stakeholders may disagree with our goals and initiatives. Any failure, or perceived failure, by us to achieve our goals, further our initiatives, adhere to our public statements, comply with federal, state, or international ESG laws and regulations, or meet evolving and varied stakeholder expectations could harm our reputation, adversely affect our business, financial condition or results of operations, and expose us to liabilities under regulatory proceedings or litigation instituted in the United States or in other countries.</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or soon will be obligated to comply with new climate-related reporting requirements. Sustainability reporting frameworks may require us to provide detailed public disclosures about the greenhouse gas emissions and other climate-related effects our activities produce, the climate-related operating and financial risks we face, and the strategies we pursue to reduce and adapt to the impacts of climate change. We expect to incur substantial costs to prepare these disclosures. If we fail to compile, assess, and report the required information in a timely manner and in accordance with mandatory reporting standards, we could be exposed to fines and other sanctions.</w:t>
      </w:r>
    </w:p>
    <w:p>
      <w:pPr>
        <w:spacing w:after="0" w:line="2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Global climate change, and legal, regulatory, or market measures to address climate change, may negatively affect our business, operations, and financial results.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risks associated with the long-term effects of climate change on the global economy and on the IT industry in particular. The physical risks associated with climate change include the adverse effects of carbon dioxide and other greenhouse gases on global temperatures, weather patterns, and the frequency and severity of natural disasters. Extreme weather and natural disasters within or outside the United States could make it more difficult and costly for us to manufacture and deliver our products to our customers, obtain production materials from our suppliers, or perform other critical corporate functions.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increasing concern over climate change could also result in transition risks such as shifting customer preferences or regulatory changes. Changing customer preferences may result in increased demands regarding our solutions, products, and services, including the use of packaging materials and other components in our products and their environmental impact on sustainability. These demands may cause us to incur additional costs or make other changes to other operations to respond to such demands, which could adversely affect our financial results. If we fail to manage transition risks, including such demands, in an effective manner, customer demand for our solutions, products, and services could diminish, and our profitability could suffer.</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increasing concern over climate change could result in new domestic or international legal requirements for us to reduce greenhouse gas emissions and other environmental impacts of our operations, improve our energy efficiency, or undertake sustainability measures that exceed those we currently pursue. Any such regulatory requirements could cause disruptions in the manufacture of our products and result in increased procurement, production, and distribution costs. Our reputation and brand could be harmed if we fail, or are seen as having failed, to respond responsibly and effectively to changes in legal and regulatory measures adopted to address climate change.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Compliance requirements of current or future environmental and safety laws, human rights laws, or other laws may expose us to potential liability, increase our operating costs and otherwise harm our business.</w:t>
      </w:r>
    </w:p>
    <w:p>
      <w:pPr>
        <w:spacing w:after="0" w:line="1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including those currently imposed on Russia, and embargoes imposed by the U.S. government. Violations of the U.S. Foreign Corrupt Practices Act or other anti-corruption laws or export control, customs, or economic sanctions laws may result in severe criminal or civil sanctions and penalties, and we and our subsidiaries may be subject to other liabilities that could have a material adverse effect on our business, results of operations, and financial condition.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various human rights laws, including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disasters, terrorism, armed hostilities, or public health issues could harm our business.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Natural disasters, terrorism or armed hostilities, such as the war between Russia and Ukraine, the conflict in the Middle East, or tensions across the Taiwan Strait, or public health issues, such as those that have resulted from the coronavirus pandemic, whether in the United States or in other countries, could cause damage or disruption to us or our suppliers and customers, or could create political or economic instability, any of which impacts could harm our business. Any such events could cause a decrease in demand for our products, make it difficult or impossible to deliver products or for suppliers to deliver components, and create delays and inefficiencies in our supply chain.</w:t>
      </w: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are highly dependent on the services of Michael S. Dell, our Chief Executive Officer, and our loss of, or our inability to continue to attract, retain, and motivate, executive talent and other employees in this highly competitive market could harm our business.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highly dependent on the services of Michael S. Dell, our founder, Chief Executive Officer, and largest stockholder. Further, we rely on key personnel, including other members of our executive leadership team, to support our business and increasingly complex product and services offerings. Our experienced executives are supported by employees in our U.S. and international operations who are highly skilled in product development, manufacturing, sales, and other functions critical to our future growth and profitability. If we lose the services of Mr. Dell or other key personnel, we may not be able to locate suitable or qualified replacements, and we may incur additional expenses to recruit replacements, which could severely disrupt our business and growth. We face intensive competition, both within and outside of our industry, in retaining and hiring individuals with the requisite expertise. As a result of this competition, we may be unable to continue to attract, retain, and motivate suitably qualified individuals at acceptable compensation levels who have the managerial, operational, and technical knowledge and experience to meet our needs. Any failure by us to do so could adversely affect our competitive position and results of operations.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outstanding indebtedness and may incur additional debt in the future, which could adversely affect our financial condition.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February 2, 2024, we and our subsidiaries had approximately $26.0 billion aggregate principal amount of indebtedness. As of the same date, we and our subsidiaries also had an additional $6.0 billion available for borrowing under our revolving credit facility and $5.0 billion of availability under our commercial paper program. Although continued debt paydown is part of our overall capital allocation strategy, a substantial portion of our cash flow from operations is used to make interest and other debt service payments, which reduces funds available to us for other purposes such as working capital, capital expenditures, other general corporate purposes, and potential acquisitions. Our indebtedness could also reduce our flexibility in responding to current and changing industry and financial market conditions. We may be able to incur significant additional secured and unsecured indebtedness under the terms of our existing debt, which generally do not restrict our ability to incur additional unsecured debt and contain significant exceptions to the covenant restricting our ability to incur additional secured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Class C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multi-class common stock structure with different voting rights may adversely affect the trading price of the Class C Common Stock.</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94.0% of the total voting power of our outstanding common stock as of March 18, 2024. The limited ability of holders of the Class C Common Stock to influence matters requiring stockholder approval may adversely affect the trading price of the Class C Common Stock.</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our multi-class share structure, we have been and will likely continue to be excluded from certain stock indices. FTSE Russell has changed its eligibility criteria to exclude certain companies with multiple classes of shares of common stock from being added to some of its stock indices. Under the current criteria, new and, beginning in September 2022, existing constituents of its indices must have greater than 5% of their voting rights in the hands of public stockholders, as calculated by FTSE Russell. Previously, S&amp;P Dow Jones also had excluded companies with multiple share classes, such as Dell Technologies, from its indices, including the S&amp;P 500, S&amp;P MidCap 400, and S&amp;P SmallCap 600, which together make up the S&amp;P Composite 1500. In April 2023, S&amp;P Dow Jones reversed this policy and announced that companies with multi-class capital structures will again be eligible for inclusion on its indices. We cannot be sure that such policy, or the policies of other indices, will not change further and make us ineligible for inclusion in the S&amp;P Composite 1500, or other indices, in the future. After this rule change by the S&amp;P Dow Jones, the Russell 2000 continues to have, and other indices may have, limitations on inclusion based on multiple share class structures.</w:t>
      </w:r>
    </w:p>
    <w:p>
      <w:pPr>
        <w:spacing w:after="0" w:line="2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unclear what effect, if any, exclusion from any indices has on the valuations of the affected publicly-traded companies. It is possible that such policies may depress the valuations of public companies excluded from such indices compared to valuations of companies that are included.</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or the perception of future sales, of a substantial amount of shares of the Class C Common Stock could depress the trading price of the Class C Common Stock.</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March 18, 2024, we had a total of approximately 305 million shares of Class C Common Stock outstanding.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18, 2024, the 328,224,977 outstanding shares of Class A Common Stock held by the MD stockholders and the 80,311,277 outstanding shares of Class B Common Stock held by the SLP stockholders are convertible into shares of Class C Common Stock at any time on a one-to-one basis. Such shares, upon any conversion into shares of Class C Common Stock, will be eligible for resale in the public market pursuant to Rule 144 under the Securities Act of 1933 (the “Securities Act”), subject to compliance with conditions of Rule 144. From February 2, 2024 to March 18, 2024, the MD stockholders converted 25 million shares of Class A Common Stock and the SLP stockholders converted approximately 6 million shares of Class B Common Stock on a one-for-one basis into a total of approximately 31 million shares of Class C Common Stock.</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March 18, 2024, we have entered into a registration rights agreement with holders of substantially all outstanding shares of Class A Common Stock (which are convertible into the same number of shares of Class C Common Stock), holders of all outstanding shares of Class B Common Stock (which are convertible into the same number of shares of Class C Common Stock), and holders of approximately 42 million outstanding shares of Class C Common Stock, pursuant to which we granted such holders and their permitted transferees shelf, demand and/or piggyback registration rights with respect to such shares (including the shares of Class C Common Stock into which the Class A Common Stock and the Class B Common Stock may be converted). Registration of those shares under the Securities Act would permit such holders to sell the shares into the public market.</w:t>
      </w:r>
    </w:p>
    <w:p>
      <w:pPr>
        <w:spacing w:after="0" w:line="2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February 2, 2024, 40,188,647 shares of Class C Common Stock that were issuable upon the exercise, vesting, or settlement of outstanding stock options, restricted stock units, or deferred stock units under our stock incentive plan, all of which would have been, upon issuance, eligible for sale in the public market, subject where applicable to compliance with Rule 144, and an additional 58,080,682 shares of Class C Common Stock were authorized and reserved for issuance pursuant to potential future awards under the stock incentive plan.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w:t>
      </w:r>
    </w:p>
    <w:p>
      <w:pPr>
        <w:spacing w:after="0" w:line="21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are controlled by the MD stockholders, who, together with the SLP stockholders, collectively own a substantial majority of our common stock and are able to effectively control our actions, including approval of mergers and other significant corporate transactions.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all of the outstanding shares of the common stock voting together as a single class. Through their control, the MD stockholders are able to control our actions, including actions related to the election of our directors and directors of our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spacing w:after="0" w:line="2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as of March 18, 2024, the MD stockholders and the SLP stockholders collectively beneficially owned 63.1%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w:t>
      </w:r>
    </w:p>
    <w:p>
      <w:pPr>
        <w:spacing w:after="0" w:line="21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the MD stockholders and the SLP stockholders, respectively, have the right to nominate a number of individuals for election as Group I Directors (who constitute all but one of our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2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a “controlled company” within the meaning of the rules of the New York Stock Exchange and, as a result, qualify for, and rely on, exemptions from certain corporate governance requirements, holders of Class C Common Stock do not have the same protections afforded to stockholders of companies that are subject to such requirements.</w:t>
      </w:r>
    </w:p>
    <w:p>
      <w:pPr>
        <w:spacing w:after="0" w:line="2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a “controlled company” within the meaning of the rules of the New York Stock Exchange (the “NYSE”) because the MD stockholders hold common stock representing more than 50% of the voting power in the election of directors. As a result, holders of Class C Common Stock do not have the same protections afforded to stockholders of companies that are subject to all of the NYSE’s corporate governance requirements. Because we are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and three standing committees of the board composed entirely of independent directors, we may decide in the future to change our board membership and committee composition so that the board is not composed of a majority of independent directors or one or more committees are not composed entirely of independent directors.</w:t>
      </w:r>
    </w:p>
    <w:p>
      <w:pPr>
        <w:spacing w:after="0" w:line="21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designates a state court of the State of Delaware and the U.S. federal district courts as the sole and exclusive forum for certain types of legal actions and proceedings that may be initiated by our stockholders, which could limit the ability of the holders of Class C Common Stock to obtain a favorable judicial forum for disputes with us or with our directors, officers, or controlling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contains provisions requiring an exclusive forum for specified types of legal actions and proceedings.</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or officer or stockholder of Dell Technologies to us or our stockholders;</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Dell Technologies or any director or officer or stockholder of Dell Technologies arising pursuant to any provision of the Delaware General Corporation Law or of our certificate of incorporation or bylaws;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stockholder of Dell Technologies governed by our internal affairs doctrine.</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Delaware exclusive forum provision does not apply to suits brought to enforce any liability or duty created by the Exchange Act or the rules or regulations thereunder, or any other claim over which the federal district courts of the United States have exclusive jurisdiction.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Delaware exclusive forum provision, our certification of incorporation contains a provision stating that, unless we consent in writing to the selection of an alternative forum, the federal courts of the United States shall be the exclusive forum for the resolution of any complaint asserting a cause of action arising under the Securities Act.</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provisions of our certificate of incorporation could limit the ability of the holders of the Class C Common Stock to obtain a favorable judicial forum for disputes with us or with our directors, officers, or controlling stockholders, which may discourage such lawsuits against us and our directors, officers, and stockholders. Alternatively, if a court were to find these provisions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continue to pay cash dividends or to pay cash dividends at the same rate as announced in March 2024.</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payment of cash dividends, as well as the rate at which we pay dividends, is solely at the discretion of our Board of Directors. Further, dividend payments, if any, are subject to our financial results and the availability of statutory surplus to pay dividends. These factors could result in a change to our current dividend policy.</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face numerous cybersecurity threats that range from cyber-attacks common to most industries to attacks from more advanced and persistent threat actors that target large information technology companies with products and services operating in strategic sectors. We could be adversely affected by cybersecurity incidents affecting our systems or the systems of our suppliers and other third-party service providers. To address these threats, we expend considerable resources on cybersecurity risk management, strategy, and governance.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assess, identify, and manage material cybersecurity risks in a number of ways. Our global security and resiliency organization, under the leadership of our Chief Security Officer (“CSO”), has established an internal governance structure to identify, assess, rate, and manage cybersecurity risks across the Company in an integrated manner. The security and resiliency organization advises each business unit and functional area on addressing cybersecurity risks and monitors initiatives to mitigate and manage such risks over time. Each business unit or functional area is responsible for managing risks and ensuring that security and resiliency policies and standards are implemented within the respective business unit or function. Compliance with our internal security and resiliency policies and standards is assessed by our internal audit team, which has a dedicated cybersecurity audit function.</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security and resiliency organization includes a dedicated cybersecurity function led by our Chief Information Security Officer (“CISO”). As part of our cybersecurity function, the cybersecurity and intelligence response team (“CSIRT”) administers a program to monitor, detect, investigate, respond to, and escalate management of internal and external cybersecurity threats and incidents. The CSIRT provides threat intelligence information to our CSO, broader security and resiliency organization, and relevant business units and functional areas.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also engage third parties in connection with our cybersecurity risk management processes, including cybersecurity consultants and auditors, to conduct evaluations of our security controls and provide certifications for industry-standard security frameworks, such as ISO27001 and PCI-DSS.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monitoring risks from threats to our own assets, we administer a third-party risk management program that endeavors to help identify and manage risks from cybersecurity threats arising from our suppliers and other service provider organizations. This program seeks to combine a methodology for risk ratings with targeted cybersecurity assessments, security-focused contractual requirements, and monitoring activities based on the risk profile of covered suppliers and service providers.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CSO reports to our General Counsel and has principal executive responsibility and oversight for the Company’s strategy, planning, and operations on the management of both physical and cybersecurity risk. Our CSO has extensive cybersecurity and program management experience and previously served in relevant leadership positions at another large multinational corporation and the U.S. Department of Defense. He is supported by our Chief Information Security Officer, who has extensive cybersecurity experience in both the private and public sectors, and a team of cybersecurity professionals with relevant and expansive educational and industry experience.</w:t>
      </w:r>
    </w:p>
    <w:p>
      <w:pPr>
        <w:spacing w:after="0" w:line="2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Cybersecurity risk management has been integrated into the Company’s overall enterprise risk management program (“ERM”) through the Company’s enterprise risk governing bodies, which are the Global Risk and Compliance Council (“GRCC”) and the Enterprise Risk Steering Committee (“ERSC”). Our CSO reports on cybersecurity risk to the GRCC and ERSC and also serves as a member of the ERSC. The CSO regularly meets with members of our executive leadership team to discuss cybersecurity risks, as well as related mitigation and remediation activities. In addition, information on cybersecurity risks is further integrated into our overall ERM through our central internal audit function, which incorporates such information in regular audits of our cybersecurity and data protection controls and processes.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Board of Directors oversees significant cybersecurity risks to the Company directly and through its Audit Committee. The Board of Directors meets with our CSO or his delegate annually to review significant cybersecurity risks as well as cybersecurity priorities and focus areas for the upcoming fiscal year. The Audit Committee meets with our CSO or his delegate quarterly to review significant cybersecurity incidents and risks, as well as progress made towards key cybersecurity initiatives and matters. The CSO may provide more frequent updates to the Board of Directors and Audit Committee if necessitated by a security incident or other developments. The Audit Committee reports regularly to our Board of Directors regarding the committee’s oversight of cybersecurity risk matters.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no risks from cybersecurity threats, including as a result of any previous cybersecurity incident, have materially affected our business strategy, results of operations, or financial condition. Notwithstanding our investment in cybersecurity, we may not be successful in identifying a cybersecurity risk or preventing or mitigating a cybersecurity incident or product security vulnerability that could have a material adverse effect on our business, results of operations, or financial condition. For a discussion of cybersecurity risks affecting our business, see “Item 1A—Risk Factors—Risks Relating to Our Business and Our Industry.” Although we maintain cybersecurity insurance, the costs related to cybersecurity incidents may not be fully insured.</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and global headquarters are located at One Dell Way, Round Rock, Texas.</w:t>
      </w:r>
    </w:p>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February 2, 2024, as shown in the following table, we owned or leased 20.2 million square feet of office, manufacturing, and warehouse space worldwide: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15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63"/>
        </w:trPr>
        <w:tc>
          <w:tcPr>
            <w:tcW w:w="6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 millions)</w:t>
            </w:r>
          </w:p>
        </w:tc>
        <w:tc>
          <w:tcPr>
            <w:tcW w:w="1580" w:type="dxa"/>
            <w:vAlign w:val="bottom"/>
          </w:tcPr>
          <w:p>
            <w:pPr>
              <w:spacing w:after="0"/>
              <w:rPr>
                <w:sz w:val="22"/>
                <w:szCs w:val="22"/>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facilities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facilities</w:t>
            </w:r>
          </w:p>
        </w:tc>
        <w:tc>
          <w:tcPr>
            <w:tcW w:w="1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Includes 2.1 million square feet of subleased or vacant space.</w:t>
      </w:r>
    </w:p>
    <w:p>
      <w:pPr>
        <w:spacing w:after="0" w:line="2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February 2, 2024,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the interrelation of the products and services offered in each of our segments, we generally do not designate our properties to any segment. With limited exceptions, each property is used at least in part by both of our segments, and we retain the flexibility to make future use of each of the properties available to each segment.</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believe that our existing properties are suitable and adequate for our current needs. We will continue to assess our facilities requirements as part of normal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3 is incorporated herein by reference to the information set forth under the caption “Legal Matters” in Note 12 of the Notes to the Consolidated Financial Statements included in “Part II — Item 8 — Financial Statements and Supplementary Data.”</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February 2024, the Company received a subpoena from the staff of the Enforcement Division of the Securities and Exchange Commission requesting documents and information with respect to transactions involving related persons primarily concerning use of corporate and other aircraft. We are fully cooperating with the SEC staff.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Class C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C Common Stock is listed and traded on the New York Stock Exchange under the symbol “DELL.”</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is no public market for our Class A Common Stock or Class B Common Stock. No shares of our Class D Common Stock were outstanding as of February 2,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18, 2024, there were 3,854 holders of record of our Class C Common Stock, six holders of record of our Class A Common Stock, and five holders of record of our Class B Common Stock. The number of record holders does not include individuals or entities that beneficially own shares of any class of our common stock, but whose shares are held of record by a broker, bank, or other nominee.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the Company paid the following quarterly dividends: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1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60" w:type="dxa"/>
            <w:vAlign w:val="bottom"/>
          </w:tcPr>
          <w:p>
            <w:pPr>
              <w:spacing w:after="0"/>
              <w:rPr>
                <w:sz w:val="17"/>
                <w:szCs w:val="17"/>
                <w:color w:val="auto"/>
              </w:rPr>
            </w:pPr>
          </w:p>
        </w:tc>
        <w:tc>
          <w:tcPr>
            <w:tcW w:w="2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400" w:type="dxa"/>
            <w:vAlign w:val="bottom"/>
          </w:tcPr>
          <w:p>
            <w:pPr>
              <w:spacing w:after="0"/>
              <w:rPr>
                <w:sz w:val="17"/>
                <w:szCs w:val="17"/>
                <w:color w:val="auto"/>
              </w:rPr>
            </w:pPr>
          </w:p>
        </w:tc>
        <w:tc>
          <w:tcPr>
            <w:tcW w:w="19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160" w:type="dxa"/>
            <w:vAlign w:val="bottom"/>
            <w:gridSpan w:val="2"/>
            <w:vMerge w:val="continue"/>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21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2023</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25, 2023</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16, 2023</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25,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2023</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24,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 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5, 2023</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23,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 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6" w:lineRule="exact"/>
        <w:rPr>
          <w:sz w:val="20"/>
          <w:szCs w:val="20"/>
          <w:color w:val="auto"/>
        </w:rPr>
      </w:pPr>
    </w:p>
    <w:p>
      <w:pPr>
        <w:ind w:left="340" w:right="60" w:hanging="332"/>
        <w:spacing w:after="0" w:line="243" w:lineRule="auto"/>
        <w:tabs>
          <w:tab w:leader="none" w:pos="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 ended February 2, 2024, the Company also paid an immaterial amount of dividend equivalents on eligible vested equity awards which are not included above.</w:t>
      </w:r>
    </w:p>
    <w:p>
      <w:pPr>
        <w:spacing w:after="0" w:line="2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29, 2024, the Company announced that the Board of Directors approved a 20% increase in the quarterly dividend to a rate of $0.445 per share per fiscal quarter beginning in the first quarter of the fiscal year ending January 31, 2025.</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the continuing determination by the Board of Directors that the policy and the declaration of dividends thereunder are in the best interests of our stockholders and are in compliance with applicable law. The Board of Directors retains the power to modify, suspend, or cancel the dividend policy in any manner and at any time that it may deem necessary or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January 2024, the Company issued 218,182 shares of Class C Common Stock to a stockholder upon the conversion of the same number of shares of our Class A Common Stock held by and at the election of such stockholder. The issuance of the Class C Common Stock in this transaction was made in reliance on the exemption from registration under the Securities Act afforded by Section 3(a)(9) thereof. No commission or other remuneration was paid or given directly or indirectly for soliciting the exchange of these securities.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purchases of Class C Common Stock during the fourth quarter of Fiscal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94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90" w:lineRule="exact"/>
        <w:rPr>
          <w:sz w:val="20"/>
          <w:szCs w:val="20"/>
          <w:color w:val="auto"/>
        </w:rPr>
      </w:pPr>
    </w:p>
    <w:p>
      <w:pPr>
        <w:ind w:left="20" w:right="80"/>
        <w:spacing w:after="0" w:line="237" w:lineRule="auto"/>
        <w:rPr>
          <w:sz w:val="20"/>
          <w:szCs w:val="20"/>
          <w:color w:val="auto"/>
        </w:rPr>
      </w:pPr>
      <w:r>
        <w:rPr>
          <w:rFonts w:ascii="Times New Roman" w:cs="Times New Roman" w:eastAsia="Times New Roman" w:hAnsi="Times New Roman"/>
          <w:sz w:val="18"/>
          <w:szCs w:val="18"/>
          <w:color w:val="auto"/>
        </w:rPr>
        <w:t>Repurchases from November 4, 2023 to December 1, 2023</w:t>
      </w:r>
    </w:p>
    <w:p>
      <w:pPr>
        <w:spacing w:after="0" w:line="10" w:lineRule="exact"/>
        <w:rPr>
          <w:sz w:val="20"/>
          <w:szCs w:val="20"/>
          <w:color w:val="auto"/>
        </w:rPr>
      </w:pPr>
    </w:p>
    <w:p>
      <w:pPr>
        <w:ind w:left="20" w:right="100"/>
        <w:spacing w:after="0" w:line="237" w:lineRule="auto"/>
        <w:rPr>
          <w:sz w:val="20"/>
          <w:szCs w:val="20"/>
          <w:color w:val="auto"/>
        </w:rPr>
      </w:pPr>
      <w:r>
        <w:rPr>
          <w:rFonts w:ascii="Times New Roman" w:cs="Times New Roman" w:eastAsia="Times New Roman" w:hAnsi="Times New Roman"/>
          <w:sz w:val="18"/>
          <w:szCs w:val="18"/>
          <w:color w:val="auto"/>
        </w:rPr>
        <w:t>Repurchases from December 2, 2023 to December 29, 2023</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Repurchases from December 30, 2023 to February 2,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5"/>
                <w:szCs w:val="15"/>
                <w:color w:val="auto"/>
              </w:rPr>
            </w:pPr>
          </w:p>
        </w:tc>
        <w:tc>
          <w:tcPr>
            <w:tcW w:w="2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Price</w:t>
            </w:r>
          </w:p>
        </w:tc>
        <w:tc>
          <w:tcPr>
            <w:tcW w:w="19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4"/>
        </w:trPr>
        <w:tc>
          <w:tcPr>
            <w:tcW w:w="1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Under the Programs</w:t>
            </w: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7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418"/>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418"/>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-985520</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-454025</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100"/>
            <w:col w:w="8160"/>
          </w:cols>
          <w:pgMar w:left="320" w:top="121" w:right="339" w:bottom="1440" w:gutter="0" w:footer="0" w:header="0"/>
          <w:type w:val="continuous"/>
        </w:sectPr>
      </w:pP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as of September 23, 2021, our Board of Directors approved our current stock repurchase program with no established expiration date under which we may repurchase from time to time, through open market purchases, block trades, or accelerated or other structured share purchases, up to $5 billion of shares of Class C Common Stock, exclusive of any fees, commissions, or other expenses related to such repurchases.</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Effective as of October 5, 2023, the Company’s Board of Directors approved the repurchase of an additional $5 billion of shares of the Company’s Class C Common Stock under our stock repurchase program. Following the additional approval, the Company had approximately $5.7 billion in authorized amount remaining under the program.</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Class C Common Stock</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the Company’s Class C Common Stock for the period from February 1, 2019 through February 2, 2024 with the total return over the same period on the S&amp;P 500 Index and the S&amp;P 500 Information Technology Index. The graph assumes that $100 was invested on February 1, 2019 in the Class C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-10795</wp:posOffset>
            </wp:positionV>
            <wp:extent cx="5829300" cy="3326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2019</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2020</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29, 2021</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2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w:t>
            </w: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w:t>
            </w:r>
          </w:p>
        </w:tc>
      </w:tr>
      <w:tr>
        <w:trPr>
          <w:trHeight w:val="184"/>
        </w:trPr>
        <w:tc>
          <w:tcPr>
            <w:tcW w:w="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S&amp;P 500</w:t>
            </w:r>
          </w:p>
        </w:tc>
        <w:tc>
          <w:tcPr>
            <w:tcW w:w="15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Information</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Index</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w:t>
            </w:r>
          </w:p>
        </w:tc>
      </w:tr>
    </w:tbl>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preceding stock performance graph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MANAGEMENT’S DISCUSSION AND ANALYSIS OF FINANCIAL CONDITION AND RESULTS OF OPERATIONS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This management’s discussion and analysis should be read in conjunction with the audited Consolidated Financial Statements and accompanying Notes included in this Annual Report on Form 10-K. This section of this Form 10-K generally discusses Fiscal 2024 and Fiscal 2023 items and presents year-to-year comparisons between Fiscal 2024 and Fiscal 2023 results. Discussion of Fiscal 2022 items and year-to-year comparisons between Fiscal 2023 and Fiscal 2022 results that are not included in this Form 10-K are presented in “Part II — Item 7 — Management’s Discussion and Analysis of Financial Condition and Results of Operations” of the Company’s Annual Report on Form 10-K for the fiscal year ended February 3, 2023, as filed with the SEC on March 30, 2023, which is available free of charge on the SEC’s website at www.sec.gove and on our Investor Relations website at investors.delltechnologies.com.</w:t>
      </w:r>
    </w:p>
    <w:p>
      <w:pPr>
        <w:spacing w:after="0" w:line="210"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spacing w:after="0" w:line="19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indicates otherwise, references in this management’s discussion and analysis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fiscal year is the 52- or 53-week period ending on the Friday nearest January 31. We refer to our fiscal year ended February 2, 2024 as “Fiscal 2024” and our fiscal year ended February 3, 2023 as “Fiscal 2023.” Fiscal 2024 included 52 weeks and Fiscal 2023 included 53 weeks.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Dell Technologies is a global technology company that provides customers with a broad and innovative solutions portfolio to help customers modernize their information technology (“IT”) infrastructure, address workforce transformation, and provide critical solutions that keep people and organizations connected. With our extensive portfolio and our commitment to innovation, we offer secure, integrated solutions that extend from the edge to the core to the cloud, and we are at the forefront of artificial intelligence (“AI”), software-defined, and cloud native infrastructure solutions. Our vision is to become the most essential technology partner. We intend to realize our vision as we execute our strategy to leverage our strengths to extend our leadership positions and capture new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organized into two business units which are also our reportable segments: Infrastructure Solutions Group and Client Solutions Group.</w:t>
      </w:r>
    </w:p>
    <w:p>
      <w:pPr>
        <w:spacing w:after="0" w:line="250" w:lineRule="exact"/>
        <w:rPr>
          <w:sz w:val="20"/>
          <w:szCs w:val="20"/>
          <w:color w:val="auto"/>
        </w:rPr>
      </w:pPr>
    </w:p>
    <w:p>
      <w:pPr>
        <w:ind w:left="660" w:right="8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Infrastructure Solutions Group (“ISG”)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ISG includes our storage, server, and networking offerings. Our comprehensive storage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modern and traditional storage solutions, including all-flash arrays, scale-out file, object platforms, hyper-converged infrastructure, and software-defined storage. Our server portfolio includes high-performance general-purpose and AI-optimized servers. Our networking portfolio includes wide area network infrastructure, data center and edge networking switches, and cables and optics. ISG also offers software, peripherals, and services, including consulting and support and deployment.</w:t>
      </w:r>
    </w:p>
    <w:p>
      <w:pPr>
        <w:spacing w:after="0" w:line="210" w:lineRule="exact"/>
        <w:rPr>
          <w:rFonts w:ascii="Times New Roman" w:cs="Times New Roman" w:eastAsia="Times New Roman" w:hAnsi="Times New Roman"/>
          <w:sz w:val="18"/>
          <w:szCs w:val="18"/>
          <w:color w:val="auto"/>
        </w:rPr>
      </w:pPr>
    </w:p>
    <w:p>
      <w:pPr>
        <w:ind w:left="660" w:right="20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Client Solutions Group (“CSG”)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CSG includes offerings designed for commercial and consumer customers. Our CSG portfolio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PCs including notebooks, desktops, and workstations, branded peripherals, and third-party software and peripherals. CSG also includes services offerings, such as configuration, support and deployment, and extended warranties.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“other businesses” primarily consist of our resale of standalone offerings of VMware LLC (formerly “VMware, Inc.” and individually and together with its subsidiaries, “VMware”), referred to as “VMware Resale,” and offerings of SecureWorks Corp. (“Secureworks”). These businesses are not classified as reportable segments, either individually or collectively.</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our current reportable segments, see “Item 1 Business”, “Results of Operations — Business Unit Results,” and Note 19 of the Notes to the Consolidated Financial Statements included in this report.</w:t>
      </w:r>
    </w:p>
    <w:p>
      <w:pPr>
        <w:spacing w:after="0" w:line="18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traditional purchasing and financing offerings provided by Dell Financial Services and its affiliates (“DFS”). We also offer flexible consumption models, including utility, subscription, and as-a-Service models. These offerings allow our customers to pay over time and provide them with operational and financial flexibility. For additional information about our financing arrangements, see Note 6 of the Notes to the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Challenges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Fiscal 2024 Significant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certain significant developments impacted the environment in which we operate.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and their impact on our operations, were as follows:</w:t>
      </w:r>
    </w:p>
    <w:p>
      <w:pPr>
        <w:spacing w:after="0" w:line="185" w:lineRule="exact"/>
        <w:rPr>
          <w:sz w:val="20"/>
          <w:szCs w:val="20"/>
          <w:color w:val="auto"/>
        </w:rPr>
      </w:pPr>
    </w:p>
    <w:p>
      <w:pPr>
        <w:ind w:left="660" w:right="220" w:hanging="328"/>
        <w:spacing w:after="0" w:line="315"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Macroeconomic uncertainty: </w:t>
      </w:r>
      <w:r>
        <w:rPr>
          <w:rFonts w:ascii="Times New Roman" w:cs="Times New Roman" w:eastAsia="Times New Roman" w:hAnsi="Times New Roman"/>
          <w:sz w:val="17"/>
          <w:szCs w:val="17"/>
          <w:color w:val="auto"/>
        </w:rPr>
        <w:t>Throughout the year, the effects of the evolving macroeconomic environment continued to impact industry-wide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as customers were cautious and measured in their approach to IT spending, which affected our ISG and CSG net revenue performance.</w:t>
      </w:r>
    </w:p>
    <w:p>
      <w:pPr>
        <w:spacing w:after="0" w:line="161" w:lineRule="exact"/>
        <w:rPr>
          <w:rFonts w:ascii="Times New Roman" w:cs="Times New Roman" w:eastAsia="Times New Roman" w:hAnsi="Times New Roman"/>
          <w:sz w:val="17"/>
          <w:szCs w:val="17"/>
          <w:color w:val="auto"/>
        </w:rPr>
      </w:pPr>
    </w:p>
    <w:p>
      <w:pPr>
        <w:ind w:left="660" w:right="3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Advancements in artificial intelligence: </w:t>
      </w:r>
      <w:r>
        <w:rPr>
          <w:rFonts w:ascii="Times New Roman" w:cs="Times New Roman" w:eastAsia="Times New Roman" w:hAnsi="Times New Roman"/>
          <w:sz w:val="18"/>
          <w:szCs w:val="18"/>
          <w:color w:val="auto"/>
        </w:rPr>
        <w:t>Despite overall caution from our enterprise and large corporate customers, our ISG business benefited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increased demand for AI-optimized solutions as advancements in AI influenced customer spending behavior as organizations look to implement AI in their own operations. Demand for AI-optimized servers outpaced the supply of graphics processing units (“GPUs”) for these products, resulting in elevated backlog levels for such offerings as we exited the fiscal year.</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w:t>
      </w:r>
      <w:r>
        <w:rPr>
          <w:rFonts w:ascii="Times New Roman" w:cs="Times New Roman" w:eastAsia="Times New Roman" w:hAnsi="Times New Roman"/>
          <w:sz w:val="18"/>
          <w:szCs w:val="18"/>
          <w:color w:val="auto"/>
        </w:rPr>
        <w:t>Notwithstanding the constraints in supply for GPUs, our supply chain operated efficiently during the year. We experienced a decline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component and logistics costs, which we refer to as input costs. Input costs decreased generally as a result of declines in demand leading to improving supply positions for certain limited-source components as well as reductions in both expedited shipments and overall rate costs in the freight network.</w:t>
      </w:r>
    </w:p>
    <w:p>
      <w:pPr>
        <w:spacing w:after="0" w:line="206" w:lineRule="exact"/>
        <w:rPr>
          <w:rFonts w:ascii="Times New Roman" w:cs="Times New Roman" w:eastAsia="Times New Roman" w:hAnsi="Times New Roman"/>
          <w:sz w:val="18"/>
          <w:szCs w:val="18"/>
          <w:color w:val="auto"/>
        </w:rPr>
      </w:pPr>
    </w:p>
    <w:p>
      <w:pPr>
        <w:jc w:val="both"/>
        <w:ind w:left="660" w:right="3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Broadcom’s acquisition of VMware: </w:t>
      </w:r>
      <w:r>
        <w:rPr>
          <w:rFonts w:ascii="Times New Roman" w:cs="Times New Roman" w:eastAsia="Times New Roman" w:hAnsi="Times New Roman"/>
          <w:sz w:val="18"/>
          <w:szCs w:val="18"/>
          <w:color w:val="auto"/>
        </w:rPr>
        <w:t>On November 22, 2023, Broadcom, Inc., (“Broadcom”) completed its acquisition of VMware, leading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relationship with VMware described below. The changes affected our other businesses net revenue, most notably in the fourth quarter of the fiscal year.</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Throughout the year, we remained focused on our key strategic priorities, building long-term value creation for our stakeholders, and addressing our customers’ needs while continuing to make prudent decisions in response to the environment. We balanced profitability and growth while executing disciplined pricing and navigating through competitive pricing pressures, which increased as the year progressed. Additionally, we continued to execute cost management measures, including limiting external hiring, employee reorganizations, and other actions to align our investments with our strategic priorities and customer needs. These actions resulted in a reduction in our overall headcount.</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Despite continued near-term challenges, we expect the demand environment to improve in Fiscal 2025 which will enable us to achieve net revenue growth for the full fiscal year. We expect ISG net revenue to grow, driven by our AI-optimized servers, improving demand for our traditional servers, and a recovery in demand for our storage offerings. We expect CSG net revenue growth for the full fiscal year, driven in part by the anticipated PC refresh cycle in the latter part of Fiscal 2025. While we anticipate both ISG and CSG net revenue growth, we expect a continued reduction of our other businesses’ net revenue as a result of the change in our commercial relationship with VMware.</w:t>
      </w:r>
    </w:p>
    <w:p>
      <w:pPr>
        <w:spacing w:after="0" w:line="2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expect input costs to increase during Fiscal 2025, principally driven by anticipated inflation for component costs as the year progresses. Further, we anticipate that the pricing environment will be more competitive in Fiscal 2025, which we began to observe during the second half of Fiscal 2024. Input cost trends are dependent on the strength or weakness of actual end-user demand and supply dynamics, which will continue to fluctuate and ultimately impact our costs, pricing, and operating results. We plan to mitigate the impact of these dynamics through continued disciplined cost management.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Throughout Fiscal 2025, we will continue to advance our own capabilities to change the way we work and make decisions, improve business outcomes and the customer experience, and reduce cost by leveraging new technology to streamline our own systems and optimize business processes. We believe our unique operating advantages provide a foundation to foster growth, drive efficiencies, and continue to position us for long-term success.</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Relationship with VMware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November 1, 2021, we completed our spin-off of VMware by means of a special stock dividend (the “VMware Spin-off”). In connection with and upon completion of the VMware Spin-off, we entered into the Commercial Framework Agreement (“CFA”) with VMware, which provided the framework under which we and VMware continued our commercial relationship. Pursuant to the CFA, we have acted as a distributor of VMware’s standalone products and services, purchased such products and services for resale to customers, and integrated VMware products and services with Dell Technologies’ offerings for sale to end-users.</w:t>
      </w: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22, 2023, VMware was acquired by Broadcom. Following the acquisition, Broadcom announced changes to its go-to-market approach for VMware offerings which impacted our commercial relationship with VMware. In response to such changes, on January 25, 2024, under a provision of the CFA permitting us to terminate the agreement upon a change in control of VMware, we delivered notice of termination of the CFA to Broadcom under which the agreement will terminate on March 25, 2024.</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continues to integrate select VMware products and services with Dell Technologies’ offerings and sell them to end-users. The results of such offerings are reflected within CSG or ISG, depending upon the nature of the underlying offering sold.</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VMware was a related party until the date of its acquisition by Broadcom. The acquisition terminated the preexisting related party relationship with VMware such that no related party relationship exists with either Broadcom or VMware as of the date of issuance of this report. For more information regarding the impact of the Broadcom acquisition of VMware and our related party transactions with VMware, see Note 20 of the Notes to the Consolidated Financial Statements included in this report.</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ISG</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We expect that ISG will continue to be impacted by the evolving nature of the IT infrastructure market and competitive environment. With our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strong solutions portfolio, we believe we are well-positioned to address the ongoing competitive dynamics and trends in technology and customer needs. Through our collaborative, customer-focused approach to innovation, we strive to deliver new and relevant solutions and software to our customers quickly and efficiently. We continue to focus on customer base expansion and the lifetime value of customer relationships.</w:t>
      </w:r>
    </w:p>
    <w:p>
      <w:pPr>
        <w:spacing w:after="0" w:line="2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anticipate that ISG will continue to benefit from technology advances and customer interest in AI. Through our server and storage offerings, including our AI-optimized solutions, we are well positioned to capture growth and support our customers’ needs.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growth in data will continue to generate long-term demand for our storage solutions and services. Cloud native applications are expected to continue to be a key trend in the infrastructure market. We benefit from offering solutions that address software-defined storage, hyper-converged infrastructure, and modular solutions based on server-centric architectures. We continue to expand our offerings in external storage arrays, which incorporate flexible, cloud-based functionality. Our storage business is subject to seasonal trends, which may continue to impact ISG results.</w:t>
      </w:r>
    </w:p>
    <w:p>
      <w:pPr>
        <w:spacing w:after="0" w:line="20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CSG</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We participate in all segments of the PC market but focus on commercial and high-end consumer computing devices, as we believe they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most stable and profitable markets. We anticipate that CSG will benefit from advances in AI in the long-term as customers will require PCs with the ability to run their complex AI workloads.</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Competitive dynamics continue to be an important factor in our CSG business and continue to impact pricing and operating results. We remain committed to our long-term CSG strategy and will continue to make investments to innovate across the portfolio. We expect that the CSG demand environment will continue to be subject to seasonal trends.</w:t>
      </w:r>
    </w:p>
    <w:p>
      <w:pPr>
        <w:spacing w:after="0" w:line="20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Recurring Revenue and Consumption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expect that our flexible consumption models will further strengthen our customer relationships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foundation for growth in recurring revenue. We define recurring revenue as revenue recognized that is primarily related to hardware and software maintenance as well as operating leases, subscription, as-a-Service, and usage-based offerings.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Strategic Investments and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our strategy, we will continue to evaluate opportunities for strategic investments through our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 arm, Dell Technologies Capital, with a focus on emerging technology areas that are relevant to our business. The technologies or products these companies have under development are typically in the early stages and may never have commercial value, which could result in a loss of a substantial part of our investment in the companies.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Exposure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manage our business on a U.S. dollar basis. However, we have a large global presence, generating approximately 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from sales to customers outside of the United States during Fiscal 2024 and Fiscal 2023.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Other Macroeconomic Risks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impacts of trade protection measures, including increases in tariffs and trade barriers,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policies and international trade arrangements, geopolitical volatility (including ongoing military conflicts in Ukraine and the Middle East), and global macroeconomic conditions (including those in China), may affect our ability to conduct business in some non-U.S. markets. We monitor and seek to mitigate these risks with adjustments to our manufacturing, supply chain, and distribution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non-GAAP earnings per share attributable to Dell Technologies, Inc. - diluted; free cash flow; and adjusted free cash flow. These non-GAAP financial measures are not meant to be considered as indicators of performance or liquidity in isolation from or as a substitute for gross margin, operating expenses, operating income, net income, diluted earnings per share, or cash flows from operating activities prepared in accordance with GAAP, and should be read only in conjunction with financial information presented on a GAAP basis.</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to supplement financial information presented on a GAAP basis. Management uses these non-GAAP measures in financial planning and forecasting and when evaluating our financial results and operating trends and performance. We believe, when used supplementally with GAAP financial measures, these non-GAAP financial measures provide our investors with useful and transparent information to help them evaluate our results by facilitating an enhanced understanding of our results of operations and enabling them to make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Non-GAAP product net revenue, non-GAAP services net revenue, non-GAAP net revenue, non-GAAP product gross margin, non-GAAP services gross margin, non-GAAP gross margin, non-GAAP operating expenses, non-GAAP operating income, non-GAAP net income, and non-GAAP earnings per share attributable to Dell Technologies, Inc. - diluted, as defined by us, exclude amortization of intangible assets, the impact of purchase accounting, transaction-related expenses, stock-based compensation expense, other corporate expenses and, for non-GAAP net income and non-GAAP diluted earnings per share attributable to Dell Technologies, fair value adjustments on equity investments and an aggregate adjustment for income taxes. As the excluded items may have a material impact on our financial results, our management compensates for this limitation by relying primarily on our GAAP results and using non-GAAP financial measures supplementally or for projections when comparable GAAP financial measures are not available.</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items excluded from the most comparable GAAP financial measures to calculate our non-GAAP financial measures.</w:t>
      </w:r>
    </w:p>
    <w:p>
      <w:pPr>
        <w:spacing w:after="0" w:line="250" w:lineRule="exact"/>
        <w:rPr>
          <w:sz w:val="20"/>
          <w:szCs w:val="20"/>
          <w:color w:val="auto"/>
        </w:rPr>
      </w:pPr>
    </w:p>
    <w:p>
      <w:pPr>
        <w:ind w:left="340" w:hanging="332"/>
        <w:spacing w:after="0" w:line="255"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Amortization of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Amortization of intangible assets primarily consists of amortization of customer relationships,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trade names. In connection with our acquisition by merger of EMC, referred to as the “EMC merger transaction,” and the acquisition of Dell Inc. by Dell Technologies Inc., referred to as the “going-private transaction,” all of the tangible and intangible assets and liabilities of EMC and Dell Inc. and their consolidated subsidiaries, respectively, were accounted for and recognized at fair value on the transaction dates. Accordingly, for the periods presented, amortization of intangible assets primarily represents amortization associated with intangible assets recognized in connection with the EMC merger transaction and the going-private transaction. We exclude amortization charges for purchased intangible assets as they are significantly impacted by the timing and magnitude of our acquisitions, may vary in amount from period to period, and do not reflect current operating performance.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40" w:hanging="332"/>
        <w:spacing w:after="0" w:line="25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Impact of Purchase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impact of purchase accounting includes purchase accounting adjustments primarily related to the EMC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recorded under the acquisition method of accounting in accordance with the accounting guidance for business combinations. In accordance with such guidance, all of the assets and liabilities acquired were accounted for and recognized at fair value as of the transaction date, and the fair value adjustments continue to amortize over the estimated useful lives in the periods following the transaction. The fair value adjustments that are still amortizing primarily relate to property, plant, and equipment. We exclude the impact of purchase accounting as it is does not reflect our current operating performance and charges are significantly impacted by the timing and magnitude of our acquisitions and, as a result, may vary in amount from period to period.</w:t>
      </w:r>
    </w:p>
    <w:p>
      <w:pPr>
        <w:spacing w:after="0" w:line="209" w:lineRule="exact"/>
        <w:rPr>
          <w:rFonts w:ascii="Times New Roman" w:cs="Times New Roman" w:eastAsia="Times New Roman" w:hAnsi="Times New Roman"/>
          <w:sz w:val="18"/>
          <w:szCs w:val="18"/>
          <w:color w:val="auto"/>
        </w:rPr>
      </w:pPr>
    </w:p>
    <w:p>
      <w:pPr>
        <w:ind w:left="340" w:right="120" w:hanging="332"/>
        <w:spacing w:after="0" w:line="256"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i w:val="1"/>
          <w:iCs w:val="1"/>
          <w:u w:val="single" w:color="auto"/>
          <w:color w:val="auto"/>
        </w:rPr>
        <w:t>Transaction-Related (Income) Expenses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Transaction-related expenses typically consist of acquisition, integration, and divestiture related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expensed as incurred. During Fiscal 2022, this category also includes costs incurred in connection with the VMware Spin-off. These expenses primarily represent costs for legal, banking, consulting, and advisory services. During Fiscal 2022, this category included $1.5 billion in debt extinguishment fees primarily associated with the early retirement of certain senior notes. From time to time, this category also may include transaction-related income related to divestitures of businesses or asset sales. During Fiscal 2022, we recognized a pre-tax gain of $4.0 billion on the sale of our Boomi business. We exclude transaction-related expenses because they are significantly impacted by the timing and magnitude of our acquisitions and divestitures and do not reflect current operating performance.</w:t>
      </w:r>
    </w:p>
    <w:p>
      <w:pPr>
        <w:spacing w:after="0" w:line="209" w:lineRule="exact"/>
        <w:rPr>
          <w:rFonts w:ascii="Times New Roman" w:cs="Times New Roman" w:eastAsia="Times New Roman" w:hAnsi="Times New Roman"/>
          <w:sz w:val="18"/>
          <w:szCs w:val="18"/>
          <w:b w:val="1"/>
          <w:bCs w:val="1"/>
          <w:i w:val="1"/>
          <w:iCs w:val="1"/>
          <w:color w:val="auto"/>
          <w:strike w:val="1"/>
        </w:rPr>
      </w:pPr>
    </w:p>
    <w:p>
      <w:pPr>
        <w:ind w:left="340" w:hanging="332"/>
        <w:spacing w:after="0" w:line="257" w:lineRule="auto"/>
        <w:tabs>
          <w:tab w:leader="none" w:pos="33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Stock-based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Stock-based compensation expense consists of equity awards granted based on the estimated fair value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at grant date. To estimate the fair value of performance-based awards containing a market condition, we use the Monte Carlo valuation model. For other share-based awards, the fair value is generally based on the closing price of the Class C Common Stock as reported on the NYSE on the date of grant. Although stock-based compensation is an important aspect of the compensation of our employees and executives, we exclude such expense because the fair value of the stock-based awards may fluctuate based on factors unrelated to the operating performance of the business and may bear little resemblance to the actual value realized upon the vesting or future exercise of the related stock-based awards.</w:t>
      </w:r>
    </w:p>
    <w:p>
      <w:pPr>
        <w:spacing w:after="0" w:line="209" w:lineRule="exact"/>
        <w:rPr>
          <w:rFonts w:ascii="Times New Roman" w:cs="Times New Roman" w:eastAsia="Times New Roman" w:hAnsi="Times New Roman"/>
          <w:sz w:val="18"/>
          <w:szCs w:val="18"/>
          <w:i w:val="1"/>
          <w:iCs w:val="1"/>
          <w:color w:val="auto"/>
        </w:rPr>
      </w:pPr>
    </w:p>
    <w:p>
      <w:pPr>
        <w:ind w:left="340" w:right="140" w:hanging="332"/>
        <w:spacing w:after="0" w:line="255"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Other Corporate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corporate expenses consist primarily of impairment charges, severance expenses, incentive charges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 facility action costs, and payroll taxes associated with stock-based compensation. During Fiscal 2024 and Fiscal 2023, we recognized $0.6 billion and $0.5 billion, respectively, of severance expense related to workforce reduction activities. Severance costs are primarily related to severance and benefits for employees terminated pursuant to cost savings initiatives. During Fiscal 2023, other corporate expenses includes $0.9 billion of net expense recognized within interest and other, net, in connection with an agreement to settle the Class V transaction litigation. See Note 12 of the Notes to the Consolidated Financial Statements included in this report for information about this matter. Although we may incur these types of expenses in the future, we exclude other corporate expenses as they can vary from period to period, are significantly impacted by the timing and nature of these events, and are not used by management in assessing operating performance of the business.</w:t>
      </w:r>
    </w:p>
    <w:p>
      <w:pPr>
        <w:spacing w:after="0" w:line="211" w:lineRule="exact"/>
        <w:rPr>
          <w:rFonts w:ascii="Times New Roman" w:cs="Times New Roman" w:eastAsia="Times New Roman" w:hAnsi="Times New Roman"/>
          <w:sz w:val="18"/>
          <w:szCs w:val="18"/>
          <w:b w:val="1"/>
          <w:bCs w:val="1"/>
          <w:i w:val="1"/>
          <w:iCs w:val="1"/>
          <w:color w:val="auto"/>
        </w:rPr>
      </w:pPr>
    </w:p>
    <w:p>
      <w:pPr>
        <w:ind w:left="340" w:right="200" w:hanging="332"/>
        <w:spacing w:after="0" w:line="257"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Fair Value Adjustments on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Fair value adjustments on equity investments primarily consist of the gain (loss) on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which includes recurring fair value adjustments of investments in publicly-traded companies, as well as those in privately-held companies, which are adjusted for observable price changes and any potential impairments. See Note 5 of the Notes to the Consolidated Financial Statements included in this report for additional information on our strategic investment activity. We exclude fair value adjustments on equity investments given the volatility in ongoing adjustments to the valuation of these strategic investments and because such adjustments are unrelated to the operating performance of our business.</w:t>
      </w:r>
    </w:p>
    <w:p>
      <w:pPr>
        <w:spacing w:after="0" w:line="222" w:lineRule="exact"/>
        <w:rPr>
          <w:rFonts w:ascii="Times New Roman" w:cs="Times New Roman" w:eastAsia="Times New Roman" w:hAnsi="Times New Roman"/>
          <w:sz w:val="18"/>
          <w:szCs w:val="18"/>
          <w:b w:val="1"/>
          <w:bCs w:val="1"/>
          <w:i w:val="1"/>
          <w:iCs w:val="1"/>
          <w:color w:val="auto"/>
        </w:rPr>
      </w:pPr>
    </w:p>
    <w:p>
      <w:pPr>
        <w:ind w:left="340" w:right="20" w:hanging="332"/>
        <w:spacing w:after="0" w:line="253" w:lineRule="auto"/>
        <w:tabs>
          <w:tab w:leader="none" w:pos="328"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i w:val="1"/>
          <w:iCs w:val="1"/>
          <w:u w:val="single" w:color="auto"/>
          <w:color w:val="auto"/>
        </w:rPr>
        <w:t>Aggregate Adjustment for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aggregate adjustment for income taxes is the estimated combined income tax effect for the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as well as an adjustment for discrete tax items. We exclude these benefits or charges for purposes of calculating non-GAAP net income due to the variability in recognition of discrete tax items from period to period. The tax effects are determined based on the tax jurisdictions where the above items were incurred. See Note 13 of the Notes to the Consolidated Financial Statements included in this report for additional information about our income taxes. Beginning in Fiscal 2025, our non-GAAP income tax will be calculated using a fixed estimated annual tax rate which will be determined based on historical trends and projections for the current fiscal year. We may adjust our estimated annual tax rate during the fiscal year to take into account events that would significantly impact our income tax expense, including significant changes resulting from tax legislation, material changes in the geographic mix of revenue and expenses, changes to our corporate structure, and other significant events.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each non-GAAP financial measure to the most directly comparable GAAP measure for the periods indicated:</w:t>
      </w:r>
    </w:p>
    <w:p>
      <w:pPr>
        <w:spacing w:after="0" w:line="90"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19685</wp:posOffset>
            </wp:positionV>
            <wp:extent cx="4612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tabs>
          <w:tab w:leader="none" w:pos="5380" w:val="left"/>
          <w:tab w:leader="none" w:pos="4180" w:val="left"/>
          <w:tab w:leader="none" w:pos="2500" w:val="left"/>
          <w:tab w:leader="none" w:pos="1300" w:val="left"/>
        </w:tabs>
        <w:rPr>
          <w:sz w:val="20"/>
          <w:szCs w:val="20"/>
          <w:color w:val="auto"/>
        </w:rPr>
      </w:pPr>
      <w:r>
        <w:rPr>
          <w:rFonts w:ascii="Times New Roman" w:cs="Times New Roman" w:eastAsia="Times New Roman" w:hAnsi="Times New Roman"/>
          <w:sz w:val="18"/>
          <w:szCs w:val="18"/>
          <w:b w:val="1"/>
          <w:bCs w:val="1"/>
          <w:color w:val="auto"/>
        </w:rPr>
        <w:t>February 2, 2024</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February 3, 2023</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19685</wp:posOffset>
            </wp:positionV>
            <wp:extent cx="4612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w w:val="98"/>
              </w:rPr>
              <w:t>(in millions, except percentages)</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Product net revenue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440" w:type="dxa"/>
            <w:vAlign w:val="bottom"/>
          </w:tcPr>
          <w:p>
            <w:pPr>
              <w:spacing w:after="0"/>
              <w:rPr>
                <w:sz w:val="19"/>
                <w:szCs w:val="19"/>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Non-GAAP product net revenue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44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Services net revenue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440" w:type="dxa"/>
            <w:vAlign w:val="bottom"/>
          </w:tcPr>
          <w:p>
            <w:pPr>
              <w:spacing w:after="0"/>
              <w:rPr>
                <w:sz w:val="24"/>
                <w:szCs w:val="24"/>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Non-GAAP services net revenue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44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102,301</w:t>
            </w:r>
          </w:p>
        </w:tc>
        <w:tc>
          <w:tcPr>
            <w:tcW w:w="440" w:type="dxa"/>
            <w:vAlign w:val="bottom"/>
          </w:tcPr>
          <w:p>
            <w:pPr>
              <w:spacing w:after="0"/>
              <w:rPr>
                <w:sz w:val="24"/>
                <w:szCs w:val="24"/>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Non-GAAP net revenue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c>
          <w:tcPr>
            <w:tcW w:w="44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440" w:type="dxa"/>
            <w:vAlign w:val="bottom"/>
          </w:tcPr>
          <w:p>
            <w:pPr>
              <w:spacing w:after="0"/>
              <w:rPr>
                <w:sz w:val="24"/>
                <w:szCs w:val="24"/>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product gross margin</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4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Services gross margin</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440" w:type="dxa"/>
            <w:vAlign w:val="bottom"/>
          </w:tcPr>
          <w:p>
            <w:pPr>
              <w:spacing w:after="0"/>
              <w:rPr>
                <w:sz w:val="24"/>
                <w:szCs w:val="24"/>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services gross margin</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4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440" w:type="dxa"/>
            <w:vAlign w:val="bottom"/>
          </w:tcPr>
          <w:p>
            <w:pPr>
              <w:spacing w:after="0"/>
              <w:rPr>
                <w:sz w:val="24"/>
                <w:szCs w:val="24"/>
                <w:color w:val="auto"/>
              </w:rPr>
            </w:pPr>
          </w:p>
        </w:tc>
      </w:tr>
      <w:tr>
        <w:trPr>
          <w:trHeight w:val="23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4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gross margin</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4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-5691505</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-5400040</wp:posOffset>
            </wp:positionV>
            <wp:extent cx="71151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-5082540</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-4765675</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-4474210</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-4131310</wp:posOffset>
            </wp:positionV>
            <wp:extent cx="71151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-3839845</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-3522345</wp:posOffset>
            </wp:positionV>
            <wp:extent cx="71151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-3205480</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-2914015</wp:posOffset>
            </wp:positionV>
            <wp:extent cx="711517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-2622550</wp:posOffset>
            </wp:positionV>
            <wp:extent cx="711517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-2305050</wp:posOffset>
            </wp:positionV>
            <wp:extent cx="71151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-1988185</wp:posOffset>
            </wp:positionV>
            <wp:extent cx="711517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-1696720</wp:posOffset>
            </wp:positionV>
            <wp:extent cx="71151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-1405255</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-1062355</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-770890</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-479425</wp:posOffset>
            </wp:positionV>
            <wp:extent cx="71151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-187960</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79,830</w:t>
            </w:r>
          </w:p>
        </w:tc>
      </w:tr>
      <w:tr>
        <w:trPr>
          <w:trHeight w:val="459"/>
        </w:trPr>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(1)%</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79,830</w:t>
            </w:r>
          </w:p>
        </w:tc>
      </w:tr>
      <w:tr>
        <w:trPr>
          <w:trHeight w:val="21"/>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w:t>
            </w:r>
          </w:p>
        </w:tc>
      </w:tr>
      <w:tr>
        <w:trPr>
          <w:trHeight w:val="459"/>
        </w:trPr>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1"/>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101,197</w:t>
            </w:r>
          </w:p>
        </w:tc>
      </w:tr>
      <w:tr>
        <w:trPr>
          <w:trHeight w:val="459"/>
        </w:trPr>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101,229</w:t>
            </w:r>
          </w:p>
        </w:tc>
      </w:tr>
      <w:tr>
        <w:trPr>
          <w:trHeight w:val="21"/>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r>
      <w:tr>
        <w:trPr>
          <w:trHeight w:val="454"/>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w:t>
            </w:r>
          </w:p>
        </w:tc>
      </w:tr>
      <w:tr>
        <w:trPr>
          <w:trHeight w:val="20"/>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454"/>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w:t>
            </w:r>
          </w:p>
        </w:tc>
      </w:tr>
      <w:tr>
        <w:trPr>
          <w:trHeight w:val="20"/>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21,891</w:t>
            </w:r>
          </w:p>
        </w:tc>
      </w:tr>
      <w:tr>
        <w:trPr>
          <w:trHeight w:val="454"/>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22,684</w:t>
            </w:r>
          </w:p>
        </w:tc>
      </w:tr>
      <w:tr>
        <w:trPr>
          <w:trHeight w:val="20"/>
        </w:trPr>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500"/>
            <w:col w:w="1960"/>
          </w:cols>
          <w:pgMar w:left="320" w:top="121" w:right="359" w:bottom="1440" w:gutter="0" w:footer="0" w:header="0"/>
          <w:type w:val="continuous"/>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92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19685</wp:posOffset>
            </wp:positionV>
            <wp:extent cx="46120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tabs>
          <w:tab w:leader="none" w:pos="5380" w:val="left"/>
          <w:tab w:leader="none" w:pos="4180" w:val="left"/>
          <w:tab w:leader="none" w:pos="2480" w:val="left"/>
          <w:tab w:leader="none" w:pos="1280" w:val="left"/>
        </w:tabs>
        <w:rPr>
          <w:sz w:val="20"/>
          <w:szCs w:val="20"/>
          <w:color w:val="auto"/>
        </w:rPr>
      </w:pPr>
      <w:r>
        <w:rPr>
          <w:rFonts w:ascii="Times New Roman" w:cs="Times New Roman" w:eastAsia="Times New Roman" w:hAnsi="Times New Roman"/>
          <w:sz w:val="18"/>
          <w:szCs w:val="18"/>
          <w:b w:val="1"/>
          <w:bCs w:val="1"/>
          <w:color w:val="auto"/>
        </w:rPr>
        <w:t>February 2, 2024</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8"/>
          <w:szCs w:val="18"/>
          <w:b w:val="1"/>
          <w:bCs w:val="1"/>
          <w:color w:val="auto"/>
        </w:rPr>
        <w:t>February 3, 2023</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7"/>
          <w:szCs w:val="17"/>
          <w:b w:val="1"/>
          <w:bCs w:val="1"/>
          <w:color w:val="auto"/>
        </w:rPr>
        <w:t>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19685</wp:posOffset>
            </wp:positionV>
            <wp:extent cx="46120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3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w w:val="98"/>
              </w:rPr>
              <w:t>(in millions, except percentages)</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420" w:type="dxa"/>
            <w:vAlign w:val="bottom"/>
          </w:tcPr>
          <w:p>
            <w:pPr>
              <w:spacing w:after="0"/>
              <w:rPr>
                <w:sz w:val="19"/>
                <w:szCs w:val="19"/>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2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2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4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420" w:type="dxa"/>
            <w:vAlign w:val="bottom"/>
          </w:tcPr>
          <w:p>
            <w:pPr>
              <w:spacing w:after="0"/>
              <w:rPr>
                <w:sz w:val="24"/>
                <w:szCs w:val="24"/>
                <w:color w:val="auto"/>
              </w:rPr>
            </w:pPr>
          </w:p>
        </w:tc>
      </w:tr>
      <w:tr>
        <w:trPr>
          <w:trHeight w:val="22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2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operating income</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42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420" w:type="dxa"/>
            <w:vAlign w:val="bottom"/>
          </w:tcPr>
          <w:p>
            <w:pPr>
              <w:spacing w:after="0"/>
              <w:rPr>
                <w:sz w:val="24"/>
                <w:szCs w:val="24"/>
                <w:color w:val="auto"/>
              </w:rPr>
            </w:pPr>
          </w:p>
        </w:tc>
      </w:tr>
      <w:tr>
        <w:trPr>
          <w:trHeight w:val="23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r>
      <w:tr>
        <w:trPr>
          <w:trHeight w:val="229"/>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Transaction-related (income) expenses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420" w:type="dxa"/>
            <w:vAlign w:val="bottom"/>
          </w:tcPr>
          <w:p>
            <w:pPr>
              <w:spacing w:after="0"/>
              <w:rPr>
                <w:sz w:val="19"/>
                <w:szCs w:val="19"/>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tcPr>
          <w:p>
            <w:pPr>
              <w:spacing w:after="0"/>
              <w:rPr>
                <w:sz w:val="19"/>
                <w:szCs w:val="19"/>
                <w:color w:val="auto"/>
              </w:rPr>
            </w:pPr>
          </w:p>
        </w:tc>
      </w:tr>
      <w:tr>
        <w:trPr>
          <w:trHeight w:val="234"/>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20" w:type="dxa"/>
            <w:vAlign w:val="bottom"/>
          </w:tcPr>
          <w:p>
            <w:pPr>
              <w:spacing w:after="0"/>
              <w:rPr>
                <w:sz w:val="20"/>
                <w:szCs w:val="20"/>
                <w:color w:val="auto"/>
              </w:rPr>
            </w:pPr>
          </w:p>
        </w:tc>
      </w:tr>
      <w:tr>
        <w:trPr>
          <w:trHeight w:val="223"/>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net income</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4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-4225290</wp:posOffset>
            </wp:positionV>
            <wp:extent cx="71151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-3933825</wp:posOffset>
            </wp:positionV>
            <wp:extent cx="711517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-3642360</wp:posOffset>
            </wp:positionV>
            <wp:extent cx="711517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-3350895</wp:posOffset>
            </wp:positionV>
            <wp:extent cx="711517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-3034030</wp:posOffset>
            </wp:positionV>
            <wp:extent cx="71151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-2717165</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-2425065</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-2133600</wp:posOffset>
            </wp:positionV>
            <wp:extent cx="711517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-1842135</wp:posOffset>
            </wp:positionV>
            <wp:extent cx="71151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-1499235</wp:posOffset>
            </wp:positionV>
            <wp:extent cx="711517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-1207770</wp:posOffset>
            </wp:positionV>
            <wp:extent cx="711517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711517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-624840</wp:posOffset>
            </wp:positionV>
            <wp:extent cx="711517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-334010</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r>
      <w:tr>
        <w:trPr>
          <w:trHeight w:val="454"/>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4"/>
        </w:trPr>
        <w:tc>
          <w:tcPr>
            <w:tcW w:w="5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w:t>
            </w: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6"/>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454"/>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4"/>
        </w:trPr>
        <w:tc>
          <w:tcPr>
            <w:tcW w:w="5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1"/>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6"/>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(51)%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454"/>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4"/>
        </w:trPr>
        <w:tc>
          <w:tcPr>
            <w:tcW w:w="5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420"/>
            <w:col w:w="2040"/>
          </w:cols>
          <w:pgMar w:left="320" w:top="121" w:right="359" w:bottom="1440" w:gutter="0" w:footer="0" w:header="0"/>
          <w:type w:val="continuous"/>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8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14"/>
                <w:szCs w:val="14"/>
                <w:color w:val="auto"/>
              </w:rPr>
            </w:pPr>
          </w:p>
        </w:tc>
        <w:tc>
          <w:tcPr>
            <w:tcW w:w="12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attributable to Dell Technologies,</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 —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3.24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6.26</w:t>
            </w: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1.11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1.29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2.07</w:t>
            </w:r>
          </w:p>
        </w:tc>
        <w:tc>
          <w:tcPr>
            <w:tcW w:w="0" w:type="dxa"/>
            <w:vAlign w:val="bottom"/>
          </w:tcPr>
          <w:p>
            <w:pPr>
              <w:spacing w:after="0"/>
              <w:rPr>
                <w:sz w:val="1"/>
                <w:szCs w:val="1"/>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 of purchase accounting</w:t>
            </w:r>
          </w:p>
        </w:tc>
        <w:tc>
          <w:tcPr>
            <w:tcW w:w="200" w:type="dxa"/>
            <w:vAlign w:val="bottom"/>
          </w:tcPr>
          <w:p>
            <w:pPr>
              <w:spacing w:after="0"/>
              <w:rPr>
                <w:sz w:val="19"/>
                <w:szCs w:val="19"/>
                <w:color w:val="auto"/>
              </w:rPr>
            </w:pPr>
          </w:p>
        </w:tc>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0.06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0.08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Transaction-related (income)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1.24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0.43</w:t>
            </w:r>
          </w:p>
        </w:tc>
        <w:tc>
          <w:tcPr>
            <w:tcW w:w="0" w:type="dxa"/>
            <w:vAlign w:val="bottom"/>
          </w:tcPr>
          <w:p>
            <w:pPr>
              <w:spacing w:after="0"/>
              <w:rPr>
                <w:sz w:val="1"/>
                <w:szCs w:val="1"/>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200" w:type="dxa"/>
            <w:vAlign w:val="bottom"/>
          </w:tcPr>
          <w:p>
            <w:pPr>
              <w:spacing w:after="0"/>
              <w:rPr>
                <w:sz w:val="19"/>
                <w:szCs w:val="19"/>
                <w:color w:val="auto"/>
              </w:rPr>
            </w:pPr>
          </w:p>
        </w:tc>
        <w:tc>
          <w:tcPr>
            <w:tcW w:w="12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6"/>
              </w:rPr>
              <w:t>(0.06)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5"/>
              </w:rPr>
              <w:t>0.27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(0.55)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176"/>
        </w:trPr>
        <w:tc>
          <w:tcPr>
            <w:tcW w:w="3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Total non-GAAP adjustments attributable to non-</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6"/>
              </w:rPr>
              <w:t>(0.02)</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Non-GAAP earnings per share attributable to</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7.61</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5"/>
              </w:rPr>
              <w:t>6.22</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Dell Technologies, Inc. — diluted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the above measures, we consider free cash flow and adjusted free cash flow to be liquidity measures that provide useful information to management and investors in part because we use these metrics in our long-term capital allocation framework. Further, we believe free cash flow and adjusted free cash flow are useful measures to management and investors because they reflect cash that we can use to, among other purposes, repurchase common stock, pay dividends on our common stock, invest in our business, pay down debt, and make strategic acquisitions.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is the case with the non-GAAP measures presented above, users should consider the limitations of using free cash flow and adjusted free cash flow, including the fact that those measures do not provide a complete measure of our cash flows for any period. Free cash flow and adjusted free cash flow do not purport to be alternatives to cash flows from operating activities as a measure of liquidity. In particular, free cash flow and adjusted free cash flow are not intended to be a measure of cash flow available for management’s discretionary use, as these measures do not consider certain cash requirements, such as debt service requirements and other contractual commitments.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free cash flow and adjusted free cash flow to cash from operating activities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4"/>
                <w:szCs w:val="14"/>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1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jc w:val="right"/>
              <w:ind w:right="2710"/>
              <w:spacing w:after="0"/>
              <w:rPr>
                <w:sz w:val="20"/>
                <w:szCs w:val="20"/>
                <w:color w:val="auto"/>
              </w:rPr>
            </w:pPr>
            <w:r>
              <w:rPr>
                <w:rFonts w:ascii="Times New Roman" w:cs="Times New Roman" w:eastAsia="Times New Roman" w:hAnsi="Times New Roman"/>
                <w:sz w:val="18"/>
                <w:szCs w:val="18"/>
                <w:color w:val="auto"/>
                <w:w w:val="99"/>
              </w:rPr>
              <w:t>Cash flow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29"/>
        </w:trPr>
        <w:tc>
          <w:tcPr>
            <w:tcW w:w="47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Capital expenditures and capitalized software development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net (a)</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jc w:val="right"/>
              <w:ind w:right="2710"/>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DFS financing receivables (b)</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DFS operating leases (c)</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capitalized software development costs, net include proceeds from sales of facilities, land, and other assets.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financing receivables represent the operating cash flow impact from the change in financing receivables.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operating leases represent the change in net carrying value of equipment for DFS operating leases.</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exclude the cash flow impact of DFS financing receivables and operating leases from our adjusted free cash flow, as the initial funding at the time of origination is largely subsequently replaced with cash inflows from DFS debt, the majority of which is asset-backed.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for the periods indicated. Unless otherwise indicated, all changes identified for the current-period results represent comparisons to results for the prior corresponding fiscal period.</w:t>
      </w:r>
    </w:p>
    <w:p>
      <w:pPr>
        <w:spacing w:after="0" w:line="9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b w:val="1"/>
          <w:bCs w:val="1"/>
          <w:color w:val="auto"/>
        </w:rPr>
        <w:t>Fiscal Year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Pr>
          <w:p>
            <w:pPr>
              <w:spacing w:after="0"/>
              <w:rPr>
                <w:sz w:val="13"/>
                <w:szCs w:val="13"/>
                <w:color w:val="auto"/>
              </w:rPr>
            </w:pPr>
          </w:p>
        </w:tc>
        <w:tc>
          <w:tcPr>
            <w:tcW w:w="1100" w:type="dxa"/>
            <w:vAlign w:val="bottom"/>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980" w:type="dxa"/>
            <w:vAlign w:val="bottom"/>
            <w:gridSpan w:val="2"/>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1080" w:type="dxa"/>
            <w:vAlign w:val="bottom"/>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980" w:type="dxa"/>
            <w:vAlign w:val="bottom"/>
            <w:gridSpan w:val="2"/>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1100" w:type="dxa"/>
            <w:vAlign w:val="bottom"/>
          </w:tcPr>
          <w:p>
            <w:pPr>
              <w:jc w:val="right"/>
              <w:ind w:right="29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4"/>
        </w:trPr>
        <w:tc>
          <w:tcPr>
            <w:tcW w:w="2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0" w:type="dxa"/>
            <w:vAlign w:val="bottom"/>
          </w:tcPr>
          <w:p>
            <w:pPr>
              <w:spacing w:after="0"/>
              <w:rPr>
                <w:sz w:val="1"/>
                <w:szCs w:val="1"/>
                <w:color w:val="auto"/>
              </w:rPr>
            </w:pPr>
          </w:p>
        </w:tc>
      </w:tr>
      <w:tr>
        <w:trPr>
          <w:trHeight w:val="249"/>
        </w:trPr>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Net revenue: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r>
        <w:trPr>
          <w:trHeight w:val="207"/>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88,425</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101,197</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07"/>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per share attributable to Dell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Technologies — diluted</w:t>
            </w: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2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0" w:type="dxa"/>
            <w:vAlign w:val="bottom"/>
          </w:tcPr>
          <w:p>
            <w:pPr>
              <w:spacing w:after="0"/>
              <w:rPr>
                <w:sz w:val="1"/>
                <w:szCs w:val="1"/>
                <w:color w:val="auto"/>
              </w:rPr>
            </w:pPr>
          </w:p>
        </w:tc>
      </w:tr>
      <w:tr>
        <w:trPr>
          <w:trHeight w:val="157"/>
        </w:trPr>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Non-</w:t>
            </w:r>
          </w:p>
        </w:tc>
        <w:tc>
          <w:tcPr>
            <w:tcW w:w="9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Non-</w:t>
            </w:r>
          </w:p>
        </w:tc>
        <w:tc>
          <w:tcPr>
            <w:tcW w:w="9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Non-</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GAAP</w:t>
            </w: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GAAP</w:t>
            </w: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GAAP</w:t>
            </w:r>
          </w:p>
        </w:tc>
        <w:tc>
          <w:tcPr>
            <w:tcW w:w="0" w:type="dxa"/>
            <w:vAlign w:val="bottom"/>
          </w:tcPr>
          <w:p>
            <w:pPr>
              <w:spacing w:after="0"/>
              <w:rPr>
                <w:sz w:val="1"/>
                <w:szCs w:val="1"/>
                <w:color w:val="auto"/>
              </w:rPr>
            </w:pPr>
          </w:p>
        </w:tc>
      </w:tr>
      <w:tr>
        <w:trPr>
          <w:trHeight w:val="214"/>
        </w:trPr>
        <w:tc>
          <w:tcPr>
            <w:tcW w:w="2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0" w:type="dxa"/>
            <w:vAlign w:val="bottom"/>
          </w:tcPr>
          <w:p>
            <w:pPr>
              <w:spacing w:after="0"/>
              <w:rPr>
                <w:sz w:val="1"/>
                <w:szCs w:val="1"/>
                <w:color w:val="auto"/>
              </w:rPr>
            </w:pPr>
          </w:p>
        </w:tc>
      </w:tr>
      <w:tr>
        <w:trPr>
          <w:trHeight w:val="249"/>
        </w:trPr>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gridSpan w:val="9"/>
          </w:tcPr>
          <w:p>
            <w:pPr>
              <w:jc w:val="center"/>
              <w:ind w:right="60"/>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Non-GAAP net revenue: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0" w:type="dxa"/>
            <w:vAlign w:val="bottom"/>
          </w:tcPr>
          <w:p>
            <w:pPr>
              <w:spacing w:after="0"/>
              <w:rPr>
                <w:sz w:val="1"/>
                <w:szCs w:val="1"/>
                <w:color w:val="auto"/>
              </w:rPr>
            </w:pPr>
          </w:p>
        </w:tc>
      </w:tr>
      <w:tr>
        <w:trPr>
          <w:trHeight w:val="207"/>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non-GAAP 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88,425</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101,229</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Non-GAAP gross margin: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0" w:type="dxa"/>
            <w:vAlign w:val="bottom"/>
          </w:tcPr>
          <w:p>
            <w:pPr>
              <w:spacing w:after="0"/>
              <w:rPr>
                <w:sz w:val="1"/>
                <w:szCs w:val="1"/>
                <w:color w:val="auto"/>
              </w:rPr>
            </w:pPr>
          </w:p>
        </w:tc>
      </w:tr>
      <w:tr>
        <w:trPr>
          <w:trHeight w:val="207"/>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non-GAAP gross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Non-GAAP earnings per share</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Dell Technologies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Non-GAAP product net revenue, non-GAAP services net revenue, non-GAAP net revenue, non-GAAP product gross margin, non-GAAP services gross margin, non-GAAP gross margin, non-GAAP operating expenses, non-GAAP operating income, non-GAAP net income, non-GAAP diluted earnings per share attributable to Dell Technologies, free cash flow, and adjusted free cash flow are not measurements of financial performance prepared in accordance with GAAP. Non-GAAP financial measures as a percentage of revenue are calculated based on non-GAAP net revenue, where applicable. See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During Fiscal 2024, net revenue decreased by 14%, driven by declines in CSG net revenue and, to a lesser extent, ISG net revenue, which reflected the prolonged impact of global macroeconomic conditions on demand. The decline in CSG net revenue was primarily attributable to a decrease in units sold within both commercial and consumer offerings, partially offset by an increase in the average selling prices of our commercial offerings. ISG net revenue decreased as a result of a reduction in net revenue attributable to our servers and networking offerings and, to a lesser extent, our storage offerings.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and non-GAAP operating income decreased by 10% to $5.2 billion and 11% to $7.7 billion, respectively, during Fiscal 2024. The decline in operating income and non-GAAP operating income was driven by a decrease in ISG operating income and, to a lesser extent, CSG operating income, which both declined primarily as a result of a decrease in net revenue that outpaced the favorable impacts of a decline in input costs and cost management measures. The decline in ISG operating income was primarily attributable to decreases in our servers and networking offerings and, to a lesser extent, our storage offerings. The decline in CSG operating income was driven by decreases in both commercial and consumer offerings. The decline in operating income was partially offset by decreases in other corporate expenses and amortization of intangibles.</w:t>
      </w:r>
    </w:p>
    <w:p>
      <w:pPr>
        <w:spacing w:after="0" w:line="21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During Fiscal 2024, both operating income and non-GAAP operating income as a percentage of net revenue increased 30 basis points to 5.9% and 8.7%, respectively. These increases were due to an increase in gross margin as a percentage of net revenue, which was principally driven by a decline in input costs. The increase in operating income and non-GAAP operating income as a percentage of net revenue was offset by an increase in operating expense rate, principally within ISG, that was attributable to a decrease in net revenue which outpaced the impact of continued cost management measures.</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$8.7 billion during Fiscal 2024, and was primarily driven by profitability coupled with strong inventory management and cash collections performance. During Fiscal 2023, cash provided by operating activities was $3.6 billion, which primarily reflected profitability that was partially offset by the impact of working capital dynamics. See “Liquidity, Cash Requirements, and Market Conditions” for additional information about our cash flow metrics.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Despite the near-term challenges driven by uncertainty in the macroeconomic environment, we continue to see opportunities to create value and grow as we respond to long-term demand for our IT solutions driven by a technology- and data-enabled world. We have demonstrated our ability to adjust to changing market conditions with complementary solutions and innovation across both segments of our business, an agile workforce, and the strength of our global supply chain. As we continue to innovate and modernize our offerings, we believe that Dell Technologies is well-positioned for long-term profitable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Fiscal 2024, net revenue decreased 14%, primarily driven by declines in CSG net revenue and, to a lesser extent, ISG net revenue. See “Business Unit Results” for further information.</w:t>
      </w:r>
    </w:p>
    <w:p>
      <w:pPr>
        <w:spacing w:after="0" w:line="187" w:lineRule="exact"/>
        <w:rPr>
          <w:sz w:val="20"/>
          <w:szCs w:val="20"/>
          <w:color w:val="auto"/>
        </w:rPr>
      </w:pPr>
    </w:p>
    <w:p>
      <w:pPr>
        <w:ind w:left="340" w:right="80" w:hanging="332"/>
        <w:spacing w:after="0" w:line="258" w:lineRule="auto"/>
        <w:tabs>
          <w:tab w:leader="none" w:pos="33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Product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Product net revenue includes revenue from the sale of hardware products and software licenses. During Fiscal 2024,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 decreased 19%, due to declines in CSG product net revenue and, to a lesser extent, ISG product net revenue. CSG product net revenue decreased primarily as a result of a decline in units sold, which impacted both our commercial and consumer offerings. The decline in ISG product net revenue was primarily attributable to a decrease in product net revenue attributable to our servers and networking offerings driven by a decrease in units sold, and, to a lesser extent, a decline in our product net revenue attributable to storage offerings.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20" w:hanging="332"/>
        <w:spacing w:after="0" w:line="257"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Services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Services net revenue includes revenue from our services offerings and support services related to hardware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licenses. During Fiscal 2024, services net revenue increased 4%, driven primarily by growth within services net revenue attributable to CSG and other businesses. The increase in services net revenue attributable to CSG was driven primarily by third-party software support and maintenance and hardware support and maintenance. The increase in services net revenue attributable to other businesses was driven primarily by VMware software maintenance arrangements. See “Introduction” for additional information about the impact of Broadcom’s acquisition of VMware on our relationship with VMware.</w:t>
      </w:r>
    </w:p>
    <w:p>
      <w:pPr>
        <w:spacing w:after="0" w:line="211"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A substantial portion of services net revenue is derived from offerings that have been deferred over a period of time, and, as a result, reported growth rates for services net revenue will be different than reported growth rates for product net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decreased in the Americas, EMEA, and APJ during Fiscal 2024, most notably within APJ.</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2024, gross margin and non-GAAP gross margin both decreased 8% to $20.9 billion and $21.4 billion, respectively. The declines were driven by decreases in both ISG and CSG gross margin that were primarily attributable to a decrease in net revenue, the effect of which was partially offset by lower input costs.</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Both gross margin and non-GAAP gross margin percentage increased 140 basis points to 23.6% and 24.3%, respectively, during Fiscal 2024. The increases were primarily attributable to the impacts of an overall decline in input costs coupled with an increase in average selling price across many of our offerings as we continued to exercise disciplined pricing in an increasingly competitive environment.</w:t>
      </w:r>
    </w:p>
    <w:p>
      <w:pPr>
        <w:spacing w:after="0" w:line="201" w:lineRule="exact"/>
        <w:rPr>
          <w:sz w:val="20"/>
          <w:szCs w:val="20"/>
          <w:color w:val="auto"/>
        </w:rPr>
      </w:pPr>
    </w:p>
    <w:p>
      <w:pPr>
        <w:ind w:left="340" w:right="340" w:hanging="332"/>
        <w:spacing w:after="0" w:line="267" w:lineRule="auto"/>
        <w:tabs>
          <w:tab w:leader="none" w:pos="33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Product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product gross margin and non-GAAP product gross margin both decreased 17% to $11.0 billion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$11.4 billion, respectively. The decreases were primarily driven by declines in both ISG and CSG product gross margin, which were largely attributable to declines in product net revenue, partially offset by lower input costs.</w:t>
      </w:r>
    </w:p>
    <w:p>
      <w:pPr>
        <w:spacing w:after="0" w:line="202" w:lineRule="exact"/>
        <w:rPr>
          <w:rFonts w:ascii="Times New Roman" w:cs="Times New Roman" w:eastAsia="Times New Roman" w:hAnsi="Times New Roman"/>
          <w:sz w:val="18"/>
          <w:szCs w:val="18"/>
          <w:b w:val="1"/>
          <w:bCs w:val="1"/>
          <w:i w:val="1"/>
          <w:iCs w:val="1"/>
          <w:color w:val="auto"/>
        </w:rPr>
      </w:pPr>
    </w:p>
    <w:p>
      <w:pPr>
        <w:ind w:left="340" w:right="140"/>
        <w:spacing w:after="0" w:line="28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During Fiscal 2024, product gross margin percentage and non-GAAP product gross margin percentage both increased 50 basis points to 17.2% and 17.8%, respectively, primarily due to an increase in CSG product gross margin percentage. CSG product gross margin percentage increased primarily as a result of the impacts of an overall decline in input costs coupled with an increase in average selling price across many of our product offerings.</w:t>
      </w:r>
    </w:p>
    <w:p>
      <w:pPr>
        <w:spacing w:after="0" w:line="18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Services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services gross margin and non-GAAP services gross margin increased 4% to $9.8 billion and 3% to</w:t>
      </w:r>
    </w:p>
    <w:p>
      <w:pPr>
        <w:spacing w:after="0" w:line="29" w:lineRule="exact"/>
        <w:rPr>
          <w:rFonts w:ascii="Times New Roman" w:cs="Times New Roman" w:eastAsia="Times New Roman" w:hAnsi="Times New Roman"/>
          <w:sz w:val="18"/>
          <w:szCs w:val="18"/>
          <w:b w:val="1"/>
          <w:bCs w:val="1"/>
          <w:i w:val="1"/>
          <w:iCs w:val="1"/>
          <w:color w:val="auto"/>
        </w:rPr>
      </w:pPr>
    </w:p>
    <w:p>
      <w:pPr>
        <w:ind w:left="340" w:right="140"/>
        <w:spacing w:after="0" w:line="26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$10.0 billion, respectively. The increases were primarily attributable to growth within ISG services gross margin and, to a lesser extent, CSG services gross margin, that were driven by support and maintenance associated with products sold in prior periods.</w:t>
      </w:r>
    </w:p>
    <w:p>
      <w:pPr>
        <w:spacing w:after="0" w:line="208"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During Fiscal 2024, services gross margin percentage decreased 30 basis points to 40.8% and non-GAAP services gross margin percentage decreased 50 basis points to 41.6%. The decreases were driven primarily by a shift in mix of services delivered.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Programs</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2024 were not materially affected by any changes to the terms of our vendor rebate programs, as the amounts we received under these programs were generally stable relative to our total net cost. We are not aware of any significant changes to our vendor rebate programs that will materially impact our results in the near 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expenses for the periods indicated:</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12,857</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14,136</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right="379"/>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2"/>
        </w:trPr>
        <w:tc>
          <w:tcPr>
            <w:tcW w:w="248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January 28, 2022</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ind w:left="240"/>
              <w:spacing w:after="0" w:line="159"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total operating expenses decreased 7%, due to a decline in selling, general, and administrative expenses.</w:t>
      </w:r>
    </w:p>
    <w:p>
      <w:pPr>
        <w:spacing w:after="0" w:line="250" w:lineRule="exact"/>
        <w:rPr>
          <w:sz w:val="20"/>
          <w:szCs w:val="20"/>
          <w:color w:val="auto"/>
        </w:rPr>
      </w:pPr>
    </w:p>
    <w:p>
      <w:pPr>
        <w:jc w:val="both"/>
        <w:ind w:left="340" w:right="540" w:hanging="332"/>
        <w:spacing w:after="0" w:line="267" w:lineRule="auto"/>
        <w:tabs>
          <w:tab w:leader="none" w:pos="33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selling, general, and administrative (“SG&amp;A”) expenses decreased 9%, driven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employee compensation and benefits expense, principally due to a decline in overall headcount and, to a lesser extent, a decrease in advertising and outside services expense as a result of continued disciplined cost management.</w:t>
      </w:r>
    </w:p>
    <w:p>
      <w:pPr>
        <w:spacing w:after="0" w:line="200" w:lineRule="exact"/>
        <w:rPr>
          <w:rFonts w:ascii="Times New Roman" w:cs="Times New Roman" w:eastAsia="Times New Roman" w:hAnsi="Times New Roman"/>
          <w:sz w:val="18"/>
          <w:szCs w:val="18"/>
          <w:b w:val="1"/>
          <w:bCs w:val="1"/>
          <w:i w:val="1"/>
          <w:iCs w:val="1"/>
          <w:color w:val="auto"/>
        </w:rPr>
      </w:pPr>
    </w:p>
    <w:p>
      <w:pPr>
        <w:ind w:left="340" w:right="480" w:hanging="332"/>
        <w:spacing w:after="0" w:line="290" w:lineRule="auto"/>
        <w:tabs>
          <w:tab w:leader="none" w:pos="335"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i w:val="1"/>
          <w:iCs w:val="1"/>
          <w:u w:val="single" w:color="auto"/>
          <w:color w:val="auto"/>
        </w:rPr>
        <w:t>Research and Development</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Research and development (“R&amp;D”) expenses are primarily composed of personnel-related expenses incurred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product development. R&amp;D expenses increased 1% during Fiscal 2024, principally due to an increase in R&amp;D-related employee compensation and benefits expense, partially offset by a decrease in outside services as a result of continued disciplined cost management.</w:t>
      </w:r>
    </w:p>
    <w:p>
      <w:pPr>
        <w:spacing w:after="0" w:line="184" w:lineRule="exact"/>
        <w:rPr>
          <w:rFonts w:ascii="Times New Roman" w:cs="Times New Roman" w:eastAsia="Times New Roman" w:hAnsi="Times New Roman"/>
          <w:sz w:val="17"/>
          <w:szCs w:val="17"/>
          <w:b w:val="1"/>
          <w:bCs w:val="1"/>
          <w:i w:val="1"/>
          <w:iCs w:val="1"/>
          <w:color w:val="auto"/>
        </w:rPr>
      </w:pPr>
    </w:p>
    <w:p>
      <w:pPr>
        <w:ind w:left="340" w:right="120"/>
        <w:spacing w:after="0" w:line="26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As a percentage of net revenue, R&amp;D expenses for Fiscal 2024 and Fiscal 2023 were 3.2% and 2.7%, respectively. The increases in R&amp;D expenses as a percentage of net revenue were attributable to continued R&amp;D investments as we support R&amp;D initiatives to innovate and introduce new and enhanced solutions into the market.</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Fiscal 2024, non-GAAP operating expenses decreased 7%, principally due to continued disciplined cost management which resulted in a decline in employee compensation and benefits, outside services, and advertising expenses, among other items.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continue to make strategic investments designed to enable growth, marketing, and R&amp;D, while balancing our efforts to drive cost efficiencies in the business. We also expect to continue making investments in support of our own digital transformation which aims to streamline and optimize our business processes.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and non-GAAP operating income decreased by 10% to $5.2 billion and 11% to $7.7 billion, respectively, during Fiscal 2024. The decline in operating income and non-GAAP operating income was driven by a decrease in ISG operating income and, to a lesser extent, CSG operating income, which both declined primarily as a result of a decrease in net revenue that outpaced the favorable impacts of a decline in input costs and cost management measures. The decline in ISG operating income was primarily attributable to decreases in our servers and networking offerings and, to a lesser extent, our storage offerings. The decline in CSG operating income was driven by decreases in both commercial and consumer offerings. The decline in operating income was partially offset by decreases in other corporate expenses and amortization of intangibles.</w:t>
      </w:r>
    </w:p>
    <w:p>
      <w:pPr>
        <w:spacing w:after="0" w:line="21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During Fiscal 2024, both operating income and non-GAAP operating income as a percentage of net revenue increased 30 basis points to 5.9% and 8.7%, respectively. These increases were due to an increase in gross margin as a percentage of net revenue, which was principally driven by a decline in input costs. The increase in operating income and non-GAAP operating income as a percentage of net revenue was offset by an increase in operating expense rate, principally within ISG, that was attributable to a decrease in net revenue which outpaced the impact of continued cost management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4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businesses and assets</w:t>
            </w:r>
          </w:p>
        </w:tc>
        <w:tc>
          <w:tcPr>
            <w:tcW w:w="2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extinguishment gain (loss)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settlement, net</w:t>
            </w:r>
          </w:p>
        </w:tc>
        <w:tc>
          <w:tcPr>
            <w:tcW w:w="2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1"/>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change in interest and other, net was favorable, primarily as a result of $0.9 billion of expense recognized in Fiscal 2023 in connection with an agreement to settle the Class V transaction litigation, coupled with a gain on investments and an increase in investment income during Fiscal 2024. Favorable impacts within interest and other, net were partially offset by an increase in interest expense primarily associated with DFS securitization and structured financing programs. See Note 12 to the Notes to the Consolidated Financial Statements for additional information about the settlement of the Class V transaction litigation.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income and other taxes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4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3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5,923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810"/>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58"/>
        </w:trPr>
        <w:tc>
          <w:tcPr>
            <w:tcW w:w="4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For Fiscal 2024 and Fiscal 2023, our effective income tax rate was 17.8% and 24.9%, respectively. Changes related to our effective income tax rates for Fiscal 2024 as compared to Fiscal 2023 were primarily attributable to the tax impact of foreign operations and benefits from U.S. research and development tax credits. In addition, our effective tax rate for Fiscal 2023 included the impact of an expense recognized in connection with the agreement to settle the Class V transaction litigation described in Note 12 of the Notes to the Consolidated Financial Statements.</w:t>
      </w:r>
    </w:p>
    <w:p>
      <w:pPr>
        <w:spacing w:after="0" w:line="2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effective income tax rate can fluctuate depending on the geographic distribution of our worldwide earnings, as our foreign earnings are generally taxed at lower rates than in the United States. The differences between our effective income tax rates and the U.S. federal statutory rate of 21% principally result from the geographical distribution of income, differences between the book and tax treatment of certain items, and discrete tax items. In certain jurisdictions, our tax rate is significantly less than the applicable statutory rate as a result of tax holidays. The majority of our foreign income subject to these tax holidays is attributable to Singapore and China. A significant portion of these income tax benefits relates to a tax holiday that will be effective until January 31, 2029. Most of our other tax holidays will expire in whole or in part during Fiscal 2030 and Fiscal 2031. Many of these tax holidays and reduced tax rates may be extended when certain conditions are met or may be terminated early if certain conditions are not met or as a result of changes in tax legislation. As of February 2, 2024, we were not aware of any matters of non-compliance or enacted tax legislative changes affecting these tax holidays.</w:t>
      </w:r>
    </w:p>
    <w:p>
      <w:pPr>
        <w:spacing w:after="0" w:line="1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countries have enacted or are in the process of enacting laws based on the Pillar Two proposal relating to global minimum tax issued by the Organisation for Economic Co-operation and Development (“OECD”). While we expect our effective income tax rate and cash income tax payments could increase in future years as a result of the global minimum tax, we do not anticipate a material impact to our Fiscal 2025 consolidated results of operations. Our assessment could be affected by legislative guidance and future enactment of additional provisions within the Pillar Two framework, particularly in countries in which we have tax holidays and incentives. Our income tax benefit from tax holidays and incentives decreased the provision for income taxes by approximately $244 million ($0.33 per share) during Fiscal 2024.</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tax matters, including the status of income tax audits, see Note 13 of the Notes to the Consolidated Financial Statements included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Fiscal 2024, net income increased 32% to $3.2 billion, driven primarily by a favorable change in interest and other, net, partially offset by a decline in operating income.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Fiscal 2024, non-GAAP net income decreased 8% to $5.2 billion, driven by a decline in operating income, partially offset by a decline in income tax expense.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Unit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on the ISG and CSG business units. A description of our business units is provided under “Introduction.” See Note 19 of the Notes to the Consolidated Financial Statements included in this report for a reconciliation of net revenue and operating income by reportable segment to consolidated net revenue and consolidated operating income,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Solutions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ISG for the periods indicated:</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3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Servers and networking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17,901</w:t>
            </w: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17,958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16,465</w:t>
            </w:r>
          </w:p>
        </w:tc>
      </w:tr>
      <w:tr>
        <w:trPr>
          <w:trHeight w:val="223"/>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ISG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33,885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38,356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34,366</w:t>
            </w:r>
          </w:p>
        </w:tc>
      </w:tr>
      <w:tr>
        <w:trPr>
          <w:trHeight w:val="250"/>
        </w:trPr>
        <w:tc>
          <w:tcPr>
            <w:tcW w:w="3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ISG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3,736</w:t>
            </w: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12.6 %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13.2 %</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r>
    </w:tbl>
    <w:p>
      <w:pPr>
        <w:spacing w:after="0" w:line="297"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ISG net revenue decreased 12% driven primarily by servers and networking net revenue and, to a lesser extent,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 as global macroeconomic conditions continued to impact demand.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from sales of servers and networking decreased 14% during Fiscal 2024, driven by a decrease in units sold, the effect of which was partially offset by an increase in the average selling prices of our server offerings. The average selling price of our server offerings increased as a result of the impact of attached offerings and richer configurations.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storage net revenue decreased 9%, driven by a decline in net revenue across the majority of our storage offerings.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geographical perspective, net revenue attributable to ISG decreased in the Americas, EMEA, and APJ during Fiscal 2024.</w:t>
      </w:r>
    </w:p>
    <w:p>
      <w:pPr>
        <w:spacing w:after="0" w:line="2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ISG operating income as a percentage of net revenue decreased 60 basis points to 12.6%, principally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operating expenses as a percentage of net revenue. Operating expenses as a percentage of net revenue increased as a result of a decline in revenue that outpaced the impact of continued cost management measures coupled with continued investment in research and development. The impact of an increase in operating expenses as a percentage of net revenue was partially offset by an overall decline in input costs coupled with an increase in average selling price.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Client Solutions Group</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8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CSG for the periods indicated: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45,556</w:t>
            </w: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45,576</w:t>
            </w:r>
          </w:p>
        </w:tc>
      </w:tr>
      <w:tr>
        <w:trPr>
          <w:trHeight w:val="229"/>
        </w:trPr>
        <w:tc>
          <w:tcPr>
            <w:tcW w:w="20" w:type="dxa"/>
            <w:vAlign w:val="bottom"/>
          </w:tcPr>
          <w:p>
            <w:pPr>
              <w:spacing w:after="0"/>
              <w:rPr>
                <w:sz w:val="19"/>
                <w:szCs w:val="19"/>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9,102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15,888</w:t>
            </w: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CSG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48,916</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58,213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61,464</w:t>
            </w:r>
          </w:p>
        </w:tc>
      </w:tr>
      <w:tr>
        <w:trPr>
          <w:trHeight w:val="250"/>
        </w:trPr>
        <w:tc>
          <w:tcPr>
            <w:tcW w:w="20" w:type="dxa"/>
            <w:vAlign w:val="bottom"/>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3,512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4,365</w:t>
            </w:r>
          </w:p>
        </w:tc>
      </w:tr>
      <w:tr>
        <w:trPr>
          <w:trHeight w:val="230"/>
        </w:trPr>
        <w:tc>
          <w:tcPr>
            <w:tcW w:w="2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7.2 %</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7.1 %</w:t>
            </w:r>
          </w:p>
        </w:tc>
      </w:tr>
    </w:tbl>
    <w:p>
      <w:pPr>
        <w:spacing w:after="0" w:line="29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CSG net revenue decreased 16% driven by a decline in units sold as global macroeconomic conditions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demand.</w:t>
      </w:r>
    </w:p>
    <w:p>
      <w:pPr>
        <w:spacing w:after="0" w:line="17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Commercial net revenue decreased 13% during Fiscal 2024. The decline was primarily due to a decrease in units sold which was partially offset by the effect of an increase in the average selling prices of our commercial offerings. Average selling prices of our commercial offerings increased primarily as a result of richer configurations and the mix of offerings sold.</w:t>
      </w:r>
    </w:p>
    <w:p>
      <w:pPr>
        <w:spacing w:after="0" w:line="2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Consumer net revenue decreased 28% during Fiscal 2024, principally due to a decrease in units sold and, to a lesser extent, a decline in the average selling price of our consumer offerings.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From a geographical perspective, net revenue attributable to CSG decreased primarily in APJ and, to a lesser extent, in the Americas and EMEA during Fiscal 2024.</w:t>
      </w:r>
    </w:p>
    <w:p>
      <w:pPr>
        <w:spacing w:after="0" w:line="20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Fiscal 2024, CSG operating income as a percentage of net revenue increased 60 basis points to 7.2%,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an overall decrease in input costs coupled with an increase in the average selling prices of our commercial offerings, as described above. The impact of these factors was partially offset by an increase in operating expenses as a percentage of net revenue, which increased as a result of a decline in CSG net revenue that outpaced the impact of continued cost management measures.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BALANCE SHEET ITEMS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sell products and services directly to customers and through a variety of sales channels, including retail distribution. Our accounts receivable, net, was $9.3 billion and $12.5 billion as of February 2, 2024 and February 3, 2023, respectively. The reduction in accounts receivable, net was driven primarily by a decline in net revenue coupled with strong collections.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that are deemed at risk. As of February 2, 2024 and February 3, 2023, the allowance for expected credit losses was $71 million and $78 million, respectively. Based on our assessment, we believe that we are adequately reserved for expected credit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Financial Services and Financing Receivables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or arrange various financing options and services for our customers globally, including through captive financing operations. DFS originates, collects, and services customer receivables primarily related to the purchase of our product, software, and service solutions. We further strengthen customer relationships through flexible consumption models, including utility, subscription, and as-a-Service models, which enable our customers the option to pay over time to provide them with financial and operational flexibility. New financing originations were $8.4 billion, $9.7 billion, and $8.5 billion for Fiscal 2024, Fiscal 2023, and Fiscal 2022 respectively.</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leases are generally classified as sales-type leases or operating leases. On commencement of sales-type leases, we recognize profit up-front, and recognize amounts due from the customer under the lease contract as financing receivables. Interest income is recognized as net product revenue over the term of the lease. Upon origination of operating leases, we record equipment under operating leases, classified as property, plant, and equipment. We recognize product revenue and depreciation expense, classified as cost of net revenue, over the contract term.</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February 2, 2024 and February 3, 2023, our financing receivables, net were $10.5 billion and $10.9 billion, respectively. The decline in financing receivables was driven primarily by the sale of our U.S. consumer revolving customer financing receivables portfolio. See Note 6 of the Notes to the Consolidated Financial Statements included in this report for additional information about the sale.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an allowance to cover expected financing receivable credit losses and evaluate credit loss expectations based on our total portfolio. For both Fiscal 2024 and Fiscal 2023, the principal charge-off rate for our financing receivables portfolio was 0.5% and for Fiscal 2022 was 0.6%. The credit quality of our financing receivables has improved in recent years as the mix of high-quality commercial accounts in our portfolio has continued to increase. We continue to monitor broader economic indicators and their potential impact on future credit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retain a residual interest in equipment leased under our lease programs. As of February 2, 2024 and February 3, 2023, the residual interest recorded as part of financing receivables was $157 million and $142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Fiscal 2024 and Fiscal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of February 2, 2024 and February 3, 2023, equipment under operating leases, net was $2.2 billion. We assess the carrying amount of the equipment under operating leases for impairment whenever events or circumstances may indicate that an impairment has occurred. No material impairment losses were recorded related to such equipment during Fiscal 2024, Fiscal 2023, and Fiscal 2022.</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DFS offerings are initially funded through cash on hand at the time of origination, most of which is subsequently replaced with asset-backed financing. For DFS offerings which qualify as sales-type leases, the initial funding of financing receivables is reflected as an impact to cash flows from operations and is largely subsequently offset by cash proceeds from financing. For DFS operating leases, the initial funding is classified as a capital expenditure and reflected as an impact to cash flows used in investing activities.</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Note 6 of the Notes to the Consolidated Financial Statements included in this report for additional information about our financing receivables and the associated allowances, and equipment under operating leases.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CASH REQUIREMENTS, AND MARKET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rely on operating cash flows, which are impacted by trends in the demand environment, as our primary source of liquidity for our ongoing business operations. We monitor the efficiency of our balance sheet to ensure that we have adequate liquidity to support our business and strategic initiatives.</w:t>
      </w:r>
    </w:p>
    <w:p>
      <w:pPr>
        <w:spacing w:after="0" w:line="16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and cash equivalents, together with cash that will be provided by future operations and borrowings expected to be available under our revolving credit facility and commercial paper program, will be sufficient over at least the next twelve months and for the foreseeable future thereafter to meet our material cash requirements, including funding of our operations, debt-related payments, capital expenditures, and other corporate needs.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part of our overall capital allocation strategy, we intend to return capital to our stockholders through both share repurchase programs and dividend payments and use the remaining available cash to drive growth and maintain our investment grade credit rating.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as well as our available borrowings as of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 and available borrowings: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Remaining available borrowings under 2021 Revolving Credit Facility</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and available borrowings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w:t>
            </w:r>
          </w:p>
        </w:tc>
      </w:tr>
      <w:tr>
        <w:trPr>
          <w:trHeight w:val="21"/>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During Fiscal 2024, cash and cash equivalents decreased by $1.2 billion primarily due to the return of capital to our stockholders, capital expenditures, and the repayment of Senior Notes, the effect of which was partially offset by cash flows from operations.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February 2, 2024, our 2021 Revolving Credit Facility had a maximum capacity of $6.0 billion. Available borrowings under this facility are reduced by draws on the facility and outstanding letters of credit. As of February 2, 2024, there were no borrowings outstanding under the facility and remaining available borrowings totaled approximately $6.0 billion. The 2021 Revolving Credit Facility also acts as a backstop to provide liquidity support for our commercial paper program.</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 commercial paper program under which we may issue unsecured notes in a maximum aggregate face amount of $5.0 billion outstanding at any time, with maturities up to 397 days from the date of issue. As of February 2, 2024, we had no outstanding borrowings under the program.</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regularly use our available borrowings from the 2021 Revolving Credit Facility and issuances under the commercial paper program on a short-term basis for general corporate purposes. See the following discussion for additional information about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939"/>
        </w:trPr>
        <w:tc>
          <w:tcPr>
            <w:tcW w:w="36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Debt</w:t>
            </w:r>
          </w:p>
        </w:tc>
        <w:tc>
          <w:tcPr>
            <w:tcW w:w="920" w:type="dxa"/>
            <w:vAlign w:val="bottom"/>
            <w:tcBorders>
              <w:top w:val="single" w:sz="8" w:color="0000FF"/>
            </w:tcBorders>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9"/>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our outstanding debt as of the dates indicated: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1"/>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Core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r>
      <w:tr>
        <w:trPr>
          <w:trHeight w:val="229"/>
        </w:trPr>
        <w:tc>
          <w:tcPr>
            <w:tcW w:w="5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Notes and Debentures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55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5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core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r>
      <w:tr>
        <w:trPr>
          <w:trHeight w:val="230"/>
        </w:trPr>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DFS related debt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DFS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29"/>
        </w:trPr>
        <w:tc>
          <w:tcPr>
            <w:tcW w:w="55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5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DFS related debt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29"/>
        </w:trPr>
        <w:tc>
          <w:tcPr>
            <w:tcW w:w="5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36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jc w:val="right"/>
              <w:ind w:right="3180"/>
              <w:spacing w:after="0"/>
              <w:rPr>
                <w:sz w:val="20"/>
                <w:szCs w:val="20"/>
                <w:color w:val="auto"/>
              </w:rPr>
            </w:pPr>
            <w:r>
              <w:rPr>
                <w:rFonts w:ascii="Times New Roman" w:cs="Times New Roman" w:eastAsia="Times New Roman" w:hAnsi="Times New Roman"/>
                <w:sz w:val="18"/>
                <w:szCs w:val="18"/>
                <w:color w:val="auto"/>
                <w:w w:val="98"/>
              </w:rPr>
              <w:t>Total debt, principal amount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29,867</w:t>
            </w:r>
          </w:p>
        </w:tc>
      </w:tr>
      <w:tr>
        <w:trPr>
          <w:trHeight w:val="229"/>
        </w:trPr>
        <w:tc>
          <w:tcPr>
            <w:tcW w:w="36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Carrying value adjustments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jc w:val="right"/>
              <w:ind w:right="318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principal amount of our debt decreased $3.6 billion to $26.2 billion as of February 2, 2024, driven primarily by the prepayment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billion principal amount of Senior Notes and a reduction in DFS debt which was principally attributable to the prepayment and termination of our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facility for consumer revolving loans.</w:t>
      </w:r>
    </w:p>
    <w:p>
      <w:pPr>
        <w:spacing w:after="0" w:line="23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Subsequent to the close of Fiscal 2024, we issued $1.0 billion aggregate principal amount of 5.40% Senior Notes due 2034. We intend to use the net proceeds of the issuance to prepay a portion of our outstanding 6.02% Senior Notes due 2026.</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define core debt as the total principal amount of our debt, less DFS related debt and other debt. Our core debt was $14.9 billion and $18.1 billion as of February 2, 2024 and February 3, 2023, respectively. See Note 8 of the Notes to the Consolidated Financial Statements included in this report for additional information about our debt.</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DFS related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fund expansion of the DFS business, we balance the use of the securitization and structured financing programs with other sources of liquidity. We approximate the amount of our core debt used to fund the DFS business by applying a 7:1 debt-to-equity ratio to the sum of our financing receivables balance and equipment under operating leases, net. The debt-to-equity ratio is based on the underlying credit quality of the assets. See Note 6 of the Notes to the Consolidated Financial Statements included in this report for additional information about our DFS debt.</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will continue to be able to make our debt principal and interest payments, including payment of short-term maturities, from existing and expected sources of cash, primarily from operating cash flows. Cash used for debt principal and interest payments may include short-term borrowings under our commercial paper program,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9"/>
        </w:trPr>
        <w:tc>
          <w:tcPr>
            <w:tcW w:w="9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Statements of Cash Flows for the periods indicated:</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3"/>
        </w:trPr>
        <w:tc>
          <w:tcPr>
            <w:tcW w:w="8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8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change in cash from:</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29"/>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175"/>
        </w:trPr>
        <w:tc>
          <w:tcPr>
            <w:tcW w:w="520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w:t>
            </w: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21"/>
        </w:trPr>
        <w:tc>
          <w:tcPr>
            <w:tcW w:w="8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provided by operating activities was $8.7 billion during Fiscal 2024, and was primarily driven by profitability coupled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inventory management and cash collections performance. Cash provided by operating activities also reflected the impact of the $0.9 billion net payment to settle the Class V transaction litigation and $0.4 billion in proceeds from the sale of our U.S. consumer revolving customer receivables portfolio. During Fiscal 2023, cash provided by operating activities was $3.6 billion, which primarily reflected profitability that was partially offset by the impact of working capital dynamics.</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Investing activities primarily consist of cash used to fund capital expenditures for property, plant, and equipment inclusive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under DFS operating leases and equipment used to support our as-a-Service offerings, which we refer to collectively as assets in a customer contract. Additional activities include capitalized software development costs, acquisitions and divestitures, and the maturities, sales, and purchases of investments. Cash used in investing activities was $2.8 billion and $3.0 billion during Fiscal 2024 and Fiscal 2023, respectively, and was primarily applied to capital expenditures.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Financing activities primarily consist of the proceeds and repayments of debt and return of capital to our stockholders.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was $7.1 billion during Fiscal 2024 and primarily consisted of principal repayments of our Senior Notes, repurchases of common stock, inclusive of payments to settle employee tax withholdings on stock-based compensation, and the payment of quarterly dividends. During Fiscal 2023, cash used in financing activities was $1.6 billion and primarily consisted of repurchases of common stock, inclusive of payments to settle employee tax withholdings on stock-based compensation, and the payment of quarterly dividends.</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DFS Cash Flow Impacts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DFS offerings are initially funded through cash on hand at the time of origination, most of which is subsequently replaced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asset-backed financing. For DFS offerings that qualify as sales-type leases, the initial funding of financing receivables is reflected as an impact to cash flows from operations and is largely subsequently offset by cash proceeds from financing. For operating leases, the initial funding is classified as a capital expenditure and reflected as cash flows used in investing activities. DFS new financing originations were $8.4 billion, $9.7 billion, and $8.5 billion during Fiscal 2024, Fiscal 2023, and Fiscal 2022 respectively. As of February 2, 2024, the Company had $10.5 billion of total net financing receivables and $2.2 billion of equipment under operating leases, net.</w:t>
      </w:r>
    </w:p>
    <w:p>
      <w:pPr>
        <w:spacing w:after="0" w:line="20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Supply Chain Finance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maintain a Supply Chain Finance Program (the "SCF Program”) that enables eligible suppliers to sell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from us to a third-party financial institution at the suppliers’ sole discretion. The SCF Program does not impact our liquidity, as payments by us to participating suppliers are remitted to the financial institution on the original invoice due date. Further, we negotiate payment terms with our suppliers regardless of their decision to participate in the SCF Program. Payments made under the SCF Program are included in cash flows from operating activities on the Consolidated Statements of Cash Flows. See Note 21 of the Notes to the Consolidated Financial Statements included in this report for more information regarding the SCF Program.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Capital Commitments and Cash Requirements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material capital commitments include the following:</w:t>
      </w:r>
    </w:p>
    <w:p>
      <w:pPr>
        <w:spacing w:after="0" w:line="250" w:lineRule="exact"/>
        <w:rPr>
          <w:sz w:val="20"/>
          <w:szCs w:val="20"/>
          <w:color w:val="auto"/>
        </w:rPr>
      </w:pPr>
    </w:p>
    <w:p>
      <w:pPr>
        <w:ind w:left="180"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spent $2.8 billion and $3.0 billion during Fiscal 2024 and Fiscal 2023, respectively, on property, plant,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Of total expenditures incurred, funding of assets in a customer contract totaled $1.2 billion and $1.5 billion during Fiscal 2024 and Fiscal 2023, respectively. Product demand, product mix, the use of contract manufacturers, and ongoing investments in operating and information technology infrastructure influence the level and prioritization of our capital expenditures.</w:t>
      </w:r>
    </w:p>
    <w:p>
      <w:pPr>
        <w:spacing w:after="0" w:line="193" w:lineRule="exact"/>
        <w:rPr>
          <w:sz w:val="20"/>
          <w:szCs w:val="20"/>
          <w:color w:val="auto"/>
        </w:rPr>
      </w:pPr>
    </w:p>
    <w:p>
      <w:pPr>
        <w:ind w:left="180" w:right="2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Repurchases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Effective as of September 23, 2021, our Board of Directors approved a stock repurchase program with no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date under which we are authorized to repurchase up to $5.0 billion of shares of our Class C Common Stock. Effective as of October 5, 2023, the Company’s Board of Directors approved the repurchase of an additional $5.0 billion of shares of the Class C Common Stock with no fixed expiration date. Following the additional approval, the Company had approximately $5.7 billion in cumulative authorized amount remaining under the stock repurchase program.</w:t>
      </w:r>
    </w:p>
    <w:p>
      <w:pPr>
        <w:spacing w:after="0" w:line="210" w:lineRule="exact"/>
        <w:rPr>
          <w:sz w:val="20"/>
          <w:szCs w:val="20"/>
          <w:color w:val="auto"/>
        </w:rPr>
      </w:pPr>
    </w:p>
    <w:p>
      <w:pPr>
        <w:ind w:left="180" w:right="240"/>
        <w:spacing w:after="0" w:line="242" w:lineRule="auto"/>
        <w:rPr>
          <w:sz w:val="20"/>
          <w:szCs w:val="20"/>
          <w:color w:val="auto"/>
        </w:rPr>
      </w:pPr>
      <w:r>
        <w:rPr>
          <w:rFonts w:ascii="Times New Roman" w:cs="Times New Roman" w:eastAsia="Times New Roman" w:hAnsi="Times New Roman"/>
          <w:sz w:val="18"/>
          <w:szCs w:val="18"/>
          <w:color w:val="auto"/>
        </w:rPr>
        <w:t>During Fiscal 2024, the Company repurchased approximately 34 million shares of Class C Common Stock for a total purchase price of approximately $2.1 billion. During Fiscal 2023, the Company repurchased approximately 62 million shares of Class C Common Stock for a total purchase price of approximately $2.8 billion.</w:t>
      </w:r>
    </w:p>
    <w:p>
      <w:pPr>
        <w:spacing w:after="0" w:line="222" w:lineRule="exact"/>
        <w:rPr>
          <w:sz w:val="20"/>
          <w:szCs w:val="20"/>
          <w:color w:val="auto"/>
        </w:rPr>
      </w:pPr>
    </w:p>
    <w:p>
      <w:pPr>
        <w:ind w:left="180" w:right="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Dividend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Fiscal 2024 and Fiscal 2023, the Company paid $1.1 billion and $1.0 billion, respectively, in dividends and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at a rate of $0.37 per share per fiscal quarter and $0.33 per share per fiscal quarter, respectively.</w:t>
      </w:r>
    </w:p>
    <w:p>
      <w:pPr>
        <w:spacing w:after="0" w:line="187" w:lineRule="exact"/>
        <w:rPr>
          <w:sz w:val="20"/>
          <w:szCs w:val="20"/>
          <w:color w:val="auto"/>
        </w:rPr>
      </w:pPr>
    </w:p>
    <w:p>
      <w:pPr>
        <w:ind w:left="180" w:right="60"/>
        <w:spacing w:after="0" w:line="282" w:lineRule="auto"/>
        <w:rPr>
          <w:sz w:val="20"/>
          <w:szCs w:val="20"/>
          <w:color w:val="auto"/>
        </w:rPr>
      </w:pPr>
      <w:r>
        <w:rPr>
          <w:rFonts w:ascii="Times New Roman" w:cs="Times New Roman" w:eastAsia="Times New Roman" w:hAnsi="Times New Roman"/>
          <w:sz w:val="18"/>
          <w:szCs w:val="18"/>
          <w:color w:val="auto"/>
        </w:rPr>
        <w:t>On February 29, 2024, subsequent to the close of Fiscal 2024, we announced that the Board of Directors approved a 20% increase in the dividend rate to $0.445 per share per fiscal quarter beginning in the first quarter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Company’s material cash requirements include the following contractual obligations:</w:t>
      </w:r>
    </w:p>
    <w:p>
      <w:pPr>
        <w:spacing w:after="0" w:line="250" w:lineRule="exact"/>
        <w:rPr>
          <w:sz w:val="20"/>
          <w:szCs w:val="20"/>
          <w:color w:val="auto"/>
        </w:rPr>
      </w:pPr>
    </w:p>
    <w:p>
      <w:pPr>
        <w:ind w:left="180"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expected principal cash payments on borrowings are exclusive of discounts and premiums. As of February 2, 2024, the Company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 for an aggregate principal amount of $26.2 billion, with $7.0 billion payable within 12 months. Included within the aggregate principal amount was $16.7 billion of outstanding long-term notes with varying maturities, with $1.1 billion payable within 12 months, and $9.5 billion of DFS debt, with $5.9 billion payable within 12 months.</w:t>
      </w:r>
    </w:p>
    <w:p>
      <w:pPr>
        <w:spacing w:after="0" w:line="209" w:lineRule="exact"/>
        <w:rPr>
          <w:sz w:val="20"/>
          <w:szCs w:val="20"/>
          <w:color w:val="auto"/>
        </w:rPr>
      </w:pPr>
    </w:p>
    <w:p>
      <w:pPr>
        <w:ind w:left="180" w:right="400"/>
        <w:spacing w:after="0" w:line="266" w:lineRule="auto"/>
        <w:rPr>
          <w:sz w:val="20"/>
          <w:szCs w:val="20"/>
          <w:color w:val="auto"/>
        </w:rPr>
      </w:pPr>
      <w:r>
        <w:rPr>
          <w:rFonts w:ascii="Times New Roman" w:cs="Times New Roman" w:eastAsia="Times New Roman" w:hAnsi="Times New Roman"/>
          <w:sz w:val="18"/>
          <w:szCs w:val="18"/>
          <w:color w:val="auto"/>
        </w:rPr>
        <w:t>As of February 2, 2024, future interest payments associated with outstanding debt were $7.4 billion, with $1.2 billion payable within 12 months. Included within total future interest payments is $6.9 billion of payments related to outstanding long-term notes, with $0.9 billion payable within 12 months, and $0.5 billion of payments related to our DFS debt, with $0.3 billion payable within 12 months.</w:t>
      </w:r>
    </w:p>
    <w:p>
      <w:pPr>
        <w:spacing w:after="0" w:line="199" w:lineRule="exact"/>
        <w:rPr>
          <w:sz w:val="20"/>
          <w:szCs w:val="20"/>
          <w:color w:val="auto"/>
        </w:rPr>
      </w:pPr>
    </w:p>
    <w:p>
      <w:pPr>
        <w:ind w:left="180" w:right="10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Purchase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are defined as contractual obligations to purchase goods or services that are enforceable and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202" w:lineRule="exact"/>
        <w:rPr>
          <w:sz w:val="20"/>
          <w:szCs w:val="20"/>
          <w:color w:val="auto"/>
        </w:rPr>
      </w:pPr>
    </w:p>
    <w:p>
      <w:pPr>
        <w:ind w:left="180"/>
        <w:spacing w:after="0" w:line="256" w:lineRule="auto"/>
        <w:rPr>
          <w:sz w:val="20"/>
          <w:szCs w:val="20"/>
          <w:color w:val="auto"/>
        </w:rPr>
      </w:pPr>
      <w:r>
        <w:rPr>
          <w:rFonts w:ascii="Times New Roman" w:cs="Times New Roman" w:eastAsia="Times New Roman" w:hAnsi="Times New Roman"/>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February 2, 2024, the Company had purchase obligations of $5.0 billion, with $4.4 billion payable within 12 months.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right="2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lease property and equipment, manufacturing facilities, and office space under non-cancelable leases. Certain of these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 us to pay taxes, maintenance, and repair costs. As of February 2, 2024, the Company had operating lease obligations of $0.9 billion, with $0.3 billion payable within 12 months. See Note 7 of the Notes to the Consolidated Financial Statements included in this report for additional information about our leasing transactions in which we are the lessee.</w:t>
      </w:r>
    </w:p>
    <w:p>
      <w:pPr>
        <w:spacing w:after="0" w:line="207" w:lineRule="exact"/>
        <w:rPr>
          <w:sz w:val="20"/>
          <w:szCs w:val="20"/>
          <w:color w:val="auto"/>
        </w:rPr>
      </w:pPr>
    </w:p>
    <w:p>
      <w:pPr>
        <w:ind w:left="1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Tax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Tax obligations represent a one-time mandatory deemed repatriation tax on undistributed earnings of foreign subsidiaries.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 2024, the balance of tax obligations was $108 million, with $48 million payable within 12 months. Excluded from the amounts above are $1.3 billion in additional liabilities associated with uncertain tax positions as of February 2, 2024. We are unable to reliably estimate the expected payment dates for any liabilities for uncertain tax positions. See Note 13 of the Notes to the Consolidated Financial Statements included in this report for more information regarding these tax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20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9 of the Notes to the Consolidated Financial Statements included in this report for additional information about our use of derivative instruments.</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Guarantor Financial Information</w:t>
      </w:r>
    </w:p>
    <w:p>
      <w:pPr>
        <w:spacing w:after="0" w:line="2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Dell International L.L.C. and EMC Corporation (the “Issuers”), both of which are wholly-owned subsidiaries of Dell Technologies Inc., completed private offerings of multiple series of senior secured notes issued on June 1, 2016, March 20, 2019, and April 9, 2020 (the “Senior Secured Notes”). The Senior Secured Notes became unsecured obligations following the release of the collateral securing such Senior Secured Notes during Fiscal 2022. On December 13, 2021, the Issuers completed a private offering of senior unsecured notes (together with the Senior Secured Notes, the “Unregistered Senior Notes”).</w:t>
      </w:r>
    </w:p>
    <w:p>
      <w:pPr>
        <w:spacing w:after="0" w:line="19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June 2021 and September 2023, the Issuers completed exchange offers in which they issued $18.4 billion and $2.1 billion, respectively, in aggregate principal amount of registered senior notes under the Securities Act of 1933 (the “Exchange Notes”) in exchange for the same principal amount and substantially identical terms of the Senior Notes.</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January 24, 2023, the Issuers completed a public offering of unsecured senior notes (together with the Exchange Notes, the “Senior Notes”) in the aggregate principal amount of $2.0 billion. The unsecured senior notes were sold pursuant to a shelf registration statement.</w:t>
      </w:r>
    </w:p>
    <w:p>
      <w:pPr>
        <w:spacing w:after="0" w:line="20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 The Senior Notes are guaranteed on a joint and several unsecured basis by Dell Technologies Inc. and its wholly-owned subsidiaries, Denali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Intermediate, Inc. and Dell Inc. (collectively, the “Guarantors”).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Basis of Preparation of the Summarized Financial Information </w:t>
      </w:r>
      <w:r>
        <w:rPr>
          <w:rFonts w:ascii="Times New Roman" w:cs="Times New Roman" w:eastAsia="Times New Roman" w:hAnsi="Times New Roman"/>
          <w:sz w:val="18"/>
          <w:szCs w:val="18"/>
          <w:color w:val="auto"/>
        </w:rPr>
        <w:t>— The tables below are summarized financial information provided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13-01 of the SEC’s Regulation S-X. The summarized financial information of the Issuers and Guarantors (collectively, the “Obligor Group”) is presented on a combined basis, excluding intercompany balances and transactions between entities in the Obligor Group. The Obligor Group’s investment balances in Non-Obligor Subsidiaries have been excluded. The Obligor Group’s amounts due from, amounts due to, and transactions with Non-Obligor Subsidiaries have been presented separately. The Obligor Group’s transactions with VMware LLC (formerly “VMware, Inc.” and individually and together with its subsidiaries, “VMware”) and its consolidated subsidiaries (the “Related Party”) have been presented separately through November 21, 2023, the date immediately prior to Broadcom, Inc.’s acquisition of VMware, effective upon which the related party relationship terminated.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summarized results of operations information for the Obligor Group for the period indicated: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9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23"/>
        </w:trPr>
        <w:tc>
          <w:tcPr>
            <w:tcW w:w="9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(b)</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 net (c)</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Obligor Group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revenue from products and services sold to Non-Obligor Subsidiaries of $850 million and $121 million, respectively.</w:t>
      </w:r>
    </w:p>
    <w:p>
      <w:pPr>
        <w:spacing w:after="0" w:line="27"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4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 of net revenue from the resale of solutions purchased from Non-Obligor Subsidiaries for the fiscal year and from the Related Party through November 21, 2023, of $948 million and $298 million, respectively. Includes cost of net revenue from shared services provided by Non-Obligor Subsidiaries of $570 million.</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on intercompany loan payables of $2,172 million and other expenses from services provided by Non-Obligor Subsidiaries of $87 million.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Obligor Group as of the dates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Intercompany receivables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from related party, net</w:t>
      </w:r>
    </w:p>
    <w:p>
      <w:pPr>
        <w:spacing w:after="0" w:line="23" w:lineRule="exact"/>
        <w:rPr>
          <w:sz w:val="20"/>
          <w:szCs w:val="20"/>
          <w:color w:val="auto"/>
        </w:rPr>
      </w:pPr>
    </w:p>
    <w:p>
      <w:pPr>
        <w:ind w:left="140" w:right="1300" w:hanging="107"/>
        <w:spacing w:after="0" w:line="273" w:lineRule="auto"/>
        <w:rPr>
          <w:sz w:val="20"/>
          <w:szCs w:val="20"/>
          <w:color w:val="auto"/>
        </w:rPr>
      </w:pPr>
      <w:r>
        <w:rPr>
          <w:rFonts w:ascii="Times New Roman" w:cs="Times New Roman" w:eastAsia="Times New Roman" w:hAnsi="Times New Roman"/>
          <w:sz w:val="18"/>
          <w:szCs w:val="18"/>
          <w:color w:val="auto"/>
        </w:rPr>
        <w:t>Short-term intercompany loan receivables Total current assets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from related party,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0" w:type="dxa"/>
            <w:vAlign w:val="bottom"/>
          </w:tcPr>
          <w:p>
            <w:pPr>
              <w:spacing w:after="0"/>
              <w:rPr>
                <w:sz w:val="1"/>
                <w:szCs w:val="1"/>
                <w:color w:val="auto"/>
              </w:rPr>
            </w:pPr>
          </w:p>
        </w:tc>
      </w:tr>
      <w:tr>
        <w:trPr>
          <w:trHeight w:val="263"/>
        </w:trPr>
        <w:tc>
          <w:tcPr>
            <w:tcW w:w="1760" w:type="dxa"/>
            <w:vAlign w:val="bottom"/>
            <w:gridSpan w:val="2"/>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76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-1477010</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-1185545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-894080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-593725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-302260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-2540</wp:posOffset>
            </wp:positionV>
            <wp:extent cx="2837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-125095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4340" w:space="720"/>
            <w:col w:w="6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w:t>
            </w:r>
          </w:p>
        </w:tc>
        <w:tc>
          <w:tcPr>
            <w:tcW w:w="8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loan payables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65,698</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67,504</w:t>
            </w:r>
          </w:p>
        </w:tc>
      </w:tr>
      <w:tr>
        <w:trPr>
          <w:trHeight w:val="21"/>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sell a wide portfolio of products and services offerings to our customers. Our agreements have varying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goods and services being sold, the rights and obligations conveyed, and the legal jurisdiction of the arrangement. While most of our agreements have standard terms and conditions, more complex agreements may contain nonstandard terms and conditions. There are significant judgments in interpreting agreements to determine the appropriate accounting for nonstandard terms and conditions.</w:t>
      </w:r>
    </w:p>
    <w:p>
      <w:pPr>
        <w:spacing w:after="0" w:line="20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a contract includes multiple performance obligations, the transaction price is allocated to each performance obligation in proportion to the standalone selling price (“SSP”) of each performance obligation.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Our SSP estimates rely, in part, on company pricing trends. Market conditions could impact the selling price in the current period which may not be reflective of trends, and could lead to revenue timing, classification, and segment differences when compared to similar contracts in other periods. SSP for our performance obligations is periodically reassessed.</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transactions that involve a third party, the Company evaluates whether it is acting as the principal or the agent in the 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to a customer include, but are not limited to, the Company being the primary obligor to the customer, establishing its own pricing, and having inventory and credit risks.</w:t>
      </w:r>
    </w:p>
    <w:p>
      <w:pPr>
        <w:spacing w:after="0" w:line="20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Indefinite-Lived Intangible Assets Impairment Assessments </w:t>
      </w:r>
      <w:r>
        <w:rPr>
          <w:rFonts w:ascii="Times New Roman" w:cs="Times New Roman" w:eastAsia="Times New Roman" w:hAnsi="Times New Roman"/>
          <w:sz w:val="18"/>
          <w:szCs w:val="18"/>
          <w:color w:val="auto"/>
        </w:rPr>
        <w:t>— Goodwill and indefinite-lived intangible assets are tested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annually during the third fiscal quarter and whenever events or circumstances may indicate that an impairment has occurred.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determine whether goodwill is impaired, we first assess certain qualitative factors. Qualitative factors that may be assessed include, but are not limited to, macroeconomic conditions, industry and market considerations, cost factors, overall financial performance, or other relevant company-specific events. Based on this assessment, if it is determined to be more likely than not that the fair value of a goodwill reporting unit is less than its carrying amount, we perform a quantitative analysis of the goodwill impairment test. Alternatively, we may bypass the qualitative assessment and perform a quantitative impairment test.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which is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w:t>
      </w:r>
    </w:p>
    <w:p>
      <w:pPr>
        <w:spacing w:after="0" w:line="2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the indefinite-lived intangible assets is generally estimated using discounted cash flow methodologies. The discounted cash flow methodologies require significant judgment, including estimation of future revenue, the estimation of the long-term revenue growth rate of our business, and the determination of the weighted average cost of capital and royalty rates. Changes in these estimates and assumptions could materially affect the fair value of the indefinite-lived intangible assets, potentially resulting in a non-cash impairment charge.</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our annual impairment test during the third fiscal quarter of Fiscal 2024, during which the Company elected to quantitatively test the Infrastructure Solutions Group and Client Solutions Group reporting units, we determined that the fair value of each of these reporting units substantially exceeded its carrying amount. For more information about our goodwill and intangible assets, see Note 10 of the Notes to the Consolidated Financial Statements included in this report.</w:t>
      </w:r>
    </w:p>
    <w:p>
      <w:pPr>
        <w:spacing w:after="0" w:line="20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We are subject to income tax in the United States and numerous foreign jurisdictions. Significant judgments are required in determining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20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Other Contingencies </w:t>
      </w:r>
      <w:r>
        <w:rPr>
          <w:rFonts w:ascii="Times New Roman" w:cs="Times New Roman" w:eastAsia="Times New Roman" w:hAnsi="Times New Roman"/>
          <w:sz w:val="18"/>
          <w:szCs w:val="18"/>
          <w:color w:val="auto"/>
        </w:rPr>
        <w:t>— The outcomes of legal proceedings and claims brought against us are subject to significant uncertainty. An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Significant judgment is required in determining whether a loss should be accrued, and changes in these factors could materially impact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state our inventory at the lower of cost or net realizable value. We record a write-down for inventories of components and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Fiscal 2024, the principal foreign currencies in which Dell Technologies transacted business were the Euro, Chinese Renminbi, Japanese Yen, British Pound, Canadian Dollar, and Australian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the outstanding foreign currency hedge instruments of Dell Technologies, which include designated and non-designated instruments, there was a maximum potential one-day loss in fair value at a 95% confidence level of approximately $15 million as of February 2, 2024, and $37 million as of February 3, 2023,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Dell Technologies is primarily exposed to interest rate risk related to its variable-rate debt portfolio and fixed-rate debt which has been converted to variable-rate debt through the use of derivative instruments. As of February 2, 2024, interest rate risk exposure is related to DFS borrowings.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DFS debt represents borrowings under securitization programs and structured financing programs that facilitate the funding of leases, loans, and other alternative payment structures. Amounts outstanding under these facilities generally bear interest at variable rates equal to applicable margins plus specified base rates. Interest expense on such borrowings is recognized within interest and other, net whereas interest income on the underlying assets is recognized to net revenue over time. The Company uses interest rate swaps to hedge the variability in cash flows related to the interest rate payments on such borrowings. These contracts are not designated for hedge accounting and mark-to-market adjustments are recognized immediately within interest and other, net.</w:t>
      </w: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Dell Technologies’ interest rate risk exposure is limited to fluctuations in interest rates on unhedged borrowings where we do not mitigate the interest rate risk through the use of interest rate swaps.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February 2, 2024, borrowings exposed to interest rate fluctuations were $3.3 billion, relative to total borrowings of $26.0 billion, and accrued interest at an annual rate between 2.45% and 6.88%. Based on this debt outstanding as of February 2, 2024, a 100 basis point increase in interest rates would have resulted in an increase of approximately $33 million in annual interest expense.</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By comparison, as of February 3, 2023, borrowings exposed to interest rate fluctuations were $5 billion relative to total borrowings of $29.6 billion, and accrued interest at an annual rate between 2.49% and 6.58%. Based on this debt outstanding as of February 3, 2023, a 100 basis point increase in interest rates would have resulted in an increase of approximately $50 million in annual interest expense.</w:t>
      </w:r>
    </w:p>
    <w:p>
      <w:pPr>
        <w:spacing w:after="0" w:line="20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more information about our debt and use of derivative instruments, see Note 6, Note 8, and Note 9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Transition from LIBOR to Alternative Reference Rates </w:t>
      </w:r>
      <w:r>
        <w:rPr>
          <w:rFonts w:ascii="Times New Roman" w:cs="Times New Roman" w:eastAsia="Times New Roman" w:hAnsi="Times New Roman"/>
          <w:sz w:val="18"/>
          <w:szCs w:val="18"/>
          <w:color w:val="auto"/>
        </w:rPr>
        <w:t>— The ICE Benchmark Administration Limited, the administrator of LIBOR, ceased publication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one-week and two-month USD LIBOR settings on December 31, 2021, and began phasing out the remaining USD LIBOR settings on July 1, 2023. We have completed our transition of impacted contracts linked to LIBOR to alternative reference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Strategic Investments </w:t>
      </w:r>
      <w:r>
        <w:rPr>
          <w:rFonts w:ascii="Times New Roman" w:cs="Times New Roman" w:eastAsia="Times New Roman" w:hAnsi="Times New Roman"/>
          <w:sz w:val="18"/>
          <w:szCs w:val="18"/>
          <w:color w:val="auto"/>
        </w:rPr>
        <w:t>— Our strategic investments include early-stage, privately-held companies that are considered to be in the start-up or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and are inherently risky. The technologies or products these companies have under development are typically in the early stages and may never materialize, which could result in a loss of a substantial part of our initial investment in the companies. We record these investments at cost, less impairment, adjusted for observable price changes. The evaluation is based on information provided by these companies, which are not subject to the same disclosure obligations as U.S. publicly-traded companies, and as such, the basis for these evaluations is subject to the timing and accuracy of the data provided. As of both February 2, 2024 and February 3, 2023, we held strategic investments in non-marketable securities of $1.3 billion.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of the Notes to the Consolidated Financial Statements included in this report for additional information.</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2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(Public Company Accounting Oversight Board ID: 238)</w:t>
            </w:r>
          </w:p>
        </w:tc>
        <w:tc>
          <w:tcPr>
            <w:tcW w:w="1920" w:type="dxa"/>
            <w:vAlign w:val="bottom"/>
            <w:gridSpan w:val="5"/>
          </w:tcPr>
          <w:p>
            <w:pPr>
              <w:spacing w:after="0"/>
              <w:rPr>
                <w:sz w:val="16"/>
                <w:szCs w:val="16"/>
                <w:color w:val="auto"/>
              </w:rPr>
            </w:pPr>
          </w:p>
        </w:tc>
        <w:tc>
          <w:tcPr>
            <w:tcW w:w="600" w:type="dxa"/>
            <w:vAlign w:val="bottom"/>
            <w:gridSpan w:val="2"/>
          </w:tcPr>
          <w:p>
            <w:pPr>
              <w:jc w:val="center"/>
              <w:ind w:left="330"/>
              <w:spacing w:after="0" w:line="194" w:lineRule="exact"/>
              <w:rPr>
                <w:sz w:val="20"/>
                <w:szCs w:val="20"/>
                <w:color w:val="auto"/>
              </w:rPr>
            </w:pPr>
            <w:r>
              <w:rPr>
                <w:rFonts w:ascii="Times New Roman" w:cs="Times New Roman" w:eastAsia="Times New Roman" w:hAnsi="Times New Roman"/>
                <w:sz w:val="18"/>
                <w:szCs w:val="18"/>
                <w:color w:val="0000FF"/>
                <w:w w:val="99"/>
              </w:rPr>
              <w:t>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Financial Position as of February 2, 2024 and February 3, 2023</w:t>
            </w:r>
          </w:p>
        </w:tc>
        <w:tc>
          <w:tcPr>
            <w:tcW w:w="1920" w:type="dxa"/>
            <w:vAlign w:val="bottom"/>
            <w:gridSpan w:val="5"/>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fiscal years ended February 2, 2024, February 3, 2023, and January 28, 2022</w:t>
            </w:r>
          </w:p>
        </w:tc>
        <w:tc>
          <w:tcPr>
            <w:tcW w:w="1580" w:type="dxa"/>
            <w:vAlign w:val="bottom"/>
            <w:gridSpan w:val="4"/>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February 2, 2024, February 3, 2023, and January 28, 2022</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February 2, 2024, February 3, 2023, and January 28, 2022</w:t>
            </w:r>
          </w:p>
        </w:tc>
        <w:tc>
          <w:tcPr>
            <w:tcW w:w="420" w:type="dxa"/>
            <w:vAlign w:val="bottom"/>
            <w:gridSpan w:val="2"/>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fiscal years ended February 2, 2024, February 3, 2023, and January 28,</w:t>
            </w:r>
          </w:p>
        </w:tc>
        <w:tc>
          <w:tcPr>
            <w:tcW w:w="600" w:type="dxa"/>
            <w:vAlign w:val="bottom"/>
            <w:gridSpan w:val="2"/>
            <w:vMerge w:val="restart"/>
          </w:tcPr>
          <w:p>
            <w:pPr>
              <w:jc w:val="center"/>
              <w:ind w:left="330"/>
              <w:spacing w:after="0"/>
              <w:rPr>
                <w:sz w:val="20"/>
                <w:szCs w:val="20"/>
                <w:color w:val="auto"/>
              </w:rPr>
            </w:pPr>
            <w:r>
              <w:rPr>
                <w:rFonts w:ascii="Times New Roman" w:cs="Times New Roman" w:eastAsia="Times New Roman" w:hAnsi="Times New Roman"/>
                <w:sz w:val="18"/>
                <w:szCs w:val="18"/>
                <w:color w:val="0000FF"/>
                <w:w w:val="99"/>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2022</w:t>
            </w:r>
          </w:p>
        </w:tc>
        <w:tc>
          <w:tcPr>
            <w:tcW w:w="9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12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gridSpan w:val="7"/>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820" w:type="dxa"/>
            <w:vAlign w:val="bottom"/>
            <w:gridSpan w:val="13"/>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 1 — Overview and Basis of Presentation</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Note 2 — Summary of Significant Accounting Policies</w:t>
            </w:r>
          </w:p>
        </w:tc>
        <w:tc>
          <w:tcPr>
            <w:tcW w:w="6040" w:type="dxa"/>
            <w:vAlign w:val="bottom"/>
            <w:gridSpan w:val="1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 3 — Discontinued Operations</w:t>
            </w:r>
          </w:p>
        </w:tc>
        <w:tc>
          <w:tcPr>
            <w:tcW w:w="1440" w:type="dxa"/>
            <w:vAlign w:val="bottom"/>
            <w:gridSpan w:val="7"/>
          </w:tcPr>
          <w:p>
            <w:pPr>
              <w:spacing w:after="0"/>
              <w:rPr>
                <w:sz w:val="18"/>
                <w:szCs w:val="18"/>
                <w:color w:val="auto"/>
              </w:rPr>
            </w:pPr>
          </w:p>
        </w:tc>
        <w:tc>
          <w:tcPr>
            <w:tcW w:w="6040" w:type="dxa"/>
            <w:vAlign w:val="bottom"/>
            <w:gridSpan w:val="10"/>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 4 — Fair Value Measurements</w:t>
            </w: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 5 — Investments</w:t>
            </w:r>
          </w:p>
        </w:tc>
        <w:tc>
          <w:tcPr>
            <w:tcW w:w="920" w:type="dxa"/>
            <w:vAlign w:val="bottom"/>
            <w:gridSpan w:val="6"/>
          </w:tcPr>
          <w:p>
            <w:pPr>
              <w:spacing w:after="0"/>
              <w:rPr>
                <w:sz w:val="18"/>
                <w:szCs w:val="18"/>
                <w:color w:val="auto"/>
              </w:rPr>
            </w:pPr>
          </w:p>
        </w:tc>
        <w:tc>
          <w:tcPr>
            <w:tcW w:w="7480" w:type="dxa"/>
            <w:vAlign w:val="bottom"/>
            <w:gridSpan w:val="17"/>
          </w:tcPr>
          <w:p>
            <w:pPr>
              <w:spacing w:after="0"/>
              <w:rPr>
                <w:sz w:val="18"/>
                <w:szCs w:val="18"/>
                <w:color w:val="auto"/>
              </w:rPr>
            </w:pPr>
          </w:p>
        </w:tc>
        <w:tc>
          <w:tcPr>
            <w:tcW w:w="6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w w:val="99"/>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 6 — Financial Services</w:t>
            </w: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 7 — Leases</w:t>
            </w:r>
          </w:p>
        </w:tc>
        <w:tc>
          <w:tcPr>
            <w:tcW w:w="820" w:type="dxa"/>
            <w:vAlign w:val="bottom"/>
            <w:gridSpan w:val="3"/>
          </w:tcPr>
          <w:p>
            <w:pPr>
              <w:spacing w:after="0"/>
              <w:rPr>
                <w:sz w:val="18"/>
                <w:szCs w:val="18"/>
                <w:color w:val="auto"/>
              </w:rPr>
            </w:pPr>
          </w:p>
        </w:tc>
        <w:tc>
          <w:tcPr>
            <w:tcW w:w="7960" w:type="dxa"/>
            <w:vAlign w:val="bottom"/>
            <w:gridSpan w:val="21"/>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Note 8 — Debt</w:t>
            </w:r>
          </w:p>
        </w:tc>
        <w:tc>
          <w:tcPr>
            <w:tcW w:w="140" w:type="dxa"/>
            <w:vAlign w:val="bottom"/>
          </w:tcPr>
          <w:p>
            <w:pPr>
              <w:spacing w:after="0"/>
              <w:rPr>
                <w:sz w:val="18"/>
                <w:szCs w:val="18"/>
                <w:color w:val="auto"/>
              </w:rPr>
            </w:pPr>
          </w:p>
        </w:tc>
        <w:tc>
          <w:tcPr>
            <w:tcW w:w="8780" w:type="dxa"/>
            <w:vAlign w:val="bottom"/>
            <w:gridSpan w:val="24"/>
          </w:tcPr>
          <w:p>
            <w:pPr>
              <w:spacing w:after="0"/>
              <w:rPr>
                <w:sz w:val="18"/>
                <w:szCs w:val="18"/>
                <w:color w:val="auto"/>
              </w:rPr>
            </w:pPr>
          </w:p>
        </w:tc>
        <w:tc>
          <w:tcPr>
            <w:tcW w:w="6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6"/>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Note 9 — Derivative Instruments and Hedging Activities</w:t>
            </w:r>
          </w:p>
        </w:tc>
        <w:tc>
          <w:tcPr>
            <w:tcW w:w="5900" w:type="dxa"/>
            <w:vAlign w:val="bottom"/>
            <w:gridSpan w:val="9"/>
          </w:tcPr>
          <w:p>
            <w:pPr>
              <w:spacing w:after="0"/>
              <w:rPr>
                <w:sz w:val="18"/>
                <w:szCs w:val="18"/>
                <w:color w:val="auto"/>
              </w:rPr>
            </w:pPr>
          </w:p>
        </w:tc>
        <w:tc>
          <w:tcPr>
            <w:tcW w:w="6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6"/>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10 — Goodwill and Intangible Assets</w:t>
            </w:r>
          </w:p>
        </w:tc>
        <w:tc>
          <w:tcPr>
            <w:tcW w:w="5900" w:type="dxa"/>
            <w:vAlign w:val="bottom"/>
            <w:gridSpan w:val="9"/>
          </w:tcPr>
          <w:p>
            <w:pPr>
              <w:spacing w:after="0"/>
              <w:rPr>
                <w:sz w:val="18"/>
                <w:szCs w:val="18"/>
                <w:color w:val="auto"/>
              </w:rPr>
            </w:pPr>
          </w:p>
        </w:tc>
        <w:tc>
          <w:tcPr>
            <w:tcW w:w="6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6"/>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Note 11 — Deferred Revenue</w:t>
            </w:r>
          </w:p>
        </w:tc>
        <w:tc>
          <w:tcPr>
            <w:tcW w:w="960" w:type="dxa"/>
            <w:vAlign w:val="bottom"/>
            <w:gridSpan w:val="6"/>
          </w:tcPr>
          <w:p>
            <w:pPr>
              <w:spacing w:after="0"/>
              <w:rPr>
                <w:sz w:val="18"/>
                <w:szCs w:val="18"/>
                <w:color w:val="auto"/>
              </w:rPr>
            </w:pPr>
          </w:p>
        </w:tc>
        <w:tc>
          <w:tcPr>
            <w:tcW w:w="6920" w:type="dxa"/>
            <w:vAlign w:val="bottom"/>
            <w:gridSpan w:val="14"/>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12 — Commitments and Contingencies</w:t>
            </w:r>
          </w:p>
        </w:tc>
        <w:tc>
          <w:tcPr>
            <w:tcW w:w="6780" w:type="dxa"/>
            <w:vAlign w:val="bottom"/>
            <w:gridSpan w:val="12"/>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Note 13 — Income and Other Taxes</w:t>
            </w:r>
          </w:p>
        </w:tc>
        <w:tc>
          <w:tcPr>
            <w:tcW w:w="700" w:type="dxa"/>
            <w:vAlign w:val="bottom"/>
            <w:gridSpan w:val="5"/>
          </w:tcPr>
          <w:p>
            <w:pPr>
              <w:spacing w:after="0"/>
              <w:rPr>
                <w:sz w:val="18"/>
                <w:szCs w:val="18"/>
                <w:color w:val="auto"/>
              </w:rPr>
            </w:pPr>
          </w:p>
        </w:tc>
        <w:tc>
          <w:tcPr>
            <w:tcW w:w="6780" w:type="dxa"/>
            <w:vAlign w:val="bottom"/>
            <w:gridSpan w:val="12"/>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 14 — Accumulated Other Comprehensive Income (Loss)</w:t>
            </w:r>
          </w:p>
        </w:tc>
        <w:tc>
          <w:tcPr>
            <w:tcW w:w="5500" w:type="dxa"/>
            <w:vAlign w:val="bottom"/>
            <w:gridSpan w:val="7"/>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15 — Capitalization</w:t>
            </w:r>
          </w:p>
        </w:tc>
        <w:tc>
          <w:tcPr>
            <w:tcW w:w="5500" w:type="dxa"/>
            <w:vAlign w:val="bottom"/>
            <w:gridSpan w:val="7"/>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 16 — Earnings Per Share</w:t>
            </w:r>
          </w:p>
        </w:tc>
        <w:tc>
          <w:tcPr>
            <w:tcW w:w="7800" w:type="dxa"/>
            <w:vAlign w:val="bottom"/>
            <w:gridSpan w:val="19"/>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 17 — Stock-Based Compensation</w:t>
            </w: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7"/>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 18 — Retirement Plan Benefits</w:t>
            </w:r>
          </w:p>
        </w:tc>
        <w:tc>
          <w:tcPr>
            <w:tcW w:w="7260" w:type="dxa"/>
            <w:vAlign w:val="bottom"/>
            <w:gridSpan w:val="15"/>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19 — Segment Information</w:t>
            </w:r>
          </w:p>
        </w:tc>
        <w:tc>
          <w:tcPr>
            <w:tcW w:w="7380" w:type="dxa"/>
            <w:vAlign w:val="bottom"/>
            <w:gridSpan w:val="16"/>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 20 — Related Party Transactions</w:t>
            </w: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 21 — Supplemental Consolidated Financial Information</w:t>
            </w:r>
          </w:p>
        </w:tc>
        <w:tc>
          <w:tcPr>
            <w:tcW w:w="5580" w:type="dxa"/>
            <w:vAlign w:val="bottom"/>
            <w:gridSpan w:val="8"/>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tcBorders>
              <w:left w:val="single" w:sz="8" w:color="0000FF"/>
            </w:tcBorders>
            <w:gridSpan w:val="9"/>
            <w:shd w:val="clear" w:color="auto" w:fill="0000FF"/>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22 — Government Assistance</w:t>
            </w:r>
          </w:p>
        </w:tc>
        <w:tc>
          <w:tcPr>
            <w:tcW w:w="5580" w:type="dxa"/>
            <w:vAlign w:val="bottom"/>
            <w:gridSpan w:val="8"/>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48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Note 23 — Subsequent Events</w:t>
            </w:r>
          </w:p>
        </w:tc>
        <w:tc>
          <w:tcPr>
            <w:tcW w:w="400" w:type="dxa"/>
            <w:vAlign w:val="bottom"/>
            <w:gridSpan w:val="3"/>
          </w:tcPr>
          <w:p>
            <w:pPr>
              <w:spacing w:after="0"/>
              <w:rPr>
                <w:sz w:val="18"/>
                <w:szCs w:val="18"/>
                <w:color w:val="auto"/>
              </w:rPr>
            </w:pPr>
          </w:p>
        </w:tc>
        <w:tc>
          <w:tcPr>
            <w:tcW w:w="7480" w:type="dxa"/>
            <w:vAlign w:val="bottom"/>
            <w:gridSpan w:val="17"/>
          </w:tcPr>
          <w:p>
            <w:pPr>
              <w:spacing w:after="0"/>
              <w:rPr>
                <w:sz w:val="18"/>
                <w:szCs w:val="18"/>
                <w:color w:val="auto"/>
              </w:rPr>
            </w:pPr>
          </w:p>
        </w:tc>
        <w:tc>
          <w:tcPr>
            <w:tcW w:w="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Dell Technologies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position of Dell Technologies Inc. and its subsidiaries (the “Company”) as of February 2, 2024 and February 3, 2023, and the related consolidated statements of income, of comprehensive income, of stockholders’ equity (deficit) and of cash flows for each of the three years in the period ended February 2, 2024, including the related notes (collectively referred to as the “consolidated financial statements”). We also have audited the Company's internal control over financial reporting as of February 2,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February 2, 2024 and February 3, 2023, and the results of its operations and its cash flows for each of the three years in the period ended February 2, 2024 in conformity with accounting principles generally accepted in the United States of America. Also in our opinion, the Company maintained, in all material respects, effective internal control over financial reporting as of February 2,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Revenue Recognition - Identification of Performance Obligations in Revenue Contracts</w:t>
      </w:r>
    </w:p>
    <w:p>
      <w:pPr>
        <w:spacing w:after="0" w:line="24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 described in Notes 2 and 19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February 2, 2024, a significant portion of the $33.9 billion Infrastructure Solutions Group (“ISG”) reportable segment net revenues relate to contracts with multiple performance obligations.</w:t>
      </w:r>
    </w:p>
    <w:p>
      <w:pPr>
        <w:spacing w:after="0" w:line="20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identification of performance obligations in revenue contracts is a critical audit matter are the significant judgment by management in identifying performance obligations in revenue contracts, which in turn led to a high degree of auditor judgment, subjectivity and effort in performing procedures to evaluate whether performance obligations in revenue contracts were appropriately identified by management.</w:t>
      </w:r>
    </w:p>
    <w:p>
      <w:pPr>
        <w:spacing w:after="0" w:line="198"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1986.</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6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060" w:type="dxa"/>
            <w:vAlign w:val="bottom"/>
            <w:vMerge w:val="restart"/>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of $71 and $78</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related party, net</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financing receivables, net of allowance of $79 and $142 (Note 6)</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3"/>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net of allowance of $91 and $59 (Note 6)</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party, net</w:t>
            </w:r>
          </w:p>
        </w:tc>
        <w:tc>
          <w:tcPr>
            <w:tcW w:w="5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23"/>
        </w:trPr>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jc w:val="center"/>
              <w:ind w:left="305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related party</w:t>
            </w: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0" w:type="dxa"/>
            <w:vAlign w:val="bottom"/>
          </w:tcPr>
          <w:p>
            <w:pPr>
              <w:spacing w:after="0"/>
              <w:rPr>
                <w:sz w:val="1"/>
                <w:szCs w:val="1"/>
                <w:color w:val="auto"/>
              </w:rPr>
            </w:pPr>
          </w:p>
        </w:tc>
      </w:tr>
      <w:tr>
        <w:trPr>
          <w:trHeight w:val="223"/>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and capital in excess of $0.01 par value (Note 15)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Dell Technologies Inc. stockholders’ equity (deficit)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3"/>
        </w:trPr>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0" w:type="dxa"/>
            <w:vAlign w:val="bottom"/>
            <w:gridSpan w:val="2"/>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8060" w:type="dxa"/>
            <w:vAlign w:val="bottom"/>
            <w:gridSpan w:val="4"/>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200" w:type="dxa"/>
            <w:vAlign w:val="bottom"/>
            <w:gridSpan w:val="2"/>
          </w:tcPr>
          <w:p>
            <w:pPr>
              <w:jc w:val="center"/>
              <w:ind w:left="391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51"/>
        </w:trPr>
        <w:tc>
          <w:tcPr>
            <w:tcW w:w="64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644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7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79,830</w:t>
            </w: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w:t>
            </w:r>
          </w:p>
        </w:tc>
      </w:tr>
      <w:tr>
        <w:trPr>
          <w:trHeight w:val="223"/>
        </w:trPr>
        <w:tc>
          <w:tcPr>
            <w:tcW w:w="6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101,197</w:t>
            </w: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 of net revenue (a):</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67,224</w:t>
            </w: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r>
      <w:tr>
        <w:trPr>
          <w:trHeight w:val="223"/>
        </w:trPr>
        <w:tc>
          <w:tcPr>
            <w:tcW w:w="6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79,306</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29"/>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3"/>
        </w:trPr>
        <w:tc>
          <w:tcPr>
            <w:tcW w:w="6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 (Note 3)</w:t>
            </w:r>
          </w:p>
        </w:tc>
        <w:tc>
          <w:tcPr>
            <w:tcW w:w="7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3"/>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of discontinued operations</w:t>
            </w:r>
          </w:p>
        </w:tc>
        <w:tc>
          <w:tcPr>
            <w:tcW w:w="7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8"/>
        </w:trPr>
        <w:tc>
          <w:tcPr>
            <w:tcW w:w="6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 — basic:</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70"/>
        </w:trPr>
        <w:tc>
          <w:tcPr>
            <w:tcW w:w="6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 — diluted:</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70"/>
        </w:trPr>
        <w:tc>
          <w:tcPr>
            <w:tcW w:w="6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Includes related party cost of net revenue as follows (Note 20):</w:t>
            </w: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2"/>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700" w:type="dxa"/>
            <w:vAlign w:val="bottom"/>
            <w:gridSpan w:val="5"/>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400" w:type="dxa"/>
            <w:vAlign w:val="bottom"/>
          </w:tcPr>
          <w:p>
            <w:pPr>
              <w:jc w:val="center"/>
              <w:ind w:left="4690"/>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51"/>
        </w:trPr>
        <w:tc>
          <w:tcPr>
            <w:tcW w:w="6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40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70"/>
        </w:trPr>
        <w:tc>
          <w:tcPr>
            <w:tcW w:w="6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 (loss), net of tax</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hedges:</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gains</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Reclassification adjustment for net (gains) losses included in net income</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64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change in cash flow hedges</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Recognition of actuarial net gains from pension and other postretirement plans</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76"/>
        </w:trPr>
        <w:tc>
          <w:tcPr>
            <w:tcW w:w="64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Reclassification adjustments for net losses from pension and other postretirement</w:t>
            </w:r>
          </w:p>
        </w:tc>
        <w:tc>
          <w:tcPr>
            <w:tcW w:w="7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plans</w:t>
            </w:r>
          </w:p>
        </w:tc>
        <w:tc>
          <w:tcPr>
            <w:tcW w:w="7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4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change in actuarial net gains from pension and other postretirement plans</w:t>
            </w: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6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175"/>
        </w:trPr>
        <w:tc>
          <w:tcPr>
            <w:tcW w:w="6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Total other comprehensive income (loss), net of tax expense (benefit) of $15, $(17),</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and $30, respectively</w:t>
            </w:r>
          </w:p>
        </w:tc>
        <w:tc>
          <w:tcPr>
            <w:tcW w:w="7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23"/>
        </w:trPr>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7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Dell Technologies Inc.</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0"/>
        </w:trPr>
        <w:tc>
          <w:tcPr>
            <w:tcW w:w="6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gridSpan w:val="4"/>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340" w:type="dxa"/>
            <w:vAlign w:val="bottom"/>
            <w:gridSpan w:val="7"/>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60" w:type="dxa"/>
            <w:vAlign w:val="bottom"/>
            <w:gridSpan w:val="4"/>
          </w:tcPr>
          <w:p>
            <w:pPr>
              <w:jc w:val="center"/>
              <w:ind w:left="3810"/>
              <w:spacing w:after="0"/>
              <w:rPr>
                <w:sz w:val="20"/>
                <w:szCs w:val="20"/>
                <w:color w:val="auto"/>
              </w:rPr>
            </w:pPr>
            <w:r>
              <w:rPr>
                <w:rFonts w:ascii="Times New Roman" w:cs="Times New Roman" w:eastAsia="Times New Roman" w:hAnsi="Times New Roman"/>
                <w:sz w:val="18"/>
                <w:szCs w:val="18"/>
                <w:color w:val="auto"/>
                <w:w w:val="99"/>
              </w:rPr>
              <w:t>(in millions, continued on next page)</w:t>
            </w: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8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200" w:type="dxa"/>
            <w:vAlign w:val="bottom"/>
          </w:tcPr>
          <w:p>
            <w:pPr>
              <w:spacing w:after="0"/>
              <w:rPr>
                <w:sz w:val="19"/>
                <w:szCs w:val="19"/>
                <w:color w:val="auto"/>
              </w:rPr>
            </w:pPr>
          </w:p>
        </w:tc>
        <w:tc>
          <w:tcPr>
            <w:tcW w:w="1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 (a)</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176"/>
        </w:trPr>
        <w:tc>
          <w:tcPr>
            <w:tcW w:w="54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Changes in assets and liabilities, net of effects from acquisitions and</w:t>
            </w: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receivables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from/to related party,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operating activities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and sales of investments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and capitalized software development costs</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businesses and assets,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Divestitures of businesses, net</w:t>
            </w:r>
          </w:p>
        </w:tc>
        <w:tc>
          <w:tcPr>
            <w:tcW w:w="18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investing activities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by VMware, Inc. to non-controlling interests</w:t>
            </w:r>
          </w:p>
        </w:tc>
        <w:tc>
          <w:tcPr>
            <w:tcW w:w="180" w:type="dxa"/>
            <w:vAlign w:val="bottom"/>
          </w:tcPr>
          <w:p>
            <w:pPr>
              <w:spacing w:after="0"/>
              <w:rPr>
                <w:sz w:val="24"/>
                <w:szCs w:val="24"/>
                <w:color w:val="auto"/>
              </w:rPr>
            </w:pPr>
          </w:p>
        </w:tc>
        <w:tc>
          <w:tcPr>
            <w:tcW w:w="1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employee tax withholdings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75"/>
        </w:trPr>
        <w:tc>
          <w:tcPr>
            <w:tcW w:w="5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transfer of cash, cash equivalents, and restricted cash to VMware,</w:t>
            </w: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w:t>
            </w:r>
          </w:p>
        </w:tc>
        <w:tc>
          <w:tcPr>
            <w:tcW w:w="1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dividends and dividend equivalents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Debt-related costs and other, net</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cash from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fiscal year ended January 28, 2022, other, net, includes $4.0 billion pre-tax gain on the sale of Boomi.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4"/>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24"/>
        </w:trPr>
        <w:tc>
          <w:tcPr>
            <w:tcW w:w="9360" w:type="dxa"/>
            <w:vAlign w:val="bottom"/>
            <w:gridSpan w:val="7"/>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7400" w:type="dxa"/>
            <w:vAlign w:val="bottom"/>
            <w:gridSpan w:val="4"/>
          </w:tcPr>
          <w:p>
            <w:pPr>
              <w:jc w:val="center"/>
              <w:ind w:left="3770"/>
              <w:spacing w:after="0"/>
              <w:rPr>
                <w:sz w:val="20"/>
                <w:szCs w:val="20"/>
                <w:color w:val="auto"/>
              </w:rPr>
            </w:pPr>
            <w:r>
              <w:rPr>
                <w:rFonts w:ascii="Times New Roman" w:cs="Times New Roman" w:eastAsia="Times New Roman" w:hAnsi="Times New Roman"/>
                <w:sz w:val="18"/>
                <w:szCs w:val="18"/>
                <w:color w:val="auto"/>
                <w:w w:val="99"/>
              </w:rPr>
              <w:t>(continued; in millions)</w:t>
            </w: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310"/>
        </w:trPr>
        <w:tc>
          <w:tcPr>
            <w:tcW w:w="5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8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0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155"/>
        </w:trPr>
        <w:tc>
          <w:tcPr>
            <w:tcW w:w="54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18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paid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continued on next page)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Dell</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29, 2021</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16,849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7,553</w:t>
            </w: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5,707</w:t>
            </w:r>
          </w:p>
        </w:tc>
        <w:tc>
          <w:tcPr>
            <w:tcW w:w="0" w:type="dxa"/>
            <w:vAlign w:val="bottom"/>
          </w:tcPr>
          <w:p>
            <w:pPr>
              <w:spacing w:after="0"/>
              <w:rPr>
                <w:sz w:val="1"/>
                <w:szCs w:val="1"/>
                <w:color w:val="auto"/>
              </w:rPr>
            </w:pPr>
          </w:p>
        </w:tc>
      </w:tr>
      <w:tr>
        <w:trPr>
          <w:trHeight w:val="146"/>
        </w:trPr>
        <w:tc>
          <w:tcPr>
            <w:tcW w:w="23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39"/>
        </w:trPr>
        <w:tc>
          <w:tcPr>
            <w:tcW w:w="23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Revaluation of redeemable shares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39"/>
        </w:trPr>
        <w:tc>
          <w:tcPr>
            <w:tcW w:w="23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93"/>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Dividends paid by VMware, Inc. to</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Spin-off of VMware, Inc.</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(10,162)</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0" w:type="dxa"/>
            <w:vAlign w:val="bottom"/>
          </w:tcPr>
          <w:p>
            <w:pPr>
              <w:spacing w:after="0"/>
              <w:rPr>
                <w:sz w:val="1"/>
                <w:szCs w:val="1"/>
                <w:color w:val="auto"/>
              </w:rPr>
            </w:pPr>
          </w:p>
        </w:tc>
      </w:tr>
      <w:tr>
        <w:trPr>
          <w:trHeight w:val="22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28, 2022</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in millions, except per share amounts)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174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Dell</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28,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($1.32 per common share)</w:t>
            </w: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0" w:type="dxa"/>
            <w:vAlign w:val="bottom"/>
          </w:tcPr>
          <w:p>
            <w:pPr>
              <w:spacing w:after="0"/>
              <w:rPr>
                <w:sz w:val="1"/>
                <w:szCs w:val="1"/>
                <w:color w:val="auto"/>
              </w:rPr>
            </w:pPr>
          </w:p>
        </w:tc>
      </w:tr>
      <w:tr>
        <w:trPr>
          <w:trHeight w:val="139"/>
        </w:trPr>
        <w:tc>
          <w:tcPr>
            <w:tcW w:w="2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3,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in millions, except per share amounts)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174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Dell</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3,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8,424</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($1.48 per common share)</w:t>
            </w: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23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w w:val="99"/>
              </w:rPr>
              <w:t>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08"/>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39"/>
        </w:trPr>
        <w:tc>
          <w:tcPr>
            <w:tcW w:w="23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2,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(5,900)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w w:val="99"/>
              </w:rPr>
              <w:t>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AND BASIS OF PRESENTATION</w:t>
      </w:r>
    </w:p>
    <w:p>
      <w:pPr>
        <w:spacing w:after="0" w:line="25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Dell Technologies is a leading global end-to-end technology provider that designs, develops, manufactures, markets, sells, and supports a wide range of comprehensive and integrated solutions, products, and services. Dell Technologies offerings include servers and networking, storage, cloud solutions, desktops, notebooks, services, software, branded peripherals, and third-party software and peripherals. References in these Notes to the Consolidated Financial Statements to the “Company” or “Dell Technologies” mean Dell Technologies Inc. individually and together with its consolidated subsidiaries.</w:t>
      </w:r>
    </w:p>
    <w:p>
      <w:pPr>
        <w:spacing w:after="0" w:line="18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These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America (“GAAP”).</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52- or 53-week period ending on the Friday nearest January 31. The fiscal years ended February 2, 2024 and January 28, 2022 were 52-week periods. The fiscal year ended February 3, 2023 was a 53-week period.</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Spin-Off of VMware, Inc. </w:t>
      </w:r>
      <w:r>
        <w:rPr>
          <w:rFonts w:ascii="Times New Roman" w:cs="Times New Roman" w:eastAsia="Times New Roman" w:hAnsi="Times New Roman"/>
          <w:sz w:val="18"/>
          <w:szCs w:val="18"/>
          <w:color w:val="auto"/>
        </w:rPr>
        <w:t>— On November 1, 2021, the Company completed its spin-off of VMware LLC (formerly VMware, Inc. and individually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with its consolidated subsidiaries, “VMware”) by means of a special stock dividend (the “VMware Spin-off”). In accordance with applicable accounting guidance, the results of VMware, excluding Dell Technologies' resale of VMware offerings, are presented as discontinued operations in the Consolidated Statements of Income and, as such, have been excluded from both continuing operations and segment results for the fiscal year ended January 28, 2022. The Consolidated Statements of Cash Flows are presented on a consolidated basis for both continuing operations and discontinued operations for the fiscal year ended January 28, 2022. See Note 3, Note 19, and Note 20 of the Notes to the Consolidated Financial Statements for additional information about the VMware Spin-off and recent developments in the Company’s relationship with VMware.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Boomi Divestiture </w:t>
      </w:r>
      <w:r>
        <w:rPr>
          <w:rFonts w:ascii="Times New Roman" w:cs="Times New Roman" w:eastAsia="Times New Roman" w:hAnsi="Times New Roman"/>
          <w:sz w:val="18"/>
          <w:szCs w:val="18"/>
          <w:color w:val="auto"/>
        </w:rPr>
        <w:t>— On October 1, 2021, Dell Technologies completed the sale of Boomi, Inc. (“Boomi”) and certain related assets. At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the Company received total cash consideration of approximately $4.0 billion, resulting in a pre-tax gain on sale of $4.0 billion recognized in interest and other, net on the Consolidated Statements of Income. The Company ultimately recorded a $3.0 billion gain, net of $1.0 billion in tax expense. Prior to the divestiture, Boomi’s operating results were included within other businesses. The divestiture did not qualify for presentation as a discontinued operation.</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Secureworks </w:t>
      </w:r>
      <w:r>
        <w:rPr>
          <w:rFonts w:ascii="Times New Roman" w:cs="Times New Roman" w:eastAsia="Times New Roman" w:hAnsi="Times New Roman"/>
          <w:sz w:val="18"/>
          <w:szCs w:val="18"/>
          <w:color w:val="auto"/>
        </w:rPr>
        <w:t>— As of February 2, 2024 and February 3, 2023, the Company held approximately 81.0% and 82.6%, respectively, of the outstanding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SecureWorks Corp. (“Secureworks”). The portion of the results of operations of Secureworks allocable to its other owners is shown as net loss attributable to non-controlling interests in the Consolidated Statements of Income, as an adjustment to net income attributable to Dell Technologies stockholders. The non-controlling interests’ share of equity in Secureworks is reflected as non-controlling interests in the Consolidated Statements of Financial Position and was $95 million and $97 million as of February 2, 2024 and February 3, 2023, respectively.</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 On July 12, 2023, the Company entered into a definitive agreement with Comenity Capital Bank, a subsidiary of Bread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(“Bread”), to establish a new consumer revolving financing program, operated as the “Dell Pay Credit” program, under which transactions are originated, owned, serviced, and collected by Bread. Under the agreement, the Company also agreed to sell its U.S. consumer revolving customer receivables portfolio. On October 4, 2023, the parties closed the sale for total cash consideration of approximately $390 million and the Company recognized an immaterial gain within the Consolidated Statements of Income. Upon completion of the sale, the Company derecognized transferred receivables, net of $380 million from the Consolidated Statements of Financial Position. The Company has no continuing involvement with these receivables, which are serviced by Bread. See Note 6 of the Notes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These Consolidated Financial Statements include the accounts of Dell Technologies and its wholly-owned subsidiaries,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the accounts of Secureworks, which, as indicated in Note 1 of the Notes to the Consolidated Financial Statements, is majority-owned by Dell Technologies, and VMware through the date of the VMware Spin-off. All intercompany transactions have been eliminated.</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6 of the Notes to the Consolidated Financial Statements for more information regarding consolidated VIEs.</w:t>
      </w:r>
    </w:p>
    <w:p>
      <w:pPr>
        <w:spacing w:after="0" w:line="21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accordance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amounts reported in the Consolidated Financial Statements and the accompanying Notes. Actual results could differ materially from those estimates.</w:t>
      </w:r>
    </w:p>
    <w:p>
      <w:pPr>
        <w:spacing w:after="0" w:line="17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All highly liquid investments with original maturities of 90 days or less at date of purchase are reported at fair value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cash equivalents. Credit card receivables are classified as either cash and cash equivalents or receivables depending on the nature of the payment terms.</w:t>
      </w:r>
    </w:p>
    <w:p>
      <w:pPr>
        <w:spacing w:after="0" w:line="2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The Company has strategic investments in equity and other securities as well as investments in fixed-income debt securities. All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securities and long-term fixed income debt securities are recorded as long-term investments in the Consolidated Statements of Financial Position. Short-term fixed income debt securities are recorded as other current assets in the Consolidated Statements of Financial Position.</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Strategic investments in marketable equity and other securities are recorded at fair value based on quoted prices in active markets. Strategic investments in non-marketable equity and other securities without readily determinable fair values are recorded at cost, less impairment, and are adjusted for observable price changes. Fair value measurements and impairments for strategic investments are recognized in interest and other, net in the Consolidated Statements of Income.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Fixed-income debt securities are carried at amortized cost. The Company intends to hold the fixed-income debt securities to maturity.</w:t>
      </w:r>
    </w:p>
    <w:p>
      <w:pPr>
        <w:spacing w:after="0" w:line="25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Expected Credit Losses on Accounts Receivable </w:t>
      </w:r>
      <w:r>
        <w:rPr>
          <w:rFonts w:ascii="Times New Roman" w:cs="Times New Roman" w:eastAsia="Times New Roman" w:hAnsi="Times New Roman"/>
          <w:sz w:val="18"/>
          <w:szCs w:val="18"/>
          <w:color w:val="auto"/>
        </w:rPr>
        <w:t>— The Company recognizes an allowance for losses on accounts receivable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Operating Leases as a Lessee — </w:t>
      </w:r>
      <w:r>
        <w:rPr>
          <w:rFonts w:ascii="Times New Roman" w:cs="Times New Roman" w:eastAsia="Times New Roman" w:hAnsi="Times New Roman"/>
          <w:sz w:val="18"/>
          <w:szCs w:val="18"/>
          <w:color w:val="auto"/>
        </w:rPr>
        <w:t>In its ordinary course of business, the Company enters into leases as a lessee for office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warehouses, employee vehicles, and equipment. The Company determines if an arrangement is a lease or contains a lease at inception. The Company’s leases are generally classified as operating leases. Finance leases are immaterial.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commencement,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w:t>
      </w: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 term may include options to extend or to terminate the lease that the Company is reasonably certain to exercise. The Company has elected not to record leases with an initial term of 12 months or less on the Consolidated Statements of Financial Position. Lease expense is recognized on a straight-line basis over the lease term in most instances. The Company does not generate material sublease income and has no material related party leases. The Company’s lease agreements do not contain any material residual value guarantees or material restrictive covenants.</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office building agreements contain costs such as common area maintenance and other executory costs that may be either fixed or variable in nature. Variable lease costs are expensed as incurred. The Company combines lease and non-lease components, including fixed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7 of the Notes to the Consolidated Financial Statements for additional information.</w:t>
      </w:r>
    </w:p>
    <w:p>
      <w:pPr>
        <w:spacing w:after="0" w:line="21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 </w:t>
      </w:r>
      <w:r>
        <w:rPr>
          <w:rFonts w:ascii="Times New Roman" w:cs="Times New Roman" w:eastAsia="Times New Roman" w:hAnsi="Times New Roman"/>
          <w:sz w:val="18"/>
          <w:szCs w:val="18"/>
          <w:color w:val="auto"/>
        </w:rPr>
        <w:t>The Company’s wholly-owned subsidiary Dell Financial Services and its affiliates (“DFS”) act as a lessor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financing to customers through a variety of lease arrangements (“DFS leases”). The Company’s leases are classified as sales-type leases, direct financing leases, or operating leases. Direct financing leases are immaterial.</w:t>
      </w:r>
    </w:p>
    <w:p>
      <w:pPr>
        <w:spacing w:after="0" w:line="20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also offers alternative payment structures and as-a-Service offerings that are assessed to determine whether an embedded lease arrangement exists. The Company accounts for those contracts as a lease arrangement if it is determined that the contract contains an identified asset and that control of that asset has transferred to the customer.</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DFS’s lease arrangements do not have variable payment terms and are typically non-cancelable.</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commencement of sales-type leases, the Company recognizes profit up-front, and amounts due from the customer under the lease contract are recognized as financing receivables on the Consolidated Statements of Financial Position. Interest income is recognized as net product revenue over the term of the lease based on the effective interest method. The Company has elected not to include sales and other taxes collected from the lessee as part of lease revenue.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other leases that do not meet the definition of a sales-type lease or direct financing lease are classified as operating leases. The underlying asset in an operating lease arrangement is carried at depreciated cost as “Assets in a customer contract”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generally on a straight-line basis over the lease term and expenses deferred initial direct costs on the same basis. The Company recognizes variable lease income to product revenue generally as earned. Impairment of assets in a customer contract is assessed on the same basis as other long-lived assets.</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Accounting for Fixed-Term Loans </w:t>
      </w:r>
      <w:r>
        <w:rPr>
          <w:rFonts w:ascii="Times New Roman" w:cs="Times New Roman" w:eastAsia="Times New Roman" w:hAnsi="Times New Roman"/>
          <w:sz w:val="18"/>
          <w:szCs w:val="18"/>
          <w:color w:val="auto"/>
        </w:rPr>
        <w:t>— For fixed-term loans, the Company may recognize profit up-front upon commencement or over time depending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or service offering. Amounts due from the customer under the loan agreement are recognized as financing receivables on the Consolidated Statements of Financial Position. The Company generally recognizes interest income to product revenue based on the effective interest method and expenses deferred initial direct costs on a straight-line basis over the loan term.</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Receivables </w:t>
      </w:r>
      <w:r>
        <w:rPr>
          <w:rFonts w:ascii="Times New Roman" w:cs="Times New Roman" w:eastAsia="Times New Roman" w:hAnsi="Times New Roman"/>
          <w:sz w:val="18"/>
          <w:szCs w:val="18"/>
          <w:color w:val="auto"/>
        </w:rPr>
        <w:t>— Financing receivables are presented net of allowance for losses and consist of customer receivables and residual interest.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receivables include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Fixed-term leases and loans are offered to qualified small and medium-sized businesses, large commercial accounts, governmental organizations, and educational entities. Fixed-term loans are also offered to qualified individual consumers. Revolving loans offered under a private label credit financing program, referred to as Dell Business Credit (“DBC”), are primarily offered to small and medium-sized business customers.</w:t>
      </w:r>
    </w:p>
    <w:p>
      <w:pPr>
        <w:spacing w:after="0" w:line="21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Financing Receivables Losses </w:t>
      </w:r>
      <w:r>
        <w:rPr>
          <w:rFonts w:ascii="Times New Roman" w:cs="Times New Roman" w:eastAsia="Times New Roman" w:hAnsi="Times New Roman"/>
          <w:sz w:val="18"/>
          <w:szCs w:val="18"/>
          <w:color w:val="auto"/>
        </w:rPr>
        <w:t>— The Company recognizes an allowance for financing receivables losses, including both the lease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unguaranteed residual, in an amount equal to the expected losses net of recoveries. The allowance for financing receivables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Both fixed and revolving financing receivables loss rates are affected by macroeconomic conditions, including the level of gross domestic product (“GDP”) growth, the level of commercial capital equipment investment, unemployment rates, and the credit quality of the borrower.</w:t>
      </w:r>
    </w:p>
    <w:p>
      <w:pPr>
        <w:spacing w:after="0" w:line="2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Generally, expected credit losses as a result of residual value risk on equipment under lease are not considered to be significant primarily because of the existence of a secondary market with respect to the equipment. The Company’s lease agreements also generally define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Securitization </w:t>
      </w:r>
      <w:r>
        <w:rPr>
          <w:rFonts w:ascii="Times New Roman" w:cs="Times New Roman" w:eastAsia="Times New Roman" w:hAnsi="Times New Roman"/>
          <w:sz w:val="18"/>
          <w:szCs w:val="18"/>
          <w:color w:val="auto"/>
        </w:rPr>
        <w:t>— The Company transfers certain U.S. and European customer loan and lease payments and associated equipment to Special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loan and lease payments and associated equipment in the capital markets. Some of these SPEs have entered into financing arrangements with multi-seller conduits that, in turn, issue asset-backed debt securities in the capital markets. The asset securitizations in the SPEs are accounted for as secured borrowings.</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The Company generally records inventory on the Consolidated Statements of Financial Position when legal title and risk of loss have passed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for items that are held for sale in the ordinary course of business, that are in process of production for sale, or that will be consumed in the production of goods or services that will be held for sale. Inventories are stated at the lower of cost or net realizable value, with cost being determined on a first-in, first-out basis. Adjustments to 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the newly established cost basis.</w:t>
      </w:r>
    </w:p>
    <w:p>
      <w:pPr>
        <w:spacing w:after="0" w:line="209"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carried at depreciated cost. Depreciation is determined using the straight-line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shorter of the estimated useful lives of the assets or the lease term, as applicable. The estimated useful lives of the Company’s property, plant, and equipment are generally as follows: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40" w:type="dxa"/>
            <w:vAlign w:val="bottom"/>
            <w:tcBorders>
              <w:bottom w:val="single" w:sz="8" w:color="CCEEFF"/>
            </w:tcBorders>
          </w:tcPr>
          <w:p>
            <w:pPr>
              <w:spacing w:after="0"/>
              <w:rPr>
                <w:sz w:val="20"/>
                <w:szCs w:val="20"/>
                <w:color w:val="auto"/>
              </w:rPr>
            </w:pPr>
          </w:p>
        </w:tc>
        <w:tc>
          <w:tcPr>
            <w:tcW w:w="64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 years</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in a customer contract</w:t>
            </w: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of underlying lease contract</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10-30 years or term of underlying land lease</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 or contract term</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related to retirements or dispositions of fixed assets are recognized in the period during which the retirement or disposition occurs.</w:t>
      </w:r>
    </w:p>
    <w:p>
      <w:pPr>
        <w:spacing w:after="0" w:line="2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Capitalized Software Development Costs </w:t>
      </w:r>
      <w:r>
        <w:rPr>
          <w:rFonts w:ascii="Times New Roman" w:cs="Times New Roman" w:eastAsia="Times New Roman" w:hAnsi="Times New Roman"/>
          <w:sz w:val="18"/>
          <w:szCs w:val="18"/>
          <w:color w:val="auto"/>
        </w:rPr>
        <w:t>— Software development costs related to the development of new product offerings are capitalized subsequent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is generally two years.</w:t>
      </w:r>
    </w:p>
    <w:p>
      <w:pPr>
        <w:spacing w:after="0" w:line="20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February 2, 2024 and February 3, 2023, capitalized software development costs were $646 million and $673 million, respectively, and are included in other non-current assets, net in the accompanying Consolidated Statements of Financial Position. Amortization expense for the fiscal years ended February 2, 2024, February 3, 2023, and January 28, 2022 was $416 million, $317 million, and $263 million, respectively.</w:t>
      </w:r>
    </w:p>
    <w:p>
      <w:pPr>
        <w:spacing w:after="0" w:line="20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to acquire or create internal use software which are incurred subsequent to the completion of the preliminary project stage. Costs associated with maintenance and minor enhancements to the features and functionality of the Company’s internal use software are expensed as incurred.</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The Company reviews long-lived assets for impairment when events or changes in circumstances indicate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Including Goodwill </w:t>
      </w:r>
      <w:r>
        <w:rPr>
          <w:rFonts w:ascii="Times New Roman" w:cs="Times New Roman" w:eastAsia="Times New Roman" w:hAnsi="Times New Roman"/>
          <w:sz w:val="18"/>
          <w:szCs w:val="18"/>
          <w:color w:val="auto"/>
        </w:rPr>
        <w:t>— Identifiable intangible assets with finite lives are amortized over their estimated useful lives. Indefinite-lived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are not amortized. Definite-lived 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20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majority of the Company’s international sales are made by international subsidiaries, some of which have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either the monthly average exchange rates in effect for the period in which the activity was recognized or the specific daily exchange rate associated with the date the transactions actually occur. Foreign currency translation adjustments are included as a component of accumulated other comprehensive income (loss) (“AOCI”) in stockholders’ equity (deficit).</w:t>
      </w:r>
    </w:p>
    <w:p>
      <w:pPr>
        <w:spacing w:after="0" w:line="2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See Note 21 of the Notes to the Consolidated Financial Statements for amounts recognized from remeasurement during the periods presented.</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Hedging Instruments </w:t>
      </w:r>
      <w:r>
        <w:rPr>
          <w:rFonts w:ascii="Times New Roman" w:cs="Times New Roman" w:eastAsia="Times New Roman" w:hAnsi="Times New Roman"/>
          <w:sz w:val="18"/>
          <w:szCs w:val="18"/>
          <w:color w:val="auto"/>
        </w:rPr>
        <w:t>— The Company uses derivative financial instruments, primarily forward contracts, options, and swaps, to hedge certain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 The Company’s hedge portfolio includes non-designated derivatives and derivatives designated as cash flow hedges and, from time to time, fair value hedges.</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derivative instruments designated as a cash flow hedge, the Company assesses hedge effectiveness at the onset of the hedge, then performs qualitative assessments at regular intervals throughout the life of the derivative. The gain or loss on the hedge is recorded in AOCI, as a separate component of stockholders’ equity (deficit), and reclassified into earnings in the period during which the hedged transaction is recognized in earnings. For derivatives that are designated as a fair value hedge, the Company evaluates the effectiveness of the qualifying fair value hedge using the shortcut method of accounting under which hedges are assumed to be perfectly effective. The change in fair value of the hedge exactly offsets the fair value of the hedged item and there is no net impact recognized in earnings from the fair value of the derivative. For derivatives that are not designated as hedges or do not qualify for hedge accounting treatment, the Company recognizes the change in the instrument’s fair value in earnings as a component of interest and other, net.</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Cash flows from derivative instruments are presented in the same category on the Consolidated Statements of Cash Flows as the cash flows from the underlying hedged items. See Note 9 of the Notes to the Consolidated Financial Statements for a description of the Company’s derivative financial instrument activities.</w:t>
      </w:r>
    </w:p>
    <w:p>
      <w:pPr>
        <w:spacing w:after="0" w:line="201" w:lineRule="exact"/>
        <w:rPr>
          <w:sz w:val="20"/>
          <w:szCs w:val="20"/>
          <w:color w:val="auto"/>
        </w:rPr>
      </w:pPr>
    </w:p>
    <w:p>
      <w:pPr>
        <w:jc w:val="both"/>
        <w:ind w:right="8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The Company sells a wide portfolio of products and services to its customers. The Company’s agreements have varying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depending on the goods and services being sold, the rights and obligations conveyed, and the legal jurisdiction of the arrangement.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for these arrangements based on the following five steps:</w:t>
      </w:r>
    </w:p>
    <w:p>
      <w:pPr>
        <w:spacing w:after="0" w:line="250" w:lineRule="exact"/>
        <w:rPr>
          <w:sz w:val="20"/>
          <w:szCs w:val="20"/>
          <w:color w:val="auto"/>
        </w:rPr>
      </w:pPr>
    </w:p>
    <w:p>
      <w:pPr>
        <w:jc w:val="both"/>
        <w:ind w:left="660" w:right="140" w:hanging="328"/>
        <w:spacing w:after="0" w:line="277" w:lineRule="auto"/>
        <w:tabs>
          <w:tab w:leader="none" w:pos="726"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Identify the contract with a customer. </w:t>
      </w:r>
      <w:r>
        <w:rPr>
          <w:rFonts w:ascii="Times New Roman" w:cs="Times New Roman" w:eastAsia="Times New Roman" w:hAnsi="Times New Roman"/>
          <w:sz w:val="17"/>
          <w:szCs w:val="17"/>
          <w:color w:val="auto"/>
        </w:rPr>
        <w:t>The Company evaluates facts and circumstances regarding sales transactions in order to identify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its customers. An agreement must meet all of the following criteria to qualify as a contract eligible for revenue recognition under the model:</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3"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84" w:lineRule="exact"/>
        <w:rPr>
          <w:rFonts w:ascii="Times New Roman" w:cs="Times New Roman" w:eastAsia="Times New Roman" w:hAnsi="Times New Roman"/>
          <w:sz w:val="17"/>
          <w:szCs w:val="17"/>
          <w:i w:val="1"/>
          <w:iCs w:val="1"/>
          <w:color w:val="auto"/>
        </w:rPr>
      </w:pPr>
    </w:p>
    <w:p>
      <w:pPr>
        <w:ind w:left="660" w:right="60" w:hanging="328"/>
        <w:spacing w:after="0" w:line="253" w:lineRule="auto"/>
        <w:tabs>
          <w:tab w:leader="none" w:pos="726"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Company’s contracts with customers often include the promise to transfer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214" w:lineRule="exact"/>
        <w:rPr>
          <w:rFonts w:ascii="Times New Roman" w:cs="Times New Roman" w:eastAsia="Times New Roman" w:hAnsi="Times New Roman"/>
          <w:sz w:val="18"/>
          <w:szCs w:val="18"/>
          <w:i w:val="1"/>
          <w:iCs w:val="1"/>
          <w:color w:val="auto"/>
        </w:rPr>
      </w:pPr>
    </w:p>
    <w:p>
      <w:pPr>
        <w:ind w:left="660" w:hanging="328"/>
        <w:spacing w:after="0" w:line="258" w:lineRule="auto"/>
        <w:tabs>
          <w:tab w:leader="none" w:pos="726"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reflects the amount of consideration to which the Company expects to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210" w:lineRule="exact"/>
        <w:rPr>
          <w:rFonts w:ascii="Times New Roman" w:cs="Times New Roman" w:eastAsia="Times New Roman" w:hAnsi="Times New Roman"/>
          <w:sz w:val="18"/>
          <w:szCs w:val="18"/>
          <w:i w:val="1"/>
          <w:iCs w:val="1"/>
          <w:color w:val="auto"/>
        </w:rPr>
      </w:pPr>
    </w:p>
    <w:p>
      <w:pPr>
        <w:ind w:left="660" w:right="160" w:hanging="328"/>
        <w:spacing w:after="0" w:line="261" w:lineRule="auto"/>
        <w:tabs>
          <w:tab w:leader="none" w:pos="722"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When a contract includes multiple performance obligations,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209" w:lineRule="exact"/>
        <w:rPr>
          <w:sz w:val="20"/>
          <w:szCs w:val="20"/>
          <w:color w:val="auto"/>
        </w:rPr>
      </w:pPr>
    </w:p>
    <w:p>
      <w:pPr>
        <w:ind w:left="660" w:right="440"/>
        <w:spacing w:after="0" w:line="258" w:lineRule="auto"/>
        <w:rPr>
          <w:sz w:val="20"/>
          <w:szCs w:val="20"/>
          <w:color w:val="auto"/>
        </w:rPr>
      </w:pPr>
      <w:r>
        <w:rPr>
          <w:rFonts w:ascii="Times New Roman" w:cs="Times New Roman" w:eastAsia="Times New Roman" w:hAnsi="Times New Roman"/>
          <w:sz w:val="18"/>
          <w:szCs w:val="18"/>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40" w:hanging="328"/>
        <w:spacing w:after="0" w:line="257" w:lineRule="auto"/>
        <w:tabs>
          <w:tab w:leader="none" w:pos="726"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Recognize revenue when (or as) the performance obligation is satisfied. </w:t>
      </w:r>
      <w:r>
        <w:rPr>
          <w:rFonts w:ascii="Times New Roman" w:cs="Times New Roman" w:eastAsia="Times New Roman" w:hAnsi="Times New Roman"/>
          <w:sz w:val="18"/>
          <w:szCs w:val="18"/>
          <w:color w:val="auto"/>
        </w:rPr>
        <w:t>Revenue is recognized when obligations under the terms of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w:t>
      </w:r>
    </w:p>
    <w:p>
      <w:pPr>
        <w:spacing w:after="0" w:line="2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reports revenue net of any revenue-based taxes assessed by governmental authorities that are imposed on and concurrently with specific revenue-producing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w:t>
      </w:r>
    </w:p>
    <w:p>
      <w:pPr>
        <w:spacing w:after="0" w:line="252" w:lineRule="exact"/>
        <w:rPr>
          <w:sz w:val="20"/>
          <w:szCs w:val="20"/>
          <w:color w:val="auto"/>
        </w:rPr>
      </w:pPr>
    </w:p>
    <w:p>
      <w:pPr>
        <w:ind w:left="660" w:right="2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significant financing components if the period between revenue recognition and when the customer pays for the product or service will be one year or less.</w:t>
      </w:r>
    </w:p>
    <w:p>
      <w:pPr>
        <w:spacing w:after="0" w:line="188"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equal to the amount it has a right to invoice when the amount corresponds directly with the value to the customer of the Company’s performance to date.</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account for shipping and handling activities as a separate performance obligation, but rather as an activity performed to transfer the promised good.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nature of revenue recognized and the manner in which the Company accounts for sales transactions.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Products</w:t>
      </w:r>
    </w:p>
    <w:p>
      <w:pPr>
        <w:spacing w:after="0" w:line="254" w:lineRule="exact"/>
        <w:rPr>
          <w:sz w:val="20"/>
          <w:szCs w:val="20"/>
          <w:color w:val="auto"/>
        </w:rPr>
      </w:pPr>
    </w:p>
    <w:p>
      <w:pPr>
        <w:ind w:left="340" w:right="440"/>
        <w:spacing w:after="0" w:line="266" w:lineRule="auto"/>
        <w:rPr>
          <w:sz w:val="20"/>
          <w:szCs w:val="20"/>
          <w:color w:val="auto"/>
        </w:rPr>
      </w:pPr>
      <w:r>
        <w:rPr>
          <w:rFonts w:ascii="Times New Roman" w:cs="Times New Roman" w:eastAsia="Times New Roman" w:hAnsi="Times New Roman"/>
          <w:sz w:val="18"/>
          <w:szCs w:val="18"/>
          <w:color w:val="auto"/>
        </w:rPr>
        <w:t>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w:t>
      </w:r>
    </w:p>
    <w:p>
      <w:pPr>
        <w:spacing w:after="0" w:line="20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Services</w:t>
      </w:r>
    </w:p>
    <w:p>
      <w:pPr>
        <w:spacing w:after="0" w:line="254"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254"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Revenue from leasing arrangements is not subject to the revenue standard for contracts with customers and remains separately accounted for under lease accounting guidance. The Company records operating lease rental revenue as product revenue on a straight-line basis over the lease term. The Company records revenue under sales-type leases as product revenue in an amount equal to the present value of minimum lease payments at the inception of the lease. Sales-type leases also produce financing income, which is included in product net revenue in the Consolidated Statements of Income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 net revenue on an accrual basis.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Principal versus Agent </w:t>
      </w:r>
      <w:r>
        <w:rPr>
          <w:rFonts w:ascii="Times New Roman" w:cs="Times New Roman" w:eastAsia="Times New Roman" w:hAnsi="Times New Roman"/>
          <w:sz w:val="18"/>
          <w:szCs w:val="18"/>
          <w:color w:val="auto"/>
        </w:rPr>
        <w:t>— For transactions that involve a third party, the Company evaluates whether it is acting as the principal or the agent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This determination requires significant judgment and impacts the amount and timing of revenue recognized. If the Company determines that it controls a good or service before it is transferred to the customer, the Company is acting as the principal and recognizes revenue at the gross amount of consideration it is entitled to from the customer. Indicators that the Company controls a good or service before transferring it to a customer include, but are not limited to, the Company being the primary obligor to the customer, establishing its own pricing, and having inventory and credit risks. Conversely, if the Company determines that it does not control the good or service before it is transferred to the customer, the Company is acting as an agent in the transaction. As an agent, the Company is arranging for the good or service to be provided by another party and recognizes revenue at the net amount of consideration retained.</w:t>
      </w: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Disaggregation of Revenue </w:t>
      </w:r>
      <w:r>
        <w:rPr>
          <w:rFonts w:ascii="Times New Roman" w:cs="Times New Roman" w:eastAsia="Times New Roman" w:hAnsi="Times New Roman"/>
          <w:sz w:val="18"/>
          <w:szCs w:val="18"/>
          <w:color w:val="auto"/>
        </w:rPr>
        <w:t>— The Company’s revenue is presented on a disaggregated basis on the Consolidated Statements of Income and in Note 19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and make resource allocations. This information includes revenue from products and services, revenue from reportable segments, and revenue by major product categories within the segments.</w:t>
      </w:r>
    </w:p>
    <w:p>
      <w:pPr>
        <w:spacing w:after="0" w:line="21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Contract assets are rights to consideration in exchange for goods or services that the Company has transferred to a customer when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right is conditional on something other than the passage of time. Such amounts are immaterial as of February 2, 2024 and February 3, 2023.</w:t>
      </w:r>
    </w:p>
    <w:p>
      <w:pPr>
        <w:spacing w:after="0" w:line="1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Contract liabilities primarily consist of deferred revenue. Deferred revenue is recorded when the Company has invoiced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11 of the Notes to the Consolidated Financial Statements for additional information about deferred revenue.</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Costs </w:t>
      </w:r>
      <w:r>
        <w:rPr>
          <w:rFonts w:ascii="Times New Roman" w:cs="Times New Roman" w:eastAsia="Times New Roman" w:hAnsi="Times New Roman"/>
          <w:sz w:val="18"/>
          <w:szCs w:val="18"/>
          <w:color w:val="auto"/>
        </w:rPr>
        <w:t>— Deferred costs primarily consist of costs incurred to fulfill revenue-generating contracts mainly associated with VMware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discussed in Note 19 and Note 20 of the Notes to the Consolidated Financial Statements and third-party software support and maintenance offerings. Deferred costs are included with other current assets and other non-current assets on the Consolidated Statements of Financial Position. The Company defers and subsequently amortizes these charges on a straight-line basis over the life of the contract or the average contract duration to obtain the appropriate expense recognition timing.</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Costs to Obtain a Contract </w:t>
      </w:r>
      <w:r>
        <w:rPr>
          <w:rFonts w:ascii="Times New Roman" w:cs="Times New Roman" w:eastAsia="Times New Roman" w:hAnsi="Times New Roman"/>
          <w:sz w:val="18"/>
          <w:szCs w:val="18"/>
          <w:color w:val="auto"/>
        </w:rPr>
        <w:t>— The Company capitalizes incremental direct costs to obtain a contract, primarily sales commissions and employer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one to five years. Amortization expense is recognized on a straight-line basis and included in selling, general, and administrative expenses in the Consolidated Statements of Income.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February 2, 2024, February 3, 2023, and January 28, 2022.</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costs to obtain a contract as of February 2, 2024 and February 3, 2023 were $674 million and $726 million,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February 2, 2024, February 3, 2023, and January 28, 2022 was $383 million, $390 million, and $380 million, respectively.</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Standard Warranty Liabilities </w:t>
      </w:r>
      <w:r>
        <w:rPr>
          <w:rFonts w:ascii="Times New Roman" w:cs="Times New Roman" w:eastAsia="Times New Roman" w:hAnsi="Times New Roman"/>
          <w:sz w:val="18"/>
          <w:szCs w:val="18"/>
          <w:color w:val="auto"/>
        </w:rPr>
        <w:t>— The Company records warranty liabilities for estimated costs of fulfilling its obligations under standard limited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software warranties at the time of sale. The liabilities for standard warranties are included in accrued and other and in other non-current liabilities in the Consolidated Statements of Financial Position. The specific warranty terms and conditions vary depending upon the product sold and the country in which the Company does business, but generally include technical support, parts, and labor over a period ranging from one to three years. Factors that affect the Company’s warranty liabilities include the number of installed units currently under warranty, historical and anticipated rates of warranty claims on those units, and cost per claim to satisfy the Company’s warranty obligation. The anticipated rate of warranty claims is the primary estimate used in determining the warranty liability and is relatively predictable using historical experience of failure rates. The average remaining aggregate warranty period of the covered installed base is approximately 17 months, repair parts are generally already in stock or available at pre-determined prices, and labor rates are generally arranged at preestablished amounts with service providers.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Consideration Received from Vendors </w:t>
      </w:r>
      <w:r>
        <w:rPr>
          <w:rFonts w:ascii="Times New Roman" w:cs="Times New Roman" w:eastAsia="Times New Roman" w:hAnsi="Times New Roman"/>
          <w:sz w:val="17"/>
          <w:szCs w:val="17"/>
          <w:color w:val="auto"/>
        </w:rPr>
        <w:t>— The Company may receive consideration from vendors in the normal course of business. Certain of these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received as consideration are rebates 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 consideration is classified as a reduction of such costs, most often operating expenses, in the Consolidated Statements of Income. In order to be recognized as a reduction of operating expenses, the reimbursement must be for a specific, incremental, and identifiable cost incurred by the Company in selling the vendor’s products or services.</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 The Company is subject to the possibility of various losses arising in the ordinary course of business. In determining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contingencies, the Company considers the likelihood of loss or impairment of an asset or the incurrence of a liability, as well as the Company’s ability to reasonably estimate the amount of loss.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 The Company’s shipping and handling costs are included in cost of net revenue in the Consolidated Statements of Income.</w:t>
      </w:r>
    </w:p>
    <w:p>
      <w:pPr>
        <w:spacing w:after="0" w:line="25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 Selling expenses include items such as sales salaries and commissions, marketing and advertising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services. Advertising costs are expensed as incurred in selling, general, and administrative expenses in the Consolidated Statements of Income. For the fiscal years ended February 2, 2024, February 3, 2023, and January 28, 2022, advertising expenses were $0.9 billion, $1.1 billion, and $1.3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Research and development (“R&amp;D”) costs are primarily expensed as incurred. As noted in Capitalized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in this Note, qualifying software development costs are capitalized and amortized over time.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calculates a provision for income taxes using the asset and liability method, under which deferred tax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recognized by identifying the temporary differences arising from the different treatment of items for tax and accounting purposes. Deferred tax assets and liabilities are recorded using enacted tax rates in effect for the year in which the differences are expected to reverse.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2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measures stock-based compensation expense for all share-based awards granted based on the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those awards at grant date. To estimate the fair value of performance-based awards containing a market condition, the Company uses the Monte Carlo valuation model. The fair value of other share-based awards is generally based on the closing price of the Class C Common Stock as reported on the New York Stock Exchange (“NYSE”) on the date of grant.</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 In November 2023, the Financial Accounting Standards Board (“FASB”) issued guidance to improve disclosures about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reportable segments by requiring disclosure of additional information about a reportable segment’s expenses on an annual and interim basis. Public entities must adopt the new guidance for fiscal years beginning after December 15, 2023, with early adoption permitted. Upon adoption, the guidance is required to be applied retrospectively to all prior periods presented in the financial statements. Adoption of this new guidance will result in increased disclosures in the Notes to the Consolidated Financial Statements.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In December 2023, the FASB issued guidance which requires companies to provide disaggregated income tax disclosures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and income taxes paid. Public entities must adopt the new guidance for fiscal years beginning after December 15, 2024, with early adoption permitted. Upon adoption, the guidance can be applied prospectively or retrospectively. Adoption of this new guidance will result in increased disclosures in the Notes to the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DISCONTINUED OPERATIONS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VMware Spin-Off </w:t>
      </w:r>
      <w:r>
        <w:rPr>
          <w:rFonts w:ascii="Times New Roman" w:cs="Times New Roman" w:eastAsia="Times New Roman" w:hAnsi="Times New Roman"/>
          <w:sz w:val="18"/>
          <w:szCs w:val="18"/>
          <w:color w:val="auto"/>
        </w:rPr>
        <w:t>— As disclosed in Note 1 of the Notes to the Consolidated Financial Statements, on November 1, 2021, the Company completed its spin-off of VMware by means of a special stock dividend of 30,678,605 shares of Class A common stock and 307,221,836 shares of Class B common stock of VMware to Dell Technologies stockholders of record as of October 29, 2021. VMware paid a cash dividend, pro rata, to each of the holders of VMware common stock in an aggregate amount equal to $11.5 billion, of which Dell Technologies received $9.3 billion.</w:t>
      </w:r>
    </w:p>
    <w:p>
      <w:pPr>
        <w:spacing w:after="0" w:line="2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Dell Technologies determined that the VMware Spin-off, and related distributions, qualified as tax-free for U.S. federal income tax purposes, which required significant judgment by management. In making these determinations, Dell Technologies applied U.S. federal tax law to relevant facts and circumstances and obtained a favorable private letter ruling from the Internal Revenue Service, a tax opinion, and other external tax advice related to the concluded tax treatment. If the completed transactions were to fail to qualify for tax-free treatment for U.S. federal income tax purposes, the Company could be subject to significant liabilities, which could have material adverse impacts on the Company’s business, financial condition, results of operations and cash flows in future reporting periods.</w:t>
      </w:r>
    </w:p>
    <w:p>
      <w:pPr>
        <w:spacing w:after="0" w:line="21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and upon completion of the VMware Spin-off, Dell Technologies and VMware entered into various agreements that provided a framework for the relationship between the companies after the transaction, including, among others, a commercial framework agreement, a tax matters agreement, and a transition services agreement.</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Commercial Framework Agreement (“CFA”) provided a framework under which the Company and VMware continued their commercial relationship after the transaction, particularly with respect to projects mutually agreed by the parties as having the potential to accelerate the growth of an industry, product, service, or platform that may provide one or both companies with a strategic market opportunity.</w:t>
      </w:r>
    </w:p>
    <w:p>
      <w:pPr>
        <w:spacing w:after="0" w:line="20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On November 22, 2023, VMware was acquired by Broadcom, Inc. (“Broadcom”). Following the acquisition, Broadcom announced changes to its go-to-market approach for VMware offerings, which impacted the Company’s commercial relationship with VMware. In response to such changes, on January 25, 2024, under a provision of the CFA permitting the Company to terminate the agreement upon a change in control of VMware, the Company delivered notice of termination of the CFA to Broadcom under which the agreement will terminate on March 25, 2024.</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flows between Dell Technologies and VMware for the periods presented primarily relate to the Company’s resale of VMware’s standalone products and services and sale of Dell Technologies’ offerings integrated with select VMware products and services. See Note 20 of the Notes to the Consolidated Financial Statements for additional information regarding transactions between Dell Technologies and VMware.</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accordance with applicable accounting guidance, the results of VMware, excluding Dell Technologies’ resale of VMware offerings, are presented as discontinued operations in the Consolidated Statements of Income and, as such, have been excluded from both continuing operations and segment results for the fiscal year ended January 28, 2022. The Consolidated Statements of Cash Flows are presented on a consolidated basis for both continuing operations and discontinued operations for the fiscal year ended January 28, 2022.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tax matters agreement between the Company and VMware governs the respective rights, responsibilities, and obligations of Dell Technologies and VMware with respect to tax liabilities (including taxes, if any, incurred as a result of any failure of the VMware Spin-off to qualify for tax-free treatment for U.S. federal income tax purposes) and benefits, tax attributes, the preparation and filing of tax returns, the control of audits and other tax proceedings, cooperation, and other matters regarding tax.</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transition services agreement between the Company and VMware governed the various administrative services which the Company provided to VMware on an interim transitional basis. Transition services were fulfilled and concluded during the fiscal year ended 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key components of “Income from discontinued operations, net of income taxes” for the fiscal year ended January 28,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38"/>
        </w:trPr>
        <w:tc>
          <w:tcPr>
            <w:tcW w:w="9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9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table above reflects the offsetting effects of historical intercompany transactions which are presented on a gross basis within continuing operations on the Consolidated Statements of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cash flow items from discontinued operations for the fiscal year ended January 28, 2022 included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38"/>
        </w:trPr>
        <w:tc>
          <w:tcPr>
            <w:tcW w:w="9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23"/>
        </w:trPr>
        <w:tc>
          <w:tcPr>
            <w:tcW w:w="9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Identical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Identical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equity and other</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48"/>
        </w:trPr>
        <w:tc>
          <w:tcPr>
            <w:tcW w:w="2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2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 The Company’s investment in money market funds that are classified as cash equivalents hold underlying investments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money market fund liquidity on a quarterly basis. As of February 2, 2024, the Company’s portfolio had no material exposure to money market funds with a fluctuating net asset value.</w:t>
      </w:r>
    </w:p>
    <w:p>
      <w:pPr>
        <w:spacing w:after="0" w:line="21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Marketable Equity and Other Securities </w:t>
      </w:r>
      <w:r>
        <w:rPr>
          <w:rFonts w:ascii="Times New Roman" w:cs="Times New Roman" w:eastAsia="Times New Roman" w:hAnsi="Times New Roman"/>
          <w:sz w:val="18"/>
          <w:szCs w:val="18"/>
          <w:color w:val="auto"/>
        </w:rPr>
        <w:t>— The Company’s investments in equity and other securities that are measured at fair value on a recurring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strategic investments in publicly-traded companies. The valuation of these securities is based on quoted prices in active markets.</w:t>
      </w:r>
    </w:p>
    <w:p>
      <w:pPr>
        <w:spacing w:after="0" w:line="18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The Company’s derivative financial instruments consist primarily of foreign currency forward and purchased option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9 of the Notes to the Consolidated Financial Statements for a description of the Company’s derivative financial instrument activities.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Plans </w:t>
      </w:r>
      <w:r>
        <w:rPr>
          <w:rFonts w:ascii="Times New Roman" w:cs="Times New Roman" w:eastAsia="Times New Roman" w:hAnsi="Times New Roman"/>
          <w:sz w:val="18"/>
          <w:szCs w:val="18"/>
          <w:color w:val="auto"/>
        </w:rPr>
        <w:t>— The Company offers deferred compensation plans for eligible employees, which allow participants to defer a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compensation. Assets were the same as liabilities associated with the plans at approximately $214 million and $179 million as of February 2, 2024 and February 3, 2023, respectively, and are included in other assets and other liabilities on the Consolidated Statements of Financial Position. The net impact to the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 Certain assets are measured at fair value on a nonrecurring basis and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included in the recurring fair value table above. These assets consist primarily of non-financial assets such as goodwill and intangible assets. See Note 10 of the Notes to the Consolidated Financial Statements for additional information about goodwill and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February 2, 2024 and February 3, 2023, the Company held strategic investments in non-marketable equity and other securities of $1.3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investments represent early-stage companies without readily determinable fair values, they are not included in the recurring fair value table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of the Notes to the Consolidated Financial Statements for additional information about the Company’s strategic investments.</w:t>
      </w:r>
    </w:p>
    <w:p>
      <w:pPr>
        <w:spacing w:after="0" w:line="232"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outstanding debt as described in Note 8 of the Notes to the Consolidated Financial Statements, including the current portion, as of the dates indicated: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23"/>
        </w:trPr>
        <w:tc>
          <w:tcPr>
            <w:tcW w:w="4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3"/>
        </w:trPr>
        <w:tc>
          <w:tcPr>
            <w:tcW w:w="4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billions)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 and Debentures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3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strategic investments in equity and other securities as well as investments in fixed income debt securities. All equity and other securities as well as long-term fixed income debt securities are recorded as long-term investments while short-term fixed income debt securities are recorded as other current assets in the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both February 2, 2024 and February 3, 2023, total investments were $1.6 billion.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Other Securities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Equity and other securities include strategic investments in marketable and non-marketable securities. Investments in marketable securities are measured at fair value on a recurring basis. The Company has elected to apply the measurement alternative for non-marketable securities. Under the alternative, the Company measures investments without readily determinable fair values at cost, less impairment, adjusted by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Carrying Value of Equity and Other Securities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cumulative unrealized gains, cumulative unrealized losses, and carrying value of the Company's strategic investments in marketable and non-marketable equity securities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9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4"/>
                <w:szCs w:val="14"/>
                <w:color w:val="auto"/>
              </w:rPr>
            </w:pPr>
          </w:p>
        </w:tc>
        <w:tc>
          <w:tcPr>
            <w:tcW w:w="9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3"/>
        </w:trPr>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Non-marketable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equity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6"/>
        </w:trPr>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and Losses on Equity and Other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unrealized gains and losses on marketable and non-marketable equity and other securities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Non-marketable securities: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 (loss) (a) (b)</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8"/>
        </w:trPr>
        <w:tc>
          <w:tcPr>
            <w:tcW w:w="5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equity and other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80" w:hanging="332"/>
        <w:spacing w:after="0" w:line="265" w:lineRule="auto"/>
        <w:tabs>
          <w:tab w:leader="none" w:pos="3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fiscal year ended February 2, 2024 and January 28, 2022, net unrealized gains on non-marketable securities were due to upward adjustments for observable price changes offset by losses primarily attributable to downward adjustments for observable price changes or impairments.</w:t>
      </w:r>
    </w:p>
    <w:p>
      <w:pPr>
        <w:ind w:left="340" w:right="600" w:hanging="332"/>
        <w:spacing w:after="0" w:line="260" w:lineRule="auto"/>
        <w:tabs>
          <w:tab w:leader="none" w:pos="4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February 3, 2023, net unrealized losses on non-marketable securities were primarily attributable to the recognition of impairments which were generally in line with extended public equity market declines.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Income Debt Securities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fixed income debt securities carried at amortized cost which are primarily held as collateral for borrowings. The Company intends to hold the investments to maturity. As of February 2, 2024, the Company held $288 million in fixed income debt securities which will mature within one year and $13 million in fixed income debt securities which will mature within five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securities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4"/>
        </w:trPr>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income debt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FINANCIAL SERVICES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offers or arranges various financing options and alternative payment structures for its customers globally. Alternative payment structures consist of various flexible consumption models, including utility, subscription, and as-a-Service models.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Financing options are offered to the Company’s customers primarily through Dell Financial Services and its affiliates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$8.4 billion, $9.7 billion, and $8.5 billion for the fiscal years ended February 2, 2024, February 3, 2023, and January 28, 2022,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and loan arrangements with customers are aggregated primarily into the following categories:</w:t>
      </w:r>
    </w:p>
    <w:p>
      <w:pPr>
        <w:spacing w:after="0" w:line="237" w:lineRule="exact"/>
        <w:rPr>
          <w:sz w:val="20"/>
          <w:szCs w:val="20"/>
          <w:color w:val="auto"/>
        </w:rPr>
      </w:pPr>
    </w:p>
    <w:p>
      <w:pPr>
        <w:ind w:left="340" w:right="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Fixed-term leases and loans </w:t>
      </w:r>
      <w:r>
        <w:rPr>
          <w:rFonts w:ascii="Times New Roman" w:cs="Times New Roman" w:eastAsia="Times New Roman" w:hAnsi="Times New Roman"/>
          <w:sz w:val="17"/>
          <w:szCs w:val="17"/>
          <w:color w:val="auto"/>
        </w:rPr>
        <w:t>— The Company enters into financing arrangements with customers who seek lease financing for equipment. DFS leases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generally classified as sales-type leases or operating leases. Leases with business customers have fixed terms of generally two to four years.</w:t>
      </w:r>
    </w:p>
    <w:p>
      <w:pPr>
        <w:spacing w:after="0" w:line="178"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5"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loans </w:t>
      </w:r>
      <w:r>
        <w:rPr>
          <w:rFonts w:ascii="Times New Roman" w:cs="Times New Roman" w:eastAsia="Times New Roman" w:hAnsi="Times New Roman"/>
          <w:sz w:val="18"/>
          <w:szCs w:val="18"/>
          <w:color w:val="auto"/>
        </w:rPr>
        <w:t>— Revolving loans offered under a private label credit financing program, referred to as Dell Business Credit (“DBC”),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customers with a revolving credit line for the purchase of products and services offered by Dell Technologies.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212" w:lineRule="exact"/>
        <w:rPr>
          <w:sz w:val="20"/>
          <w:szCs w:val="20"/>
          <w:color w:val="auto"/>
        </w:rPr>
      </w:pPr>
    </w:p>
    <w:p>
      <w:pPr>
        <w:ind w:left="340" w:right="580"/>
        <w:spacing w:after="0" w:line="266" w:lineRule="auto"/>
        <w:rPr>
          <w:sz w:val="20"/>
          <w:szCs w:val="20"/>
          <w:color w:val="auto"/>
        </w:rPr>
      </w:pPr>
      <w:r>
        <w:rPr>
          <w:rFonts w:ascii="Times New Roman" w:cs="Times New Roman" w:eastAsia="Times New Roman" w:hAnsi="Times New Roman"/>
          <w:sz w:val="18"/>
          <w:szCs w:val="18"/>
          <w:color w:val="auto"/>
        </w:rPr>
        <w:t>Prior to the sale of the U.S. consumer revolving customer receivables portfolio described in Note 1 of the Notes to the Consolidated Financial Statements, the Company also offered private label credit financing under the Dell Preferred Account (“DPA”) program. The DPA product was primarily offered to individual consumer customers.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Flexible consumption models, as defined above, further enable the Company to offer its customers the option to pay over time to provide them with financial and operational flexibility. Such models may result in identification of embedded lease arrangements that lead to the recognition of operating or sales-type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receivables segregated by portfolio segment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3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Financing receivables,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receivables, gross (a) (b)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for losses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receivables,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receivables, gross include amounts due from customers under revolving loans, fixed-term loans, fixed-term leases, and accrued interest.</w:t>
      </w:r>
    </w:p>
    <w:p>
      <w:pPr>
        <w:spacing w:after="0" w:line="9" w:lineRule="exact"/>
        <w:rPr>
          <w:rFonts w:ascii="Times New Roman" w:cs="Times New Roman" w:eastAsia="Times New Roman" w:hAnsi="Times New Roman"/>
          <w:sz w:val="18"/>
          <w:szCs w:val="18"/>
          <w:color w:val="auto"/>
        </w:rPr>
      </w:pPr>
    </w:p>
    <w:p>
      <w:pPr>
        <w:ind w:left="340" w:right="320" w:hanging="332"/>
        <w:spacing w:after="0" w:line="260" w:lineRule="auto"/>
        <w:tabs>
          <w:tab w:leader="none" w:pos="4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revolving customer financing receivables is primarily attributable to the sale of the U.S. consumer revolving customer receivables portfolio described in Note 1 of the Notes to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allowance for financing receivables losses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7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financing receivables losses: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29,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charged to income statement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28, 2022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charged to income statement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3, 2023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charged to income statement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500" w:hanging="332"/>
        <w:spacing w:after="0" w:line="260" w:lineRule="auto"/>
        <w:tabs>
          <w:tab w:leader="none" w:pos="3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represents the derecognition of the allowance for financing receivables losses related to the sale of the U.S. consumer revolving customer receivables portfolio described in Note 1 of the Notes to the Consolidated Financial Statements.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an allowance for financing receivables losses, including both the lease receivable and unguaranteed residual, in an amount equal to the expected losses net of recoveries. The allowance for financing receivables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The Company continues to monitor broader economic indicators and their potential impact on future credit loss performance.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Aging</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the Company’s customer financing receivables, gross, including accrued interest, segregated by class,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&gt;90 Days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&gt;90 Days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 DPA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 DBC</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Fixed-term — Consumer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Aging is likely to fluctuate as a result of the variability in volume of large transactions entered into over the period, and the administrative processes that accompany those transactions. Aging is also impacted by the timing of the Company’s fiscal period end date relative to calendar month-end customer payment due dates. As a result of these factors, fluctuations in aging from period to period do not necessarily indicate a material change in the collectibility of the portfolio.</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Fixed-term consumer and commercial customer receivables are placed on non-accrual status if principal or interest is past due and considered delinquent, or if there is concern about the collectibility of a specific customer receivable. The receivables identified as doubtful for collectibility may be classified as current for aging purposes. Aged revolving portfolio customer receivables identified as delinquent are charged off.</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Quality</w:t>
      </w:r>
    </w:p>
    <w:p>
      <w:pPr>
        <w:spacing w:after="0" w:line="2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tables present customer receivables, gross, including accrued interest, by credit quality indicator, segregated by class,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Fixed-term — Consumer and Commercial</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Fiscal Year of Origination</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Revolving —</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Revolving —</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100" w:type="dxa"/>
            <w:vAlign w:val="bottom"/>
            <w:vMerge w:val="restart"/>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DPA</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DBC</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3"/>
        </w:trPr>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Fixed-term — Consumer and Commercial</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Fiscal Year of Origination</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Revolving —</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Revolving —</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100" w:type="dxa"/>
            <w:vAlign w:val="bottom"/>
            <w:vMerge w:val="restart"/>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DPA</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DBC</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3"/>
        </w:trPr>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categories shown in the tables above segregate customer receivables based on the relative degrees of credit risk. Credit quality indicators for DBC revolving and fixed-term accounts are generally updated on a periodic basis.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 Prior to the sale of the U.S. consumer revolving customer receivables revolving portfolio described in Note 1 of the Notes to the Consolidated Financial Statements, the Company made credit decisions for the DPA revolving receivables based on proprietary scorecards, which included the customer’s credit history, payment history, credit usage, and other credit agency-related elements. The higher quality category included prime accounts generally comparable to U.S. customer FICO scores of 720 or above. The mid category represented mid-tier accounts that are comparable to U.S. customer FICO scores from 660 to</w:t>
      </w:r>
    </w:p>
    <w:p>
      <w:pPr>
        <w:spacing w:after="0" w:line="1"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category represented accounts that are comparable to U.S. customer FICO scores below 660.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included in the Consolidated Statements of Income related to sales-type lease activity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0"/>
        </w:trPr>
        <w:tc>
          <w:tcPr>
            <w:tcW w:w="5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540"/>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9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 and beyond</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Fixed-term loans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30"/>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0"/>
        </w:trPr>
        <w:tc>
          <w:tcPr>
            <w:tcW w:w="9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operating leases primarily consist of DFS captive fixed-term leases and contractually committed embedded leases identified within flexible consumption arrangements.</w:t>
      </w:r>
    </w:p>
    <w:p>
      <w:pPr>
        <w:spacing w:after="0" w:line="18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0" w:type="dxa"/>
            <w:vAlign w:val="bottom"/>
            <w:gridSpan w:val="4"/>
          </w:tcPr>
          <w:p>
            <w:pPr>
              <w:ind w:left="134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operating lease, gross</w:t>
            </w:r>
          </w:p>
        </w:tc>
        <w:tc>
          <w:tcPr>
            <w:tcW w:w="3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4,002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3,725</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8"/>
              </w:rPr>
              <w:t>(1,800)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under operating lease, net</w:t>
            </w:r>
          </w:p>
        </w:tc>
        <w:tc>
          <w:tcPr>
            <w:tcW w:w="3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8"/>
              </w:rPr>
              <w:t>2,208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1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presents operating lease income related to lease payments and depreciation expense for the Company’s operating lease portfolio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related to lease payments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payments to be received by the Company in operating lease contracts as of the date indicated: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9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 and beyond</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DFS Debt</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DFS debt as of the dates indicated and excludes the allocated portion of the Company’s other borrowings, which represents the additional amount considered to fund the DFS business: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r>
      <w:tr>
        <w:trPr>
          <w:trHeight w:val="26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DFS debt</w:t>
            </w: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DFS U.S.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Asset-based financing and securitization facilities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Fixed-term securitization offerings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U.S. debt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r>
      <w:tr>
        <w:trPr>
          <w:trHeight w:val="20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DFS international debt: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Dell Bank senior unsecured eurobonds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international debt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DFS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6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DFS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4"/>
        </w:trPr>
        <w:tc>
          <w:tcPr>
            <w:tcW w:w="6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long-term DFS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U.S. Debt</w:t>
      </w:r>
    </w:p>
    <w:p>
      <w:pPr>
        <w:spacing w:after="0" w:line="2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Asset-Based Financing and Securitization Facilities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separate asset-based financing facilities in the United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facilities for fixed-term leases and loans. This debt is collateralized solely by the U.S. loan and lease payments and associated equipment in the facilities. The debt has a variable interest rate, and the duration of the debt is based on the terms of the underlying loan and lease payment streams. As of February 2, 2024, the total debt capacity related to the U.S. asset-based financing facilities was $5.1 billion. The Company enters into interest swap agreements to effectively convert a portion of this debt from a floating rate to a fixed rate. See Note 9 of the Notes to the Consolidated Financial Statements for additional information about the Company’s interest rate swaps.</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two U.S. asset-based financing facilities for fixed-term leases and loans are effective through July 7, 2025 and June 21, 2024, respectively. The asset-based financing facilities contain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February 2, 2024, these criteria were met.</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previously maintained a U.S. securitization facility for revolving loans. In connection with the sale of the U.S. consumer revolving customer receivables portfolio described in Note 1 of the Notes to the Consolidated Financial Statements, the Company’s U.S. securitization facility for revolving loans was paid down and terminated during the fiscal year ended February 2, 2024.</w:t>
      </w:r>
    </w:p>
    <w:p>
      <w:pPr>
        <w:spacing w:after="0" w:line="1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Fixed-Term Securitization Offerings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periodically issues asset-backed debt securities under fixed-term securitization programs to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The asset-backed debt securities are collateralized solely by the U.S. fixed-term lease and loan payments and associated equipment, which are held by Special Purpose Entities (“SPEs”), as discussed below. The interest rate on these securities is fixed and ranges from 0.53% to 6.80% per annum as of February 2, 2024, and the duration of these securities is based on the terms of the underlying lease and loan payment streams.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International Debt</w:t>
      </w:r>
    </w:p>
    <w:p>
      <w:pPr>
        <w:spacing w:after="0" w:line="25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Securitization Facility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a securitization facility in Europe for fixed-term leases and loans. The debt under this facility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interest rate, and the duration of the debt is based on the terms of the underlying loan and lease payment streams. This facility is effective through December 23, 2024 and had a total debt capacity of $870 million as of February 2, 2024.</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February 2, 2024, these criteria were met.</w:t>
      </w:r>
    </w:p>
    <w:p>
      <w:pPr>
        <w:spacing w:after="0" w:line="20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Other Borrowings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connection with the Company’s international financing operations, the Company has entered into revolving structured financing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programs related to its fixed-term lease and loan products sold in Canada, Europe, Australia, New Zealand, and the Middle East. The debt under these programs has a variable interest rate, and the duration of the debt is based on the terms of the underlying loan and lease payment streams. The Canadian facility, which is collateralized solely by Canadian loan and lease payments and associated equipment, had a total debt capacity of $336 million as of February 2, 2024 and is effective through January 16, 2025. The European facility, which is collateralized solely by European loan and lease payments and associated equipment, had a total debt capacity of $544 million as of February 2, 2024 and is effective through June 14, 2025. The Australia and New Zealand facility, which is collateralized solely by Australia and New Zealand loan and lease payments and associated equipment, had a total debt capacity of $296 million as of February 2, 2024 and is effective through April 20, 2025. The Middle East facility, which is collateralized solely by Middle East loan and lease payments and associated equipment, had a total debt capacity of $150 million as of February 2, 2024 and is effective through March 24,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Note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25, 2022, the Company entered into an unsecured credit agreement to fund receivables in Mexico. As of February 2,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the note payable was $250 million. The note bears interest at an annual rate of 4.24% and will mature on May 31, 2024.</w:t>
      </w:r>
    </w:p>
    <w:p>
      <w:pPr>
        <w:spacing w:after="0" w:line="18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Dell Bank Senior Unsecured Eurobonds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24, 2020, Dell Bank issued 500 million Euro of 1.625% senior unsecured four year eurobonds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2024. On October 27, 2021, Dell Bank issued 500 million Euro of 0.5% senior unsecured five year eurobonds due October 2026. On October 18, 2022, Dell Bank issued 500 million Euro of 4.5% senior unsecured five year eurobonds due October 2027. The issuances of the senior unsecured eurobonds support the expansion of the financing operations in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asset-based financing facilities, securitization facilities, and fixed-term securitization offerings discussed above, the Company transfers certain U.S. and European lease and loan payments and associated equipment to SPEs that meet the definition of a VIE and are consolidated, along with the associated debt described above, into the Consolidated Financial Statements, as the Company is the primary beneficiary of the VIEs. The SPEs are bankruptcy-remote legal entities with separate assets and liabilities. The purpose of the SPEs is to facilitate the funding of customer loan and lease payments and associated equipment in the capital markets.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assets and liabilities held by the consolidated VIEs as of the dates indicated, which are included in the Consolidated Statements of Financial Position: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r>
      <w:tr>
        <w:trPr>
          <w:trHeight w:val="264"/>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by consolidated VIEs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receivables, net of allowance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by consolidated VIEs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unamortized debt issuance costs</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bl>
    <w:p>
      <w:pPr>
        <w:spacing w:after="0" w:line="31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Lease and loan payments and associated equipment transferred via securitization through SPEs were $4.6 billion and $6.2 billion for the fiscal years ended February 2, 2024 and February 3,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Receivables Sales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$222 million, $680 million, and $201 million for the fiscal years ended February 2, 2024, February 3, 2023, and January 28, 2022, respectively. The Company’s continuing involvement in these customer receivables is primarily limited to servicing arrangements.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February 2, 2024, the remaining terms of the Company’s leases range from one month to approximately ten years. As of February 2, 2024 and February 3, 2023, there were no material finance leases in which the Company was a lessee.</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leasing transactions in which the Company is the lessor, primarily through customer financing arrangements offered through DFS. DFS originates leases that are primarily classified as either sales-type leases or operating leases. See Note 6 of the Notes to the Consolidated Financial Statements for more information about the Company’s lessor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costs included in the Consolidated Statements of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0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8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380" w:type="dxa"/>
            <w:vAlign w:val="bottom"/>
            <w:tcBorders>
              <w:bottom w:val="single" w:sz="8" w:color="auto"/>
            </w:tcBorders>
          </w:tcPr>
          <w:p>
            <w:pPr>
              <w:spacing w:after="0"/>
              <w:rPr>
                <w:sz w:val="19"/>
                <w:szCs w:val="19"/>
                <w:color w:val="auto"/>
              </w:rPr>
            </w:pPr>
          </w:p>
        </w:tc>
      </w:tr>
      <w:tr>
        <w:trPr>
          <w:trHeight w:val="263"/>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32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6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Variable costs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February 2, 2024 and February 3, 2023, sublease income, finance lease costs, and short-term lease costs were immaterial.</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included in the Consolidated Statements of Financial Position as of the dates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3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3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(in millions, except for term and discount rate)</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r>
      <w:tr>
        <w:trPr>
          <w:trHeight w:val="270"/>
        </w:trPr>
        <w:tc>
          <w:tcPr>
            <w:tcW w:w="3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0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38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380" w:type="dxa"/>
            <w:vAlign w:val="bottom"/>
            <w:tcBorders>
              <w:bottom w:val="single" w:sz="8" w:color="auto"/>
            </w:tcBorders>
          </w:tcPr>
          <w:p>
            <w:pPr>
              <w:spacing w:after="0"/>
              <w:rPr>
                <w:sz w:val="19"/>
                <w:szCs w:val="19"/>
                <w:color w:val="auto"/>
              </w:rPr>
            </w:pPr>
          </w:p>
        </w:tc>
      </w:tr>
      <w:tr>
        <w:trPr>
          <w:trHeight w:val="263"/>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32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2"/>
                <w:szCs w:val="22"/>
                <w:color w:val="auto"/>
              </w:rPr>
            </w:pPr>
          </w:p>
        </w:tc>
      </w:tr>
      <w:tr>
        <w:trPr>
          <w:trHeight w:val="175"/>
        </w:trPr>
        <w:tc>
          <w:tcPr>
            <w:tcW w:w="67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w:t>
            </w:r>
          </w:p>
        </w:tc>
        <w:tc>
          <w:tcPr>
            <w:tcW w:w="1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43"/>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outflows from operating leases</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7"/>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29"/>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2024, the Company’s undiscounted operating leases that had not yet commenced were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as of the dates indicated:</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gridSpan w:val="4"/>
          </w:tcPr>
          <w:p>
            <w:pPr>
              <w:jc w:val="right"/>
              <w:ind w:right="13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5.45% due June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 due July 2024</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5.85% due July 2025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6.02% due June 2026</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4.90% due October 2026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6.10% due July 2027</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5.25% due February 2028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5.30% due October 2029</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6.20% due July 2030</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 due February 2033</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8.10% due July 2036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3.38% due December 2041</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8.35% due July 2046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3.45% due December 2051</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 and Debentures: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7.10% due April 2028</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6.50% due April 2038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5.40% due September 2040</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DFS Debt (Note 6)</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principal amount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Unamortized discount, net of unamortized premium</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debt, carrying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Total short-term debt, carrying value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debt, carrying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February 2, 2024, the net decrease in the Company’s debt balance was principally attributable to:</w:t>
      </w:r>
    </w:p>
    <w:p>
      <w:pPr>
        <w:spacing w:after="0" w:line="2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$1.0 billion principal amount of the 5.45% Senior Notes due June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$1.0 billion principal amount of the 6.02% Senior Notes due June 2026 in a tender offer; and</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$350 million principal amount of the 3.45% Senior Notes due December 2051 and $150 million principal amount of the 8.35% Senior Notes due July 2046 in a tender offer.</w:t>
      </w:r>
    </w:p>
    <w:p>
      <w:pPr>
        <w:spacing w:after="0" w:line="2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recognized an immaterial amount of debt extinguishment costs in interest and other, net in the Consolidated Statements of Income in connection with the above repayments.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Subsequent to the close of the fiscal year ended February 2, 2024, the Company issued $1.0 billion aggregate principal amount of 5.40% Senior Notes due 2034. The Company intends to use the net proceeds of the issuance to prepay a portion of the outstanding 6.02% Senior Notes due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Debt</w:t>
      </w:r>
    </w:p>
    <w:p>
      <w:pPr>
        <w:spacing w:after="0" w:line="24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The Company completed offerings of multiple series of senior notes which were issued on June 1, 2016, June 22, 2016, March 20,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9, 2020, December 13, 2021, and January 24, 2023 in aggregate principal amounts of $20.0 billion, $3.3 billion, $4.5 billion, $2.3 billion, $2.3 billion, and $2.0 billion, respectively (the “Senior Notes”). Interest on these borrowings is payable semiannually.</w:t>
      </w:r>
    </w:p>
    <w:p>
      <w:pPr>
        <w:spacing w:after="0" w:line="215"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Notes and Debentures </w:t>
      </w:r>
      <w:r>
        <w:rPr>
          <w:rFonts w:ascii="Times New Roman" w:cs="Times New Roman" w:eastAsia="Times New Roman" w:hAnsi="Times New Roman"/>
          <w:sz w:val="18"/>
          <w:szCs w:val="18"/>
          <w:color w:val="auto"/>
        </w:rPr>
        <w:t>— The Company has outstanding unsecured notes and debentures (collectively, the “Legacy Notes and Debentures”)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issued by Dell Inc. (“Dell”), a wholly-owned subsidiary of Dell Technologies Inc., prior to the acquisition of Dell by Dell Technologies Inc. in the going-private transaction that closed in October 2013. Interest on these borrowings is payable semiannually.</w:t>
      </w:r>
    </w:p>
    <w:p>
      <w:pPr>
        <w:spacing w:after="0" w:line="20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DFS Debt </w:t>
      </w:r>
      <w:r>
        <w:rPr>
          <w:rFonts w:ascii="Times New Roman" w:cs="Times New Roman" w:eastAsia="Times New Roman" w:hAnsi="Times New Roman"/>
          <w:sz w:val="18"/>
          <w:szCs w:val="18"/>
          <w:color w:val="auto"/>
        </w:rPr>
        <w:t>— See Note 6 and Note 9 of the Notes to the Consolidated Financial Statements, respectively, for discussion of DFS debt and the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 agreements that hedge a portion of that debt.</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2021 Revolving Credit Facility </w:t>
      </w:r>
      <w:r>
        <w:rPr>
          <w:rFonts w:ascii="Times New Roman" w:cs="Times New Roman" w:eastAsia="Times New Roman" w:hAnsi="Times New Roman"/>
          <w:sz w:val="18"/>
          <w:szCs w:val="18"/>
          <w:color w:val="auto"/>
        </w:rPr>
        <w:t>— The Company’s revolving credit facility, which was entered into on November 1, 2021 (the “2021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matures on November 1, 2027. This facility provides the Company with revolving commitments in an aggregate principal amount of $6.0 billion for general corporate purposes, including liquidity support for the Company’s commercial paper program, and includes a letter of credit sub-facility of up to $0.5 billion and a swing-line loan sub-facility of up to $0.5 billion. The 2021 Revolving Credit Facility also allows the Company to obtain incremental additional commitments on one or more occasions in minimum amounts of $10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2021 Revolving Credit Facility bear interest at a rate per annum equal to an applicable margin plus, at the borrowers’ option, either</w:t>
      </w:r>
    </w:p>
    <w:p>
      <w:pPr>
        <w:spacing w:after="0" w:line="27"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adjusted term Secured Overnight Financing Rate (“SOFR”) or (b) a base rate. The margin applicable to SOFR and base rate borrowings</w:t>
      </w:r>
    </w:p>
    <w:p>
      <w:pPr>
        <w:spacing w:after="0" w:line="9"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varies based upon the Company’s existing credit ratings. The base rate is calculated based upon the greatest of the specified prime rate, the specified federal reserve bank rate, or SOFR plus 1%. The borrowers may voluntarily repay outstanding loans under the 2021 Revolving Credit Facility at any time without premium or penalty, other than customary breakage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2024, the Company had no outstanding borrowings under the 2021 Revolving Credit Facility.</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Fiscal 2023, the Company established a commercial paper program under which the Company may issue unsecured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a maximum aggregate face amount of $5.0 billion outstanding at any time, with maturities up to 397 days from the date of issuance. The notes are sold on customary terms in the U.S. commercial paper market on a private placement basis. The proceeds of the notes are used for general corporate purposes. As of February 2, 2024, the Company had no outstanding borrowings under the commercial paper program.</w:t>
      </w:r>
    </w:p>
    <w:p>
      <w:pPr>
        <w:spacing w:after="0" w:line="20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may purchase, redeem, prepay, refinance, or otherwise retire any amount of outstanding indebtedness under the terms of such indebtedness at any time and from time to time, in open market or negotiated transactions with the holders of such indebtedness or otherwise, as considered appropriate in light of market conditions and other relevant factors.</w:t>
      </w:r>
    </w:p>
    <w:p>
      <w:pPr>
        <w:spacing w:after="0" w:line="2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 The credit agreement governing the 2021 Revolving Credit Facility and the indentures governing the Senior Notes and the Legacy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Debentures impose various limitations, subject to exceptions, on creating certain liens and entering into sale and lease-back transactions. The foregoing credit agreement and indentures contain customary events of default, including failure to make required payments, failure to comply with covenants, and the occurrence of certain events of bankruptcy and insolvency. The 2021 Revolving Credit Facility is also subject to an interest coverage ratio covenant that is tested at the end of each fiscal quarter with respect to the Company’s preceding four fiscal quarters. The Company was in compliance with this financial covenant as of February 2,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Future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future maturities of the Company’s debt as of February 2, 2024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Maturities by Fiscal Year</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millions)</w:t>
            </w: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 and Debentures</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56"/>
        </w:trPr>
        <w:tc>
          <w:tcPr>
            <w:tcW w:w="260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maturities, principal</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c>
          <w:tcPr>
            <w:tcW w:w="0" w:type="dxa"/>
            <w:vAlign w:val="bottom"/>
          </w:tcPr>
          <w:p>
            <w:pPr>
              <w:spacing w:after="0"/>
              <w:rPr>
                <w:sz w:val="1"/>
                <w:szCs w:val="1"/>
                <w:color w:val="auto"/>
              </w:rPr>
            </w:pPr>
          </w:p>
        </w:tc>
      </w:tr>
      <w:tr>
        <w:trPr>
          <w:trHeight w:val="176"/>
        </w:trPr>
        <w:tc>
          <w:tcPr>
            <w:tcW w:w="26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Associated carrying value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maturities, carrying value</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INSTRUMENTS AND HEDGING ACTIVITIES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instruments. For derivatives designated as fair value hedges, the Company assesses hedge effectiveness on qualifying instruments using the shortcut method whereby the hedges are considered perfectly effective at the onset of the hedge and over the life of the hedging relationship.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fiscal years ended February 2, 2024, February 3, 2023, and January 28, 2022, the Company did not discontinue any cash flow hedges related to foreign exchange contracts that had a material impact on the Company’s results of operations due to the probability that the forecasted cash flows would not occur.</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DFS operations in Europe, forward contracts are used to hedge financing receivables denominated in foreign currencies other than Euro.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are not designated for hedge accounting and most expire within three years or less.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Interest rate swaps are utilized to manage the interest rate risk, at a portfolio level, associated with DFS operations in Europe. The interest rate swaps economically convert the fixed rate on financing receivables to a three-month Euribor floating rate in order to match the floating rate nature of the banks’ funding pool. The Company also uses interest rate swaps to manage the cash flows related to interest payments on Eurobonds. The interest rate swaps economically convert the fixed rate on the Company’s bonds to a floating rate to match the underlying lease repayments profile. These contracts are not designated for hedge accounting and most expire within five years or less.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0D0D0D"/>
        </w:rPr>
        <w:t xml:space="preserve">The Company utilizes cross-currency amortizing swaps to hedge the currency and interest rate risk exposure associated with the European securitization program. The cross-currency swaps combine a Euro-based interest rate swap with a British Pound or U.S. Dollar foreign exchange forward contract in which the Company pays a fixed or floating British Pound or U.S. Dollar amount and receives a fixed or floating amount in Euros linked to the one-month Euribor. The notional value of the swaps amortizes in line with the expected cash flows and run-off of the securitized assets. The swaps are not designated for hedge accounting and expire within </w:t>
      </w:r>
      <w:r>
        <w:rPr>
          <w:rFonts w:ascii="Times New Roman" w:cs="Times New Roman" w:eastAsia="Times New Roman" w:hAnsi="Times New Roman"/>
          <w:sz w:val="18"/>
          <w:szCs w:val="18"/>
          <w:color w:val="000000"/>
        </w:rPr>
        <w:t>five years</w:t>
      </w:r>
      <w:r>
        <w:rPr>
          <w:rFonts w:ascii="Times New Roman" w:cs="Times New Roman" w:eastAsia="Times New Roman" w:hAnsi="Times New Roman"/>
          <w:sz w:val="18"/>
          <w:szCs w:val="18"/>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Periodically, the Company also uses interest rate swaps to modify the market risk exposures in connection with long-term debt. During Fiscal 2023, the Company entered into interest rate swaps designated as fair value hedges intended to hedge a portion of its interest rate exposure by converting the fixed interest rate of a certain tranche of debt to a floating interest rate based on the benchmark SOFR Overnight Index Swap rate. The gains and losses related to changes in the fair value of such interest rate swaps perfectly offset changes in the fair value of the hedged portion of the underlying debt that were attributable to the changes in the underlying benchmark interest rate. During the fiscal year ended February 2, 2024, the Company repaid the hedged debt and terminated the associated interest rate swaps.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outstanding derivative instruments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r>
      <w:tr>
        <w:trPr>
          <w:trHeight w:val="263"/>
        </w:trPr>
        <w:tc>
          <w:tcPr>
            <w:tcW w:w="6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14,579</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Interest rate contracts: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as fair value hedging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w:t>
            </w: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derivative instruments designated as cash flow hedging instruments on the Consolidated Statements of Financial Position and the Consolidated Statements of Income for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Derivatives in Cash Flow</w:t>
            </w:r>
          </w:p>
        </w:tc>
        <w:tc>
          <w:tcPr>
            <w:tcW w:w="20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Gain Recognized 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200" w:type="dxa"/>
            <w:vAlign w:val="bottom"/>
          </w:tcPr>
          <w:p>
            <w:pPr>
              <w:spacing w:after="0"/>
              <w:rPr>
                <w:sz w:val="18"/>
                <w:szCs w:val="18"/>
                <w:color w:val="auto"/>
              </w:rPr>
            </w:pPr>
          </w:p>
        </w:tc>
        <w:tc>
          <w:tcPr>
            <w:tcW w:w="2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 (Loss) Reclassified from</w:t>
            </w:r>
          </w:p>
        </w:tc>
        <w:tc>
          <w:tcPr>
            <w:tcW w:w="0" w:type="dxa"/>
            <w:vAlign w:val="bottom"/>
          </w:tcPr>
          <w:p>
            <w:pPr>
              <w:spacing w:after="0"/>
              <w:rPr>
                <w:sz w:val="1"/>
                <w:szCs w:val="1"/>
                <w:color w:val="auto"/>
              </w:rPr>
            </w:pPr>
          </w:p>
        </w:tc>
      </w:tr>
      <w:tr>
        <w:trPr>
          <w:trHeight w:val="175"/>
        </w:trPr>
        <w:tc>
          <w:tcPr>
            <w:tcW w:w="2620" w:type="dxa"/>
            <w:vAlign w:val="bottom"/>
            <w:gridSpan w:val="2"/>
            <w:vMerge w:val="continue"/>
          </w:tcPr>
          <w:p>
            <w:pPr>
              <w:spacing w:after="0"/>
              <w:rPr>
                <w:sz w:val="15"/>
                <w:szCs w:val="15"/>
                <w:color w:val="auto"/>
              </w:rPr>
            </w:pPr>
          </w:p>
        </w:tc>
        <w:tc>
          <w:tcPr>
            <w:tcW w:w="2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Accumulated OCI, Net of Tax,</w:t>
            </w:r>
          </w:p>
        </w:tc>
        <w:tc>
          <w:tcPr>
            <w:tcW w:w="10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6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Hedging Relationships</w:t>
            </w:r>
          </w:p>
        </w:tc>
        <w:tc>
          <w:tcPr>
            <w:tcW w:w="20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on Derivatives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from Accumulated OCI into Income</w:t>
            </w:r>
          </w:p>
        </w:tc>
        <w:tc>
          <w:tcPr>
            <w:tcW w:w="200" w:type="dxa"/>
            <w:vAlign w:val="bottom"/>
          </w:tcPr>
          <w:p>
            <w:pPr>
              <w:spacing w:after="0"/>
              <w:rPr>
                <w:sz w:val="20"/>
                <w:szCs w:val="20"/>
                <w:color w:val="auto"/>
              </w:rPr>
            </w:pPr>
          </w:p>
        </w:tc>
        <w:tc>
          <w:tcPr>
            <w:tcW w:w="2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Accumulated OCI into Income</w:t>
            </w:r>
          </w:p>
        </w:tc>
        <w:tc>
          <w:tcPr>
            <w:tcW w:w="0" w:type="dxa"/>
            <w:vAlign w:val="bottom"/>
          </w:tcPr>
          <w:p>
            <w:pPr>
              <w:spacing w:after="0"/>
              <w:rPr>
                <w:sz w:val="1"/>
                <w:szCs w:val="1"/>
                <w:color w:val="auto"/>
              </w:rPr>
            </w:pPr>
          </w:p>
        </w:tc>
      </w:tr>
      <w:tr>
        <w:trPr>
          <w:trHeight w:val="225"/>
        </w:trPr>
        <w:tc>
          <w:tcPr>
            <w:tcW w:w="2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(in millions)</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millions)</w:t>
            </w:r>
          </w:p>
        </w:tc>
        <w:tc>
          <w:tcPr>
            <w:tcW w:w="0" w:type="dxa"/>
            <w:vAlign w:val="bottom"/>
          </w:tcPr>
          <w:p>
            <w:pPr>
              <w:spacing w:after="0"/>
              <w:rPr>
                <w:sz w:val="1"/>
                <w:szCs w:val="1"/>
                <w:color w:val="auto"/>
              </w:rPr>
            </w:pPr>
          </w:p>
        </w:tc>
      </w:tr>
      <w:tr>
        <w:trPr>
          <w:trHeight w:val="22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February 2, 2024: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0" w:type="dxa"/>
            <w:vAlign w:val="bottom"/>
            <w:tcBorders>
              <w:bottom w:val="single" w:sz="8" w:color="auto"/>
            </w:tcBorders>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20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February 3, 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2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For the fiscal year ended 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5"/>
        </w:trPr>
        <w:tc>
          <w:tcPr>
            <w:tcW w:w="26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32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15"/>
        </w:trPr>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ind w:left="120"/>
              <w:spacing w:after="0" w:line="190"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CCEEFF"/>
              <w:bottom w:val="single" w:sz="8" w:color="auto"/>
            </w:tcBorders>
            <w:shd w:val="clear" w:color="auto" w:fill="CCEEFF"/>
          </w:tcPr>
          <w:p>
            <w:pPr>
              <w:jc w:val="right"/>
              <w:ind w:right="115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158</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derivative instruments not designated as hedging instruments on the Consolidated Statements of Income for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3"/>
                <w:szCs w:val="13"/>
                <w:color w:val="auto"/>
              </w:rPr>
            </w:pP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80" w:type="dxa"/>
            <w:vAlign w:val="bottom"/>
            <w:vMerge w:val="restart"/>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10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38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0" w:type="dxa"/>
            <w:vAlign w:val="bottom"/>
          </w:tcPr>
          <w:p>
            <w:pPr>
              <w:spacing w:after="0"/>
              <w:rPr>
                <w:sz w:val="1"/>
                <w:szCs w:val="1"/>
                <w:color w:val="auto"/>
              </w:rPr>
            </w:pPr>
          </w:p>
        </w:tc>
      </w:tr>
      <w:tr>
        <w:trPr>
          <w:trHeight w:val="263"/>
        </w:trPr>
        <w:tc>
          <w:tcPr>
            <w:tcW w:w="3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 millions)</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640" w:type="dxa"/>
            <w:vAlign w:val="bottom"/>
          </w:tcPr>
          <w:p>
            <w:pPr>
              <w:spacing w:after="0"/>
              <w:rPr>
                <w:sz w:val="19"/>
                <w:szCs w:val="19"/>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0" w:type="dxa"/>
            <w:vAlign w:val="bottom"/>
          </w:tcPr>
          <w:p>
            <w:pPr>
              <w:spacing w:after="0"/>
              <w:rPr>
                <w:sz w:val="1"/>
                <w:szCs w:val="1"/>
                <w:color w:val="auto"/>
              </w:rPr>
            </w:pPr>
          </w:p>
        </w:tc>
      </w:tr>
      <w:tr>
        <w:trPr>
          <w:trHeight w:val="22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presents its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5"/>
                <w:szCs w:val="15"/>
                <w:color w:val="auto"/>
              </w:rPr>
            </w:pPr>
          </w:p>
        </w:tc>
        <w:tc>
          <w:tcPr>
            <w:tcW w:w="106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5"/>
                <w:szCs w:val="15"/>
                <w:color w:val="auto"/>
              </w:rPr>
            </w:pPr>
          </w:p>
        </w:tc>
        <w:tc>
          <w:tcPr>
            <w:tcW w:w="106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9"/>
                <w:szCs w:val="19"/>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the gross amounts of the Company’s derivative instruments, amounts offset due to master netting agreements with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counterparties, and the net amounts recognized in the Consolidated Statements of Financial Position as of the dates indicated: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derivative instruments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83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00" w:type="dxa"/>
            <w:vAlign w:val="bottom"/>
          </w:tcPr>
          <w:p>
            <w:pPr>
              <w:spacing w:after="0"/>
              <w:rPr>
                <w:sz w:val="4"/>
                <w:szCs w:val="4"/>
                <w:color w:val="auto"/>
              </w:rPr>
            </w:pPr>
          </w:p>
        </w:tc>
        <w:tc>
          <w:tcPr>
            <w:tcW w:w="2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2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21"/>
                <w:szCs w:val="21"/>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00" w:type="dxa"/>
            <w:vAlign w:val="bottom"/>
          </w:tcPr>
          <w:p>
            <w:pPr>
              <w:spacing w:after="0"/>
              <w:rPr>
                <w:sz w:val="4"/>
                <w:szCs w:val="4"/>
                <w:color w:val="auto"/>
              </w:rPr>
            </w:pPr>
          </w:p>
        </w:tc>
        <w:tc>
          <w:tcPr>
            <w:tcW w:w="2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2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-2485390</wp:posOffset>
            </wp:positionV>
            <wp:extent cx="711517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-2193925</wp:posOffset>
            </wp:positionV>
            <wp:extent cx="711517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-624840</wp:posOffset>
            </wp:positionV>
            <wp:extent cx="711517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-334010</wp:posOffset>
            </wp:positionV>
            <wp:extent cx="711517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560"/>
            <w:col w:w="848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Infrastructure Solutions Group and Client Solutions Group reporting units are consistent with the reportable segments identified in Note 19 of the Notes to the Consolidated Financial Statements. Other businesses consists of VMware Resale, Secureworks, and Virtustream, which each represent separate reporting units.</w:t>
      </w:r>
    </w:p>
    <w:p>
      <w:pPr>
        <w:spacing w:after="0" w:line="20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and changes in the carrying amount of goodwill as of the dates indicated: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2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Client Solutions</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Businesses</w:t>
            </w:r>
          </w:p>
        </w:tc>
        <w:tc>
          <w:tcPr>
            <w:tcW w:w="10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Solutions Group</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8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3,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acquired (a)</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foreign currency translation and other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560" w:hanging="332"/>
        <w:spacing w:after="0" w:line="260" w:lineRule="auto"/>
        <w:tabs>
          <w:tab w:leader="none" w:pos="3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acquired represents goodwill recognized in connection with the Company’s acquisition of Moogsoft Inc. during the fiscal year ended February 2,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$0.8 billion, $1.0 billion, and $1.6 billion for the fiscal years ended February 2, 2024, February 3, 2023, and January 28, 2022, respectively. There were no material impairment charges related to intangible assets during the fiscal years ended February 2, 2024, February 3, 2023, and January 28,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future annual pre-tax amortization expense of definite-lived intangible assets as of the date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9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 Impairment Testing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during the third fiscal quarter and whenever events or circumstances may indicate that an impairment has occurred.</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the annual impairment review of the Infrastructure Solutions Group (“ISG”) and Client Solutions Group (“CSG”) reporting units during the third quarter of Fiscal 2024,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 a quantitative goodwill impairment test to measure the fair value of each goodwill reporting unit relative to its carrying amount, and to determine the amount of goodwill impairment loss to be recognized, if any. For the remaining reporting units, the Company performed a qualitative assessment of goodwill at the reporting unit level. The qualitative assessment included consideration of the relevant events and circumstances affecting the reporting unit, including macroeconomic, industry and market conditions, overall financial performance, and trends in the public company market valuation, where applicable.</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 exercised significant judgment related to the above assessments, including the identification of goodwill reporting units, assignment of assets and liabilities to goodwill reporting units, assignment of goodwill to reporting units, and determination of the fair value of each goodwill reporting unit. For the quantitative goodwill impairment test, the fair value of each goodwill reporting unit is generally estimated using a combination of public company multiples and discounted cash flow methodologies.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indefinite-lived trade names is generally estimated using discounted cash flow methodologies. These methodologies require significant judgment, including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the results of the annual impairment test performed during the fiscal year ended February 2, 2024, the fair values of each of the reporting units and indefinite-lived intangibles exceeded their carrying values. No goodwill or indefinite-lived assets impairment test was performed during the fiscal year ended February 2, 2024 other than the Company’s annual impairment review.</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DEFERRED REVENUE</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revenue consists of support and deployment services, software maintenance, training, Software-as-a-Service, and undelivered hardware and professional services, consisting of installations and consulting engagements. Deferred revenue is recorded when the Company has invoiced or payments have been received for undelivered products or services where transfer of control has not occurred. Revenue is recognized as the Company’s performance obligations under the contract are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deferred revenue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23"/>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gridSpan w:val="4"/>
          </w:tcPr>
          <w:p>
            <w:pPr>
              <w:jc w:val="right"/>
              <w:ind w:right="13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at beginning of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deferrals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at end of period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30,286</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w:t>
            </w: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For the fiscal year ended February 3, 2023, Other represents the reclassification of deferred revenue to accrued and other liabilities.</w:t>
      </w:r>
    </w:p>
    <w:p>
      <w:pPr>
        <w:spacing w:after="0" w:line="2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February 2, 2024 was approximately $40 billion. The Company expects to recognize approximately 58% of remaining performance obligations as revenue in the next twelve months, and the remainder thereafter.</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contractual obligations to purchase goods or services, which specify significant terms (including fixed or minimum quantities to be purchased), fixed, minimum, or variable price provisions, and the approximate timing of the transaction. As of February 2, 2024, such purchase obligations were $4.4 billion for Fiscal 2025; $0.3 billion for Fiscal 2026; and $0.3 billion for Fiscal 2027 and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the Company’s significant legal matters and other proceedings:</w:t>
      </w:r>
    </w:p>
    <w:p>
      <w:pPr>
        <w:spacing w:after="0" w:line="250"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 Actions Related to the Class V Transaction </w:t>
      </w:r>
      <w:r>
        <w:rPr>
          <w:rFonts w:ascii="Times New Roman" w:cs="Times New Roman" w:eastAsia="Times New Roman" w:hAnsi="Times New Roman"/>
          <w:sz w:val="18"/>
          <w:szCs w:val="18"/>
          <w:color w:val="auto"/>
        </w:rPr>
        <w:t>— On December 28, 2018, the Company completed a transaction (the “Class V transaction”)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Certain stockholders of the Company, subsequently brought class action complaints arising out of the Class V transaction in which they named as defendants (collectively, the “defendants”) Michael S. Dell and certain other directors serving on the Company’s board of directors at the time of the Class V transaction (collectively, the “director defendants”), certain stockholders of the Company, consisting of Mr. Dell and Silver Lake Group LLC and certain of its affiliated funds (collectively, the “stockholder defendants”), and Goldman Sachs &amp; Co. LLC (“Goldman Sachs”), which served as financial advisor to the Company in connection with the transaction. The plaintiffs generally alleged that the director defendants and the stockholder defendants breached their fiduciary duties under Delaware law to the former holders of the Class V Common Stock in connection with the Class V transaction by offering a transaction value that was allegedly billions of dollars below fair value.</w:t>
      </w:r>
    </w:p>
    <w:p>
      <w:pPr>
        <w:spacing w:after="0" w:line="221"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As previously reported, during the fourth quarter of the fiscal year ended February 3, 2023, the plaintiffs and the defendants entered into an agreement to settle the lawsuit. Under the terms of the settlement, the plaintiffs agreed to the dismissal of all claims upon payment of a total of $1.0 billion (the “settlement amount”), which includes all costs, expenses and fees of the plaintiff class relating to the action and its resolution. The settlement terms required that the settlement amount be paid by the Company and/or the Company’s insurers pursuant to indemnification obligations of the Company to the defendants. The Company is subject to indemnification obligations, upon the satisfaction of specified conditions, to the director and stockholder defendants and their affiliates pursuant to provisions of the Delaware General Corporation Law, the Company’s certificate of incorporation and bylaws, and agreements with the defendants. A special committee of the Board of Directors consisting of directors who were not defendants in the action, advised by independent counsel, informed the Board of Directors of its determination that the defendants were entitled to indemnification under the foregoing obligations.</w:t>
      </w:r>
    </w:p>
    <w:p>
      <w:pPr>
        <w:spacing w:after="0" w:line="215"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During the fiscal year ended February 3, 2023, the Company established a $1.0 billion liability on the Consolidated Statements of Financial Position and recognized $0.9 billion expense, net of $106 million in insurance proceeds, within interest and other, net within the Consolidated Statements of Income related to the settlement agreement.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On May 16, 2023, during the fiscal year ended February 2, 2024, the Company paid the settlement amount following approval of the settlement by the Delaware Court of Chancery. The payment is reflected within cash flows from operating activities within the Consolidated Statements of Cash Flows.</w:t>
      </w:r>
    </w:p>
    <w:p>
      <w:pPr>
        <w:spacing w:after="0" w:line="201"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R2 Semiconductor Patent Litigation </w:t>
      </w:r>
      <w:r>
        <w:rPr>
          <w:rFonts w:ascii="Times New Roman" w:cs="Times New Roman" w:eastAsia="Times New Roman" w:hAnsi="Times New Roman"/>
          <w:sz w:val="18"/>
          <w:szCs w:val="18"/>
          <w:color w:val="auto"/>
        </w:rPr>
        <w:t>— In November 2022, R2 Semiconductor, Inc. (“R2”) filed a lawsuit in the Dusseldorf Regional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Germany against Intel Deutschland GmbH, Dell GmbH, and certain other customers of Intel Corporation. R2 asserted that one European patent is infringed by certain Intel processors and those of the Company’s products that incorporate those processors (the “Accused Products”). R2 sought an injunction prohibiting the sale of the allegedly infringing products and damages for the alleged infringement. The Dusseldorf Regional Court (the “Court”) conducted a trial on December 7, 2023, and, on February 7, 2024, issued a decision in favor of R2. The Court’s judgment imposes an injunction prohibiting (among other acts) the sale and use of the Accused Products in Germany by Dell GmbH, and requiring Dell GmbH to issue a communication to certain customers recalling the covered products sold since March 5, 2020. These orders will not take effect until after notice of R2’s payment of the sureties required for enforcement and will remain in place unless stayed or overturned on appeal or until the parties reach an agreement. On February 8, 2024, the Company filed an appeal which is in process with the appellate court. The Court has not yet assessed damages arising out of R2’s claim. Intel Corporation has agreed to defend and indemnify the Company and its affiliates against certain losses incurred by the Company in connection with the alleged infringement. Given the status of this lawsuit, the nature of the case, and the Company’s agreements with Intel Corporation, the Company is unable to make a reasonable estimate of the potential loss or range of losses that might arise from the lawsuit.</w:t>
      </w:r>
    </w:p>
    <w:p>
      <w:pPr>
        <w:spacing w:after="0" w:line="214" w:lineRule="exact"/>
        <w:rPr>
          <w:sz w:val="20"/>
          <w:szCs w:val="20"/>
          <w:color w:val="auto"/>
        </w:rPr>
      </w:pPr>
    </w:p>
    <w:p>
      <w:pPr>
        <w:ind w:left="66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Litigation </w:t>
      </w:r>
      <w:r>
        <w:rPr>
          <w:rFonts w:ascii="Times New Roman" w:cs="Times New Roman" w:eastAsia="Times New Roman" w:hAnsi="Times New Roman"/>
          <w:sz w:val="18"/>
          <w:szCs w:val="18"/>
          <w:color w:val="auto"/>
        </w:rPr>
        <w:t>— Dell does not currently anticipate that any of the other various legal proceedings it is involved in will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its business, financial condition, results of operations, or cash flows.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February 2, 2024,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Obligations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Separation and Distribution Agreement entered into with VMware, Inc., (currently known as VMware LLC after its conversion into a Delaware limited liability company), upon the completion of the VMware Spin-off on November 1, 2021, Dell Technologies agreed to indemnify VMware, Inc., each of its subsidiaries and each of their respective directors, officers, employees, as well as any successors and assigns of the foregoing, from and against all liabilities relating to, arising out of or resulting from, among other matters, the liabilities allocated to Dell Technologies as part of the separation of Dell Technologies and VMware, Inc. (individually and together with its subsidiaries, “VMware”) and their respective businesses (the “Separation”). VMware similarly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information on the cross-indemnifications related to the tax matters agreement between the Company and VMware effective upon the Separation on November 1, 2021, see Note 20 of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Concentrations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markets and sells its products and services to large corporate clients, governmental agencies, and health care and education accounts, as well as to small and medium-sized businesses and individuals. No single customer accounted for more than 10% of the Company’s consolidated net revenue during the fiscal year ended February 2, 2024, February 3, 2023, and January 28, 2022.</w:t>
      </w:r>
    </w:p>
    <w:p>
      <w:pPr>
        <w:spacing w:after="0" w:line="2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utilizes a limited number of contract manufacturers that assemble a portion of its products. The Company purchases components from suppliers and sells those components to such contract manufacturers. The Company reflects the sale of such components by recognizing non-trade receivables from the contract manufacturers and a reduction in inventory when title and risk of loss pass to the manufacturer. Cash flows related to such transactions are recorded within cash flows from operating activities. The Company does not reflect the sale of the components in revenue and does not recognize any profit on the component sales until the related products are sold to a customer.</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agreements with the majority of the contract manufacturers permit the Company to offset its payables against the receivables, thus mitigating the credit risk wholly or in part. Such receivables were $3.4 billion and $3.3 billion as of February 2, 2024 and February 3, 2023, respectively, and primarily consisted of receivables from the Company’s four largest contract manufacturers. The Company offset its corresponding payables against $2.7 billion and $2.5 billion of such receivables as of February 2, 2024 and February 3, 2023, respectively. The portion of receivables not offset is included in other current assets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AND OTHER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the income tax expense (benefit) for continuing operations recognized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4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State/local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Deferred:</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State/local</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income (loss) before income taxes for continuing operations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8"/>
              </w:rPr>
              <w:t>(1,316)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8"/>
              </w:rPr>
              <w:t>4,541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48"/>
        </w:trPr>
        <w:tc>
          <w:tcPr>
            <w:tcW w:w="4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8"/>
              </w:rPr>
              <w:t>3,225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effective tax rate to the statutory U.S. federal tax rate for continuing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16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2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foreign operations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transaction-related costs</w:t>
            </w:r>
          </w:p>
        </w:tc>
        <w:tc>
          <w:tcPr>
            <w:tcW w:w="2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R&amp;D tax credits</w:t>
            </w: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entity restructuring</w:t>
            </w: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transaction litigation settlement</w:t>
            </w:r>
          </w:p>
        </w:tc>
        <w:tc>
          <w:tcPr>
            <w:tcW w:w="2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Changes related to the Company’s effective tax rates for the fiscal years ended February 2, 2024, February 3, 2023, and January 28, 2022 were primarily driven by items discrete to those years. Additionally, the Company’s effective tax rate for the fiscal year ended February 2, 2024 as compared to the fiscal year ended February 3, 2023 reflected the tax impact of foreign operations and benefits from U.S. research and development tax credits. The Company’s effective tax rate for the fiscal year ended February 3, 2023 includes the impact of a $0.9 billion expense recognized in connection with the agreement to settle the Class V transaction litigation described in Note 12 of the Notes to the Consolidated Financial Statements. The Company’s effective tax rate for the fiscal year ended January 28, 2022 includes tax expense of $1.0 billion on a pre-tax gain of $4.0 billion related to the divestiture of Boomi during the period, as well as tax benefits of $367 million on $1.6 billion of debt extinguishment fees and $244 million related to the restructuring of certain legal entities.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differences between the effective income tax rates and the U.S. federal statutory rate of 21% principally result from the geographical distribution of income, differences between the book and tax treatment of certain items, and discrete tax items. In certain jurisdictions, the Company’s tax rate is significantly less than the applicable statutory rate as a result of tax holidays. The majority of the Company’s foreign income subject to these tax holidays and lower tax rates is attributable to Singapore and China. A significant portion of these income tax benefits relates to a tax holiday that will be effective until January 31, 2029. Most of the Company’s other tax holidays will expire in whole or in part during fiscal years 2030 and 2031. Many of these tax holidays and reduced tax rates may be extended when certain conditions are met or may be terminated early if certain conditions are not met or as a result of changes in tax legislation. As of February 2, 2024, the Company was not aware of any matters of non-compliance related to these tax holidays or enacted tax legislative changes affecting these tax holidays. For the fiscal years ended February 2, 2024, February 3, 2023, and January 28, 2022, the income tax benefits attributable to the tax status of the affected subsidiaries were estimated to be approximately $244 million ($0.33 per share), $123 million ($0.16 per share), and $466 million ($0.59 per share), respectively. These income tax benefits are included in tax impact of foreign operations in the table above.</w:t>
      </w:r>
    </w:p>
    <w:p>
      <w:pPr>
        <w:spacing w:after="0" w:line="2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February 2, 2024, the Company has undistributed earnings of certain foreign subsidiaries of approximately $36.4 billion that remain indefinitely reinvested, and as such has not recognized a deferred tax liability. Determination of the amount of unrecognized deferred income tax liability related to these undistributed earnings is not practicable. The Company believes that a significant portion of the Company’s undistributed earnings as of February 2, 2024 will not be subject to further U.S. federal taxation.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net deferred tax assets (liabilities)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7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60" w:type="dxa"/>
            <w:vAlign w:val="bottom"/>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and warranty provisions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carryforwards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and compensation related accruals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tax assets (b)</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23"/>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tax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Leasing and financing</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Deferred tax liabilities (b)</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8"/>
        </w:trPr>
        <w:tc>
          <w:tcPr>
            <w:tcW w:w="76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60" w:hanging="332"/>
        <w:spacing w:after="0" w:line="250" w:lineRule="auto"/>
        <w:tabs>
          <w:tab w:leader="none" w:pos="3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 2024, the Company elected to present provisions for product returns and doubtful accounts within Other. Prior period balances have been recast to conform to this presentation.</w:t>
      </w:r>
    </w:p>
    <w:p>
      <w:pPr>
        <w:ind w:left="340" w:right="900" w:hanging="332"/>
        <w:spacing w:after="0" w:line="260" w:lineRule="auto"/>
        <w:tabs>
          <w:tab w:leader="none" w:pos="4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deferred tax liabilities are included in other non-current assets and other non-current liabilities, respectively, in the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net operating loss carryforwards, tax credit carryforwards, and other deferred tax assets with related valuation allowances recognized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vMerge w:val="restart"/>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Allowance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First Year Expiring</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Fiscal 2025</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2025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vMerge w:val="restart"/>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Valuation Allowance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Net Deferred Tax</w:t>
            </w:r>
          </w:p>
        </w:tc>
        <w:tc>
          <w:tcPr>
            <w:tcW w:w="100" w:type="dxa"/>
            <w:vAlign w:val="bottom"/>
          </w:tcPr>
          <w:p>
            <w:pPr>
              <w:spacing w:after="0"/>
              <w:rPr>
                <w:sz w:val="14"/>
                <w:szCs w:val="14"/>
                <w:color w:val="auto"/>
              </w:rPr>
            </w:pPr>
          </w:p>
        </w:tc>
        <w:tc>
          <w:tcPr>
            <w:tcW w:w="17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First Year Expiring</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74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Fiscal 2024</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2024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Company’s credit carryforwards as of February 2, 2024 and February 3, 2023 relate primarily to U.S. tax credits and include state and federal tax credits associated with research and development, as well as foreign tax credits associated with the U.S. Tax Cuts and Jobs Act. The Company assessed the realizability of these U.S. tax credits and has recorded a valuation allowance against the credits it does not expect to utilize. The decrease in credit carryforwards and corresponding valuation allowance for the fiscal year ended February 2, 2024 was primarily attributable to changes in the determination of foreign tax credits associated with the U.S. Tax Cuts and Jobs Act. These credit carryforwards were not previously expected to be utilized and had a full valuation allowance. Accordingly, such changes had no impact on the Company’s effective tax rate. The Company’s loss carryforwards as of February 2, 2024 and February 3, 2023 include net operating loss carryforwards from federal, state, and foreign jurisdictions. The valuation allowances for other deferred tax assets as of February 2, 2024 and February 3, 2023 primarily relate to foreign jurisdictions, the changes in which are included in tax impact of foreign operations in the Company’s effective tax reconciliation. The Company has determined that it will be able to realize the remainder of its deferred tax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valuation allowance for deferred tax assets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4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income tax provision</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Company’s beginning and ending balances of unrecognized tax benefits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4"/>
        </w:trPr>
        <w:tc>
          <w:tcPr>
            <w:tcW w:w="5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related to tax positions of the current year</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Increases related to tax position of prior years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Audit settlements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table above does not include accrued interest and penalties of $394 million as of both February 2, 2024 and February 3, 2023, and $383 million as of January 28, 2022. Additionally, the table does not include certain tax benefits associated with interest and state tax deductions and other indirect jurisdictional effects of uncertain tax positions, which were $1,438 million, $910 million, and $817 million as of February 2, 2024, February 3, 2023, and January 28, 2022, respectively.</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taking these items into account, the Company’s net unrecognized tax benefits were $1.3 billion as of February 2, 2024 and February 3, 2023, and $1.2 billion as of January 28, 2022, and are included in other non-current liabilities in the Consolidated Statements of Financial Position.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unrecognized tax benefits in the table above include $1.2 billion, $1.1 billion, and $0.9 billion as of February 2, 2024, February 3, 2023, and January 28, 2022, respectively, that, if recognized, would have impacted income tax expense. Interest and penalties related to income tax liabilities are included in income tax expense. The impact of interest and penalties on the Company’s tax provision was immaterial for the fiscal years ended February 2, 2024, February 3, 2023, and January 28, 2022.</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2023, the Company received Revenue Agent’s Reports for the examination by the Internal Revenue Service (“IRS”) of fiscal years 2015 through 2017 and fiscal years 2018 through 2019. The Company agreed with the IRS assessments relating to fiscal years 2015 through 2017 and settled those positions in August 2023. The impact to the financial statements for that settlement was not material. For fiscal years 2018 through 2019, the IRS proposed adjustments primarily relating to certain transactions the Company completed as part of its business integration efforts, with which the Company disagrees and which it will contest through the IRS administrative appeals procedures. In August 2023, the Company submitted a written protest to the IRS relating to certain assessments. The Company anticipates that the appeals process for the resolution of these matters will extend beyond the next twelve months. In September 2023, the IRS commenced a federal income tax examination of fiscal years 2020 through 2022.</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also currently under income tax audits in various U.S. state and foreign taxing jurisdictions. The Company is undergoing negotiations, and in some cases contested proceedings, relating to tax matters with the taxing authorities in these jurisdictions. With respect to major U.S. state and foreign taxing jurisdictions, the Company is generally not subject to tax examinations for years prior to the fiscal year ended January 29, 2010. The Company believes that it has provided adequate reserves related to all matters contained in tax periods open to examination, including the IRS audits described above. Although the Company believes it has made adequate provisions for the uncertainties with respect to these audits, should the Company experience unfavorable outcomes, such outcomes could have a material impact on its results of operations, financial position, and cash flows.</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Judgment is required in evaluating the Company’s uncertain tax positions and determining the Company’s provision for income taxes. Although the timing of resolution or closure of uncertain tax positions is not certain, the Company believes it is reasonably possible that certain tax matters in various jurisdictions could be concluded within the next twelve months. The resolution of these matters could reduce the Company’s unrecognized tax benefits by up to $0.4 billion including interest and penalties. Such a reduction would have a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INCOME (LOSS)</w:t>
      </w:r>
    </w:p>
    <w:p>
      <w:pPr>
        <w:spacing w:after="0" w:line="25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(loss) is presented in stockholders’ equity (deficit) in the Consolidated Statements of Financial Position and consists of amounts related to foreign currency translation adjustments, unrealized net gains (losses) on cash flow hedges, and actuarial net gains (losses) from pension and other postretirement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net of tax, by the following components as of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Pension and Other</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160" w:type="dxa"/>
            <w:vAlign w:val="bottom"/>
          </w:tcPr>
          <w:p>
            <w:pPr>
              <w:spacing w:after="0"/>
              <w:rPr>
                <w:sz w:val="15"/>
                <w:szCs w:val="15"/>
                <w:color w:val="auto"/>
              </w:rPr>
            </w:pPr>
          </w:p>
        </w:tc>
        <w:tc>
          <w:tcPr>
            <w:tcW w:w="136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00" w:type="dxa"/>
            <w:vAlign w:val="bottom"/>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Plans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0" w:type="dxa"/>
            <w:vAlign w:val="bottom"/>
          </w:tcPr>
          <w:p>
            <w:pPr>
              <w:spacing w:after="0"/>
              <w:rPr>
                <w:sz w:val="1"/>
                <w:szCs w:val="1"/>
                <w:color w:val="auto"/>
              </w:rPr>
            </w:pPr>
          </w:p>
        </w:tc>
      </w:tr>
      <w:tr>
        <w:trPr>
          <w:trHeight w:val="265"/>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29,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Spin-off of VMware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January 28,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76"/>
        </w:trPr>
        <w:tc>
          <w:tcPr>
            <w:tcW w:w="4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56"/>
        </w:trPr>
        <w:tc>
          <w:tcPr>
            <w:tcW w:w="4940" w:type="dxa"/>
            <w:vAlign w:val="bottom"/>
          </w:tcPr>
          <w:p>
            <w:pPr>
              <w:ind w:left="680"/>
              <w:spacing w:after="0" w:line="156" w:lineRule="exact"/>
              <w:rPr>
                <w:sz w:val="20"/>
                <w:szCs w:val="20"/>
                <w:color w:val="auto"/>
              </w:rPr>
            </w:pPr>
            <w:r>
              <w:rPr>
                <w:rFonts w:ascii="Times New Roman" w:cs="Times New Roman" w:eastAsia="Times New Roman" w:hAnsi="Times New Roman"/>
                <w:sz w:val="18"/>
                <w:szCs w:val="18"/>
                <w:color w:val="auto"/>
              </w:rPr>
              <w:t>Less: Change in comprehensive loss attributable to non-</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controlling interests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3,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Amounts related to the Company’s cash flow hedges are reclassified to net income during the same period in which the items being hedged are recognized in earnings. See Note 9 of the Notes to the Consolidated Financial Statements for more information about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accumulated other comprehensive income (loss), net of tax, to net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0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4"/>
                <w:szCs w:val="14"/>
                <w:color w:val="auto"/>
              </w:rPr>
            </w:pPr>
          </w:p>
        </w:tc>
        <w:tc>
          <w:tcPr>
            <w:tcW w:w="10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Pensions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vMerge w:val="restart"/>
          </w:tcPr>
          <w:p>
            <w:pPr>
              <w:spacing w:after="0"/>
              <w:rPr>
                <w:sz w:val="14"/>
                <w:szCs w:val="14"/>
                <w:color w:val="auto"/>
              </w:rPr>
            </w:pPr>
          </w:p>
        </w:tc>
        <w:tc>
          <w:tcPr>
            <w:tcW w:w="104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12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(in millions)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reclassifications, net of tax:</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Income from discontinued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5"/>
        </w:trPr>
        <w:tc>
          <w:tcPr>
            <w:tcW w:w="220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reclassifications, net</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1"/>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CAPITALIZATION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authorized, issued, and outstanding common stock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63"/>
        </w:trPr>
        <w:tc>
          <w:tcPr>
            <w:tcW w:w="5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18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February 2, 2024</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February 3, 2023</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one million shares of preferred stock, par value $0.01 per share. As of February 2, 2024 and February 3, 2023, no shares of preferred stock were issued or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Dell Technologies Common Stock </w:t>
      </w:r>
      <w:r>
        <w:rPr>
          <w:rFonts w:ascii="Times New Roman" w:cs="Times New Roman" w:eastAsia="Times New Roman" w:hAnsi="Times New Roman"/>
          <w:sz w:val="18"/>
          <w:szCs w:val="18"/>
          <w:color w:val="auto"/>
        </w:rPr>
        <w:t>— The Class A Common Stock, the Class B Common Stock, the Class C Common Stock, and the Class D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collectively referred to as Dell Technologies Common Stock. The par value for all series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Each holder of record of (a) Class A Common Stock is entitled to ten votes per share of Class A Common Stock; (b)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20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Under the Company’s certificate of incorporation, at any time and from time to time, any holder of Class A Common Stock or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Common Stock has the right to convert all or any of the shares of Class A Common Stock or Class B Common Stock, as applicable, held by such holder into shares of Class C Common Stock on a one-to-one basis.</w:t>
      </w:r>
    </w:p>
    <w:p>
      <w:pPr>
        <w:spacing w:after="0" w:line="20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During the fiscal year ended February 2, 2024, the Company issued 34 million shares of Class C Common Stock to stockholders upon the conversion of 25 million shares of Class A Common Stock and 9 million shares of Class B Common Stock in accordance with the Company’s certificate of incorporation.</w:t>
      </w:r>
    </w:p>
    <w:p>
      <w:pPr>
        <w:spacing w:after="0" w:line="1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3, 2023, there were no conversions of shares of Class A Common Stock or Class B Common Stock into shares of Class C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28, 2022, the Company issued an aggregate of 6 million shares of Class C Common Stock to stockholders upon their conversion of the same number of shares of Class A Common Stock into Class C Common Stock in accordance with the Company’s certificate of incorporation.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February 24, 2022, the Company announced that the Board of Directors adopted a dividend policy providing for payment of quarterly cash dividends on the Dell Technologies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the following dividends during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2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2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17"/>
                <w:szCs w:val="17"/>
                <w:color w:val="auto"/>
              </w:rPr>
            </w:pPr>
          </w:p>
        </w:tc>
        <w:tc>
          <w:tcPr>
            <w:tcW w:w="2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380" w:type="dxa"/>
            <w:vAlign w:val="bottom"/>
          </w:tcPr>
          <w:p>
            <w:pPr>
              <w:spacing w:after="0"/>
              <w:rPr>
                <w:sz w:val="17"/>
                <w:szCs w:val="17"/>
                <w:color w:val="auto"/>
              </w:rPr>
            </w:pPr>
          </w:p>
        </w:tc>
        <w:tc>
          <w:tcPr>
            <w:tcW w:w="17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24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millions</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2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2024</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25,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16,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24,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23,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2023</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24,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29,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7, 2022</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 2022</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29, 2022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6,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28,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6, 2022</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25,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3, 2023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2, 2024, the Company also paid an immaterial amount of dividend equivalents on eligible vested equity awards which are not included above.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February 29, 2024, subsequent to the close of the fiscal year ended February 2, 2024, the Company announced that the Board of Directors approved a 20% increase in the dividend to a rate of $0.445 per share per fiscal quarter beginning in the first quarter of the fiscal year ending January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as of September 23, 2021, the Company’s Board of Directors approved a stock repurchase program under which the Company is authorized to repurchase up to $5 billion of shares of Class C Common Stock with no fixed expiration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October 5, 2023, the Company’s Board of Directors approved the repurchase of an additional $5 billion of shares of the Company’s Class C Common Stock under the stock repurchase program. Following the approval, the Company had approximately $5.7 billion in authorized amount remaining under the program.</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fiscal year ended February 2, 2024, the Company repurchased approximately 34 million shares of Class C Common Stock for a total purchase price of approximately $2.1 billion. During the fiscal year ended February 3, 2023, the Company repurchased approximately 62 million shares of Class C Common Stock for a total purchase price of approximately $2.8 billion. During the fiscal year ended January 28, 2022, the Company repurchased 12 million shares of Class C Common Stock for a total purchase price of approximately $659 million.</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above repurchases of Class C Common Stock exclude shares withheld from stock awards to settle employee tax withholding obligations related to the vesting of such awards.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earnings per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 — basic:</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57"/>
        </w:trPr>
        <w:tc>
          <w:tcPr>
            <w:tcW w:w="5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 — diluted: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4"/>
        </w:trPr>
        <w:tc>
          <w:tcPr>
            <w:tcW w:w="5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Dell Technologies Common Stock</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Dell Technologies Inc.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57"/>
        </w:trPr>
        <w:tc>
          <w:tcPr>
            <w:tcW w:w="5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Discontinued operations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Incremental dilution from VMware, Inc.</w:t>
            </w: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64"/>
        </w:trPr>
        <w:tc>
          <w:tcPr>
            <w:tcW w:w="5780" w:type="dxa"/>
            <w:vAlign w:val="bottom"/>
            <w:tcBorders>
              <w:top w:val="single" w:sz="8" w:color="CCEEFF"/>
            </w:tcBorders>
            <w:shd w:val="clear" w:color="auto" w:fill="CCEEFF"/>
          </w:tcPr>
          <w:p>
            <w:pPr>
              <w:ind w:left="140"/>
              <w:spacing w:after="0" w:line="164" w:lineRule="exact"/>
              <w:rPr>
                <w:sz w:val="20"/>
                <w:szCs w:val="20"/>
                <w:color w:val="auto"/>
              </w:rPr>
            </w:pPr>
            <w:r>
              <w:rPr>
                <w:rFonts w:ascii="Times New Roman" w:cs="Times New Roman" w:eastAsia="Times New Roman" w:hAnsi="Times New Roman"/>
                <w:sz w:val="18"/>
                <w:szCs w:val="18"/>
                <w:color w:val="auto"/>
              </w:rPr>
              <w:t>Income from discontinued operations, net of income taxes, attributable to</w:t>
            </w:r>
          </w:p>
        </w:tc>
        <w:tc>
          <w:tcPr>
            <w:tcW w:w="16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34"/>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Dell Technologies Inc.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7"/>
        </w:trPr>
        <w:tc>
          <w:tcPr>
            <w:tcW w:w="5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182"/>
        </w:trPr>
        <w:tc>
          <w:tcPr>
            <w:tcW w:w="5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Denominator: Dell Technologies Common Stock weighted-average shares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w:t>
            </w: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antidilutive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Consolidated Statements of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156"/>
        </w:trPr>
        <w:tc>
          <w:tcPr>
            <w:tcW w:w="570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Stock-based compensation expense from continuing operations before</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43"/>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175"/>
        </w:trPr>
        <w:tc>
          <w:tcPr>
            <w:tcW w:w="57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w w:val="99"/>
              </w:rPr>
              <w:t>Stock-based compensation expense from discontinued operations before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43"/>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taxes (a)</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 before taxes</w:t>
            </w: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 net of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80" w:hanging="332"/>
        <w:spacing w:after="0" w:line="260" w:lineRule="auto"/>
        <w:tabs>
          <w:tab w:leader="none" w:pos="3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from discontinued operations before taxes represents VMware stock-based compensation expense and is included in income from discontinued operations, net of taxes, on the Consolidated Statements of Income for periods prior to the VMware Spin-off.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Technologies Inc. Stock-Based Compensation Plan</w:t>
      </w:r>
    </w:p>
    <w:p>
      <w:pPr>
        <w:spacing w:after="0" w:line="25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Dell Technologies Inc. 2023 Stock Incentive Plan </w:t>
      </w:r>
      <w:r>
        <w:rPr>
          <w:rFonts w:ascii="Times New Roman" w:cs="Times New Roman" w:eastAsia="Times New Roman" w:hAnsi="Times New Roman"/>
          <w:sz w:val="17"/>
          <w:szCs w:val="17"/>
          <w:color w:val="auto"/>
        </w:rPr>
        <w:t>— Employees, consultants, non-employee directors, and other service providers of the Company or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affiliates are eligible to participate in the Dell Technologies Inc. 2023 Stock Incentive Plan, which became effective on June 20, 2023 upon its approval by stockholders (the “2023 Plan”). The 2023 Plan authorizes the Company to grant stock options, restricted stock units (“RSUs”), stock appreciation rights (“SARs”), restricted stock awards, deferred stock units, and dividend equivalents. The 2023 Plan replaced the Dell Technologies Inc. 2013 Stock Incentive Plan (as amended and restated, the “2013 Plan”). Upon effectiveness of the 2023 Plan, no further awards were authorized for grant under the 2013 Plan.</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2023 Plan authorizes the issuance of an aggregate of up to approximately 103.3 million shares of the Class C Common Stock, including (a) 50.0 million shares of Class C Common Stock that were authorized for offering and issuance under the 2023 Plan, (b) approximately 7.0 million shares of Class C Common Stock that remained available for issuance under the 2013 Plan as of the effective date of the 2023 Plan, and (c) up to approximately 46.3 million shares of Class C Common Stock subject to awards outstanding under the 2013 Plan as of the effective date of the 2023 Plan that subsequently expire or terminate prior to exercise or settlement. As of February 2, 2024, there were approximately 58 million shares of Class C Common Stock available for future grants under the 2023 Plan.</w:t>
      </w:r>
    </w:p>
    <w:p>
      <w:pPr>
        <w:spacing w:after="0" w:line="212"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 The Company’s awards primarily consist of RSUs granted to employees. During the fiscal years ended February 2, 2024, February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January 28, 2022, the Company granted long-term incentive awards in the form of service-based RSUs and performance-based RSUs (“PSUs”) in order to align critical talent retention programs with the interests of holders of the Class C Common Stock.</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Service-based RSUs have a fair value based on the closing price of the Class C Common Stock price as reported on the NYSE on the grant date or the trade day immediately preceding the grant date, if the grant date falls on a non-trading day. The majority of such RSUs vest ratably over a three-year period. Each service-based RSU represents the right to acquire one share of Class C Common Stock upon vesting.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PSUs granted during the periods presented are reflected as target units for performance periods not yet complete.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measures and have fair values based on the closing price of the Class C Common Stock as reported on the NYSE on the accounting grant date.</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Beginning with grants made during the fiscal year ended February 3, 2023, dividend equivalents accrue on outstanding RSUs and PSUs when a dividend is paid to the Company’s common stockholders. Accrued dividend equivalents will be paid when the underlying RSUs and PSUs vest.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utilized in the Monte Carlo valuation model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60" w:type="dxa"/>
            <w:vAlign w:val="bottom"/>
          </w:tcPr>
          <w:p>
            <w:pPr>
              <w:spacing w:after="0"/>
              <w:rPr>
                <w:sz w:val="19"/>
                <w:szCs w:val="19"/>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260" w:type="dxa"/>
            <w:vAlign w:val="bottom"/>
          </w:tcPr>
          <w:p>
            <w:pPr>
              <w:spacing w:after="0"/>
              <w:rPr>
                <w:sz w:val="19"/>
                <w:szCs w:val="19"/>
                <w:color w:val="auto"/>
              </w:rPr>
            </w:pP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134.01</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(U.S. Government Treasury Note)</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80" w:hanging="332"/>
        <w:spacing w:after="0" w:line="260" w:lineRule="auto"/>
        <w:tabs>
          <w:tab w:leader="none" w:pos="3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grant date fair value for periods prior to the completion of the VMware Spin-off is calculated using pre-spin off stock prices and has not been adjusted to reflect the impact of the conversion ratio on the Class C Common Stock.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RSU activity settled in Class C Common Stock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8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 Grant</w:t>
            </w:r>
          </w:p>
        </w:tc>
        <w:tc>
          <w:tcPr>
            <w:tcW w:w="2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Aggregate Intrinsic Value (a)</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(in millions)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(per unit)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January 29,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900" w:type="dxa"/>
            <w:vAlign w:val="bottom"/>
            <w:gridSpan w:val="2"/>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VMware Spin-off adjustment (b)</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Outstanding as of January 28, 2022</w:t>
            </w:r>
          </w:p>
        </w:tc>
        <w:tc>
          <w:tcPr>
            <w:tcW w:w="1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February 3, 2023</w:t>
            </w:r>
          </w:p>
        </w:tc>
        <w:tc>
          <w:tcPr>
            <w:tcW w:w="1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Outstanding as of February 2, 2024 (c)</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9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Vested and expected to vest, February 2, 2024</w:t>
            </w:r>
          </w:p>
        </w:tc>
        <w:tc>
          <w:tcPr>
            <w:tcW w:w="1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900" w:type="dxa"/>
            <w:vAlign w:val="bottom"/>
            <w:gridSpan w:val="2"/>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3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360" w:hanging="332"/>
        <w:spacing w:after="0" w:line="265" w:lineRule="auto"/>
        <w:tabs>
          <w:tab w:leader="none" w:pos="39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represents the total pre-tax intrinsic values based on the closing price of $86.32 of the Class C Common Stock on February 2, 2024 as reported on the NYSE that would have been received by the RSU holders if the RSUs had been issued as of February 2, 2024.</w:t>
      </w:r>
    </w:p>
    <w:p>
      <w:pPr>
        <w:ind w:left="340" w:right="320" w:hanging="332"/>
        <w:spacing w:after="0" w:line="250" w:lineRule="auto"/>
        <w:tabs>
          <w:tab w:leader="none" w:pos="4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VMware Spin-off, and as authorized by the 2013 Plan, Dell Technologies made certain adjustments to the number of RSUs using a conversion ratio of approximately 1.97 to 1 to preserve the intrinsic value of the awards prior to the VMware Spin-off.</w:t>
      </w: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 2024, the 39 million units outstanding included 33 million RSUs and 6 million PSUs.</w:t>
      </w:r>
    </w:p>
    <w:p>
      <w:pPr>
        <w:spacing w:after="0" w:line="2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total fair value of RSU awards that vested during the fiscal years ended February 2, 2024, February 3, 2023, and January 28, 2022 was $973 million, $827 million, and $493 million, respectively, with a pre-tax intrinsic value of $1,230 million, $1,371 million, and $1,097 million, respectively.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February 2, 2024, there was $848 million of unrecognized stock-based compensation expense, net of estimated forfeitures, related to these awards expected to be recognized over a weighted-average period of approximately 1.7 years.</w:t>
      </w:r>
    </w:p>
    <w:p>
      <w:pPr>
        <w:spacing w:after="0" w:line="18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Dell Technologies Shares Withheld for Taxes </w:t>
      </w:r>
      <w:r>
        <w:rPr>
          <w:rFonts w:ascii="Times New Roman" w:cs="Times New Roman" w:eastAsia="Times New Roman" w:hAnsi="Times New Roman"/>
          <w:sz w:val="18"/>
          <w:szCs w:val="18"/>
          <w:color w:val="auto"/>
        </w:rPr>
        <w:t>— Beginning in the fiscal year ended February 3, 2023, shares of Class C Common Stock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from issuance to cover employee taxes for the vesting of restricted stock units. During the fiscal year ended January 28, 2022, shares of Class C Common Stock were withheld from issuance to cover employee taxes for both the vesting of restricted stock units and the exercise of stock options only under certain situations. For the fiscal years ended February 2, 2024, February 3, 2023, and January 28, 2022, 9.0 million, 8.0 million, and 0.4 million shares, respectively, were withheld to cover $366 million, $388 million, and $40 million, respectively, of employees’ tax obligations. The value of the withheld shares was classified as a reduction to common stock and capital in excess of par value.</w:t>
      </w:r>
    </w:p>
    <w:p>
      <w:pPr>
        <w:spacing w:after="0" w:line="209"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 Activity </w:t>
      </w:r>
      <w:r>
        <w:rPr>
          <w:rFonts w:ascii="Times New Roman" w:cs="Times New Roman" w:eastAsia="Times New Roman" w:hAnsi="Times New Roman"/>
          <w:sz w:val="18"/>
          <w:szCs w:val="18"/>
          <w:color w:val="auto"/>
        </w:rPr>
        <w:t>— In addition to RSU activity, the Company also had stock option activity which was not material during the fiscal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 2024, February 3, 2023, and January 28, 2022. Stock options are granted with option exercise prices equal to the fair market value of the Company’s Class C Common Stock and expire ten years after the grant date.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2023 Plan described above, the Company’s consolidated subsidiary, Secureworks, maintains its own equity plan and issues equity grants settling in its Class A common stock. The stock option and restricted stock unit activity under this plan was not material to the Company during the fiscal years ended February 2, 2024, February 3, 2023, and January 28, 2022.</w:t>
      </w: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RETIREMENT PLAN BENEFITS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Retirement Plans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sponsors retirement plans for certain employees in the United States and internationally, some of which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U.S. Pension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sponsors a noncontributory defined benefit retirement plan in the United States (the “U.S. pension plan”)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connection with the EMC merger transaction. As of December 1999, the U.S. pension plan was frozen, so employees no longer accrue retirement benefits for future services. The measurement date for the U.S. pension plan is the end of the Company’s fiscal year. The Company did not make any material contributions to the U.S. pension plan for the fiscal years ended February 2, 2024, February 3, 2023, and January 28, 2022, and does not expect to make any significant contributions in Fiscal 2025.</w:t>
      </w: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periodic benefit costs related to the U.S. pension plan were immaterial for the fiscal years ended February 2, 2024, February 3, 2023, and January 28,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attributes of the U.S. pension plan as of the dates indicated:</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678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r>
      <w:tr>
        <w:trPr>
          <w:trHeight w:val="263"/>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00" w:hanging="332"/>
        <w:spacing w:after="0" w:line="250" w:lineRule="auto"/>
        <w:tabs>
          <w:tab w:leader="none" w:pos="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underfunded position of the U.S. pension plan is recognized in other non-current liabilities in the Consolidated Statements of Financial Position.</w:t>
      </w:r>
    </w:p>
    <w:p>
      <w:pPr>
        <w:spacing w:after="0" w:line="23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February 2, 2024, future benefit payments for the U.S. pension plan are expected to be paid as follows: $34 million in Fiscal 2025; $38 million in Fiscal 2026; $38 million in Fiscal 2027; $38 million in Fiscal 2028; $38 million in Fiscal 2029; and $179 million thereafter.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International Pension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also sponsors retirement plans outside of the United States which qualify as defined benefit plans.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presents attributes of the international pension plans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4"/>
        </w:trPr>
        <w:tc>
          <w:tcPr>
            <w:tcW w:w="67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fair value (a)</w:t>
            </w:r>
          </w:p>
        </w:tc>
        <w:tc>
          <w:tcPr>
            <w:tcW w:w="176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6"/>
              </w:rPr>
              <w:t>221</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(423)</w:t>
            </w: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Underfunded position (b)</w:t>
            </w:r>
          </w:p>
        </w:tc>
        <w:tc>
          <w:tcPr>
            <w:tcW w:w="176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100" w:hanging="332"/>
        <w:spacing w:after="0" w:line="250"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1 of the fair value hierarchy.</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underfunded position is recognized in other non-current liabilities in the Consolidated Statements of Financial Position.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Dell 401(k) Plan </w:t>
      </w:r>
      <w:r>
        <w:rPr>
          <w:rFonts w:ascii="Times New Roman" w:cs="Times New Roman" w:eastAsia="Times New Roman" w:hAnsi="Times New Roman"/>
          <w:sz w:val="18"/>
          <w:szCs w:val="18"/>
          <w:color w:val="auto"/>
        </w:rPr>
        <w:t>— The Company maintains a defined contribution retirement plan (the “Dell 401(k) Plan”) that complies with Section 401(k)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 Only U.S. employees and employees of certain subsidiaries, except those who are covered by a collective bargaining agreement, classified as a leased employee or a nonresident alien, or are covered under a separate plan, are eligible to participate in the Dell 401(k) Plan. Participation in the Dell 401(k) Plan is at the election of the employee. As of February 2, 2024, the Company matched 100% of each participant’s voluntary contributions (the “Dell 401(k) employer match”), subject to a maximum contribution of 6% of the participant’s eligible compensation, up to an annual limit of $7,500.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February 2, 2024, February 3, 2023, and January 28, 2022 were $238 million, $263 million, and $249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INFORMATION</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that are based on the following business units: Infrastructure Solutions Group (“ISG”) and Client Solutions Group (“CSG”).</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ISG includes the Company’s storage, server, and networking offerings. The Company’s comprehensive storage portfolio includes modern and traditional storage solutions, including all-flash arrays, scale-out file, object platforms, hyper-converged infrastructure, and software-defined storage. The Company’s server portfolio includes high-performance general-purpose and AI-optimized servers. The Company’s networking portfolio includes wide area network infrastructure, data center and edge networking switches, and cables and optics. ISG also offers software, peripherals, and services, including consulting and support and deployment.</w:t>
      </w:r>
    </w:p>
    <w:p>
      <w:pPr>
        <w:spacing w:after="0" w:line="21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CSG includes offerings designed for commercial and consumer customers. The Company’s CSG portfolio includes branded PCs including notebooks, desktops, and workstations, branded peripherals, and third-party software and peripherals. CSG also includes services offerings, such as configuration, support and deployment, and extended warranties.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VMware Spin-off and pursuant to the CFA, as described in Note 1 and Note 3 of the Notes to the Consolidated Financial Statements, Dell Technologies acted as a distributor of VMware’s standalone products and services and purchased such products and services for resale to end-user customers (“VMware Resale”). The results of VMware Resale transactions are reflected in other businesses.</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November 22, 2023, VMware was acquired by Broadcom. Following the acquisition, Broadcom announced changes to its go-to-market approach for VMware offerings which impacted the Company’s commercial relationship with VMware. In response to such changes, on January 25, 2024, under a provision of the CFA permitting it to terminate the agreement upon a change in control of VMware, the Company delivered notice of termination of the CFA to Broadcom under which the agreement will terminate on March 25, 2024.</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continues to integrate select VMware products and services with Dell Technologies’ offerings and sell them to end-users. The results of such offerings are reflected within CSG or ISG, depending upon the nature of the underlying offering sold.</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revenue by the Company’s reportable segments to the Company’s consolidated net revenue as well as a reconciliation of segment operating income to the Company’s consolidated operating income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61,464</w:t>
            </w: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 net revenue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95,830</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businesses (a) (b)</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 transactions (c)</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purchase accounting (d)</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101,197</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operating income:</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29"/>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businesses (a) (b)</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transactions (c)</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purchase accounting (d)</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Transaction-related expenses (e)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(f)</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corporate expenses (g)</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5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80" w:hanging="332"/>
        <w:spacing w:after="0" w:line="250"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businesses consists of (i) VMware Resale, (ii) Secureworks, and (iii) Virtustream, and do not meet the requirements for a reportable segment, either individually or collectively.</w:t>
      </w:r>
    </w:p>
    <w:p>
      <w:pPr>
        <w:ind w:left="340" w:right="300" w:hanging="332"/>
        <w:spacing w:after="0" w:line="25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the sale of Boomi on October 1, 2021. Prior to the divestiture, Boomi’s results were included within other businesses. See Note 1 of the Notes to the Consolidated Financial Statements for further information about the divestiture of Boomi.</w:t>
      </w: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transactions includes other corporate items that are not allocated to Dell Technologies’ reportable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purchase accounting includes non-cash purchase accounting adjustments that are primarily related to the EMC merger transaction.</w:t>
      </w:r>
    </w:p>
    <w:p>
      <w:pPr>
        <w:spacing w:after="0" w:line="9" w:lineRule="exact"/>
        <w:rPr>
          <w:rFonts w:ascii="Times New Roman" w:cs="Times New Roman" w:eastAsia="Times New Roman" w:hAnsi="Times New Roman"/>
          <w:sz w:val="18"/>
          <w:szCs w:val="18"/>
          <w:color w:val="auto"/>
        </w:rPr>
      </w:pPr>
    </w:p>
    <w:p>
      <w:pPr>
        <w:ind w:left="340" w:right="540" w:hanging="332"/>
        <w:spacing w:after="0" w:line="250"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expenses includes acquisition, integration, and divestiture related costs. During Fiscal 2022 this category also includes costs incurred in connection with the VMware Spin-off described in Note 1 and Note 3 of the Notes to the Consolidated Financial Statements.</w:t>
      </w: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consists of equity awards granted based on the estimated fair value of those awards at grant date.</w:t>
      </w:r>
    </w:p>
    <w:p>
      <w:pPr>
        <w:spacing w:after="0" w:line="9" w:lineRule="exact"/>
        <w:rPr>
          <w:rFonts w:ascii="Times New Roman" w:cs="Times New Roman" w:eastAsia="Times New Roman" w:hAnsi="Times New Roman"/>
          <w:sz w:val="18"/>
          <w:szCs w:val="18"/>
          <w:color w:val="auto"/>
        </w:rPr>
      </w:pPr>
    </w:p>
    <w:p>
      <w:pPr>
        <w:ind w:left="340" w:right="560" w:hanging="332"/>
        <w:spacing w:after="0" w:line="260"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includes impairment charges, severance expense, incentive charges related to equity investments, facility action costs, payroll taxes associated with stock-based compensation, and other costs.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disaggregation of net revenue by reportable segment and by major product categories within the segments for the periods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Infrastructure Solutions Group:</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Servers and networking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Storage</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ISG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Client Solutions Group:</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CSG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allocated between the United States and foreign countries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4"/>
        </w:trPr>
        <w:tc>
          <w:tcPr>
            <w:tcW w:w="5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54,445</w:t>
            </w:r>
          </w:p>
        </w:tc>
      </w:tr>
      <w:tr>
        <w:trPr>
          <w:trHeight w:val="22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101,197</w:t>
            </w: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allocated between the United States and foreign countries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80" w:type="dxa"/>
            <w:vAlign w:val="bottom"/>
          </w:tcPr>
          <w:p>
            <w:pPr>
              <w:spacing w:after="0"/>
              <w:rPr>
                <w:sz w:val="22"/>
                <w:szCs w:val="22"/>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allocation between domestic and foreign net revenue is based on the location of the customers. Net revenue from any single foreign country did not constitute more than 10% of the Company’s consolidated net revenue for any of the fiscal years ended February 2, 2024, February 3, 2023, and January 28, 2022. As of February 2, 2024 and February 3, 2023, property, plant, and equipment, net primarily related to domestic ownership. Within foreign countries, property, plant, and equipment, net of $0.8 billion was located in Ireland.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RELATED PARTY TRANSACTIONS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acquisition of VMware by Broadcom, VMware was considered a related party of the Company as a result of Michael Dell’s ownership interests in both Dell Technologies and VMware as well as Mr. Dell’s service as Chairman and Chief Executive Officer of Dell Technologies and as Chairman of the Board of VMware, Inc. On November 22, 2023, upon the completion of Broadcom’s acquisition of VMware, Mr. Dell’s ownership interest in VMware and his position as Chairman of the Board of VMware terminated. The Company has determined that Broadcom’s acquisition terminated the Company’s related party relationship with VMware effective as of November 22, 2023 and that no related party relationship exists with Broadcom or VMware as of February 2, 2024.</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provided below includes a summary of related party transactions with VMware for the periods presented within this report. Such transactions were considered related party transactions only through November 21, 2023, the day immediately preceding Broadcom’s acquisition of VMware. The Company continues to engage in select transactions with VMware following the completion of Broadcom’s acquisition and the termination of the related party relationship. See Note 19 of the Notes to the Consolidated Financial Statements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VMware</w:t>
      </w:r>
    </w:p>
    <w:p>
      <w:pPr>
        <w:spacing w:after="0" w:line="256" w:lineRule="exact"/>
        <w:rPr>
          <w:sz w:val="20"/>
          <w:szCs w:val="20"/>
          <w:color w:val="auto"/>
        </w:rPr>
      </w:pPr>
    </w:p>
    <w:p>
      <w:pPr>
        <w:ind w:left="660" w:right="12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integrated or bundled select VMware products and services with Dell Technologies’ products and sold them to end-users. Dell Technologies also acted as a distributor, purchasing VMware’s standalone products and services for resale to end-user customers. Where applicable, costs under these arrangements were presented net of rebates received by Dell Technologies.</w:t>
      </w:r>
    </w:p>
    <w:p>
      <w:pPr>
        <w:spacing w:after="0" w:line="202"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provided financing to certain VMware end-users, which resulted in the recognition of amounts due to related parties on the Consolidated Statements of Financial Position. Associated financing fees were recorded to product net revenue on the Consolidated Statements of Income and are reflected within sales and leases of products to VMware in the table below.</w:t>
      </w:r>
    </w:p>
    <w:p>
      <w:pPr>
        <w:spacing w:after="0" w:line="202" w:lineRule="exact"/>
        <w:rPr>
          <w:rFonts w:ascii="Times New Roman" w:cs="Times New Roman" w:eastAsia="Times New Roman" w:hAnsi="Times New Roman"/>
          <w:sz w:val="18"/>
          <w:szCs w:val="18"/>
          <w:color w:val="auto"/>
        </w:rPr>
      </w:pPr>
    </w:p>
    <w:p>
      <w:pPr>
        <w:ind w:left="660" w:right="420" w:hanging="328"/>
        <w:spacing w:after="0" w:line="312"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Dell Technologies procured products and services from VMware for its internal use. For the fiscal years ended February 2, 2024, February 3, 2023, and January 28, 2022, costs incurred associated with products and services purchased from VMware for internal use were immaterial.</w:t>
      </w:r>
    </w:p>
    <w:p>
      <w:pPr>
        <w:spacing w:after="0" w:line="166" w:lineRule="exact"/>
        <w:rPr>
          <w:rFonts w:ascii="Times New Roman" w:cs="Times New Roman" w:eastAsia="Times New Roman" w:hAnsi="Times New Roman"/>
          <w:sz w:val="17"/>
          <w:szCs w:val="17"/>
          <w:color w:val="auto"/>
        </w:rPr>
      </w:pPr>
    </w:p>
    <w:p>
      <w:pPr>
        <w:ind w:left="660" w:right="4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sold and leased products and sold services to VMware. For the fiscal years ended February 2, 2024, February 3, 2023, and January 28, 2022, revenue recognized from sales of services to VMware was immaterial.</w:t>
      </w:r>
    </w:p>
    <w:p>
      <w:pPr>
        <w:spacing w:after="0" w:line="18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and VMware entered into joint marketing, sales, and branding arrangements, for which both parties incurred costs. For the fiscal years ended February 2, 2024, February 3, 2023, and January 28, 2022, consideration received from VMware for joint marketing, sales, and branding arrangements was immaterial.</w:t>
      </w:r>
    </w:p>
    <w:p>
      <w:pPr>
        <w:spacing w:after="0" w:line="202"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and VMware entered into a transition services agreement in connection with the VMware Spin-off to provide various support services, including investment advisory services, certain support services from Dell Technologies personnel, and other transitional services. Costs incurred associated with this agreement were immaterial for the fiscal years ended February 3, 2023 and January 28, 2022. Activities under the agreement concluded during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impact of Dell Technologies’ related party transactions with VMware on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periods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7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vMerge w:val="restart"/>
          </w:tcPr>
          <w:p>
            <w:pPr>
              <w:spacing w:after="0"/>
              <w:rPr>
                <w:sz w:val="14"/>
                <w:szCs w:val="14"/>
                <w:color w:val="auto"/>
              </w:rPr>
            </w:pPr>
          </w:p>
        </w:tc>
        <w:tc>
          <w:tcPr>
            <w:tcW w:w="158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February 2, 2024</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vMerge w:val="restart"/>
          </w:tcPr>
          <w:p>
            <w:pPr>
              <w:spacing w:after="0"/>
              <w:rPr>
                <w:sz w:val="14"/>
                <w:szCs w:val="14"/>
                <w:color w:val="auto"/>
              </w:rPr>
            </w:pP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7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 millions)</w:t>
            </w: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leases of products to VMware</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 products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VMware products for resale</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net revenue - 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VMware services for resale</w:t>
            </w: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 - services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6" w:lineRule="exact"/>
        <w:rPr>
          <w:sz w:val="20"/>
          <w:szCs w:val="20"/>
          <w:color w:val="auto"/>
        </w:rPr>
      </w:pPr>
    </w:p>
    <w:p>
      <w:pPr>
        <w:ind w:left="340" w:right="80" w:hanging="332"/>
        <w:spacing w:after="0" w:line="243"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year ended February 2, 2024, amounts are reported only through November 21, 2023, the day immediately preceding the acquisition of VMware by Broadcom.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amounts classified as related party balances on the Consolidated Statements of Financial Position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6600" w:type="dxa"/>
            <w:vAlign w:val="bottom"/>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related to VMware products and services for resale (a)</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related to VMware products and services for resale (a)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8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ind w:left="340" w:right="540" w:hanging="332"/>
        <w:spacing w:after="0" w:line="243" w:lineRule="auto"/>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are not reported as related party balances as of February 2, 2024 as the related party relationship with VMware terminated upon Broadcom’s acquisition of VMware.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2, 2024 (a)</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3, 2023</w:t>
            </w:r>
          </w:p>
        </w:tc>
      </w:tr>
      <w:tr>
        <w:trPr>
          <w:trHeight w:val="263"/>
        </w:trPr>
        <w:tc>
          <w:tcPr>
            <w:tcW w:w="6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(in millions)</w:t>
            </w:r>
          </w:p>
        </w:tc>
        <w:tc>
          <w:tcPr>
            <w:tcW w:w="1820" w:type="dxa"/>
            <w:vAlign w:val="bottom"/>
          </w:tcPr>
          <w:p>
            <w:pPr>
              <w:spacing w:after="0"/>
              <w:rPr>
                <w:sz w:val="22"/>
                <w:szCs w:val="2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 net, current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related party, net, non-current (c)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 current (d)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hanging="332"/>
        <w:spacing w:after="0" w:line="250" w:lineRule="auto"/>
        <w:tabs>
          <w:tab w:leader="none" w:pos="3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related party, net were reclassified into accounts receivable, net, other current assets, and other non-current assets, and amounts due to related party, net were reclassified into accounts payable as of February 2, 2024 as, subsequent to Broadcom’s acquisition of VMware, the amounts were no longer considered due from or due to a related party.</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related party, net, current consisted of amounts due from VMware, inclusive of current net tax receivables from VMware under the Tax Agreements described below. Amounts, excluding tax, were generally settled in cash within 60 days.</w:t>
      </w: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related party, net, non-current consisted of the non-current portion of net receivables from VMware under the Tax Agreements.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related party, current included amounts due to VMware, which were generally settled in cash within 60 days.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Related Party Tax Matters</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VMware Spin-off and concurrently with the execution of the Separation and Distribution Agreement, effective as of April 14, 2021, Dell Technologies and VMware entered into a Tax Matters Agreement (the “Tax Matters Agreement”) and agreed to terminate the Tax Sharing Agreement as amended on December 30, 2019 (together with the Tax Matters Agreement, the “Tax Agreements”). The Tax Matters Agreement governs Dell Technologies’ and VMware’s respective rights and obligations regarding income and other taxes as well as related matters, including tax liabilities, benefits, attributes, and returns for periods both preceding and proceeding the spin-off.</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timing of the tax payments due to and from VMware is governed by the Tax Agreements. VMware’s portion of the mandatory one-time transition tax on accumulated earnings of foreign subsidiaries (the “Transition Tax”) is governed by a letter agreement between VMware and Dell Technologies entered into on April 1, 2019.</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Pursuant to the Tax Agreements, net receipts from VMware were $286 million during the fiscal year ended February 2, 2024, a portion of which was received subsequent to the completion of Broadcom’s acquisition of VMware, and were immaterial for the fiscal years ended February 3, 2023 and January 28, 2022. Such receipts were primarily related to VMware’s portion of the Transition Tax and federal income taxes on Dell Technologies’ consolidated income tax return.</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February 2, 2024 and February 3, 2023, the amount due from VMware under the Tax Matters Agreement was $311 million and $599 million, respectively, and primarily related to VMware’s estimated tax obligation resulting from the Transition Tax. The 2017 Tax Cuts and Jobs Act included a deferral election for an eight-year installment payment method on the Transition Tax. Dell Technologies expects VMware to pay the remainder of its Transition Tax over a period of two years.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consummation of the VMware Spin-off, Dell Technologies recorded net income tax indemnification receivables from VMware related to certain income tax liabilities for which Dell Technologies is jointly and severally liable, but for which it is indemnified by VMware under the Tax Matters Agreement. The amounts that VMware may be obligated to pay Dell Technologies could vary depending on the outcome of certain unresolved tax matters, which may not be resolved for several years. The net receivable as of February 2, 2024 and February 3, 2023 was $104 million and $146 million, respectively.</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Amounts due from VMware as of February 2, 2024 under the Tax Matters Agreement and the indemnification receivable are no longer considered due from a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Related Parties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during the periods presented were immaterial, individually and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SUPPLEMENTAL CONSOLIDATED FINANCIAL INFORMATION</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on selected assets included in the Consolidated Statements of Financial Position as of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60" w:type="dxa"/>
            <w:vAlign w:val="bottom"/>
            <w:gridSpan w:val="4"/>
          </w:tcPr>
          <w:p>
            <w:pPr>
              <w:jc w:val="right"/>
              <w:ind w:right="133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 other current assets (a)</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 other non-current assets (a)</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Prepaid expenses: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Costs: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costs, current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 (c):</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in a customer contract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 use software</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 (d)</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includes cash required to be held in escrow pursuant to DFS securitization arrangements.</w:t>
      </w:r>
    </w:p>
    <w:p>
      <w:pPr>
        <w:spacing w:after="0" w:line="9"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4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and prepaid expenses are included in other current assets in the Consolidated Statements of Financial Position. Amounts classified as long-term deferred costs are included in other non-current assets and are not disclosed above.</w:t>
      </w:r>
    </w:p>
    <w:p>
      <w:pPr>
        <w:ind w:left="340" w:right="220" w:hanging="332"/>
        <w:spacing w:after="0" w:line="250" w:lineRule="auto"/>
        <w:tabs>
          <w:tab w:leader="none" w:pos="3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revised its presentation of property, plant, and equipment, net by major asset class as of February 2, 2024. Prior period balances have been recast to conform to this presentation.</w:t>
      </w:r>
    </w:p>
    <w:p>
      <w:pPr>
        <w:ind w:left="340" w:right="100" w:hanging="332"/>
        <w:spacing w:after="0" w:line="260" w:lineRule="auto"/>
        <w:tabs>
          <w:tab w:leader="none" w:pos="4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years ended February 2, 2024, February 3, 2023, and January 28, 2022, the Company recognized $2.0 billion, $1.8 billion, and $1.6 billion, respectively, in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Warranty Liability</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liability for standard limited warranties for the periods indicated:</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7"/>
        </w:trPr>
        <w:tc>
          <w:tcPr>
            <w:tcW w:w="5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r>
      <w:tr>
        <w:trPr>
          <w:trHeight w:val="223"/>
        </w:trPr>
        <w:tc>
          <w:tcPr>
            <w:tcW w:w="5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 millions)</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Warranty liability: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480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473</w:t>
            </w:r>
          </w:p>
        </w:tc>
      </w:tr>
      <w:tr>
        <w:trPr>
          <w:trHeight w:val="176"/>
        </w:trPr>
        <w:tc>
          <w:tcPr>
            <w:tcW w:w="57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Costs accrued for new warranty contracts and changes in estimates for pre-</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existing warranties (a)</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956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957</w:t>
            </w:r>
          </w:p>
        </w:tc>
      </w:tr>
      <w:tr>
        <w:trPr>
          <w:trHeight w:val="230"/>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 obligations honored</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7"/>
              </w:rPr>
              <w:t>(849)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(950)</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6"/>
              </w:rPr>
              <w:t>480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60" w:hanging="332"/>
        <w:spacing w:after="0" w:line="260"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estimates related to pre-existing warranties are aggregated with accruals for new standard warranty contracts. The Company’s warranty liability process does not differentiate between estimates made for pre-existing warranties and those made for new warranty obligations.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Charges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related to the Company’s severance liability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4"/>
        </w:trPr>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liability:</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liability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 charges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and 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liability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severance charges as included in the Consolidated Statements of Income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February 3,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r>
      <w:tr>
        <w:trPr>
          <w:trHeight w:val="263"/>
        </w:trPr>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charges: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severance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256"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8"/>
          <w:szCs w:val="18"/>
          <w:color w:val="auto"/>
        </w:rPr>
        <w:t>The Company maintains a Supply Chain Finance Program (the “SCF Program”), which enables eligible suppliers of the Company, at the supplier's sole discretion, to sell receivables due from the Company to a third-party financial institution. The Company has no involvement in establishing the terms or conditions of the arrangement between its suppliers and the financial institution and no economic interest in a supplier's decision to sell a receivable.</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Suppliers may elect to sell varying amounts of their outstanding receivables as part of the SCF Program. The Company does not provide legally secured assets or other forms of guarantees under the arrangement.</w:t>
      </w:r>
    </w:p>
    <w:p>
      <w:pPr>
        <w:spacing w:after="0" w:line="2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SCF Program does not impact the Company's liquidity as payments for participating supplier invoices are remitted by the Company to the financial institution on the original invoice due date, regardless of whether an individual invoice is sold by the supplier to the financial institution. Further, the Company negotiates payment terms with suppliers regardless of their decision to participate in the SCF Program. Payment terms with such suppliers vary and do not exceed 130 days.</w:t>
      </w:r>
    </w:p>
    <w:p>
      <w:pPr>
        <w:spacing w:after="0" w:line="207"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Any amounts due to the financial institution for suppliers participating in the SCF Program are recorded within Accounts Payable on the Consolidated Statements of Financial Position and associated payments are included in cash flows from operating activities on the Consolidated Statements of Cash Flows.</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February 2, 2024 and February 3, 2023, the Company had $1.1 billion and $1.0 billion, respectively, included within Accounts Payable representing invoices due to suppliers confirmed as valid under the SCF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February 3, 2023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28, 2022</w:t>
            </w:r>
          </w:p>
        </w:tc>
        <w:tc>
          <w:tcPr>
            <w:tcW w:w="20" w:type="dxa"/>
            <w:vAlign w:val="bottom"/>
          </w:tcPr>
          <w:p>
            <w:pPr>
              <w:spacing w:after="0"/>
              <w:rPr>
                <w:sz w:val="19"/>
                <w:szCs w:val="19"/>
                <w:color w:val="auto"/>
              </w:rPr>
            </w:pPr>
          </w:p>
        </w:tc>
      </w:tr>
      <w:tr>
        <w:trPr>
          <w:trHeight w:val="263"/>
        </w:trPr>
        <w:tc>
          <w:tcPr>
            <w:tcW w:w="4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13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businesses and assets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extinguishment gain (loss)</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settlement, net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140" w:type="dxa"/>
            <w:vAlign w:val="bottom"/>
          </w:tcPr>
          <w:p>
            <w:pPr>
              <w:spacing w:after="0"/>
              <w:rPr>
                <w:sz w:val="19"/>
                <w:szCs w:val="19"/>
                <w:color w:val="auto"/>
              </w:rPr>
            </w:pPr>
          </w:p>
        </w:tc>
        <w:tc>
          <w:tcPr>
            <w:tcW w:w="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7"/>
        </w:trPr>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6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149</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GOVERNMENT ASSISTANCE</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receives government assistance in the form of grants and incentives which vary in size, duration, and conditions from various domestic and international governing bodies and related entities which are primarily structured as cash grants and non-income tax incentives. For government assistance in which no specific US GAAP applies, the Company accounts for such transactions as a gain contingency and by analogy to a grant model. Under such model, the Company recognizes the impact of the government assistance on the Consolidated Statements of Income upon reaching reasonable assurance that the Company will comply with the conditions of the assistance and that the grant will be received. The Company classifies the impact of government assistance on the Consolidated Statements of Income based on the underlying nature and purpose of the assistance.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February 2, 2024 and February 3, 2023, government assistance received primarily consisted of the following:</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received assistance from foreign governmental entities designed, in part, to promote competitive pricing by providing companies with an offset to local sales taxes incurred on the sales of products to customers. The assistance received is broadly available to companies. To qualify for this assistance, companies are required to invest a portion of local revenue, derived from goods manufactured locally, into research and development activities. The incentives in place are currently set to expire at various dates through 2029. Such expirations could be impacted by future legislation. During the fiscal years ended February 2, 2024 and February 3, 2023, the Company recognized $288 million and $297 million, respectively, within net revenue on the Consolidated Statements of Income related to such assistance.</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received incentives from foreign governmental entities to provide reimbursement for various costs incurred that are directly tied to the production or delivery of offerings sold to customers. The agreements governing such assistance require that the Company comply with certain conditions including, but not limited to, the achievement of future operational targets. These agreements currently expire at various dates through 2029. During the fiscal years ended February 2, 2024 and February 3, 2023, the Company recognized a benefit of $166 million and $318 million, respectively, to cost of net revenue on the Consolidated Statements of Income related to such assistance.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SUBSEQUENT EVENTS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otherwise disclosed, there were no known events occurring after February 2, 2024, and up until the date of issuance of this report that would materially affect the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20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February 2, 2024. Based on that evaluation, our Chief Executive Officer and Chief Financial Officer have concluded that our disclosure controls and procedures were effective at the reasonable assurance level as of February 2,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21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February 2, 2024,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As a result of that evaluation, management has concluded that our internal control over financial reporting was effective as of February 2, 2024.</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February 2, 2024 has been audited by PricewaterhouseCoopers LLP, our independent registered public accounting firm, as stated in their report, which is included in “Item 8 —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February 2,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20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each other, or by management override.</w:t>
      </w:r>
    </w:p>
    <w:p>
      <w:pPr>
        <w:spacing w:after="0" w:line="25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88"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88"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4, 2024, Richard J. Rothberg, our General Counsel, adopted a written plan for the sale of up to 114,368 shares of the Company’s Class C Common Stock that is intended to satisfy the affirmative defense conditions of Rule 10b5-1(c) under the Exchange Act. The plan will expire on August 30, 2024, or on any earlier date on which all of the shares have been sold.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2024 annual meeting of stockholders, referred to as the “2024 proxy statement,” which we will file with the SEC on or before 120 days after our 2024 fiscal year-end, and which will appear in the 2024 proxy statement under the captions “Proposal 1 — Election of Directors” and “Additional Information — Delinquent Section 16(a) Reports,” if applicable.</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members of our Board of Directors and the principal occupation or employment of each director is provided as of the date of this report.</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1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Michael S. Dell</w:t>
            </w:r>
          </w:p>
        </w:tc>
        <w:tc>
          <w:tcPr>
            <w:tcW w:w="348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w w:val="98"/>
              </w:rPr>
              <w:t>Lynn Vojvodich Radakovich</w:t>
            </w:r>
          </w:p>
        </w:tc>
      </w:tr>
      <w:tr>
        <w:trPr>
          <w:trHeight w:val="216"/>
        </w:trPr>
        <w:tc>
          <w:tcPr>
            <w:tcW w:w="41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3480" w:type="dxa"/>
            <w:vAlign w:val="bottom"/>
          </w:tcPr>
          <w:p>
            <w:pPr>
              <w:jc w:val="center"/>
              <w:ind w:left="1312"/>
              <w:spacing w:after="0"/>
              <w:rPr>
                <w:sz w:val="20"/>
                <w:szCs w:val="20"/>
                <w:color w:val="auto"/>
              </w:rPr>
            </w:pPr>
            <w:r>
              <w:rPr>
                <w:rFonts w:ascii="Times New Roman" w:cs="Times New Roman" w:eastAsia="Times New Roman" w:hAnsi="Times New Roman"/>
                <w:sz w:val="18"/>
                <w:szCs w:val="18"/>
                <w:color w:val="auto"/>
                <w:w w:val="99"/>
              </w:rPr>
              <w:t>Public Company Director</w:t>
            </w:r>
          </w:p>
        </w:tc>
      </w:tr>
      <w:tr>
        <w:trPr>
          <w:trHeight w:val="234"/>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Dell Technologies Inc.</w:t>
            </w:r>
          </w:p>
        </w:tc>
        <w:tc>
          <w:tcPr>
            <w:tcW w:w="3480" w:type="dxa"/>
            <w:vAlign w:val="bottom"/>
          </w:tcPr>
          <w:p>
            <w:pPr>
              <w:spacing w:after="0"/>
              <w:rPr>
                <w:sz w:val="20"/>
                <w:szCs w:val="20"/>
                <w:color w:val="auto"/>
              </w:rPr>
            </w:pPr>
          </w:p>
        </w:tc>
      </w:tr>
      <w:tr>
        <w:trPr>
          <w:trHeight w:val="522"/>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David W. Dorman</w:t>
            </w:r>
          </w:p>
        </w:tc>
        <w:tc>
          <w:tcPr>
            <w:tcW w:w="348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rPr>
              <w:t>Ellen J. Kullman</w:t>
            </w:r>
          </w:p>
        </w:tc>
      </w:tr>
      <w:tr>
        <w:trPr>
          <w:trHeight w:val="216"/>
        </w:trPr>
        <w:tc>
          <w:tcPr>
            <w:tcW w:w="41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Founding Partner</w:t>
            </w:r>
          </w:p>
        </w:tc>
        <w:tc>
          <w:tcPr>
            <w:tcW w:w="3480" w:type="dxa"/>
            <w:vAlign w:val="bottom"/>
          </w:tcPr>
          <w:p>
            <w:pPr>
              <w:jc w:val="center"/>
              <w:ind w:left="1312"/>
              <w:spacing w:after="0"/>
              <w:rPr>
                <w:sz w:val="20"/>
                <w:szCs w:val="20"/>
                <w:color w:val="auto"/>
              </w:rPr>
            </w:pPr>
            <w:r>
              <w:rPr>
                <w:rFonts w:ascii="Times New Roman" w:cs="Times New Roman" w:eastAsia="Times New Roman" w:hAnsi="Times New Roman"/>
                <w:sz w:val="18"/>
                <w:szCs w:val="18"/>
                <w:color w:val="auto"/>
                <w:w w:val="99"/>
              </w:rPr>
              <w:t>Public Company Director</w:t>
            </w:r>
          </w:p>
        </w:tc>
      </w:tr>
      <w:tr>
        <w:trPr>
          <w:trHeight w:val="216"/>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Centerview Capital Technology</w:t>
            </w:r>
          </w:p>
        </w:tc>
        <w:tc>
          <w:tcPr>
            <w:tcW w:w="3480" w:type="dxa"/>
            <w:vAlign w:val="bottom"/>
          </w:tcPr>
          <w:p>
            <w:pPr>
              <w:spacing w:after="0"/>
              <w:rPr>
                <w:sz w:val="18"/>
                <w:szCs w:val="18"/>
                <w:color w:val="auto"/>
              </w:rPr>
            </w:pPr>
          </w:p>
        </w:tc>
      </w:tr>
      <w:tr>
        <w:trPr>
          <w:trHeight w:val="234"/>
        </w:trPr>
        <w:tc>
          <w:tcPr>
            <w:tcW w:w="41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(investments)</w:t>
            </w:r>
          </w:p>
        </w:tc>
        <w:tc>
          <w:tcPr>
            <w:tcW w:w="3480" w:type="dxa"/>
            <w:vAlign w:val="bottom"/>
          </w:tcPr>
          <w:p>
            <w:pPr>
              <w:spacing w:after="0"/>
              <w:rPr>
                <w:sz w:val="20"/>
                <w:szCs w:val="20"/>
                <w:color w:val="auto"/>
              </w:rPr>
            </w:pPr>
          </w:p>
        </w:tc>
      </w:tr>
      <w:tr>
        <w:trPr>
          <w:trHeight w:val="522"/>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Egon Durban</w:t>
            </w:r>
          </w:p>
        </w:tc>
        <w:tc>
          <w:tcPr>
            <w:tcW w:w="348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w w:val="99"/>
              </w:rPr>
              <w:t>Steve M. Mollenkopf</w:t>
            </w:r>
          </w:p>
        </w:tc>
      </w:tr>
      <w:tr>
        <w:trPr>
          <w:trHeight w:val="216"/>
        </w:trPr>
        <w:tc>
          <w:tcPr>
            <w:tcW w:w="41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8"/>
              </w:rPr>
              <w:t>Co-CEO</w:t>
            </w:r>
          </w:p>
        </w:tc>
        <w:tc>
          <w:tcPr>
            <w:tcW w:w="3480" w:type="dxa"/>
            <w:vAlign w:val="bottom"/>
          </w:tcPr>
          <w:p>
            <w:pPr>
              <w:jc w:val="center"/>
              <w:ind w:left="1312"/>
              <w:spacing w:after="0"/>
              <w:rPr>
                <w:sz w:val="20"/>
                <w:szCs w:val="20"/>
                <w:color w:val="auto"/>
              </w:rPr>
            </w:pPr>
            <w:r>
              <w:rPr>
                <w:rFonts w:ascii="Times New Roman" w:cs="Times New Roman" w:eastAsia="Times New Roman" w:hAnsi="Times New Roman"/>
                <w:sz w:val="18"/>
                <w:szCs w:val="18"/>
                <w:color w:val="auto"/>
                <w:w w:val="99"/>
              </w:rPr>
              <w:t>Public Company Director</w:t>
            </w:r>
          </w:p>
        </w:tc>
      </w:tr>
      <w:tr>
        <w:trPr>
          <w:trHeight w:val="216"/>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Silver Lake</w:t>
            </w:r>
          </w:p>
        </w:tc>
        <w:tc>
          <w:tcPr>
            <w:tcW w:w="3480" w:type="dxa"/>
            <w:vAlign w:val="bottom"/>
          </w:tcPr>
          <w:p>
            <w:pPr>
              <w:spacing w:after="0"/>
              <w:rPr>
                <w:sz w:val="18"/>
                <w:szCs w:val="18"/>
                <w:color w:val="auto"/>
              </w:rPr>
            </w:pPr>
          </w:p>
        </w:tc>
      </w:tr>
      <w:tr>
        <w:trPr>
          <w:trHeight w:val="234"/>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(private equity)</w:t>
            </w:r>
          </w:p>
        </w:tc>
        <w:tc>
          <w:tcPr>
            <w:tcW w:w="3480" w:type="dxa"/>
            <w:vAlign w:val="bottom"/>
          </w:tcPr>
          <w:p>
            <w:pPr>
              <w:spacing w:after="0"/>
              <w:rPr>
                <w:sz w:val="20"/>
                <w:szCs w:val="20"/>
                <w:color w:val="auto"/>
              </w:rPr>
            </w:pPr>
          </w:p>
        </w:tc>
      </w:tr>
      <w:tr>
        <w:trPr>
          <w:trHeight w:val="486"/>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8"/>
              </w:rPr>
              <w:t>William D. Green</w:t>
            </w:r>
          </w:p>
        </w:tc>
        <w:tc>
          <w:tcPr>
            <w:tcW w:w="348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rPr>
              <w:t>David Grain</w:t>
            </w:r>
          </w:p>
        </w:tc>
      </w:tr>
      <w:tr>
        <w:trPr>
          <w:trHeight w:val="216"/>
        </w:trPr>
        <w:tc>
          <w:tcPr>
            <w:tcW w:w="418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Public Company Director</w:t>
            </w:r>
          </w:p>
        </w:tc>
        <w:tc>
          <w:tcPr>
            <w:tcW w:w="3480" w:type="dxa"/>
            <w:vAlign w:val="bottom"/>
          </w:tcPr>
          <w:p>
            <w:pPr>
              <w:jc w:val="center"/>
              <w:ind w:left="1312"/>
              <w:spacing w:after="0"/>
              <w:rPr>
                <w:sz w:val="20"/>
                <w:szCs w:val="20"/>
                <w:color w:val="auto"/>
              </w:rPr>
            </w:pPr>
            <w:r>
              <w:rPr>
                <w:rFonts w:ascii="Times New Roman" w:cs="Times New Roman" w:eastAsia="Times New Roman" w:hAnsi="Times New Roman"/>
                <w:sz w:val="18"/>
                <w:szCs w:val="18"/>
                <w:color w:val="auto"/>
              </w:rPr>
              <w:t>Founder and CEO</w:t>
            </w:r>
          </w:p>
        </w:tc>
      </w:tr>
      <w:tr>
        <w:trPr>
          <w:trHeight w:val="130"/>
        </w:trPr>
        <w:tc>
          <w:tcPr>
            <w:tcW w:w="4180" w:type="dxa"/>
            <w:vAlign w:val="bottom"/>
          </w:tcPr>
          <w:p>
            <w:pPr>
              <w:spacing w:after="0"/>
              <w:rPr>
                <w:sz w:val="11"/>
                <w:szCs w:val="11"/>
                <w:color w:val="auto"/>
              </w:rPr>
            </w:pPr>
          </w:p>
        </w:tc>
        <w:tc>
          <w:tcPr>
            <w:tcW w:w="3480" w:type="dxa"/>
            <w:vAlign w:val="bottom"/>
          </w:tcPr>
          <w:p>
            <w:pPr>
              <w:jc w:val="center"/>
              <w:ind w:left="1312"/>
              <w:spacing w:after="0" w:line="131" w:lineRule="exact"/>
              <w:rPr>
                <w:sz w:val="20"/>
                <w:szCs w:val="20"/>
                <w:color w:val="auto"/>
              </w:rPr>
            </w:pPr>
            <w:r>
              <w:rPr>
                <w:rFonts w:ascii="Times New Roman" w:cs="Times New Roman" w:eastAsia="Times New Roman" w:hAnsi="Times New Roman"/>
                <w:sz w:val="15"/>
                <w:szCs w:val="15"/>
                <w:color w:val="auto"/>
              </w:rPr>
              <w:t>Grain Management</w:t>
            </w:r>
          </w:p>
        </w:tc>
      </w:tr>
      <w:tr>
        <w:trPr>
          <w:trHeight w:val="234"/>
        </w:trPr>
        <w:tc>
          <w:tcPr>
            <w:tcW w:w="4180" w:type="dxa"/>
            <w:vAlign w:val="bottom"/>
          </w:tcPr>
          <w:p>
            <w:pPr>
              <w:spacing w:after="0"/>
              <w:rPr>
                <w:sz w:val="20"/>
                <w:szCs w:val="20"/>
                <w:color w:val="auto"/>
              </w:rPr>
            </w:pPr>
          </w:p>
        </w:tc>
        <w:tc>
          <w:tcPr>
            <w:tcW w:w="3480" w:type="dxa"/>
            <w:vAlign w:val="bottom"/>
          </w:tcPr>
          <w:p>
            <w:pPr>
              <w:jc w:val="center"/>
              <w:ind w:left="1312"/>
              <w:spacing w:after="0"/>
              <w:rPr>
                <w:sz w:val="20"/>
                <w:szCs w:val="20"/>
                <w:color w:val="auto"/>
              </w:rPr>
            </w:pPr>
            <w:r>
              <w:rPr>
                <w:rFonts w:ascii="Times New Roman" w:cs="Times New Roman" w:eastAsia="Times New Roman" w:hAnsi="Times New Roman"/>
                <w:sz w:val="18"/>
                <w:szCs w:val="18"/>
                <w:color w:val="auto"/>
              </w:rPr>
              <w:t>(private equity)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11 is incorporated herein by reference to the 2024 proxy statement, including the information in the 2024 proxy statement appearing under the captions “Proposal 1 — Election of Directors — Director Compensation” and “Compensation of Executive Officers.”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12 is incorporated herein by reference to the 2024 proxy statement, including the information in the 2024 proxy statement appearing under the captions “Equity Compensation Plan Information” and “Security Ownership of Certain Beneficial Owners and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13 is incorporated herein by reference to the 2024 proxy statement, including the information in the 2024 proxy statement appearing under the captions “Proposal 1 — Elections of Directors” and “Transactions with Related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14 is incorporated herein by reference to the 2024 proxy statement, including the information in the 2024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5" w:name="page156"/>
    <w:bookmarkEnd w:id="15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 EXHIBIT AND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37" w:lineRule="exact"/>
        <w:rPr>
          <w:sz w:val="20"/>
          <w:szCs w:val="20"/>
          <w:color w:val="auto"/>
        </w:rPr>
      </w:pPr>
    </w:p>
    <w:p>
      <w:pPr>
        <w:ind w:left="660" w:right="320" w:hanging="328"/>
        <w:spacing w:after="0" w:line="268" w:lineRule="auto"/>
        <w:tabs>
          <w:tab w:leader="none" w:pos="7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are filed as part of this report under “Part II — Item 8 —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Supplementary Data”: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ind w:left="660"/>
        <w:spacing w:after="0" w:line="234" w:lineRule="auto"/>
        <w:rPr>
          <w:sz w:val="20"/>
          <w:szCs w:val="20"/>
          <w:color w:val="auto"/>
        </w:rPr>
      </w:pPr>
      <w:r>
        <w:rPr>
          <w:rFonts w:ascii="Times New Roman" w:cs="Times New Roman" w:eastAsia="Times New Roman" w:hAnsi="Times New Roman"/>
          <w:sz w:val="18"/>
          <w:szCs w:val="18"/>
          <w:color w:val="auto"/>
        </w:rPr>
        <w:t>Consolidated Statements of Financial Position at February 2, 2024 and February 3, 2023</w:t>
      </w:r>
    </w:p>
    <w:p>
      <w:pPr>
        <w:ind w:left="660"/>
        <w:spacing w:after="0" w:line="235" w:lineRule="auto"/>
        <w:rPr>
          <w:sz w:val="20"/>
          <w:szCs w:val="20"/>
          <w:color w:val="auto"/>
        </w:rPr>
      </w:pPr>
      <w:r>
        <w:rPr>
          <w:rFonts w:ascii="Times New Roman" w:cs="Times New Roman" w:eastAsia="Times New Roman" w:hAnsi="Times New Roman"/>
          <w:sz w:val="18"/>
          <w:szCs w:val="18"/>
          <w:color w:val="auto"/>
        </w:rPr>
        <w:t>Consolidated Statements of Income for the fiscal years ended February 2, 2024, February 3, 2023, and January 28, 2022</w:t>
      </w:r>
    </w:p>
    <w:p>
      <w:pPr>
        <w:spacing w:after="0" w:line="1" w:lineRule="exact"/>
        <w:rPr>
          <w:sz w:val="20"/>
          <w:szCs w:val="20"/>
          <w:color w:val="auto"/>
        </w:rPr>
      </w:pPr>
    </w:p>
    <w:p>
      <w:pPr>
        <w:ind w:left="660" w:right="720"/>
        <w:spacing w:after="0" w:line="226" w:lineRule="auto"/>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February 2, 2024, February 3, 2023, and January 28, 2022 Consolidated Statements of Cash Flows for the fiscal years ended February 2, 2024, February 3, 2023, and January 28, 2022</w:t>
      </w:r>
    </w:p>
    <w:p>
      <w:pPr>
        <w:spacing w:after="0" w:line="2" w:lineRule="exact"/>
        <w:rPr>
          <w:sz w:val="20"/>
          <w:szCs w:val="20"/>
          <w:color w:val="auto"/>
        </w:rPr>
      </w:pPr>
    </w:p>
    <w:p>
      <w:pPr>
        <w:ind w:left="660" w:right="240"/>
        <w:spacing w:after="0" w:line="243" w:lineRule="auto"/>
        <w:rPr>
          <w:sz w:val="20"/>
          <w:szCs w:val="20"/>
          <w:color w:val="auto"/>
        </w:rPr>
      </w:pPr>
      <w:r>
        <w:rPr>
          <w:rFonts w:ascii="Times New Roman" w:cs="Times New Roman" w:eastAsia="Times New Roman" w:hAnsi="Times New Roman"/>
          <w:sz w:val="18"/>
          <w:szCs w:val="18"/>
          <w:color w:val="auto"/>
        </w:rPr>
        <w:t>Consolidated Statements of Stockholders’ Equity (Deficit) for the fiscal years ended February 2, 2024, February 3, 2023, and January 28, 2022 Notes to Consolidated Financial Statements</w:t>
      </w:r>
    </w:p>
    <w:p>
      <w:pPr>
        <w:spacing w:after="0" w:line="207" w:lineRule="exact"/>
        <w:rPr>
          <w:sz w:val="20"/>
          <w:szCs w:val="20"/>
          <w:color w:val="auto"/>
        </w:rPr>
      </w:pPr>
    </w:p>
    <w:p>
      <w:pPr>
        <w:ind w:left="720" w:hanging="388"/>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41"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All schedules have been omitted because they are not applicable or the required information is otherwise included in the Consolidated Financial Statements or Notes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20" w:type="dxa"/>
            <w:vAlign w:val="bottom"/>
          </w:tcPr>
          <w:p>
            <w:pPr>
              <w:jc w:val="center"/>
              <w:ind w:right="2130"/>
              <w:spacing w:after="0" w:line="202" w:lineRule="exact"/>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243"/>
        </w:trPr>
        <w:tc>
          <w:tcPr>
            <w:tcW w:w="3320" w:type="dxa"/>
            <w:vAlign w:val="bottom"/>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20" w:right="320" w:hanging="354"/>
        <w:spacing w:after="0" w:line="236" w:lineRule="auto"/>
        <w:rPr>
          <w:rFonts w:ascii="Times New Roman" w:cs="Times New Roman" w:eastAsia="Times New Roman" w:hAnsi="Times New Roman"/>
          <w:sz w:val="17"/>
          <w:szCs w:val="17"/>
          <w:u w:val="single" w:color="auto"/>
          <w:color w:val="0000FF"/>
        </w:rPr>
      </w:pPr>
      <w:hyperlink r:id="rId222">
        <w:r>
          <w:rPr>
            <w:rFonts w:ascii="Times New Roman" w:cs="Times New Roman" w:eastAsia="Times New Roman" w:hAnsi="Times New Roman"/>
            <w:sz w:val="17"/>
            <w:szCs w:val="17"/>
            <w:u w:val="single" w:color="auto"/>
            <w:color w:val="0000FF"/>
          </w:rPr>
          <w:t>2.1 Separation and Distribution Agreement, dated as of April 14, 2021, by and between Dell Technologies Inc. and VMware, Inc.</w:t>
        </w:r>
      </w:hyperlink>
      <w:r>
        <w:rPr>
          <w:rFonts w:ascii="Times New Roman" w:cs="Times New Roman" w:eastAsia="Times New Roman" w:hAnsi="Times New Roman"/>
          <w:sz w:val="17"/>
          <w:szCs w:val="17"/>
          <w:u w:val="single" w:color="auto"/>
          <w:color w:val="0000FF"/>
        </w:rPr>
        <w:t xml:space="preserve"> </w:t>
      </w:r>
      <w:hyperlink r:id="rId222">
        <w:r>
          <w:rPr>
            <w:rFonts w:ascii="Times New Roman" w:cs="Times New Roman" w:eastAsia="Times New Roman" w:hAnsi="Times New Roman"/>
            <w:sz w:val="17"/>
            <w:szCs w:val="17"/>
            <w:u w:val="single" w:color="auto"/>
            <w:color w:val="0000FF"/>
          </w:rPr>
          <w:t>(incorporated by reference to Exhibit 2.1 to the Current Report on Form 8-K of Dell Technologies Inc. (the “Company”) filed with the</w:t>
        </w:r>
      </w:hyperlink>
    </w:p>
    <w:p>
      <w:pPr>
        <w:ind w:left="122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Securities and Exchange Commission (the “Commission”) on April 14, 2021) (Commission File No. 001-37867).</w:t>
        </w:r>
      </w:hyperlink>
    </w:p>
    <w:p>
      <w:pPr>
        <w:spacing w:after="0" w:line="7" w:lineRule="exact"/>
        <w:rPr>
          <w:sz w:val="20"/>
          <w:szCs w:val="20"/>
          <w:color w:val="auto"/>
        </w:rPr>
      </w:pPr>
    </w:p>
    <w:p>
      <w:pPr>
        <w:jc w:val="right"/>
        <w:ind w:left="860" w:right="220"/>
        <w:spacing w:after="0" w:line="220"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2.2  Letter Agreement, dated as of October 7, 2021, by and between Dell Technologies Inc. and VMware, Inc. (incorporated by reference to</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Exhibit 99.1 to the Current Report on Form 8-K of the Company filed with the Commission on October 7, 2021) (Commission File No.</w:t>
        </w:r>
      </w:hyperlink>
    </w:p>
    <w:p>
      <w:pPr>
        <w:ind w:left="1220"/>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001-37867).</w:t>
        </w:r>
      </w:hyperlink>
    </w:p>
    <w:p>
      <w:pPr>
        <w:spacing w:after="0" w:line="7" w:lineRule="exact"/>
        <w:rPr>
          <w:sz w:val="20"/>
          <w:szCs w:val="20"/>
          <w:color w:val="auto"/>
        </w:rPr>
      </w:pPr>
    </w:p>
    <w:p>
      <w:pPr>
        <w:jc w:val="right"/>
        <w:ind w:left="860" w:right="40"/>
        <w:spacing w:after="0" w:line="220"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2.3  Letter Agreement, dated as of November 1, 2021, by and between Dell Technologies Inc. and VMware, Inc. (incorporated by reference to</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Exhibit 99.2 to the Current Report on Form 8-K of the Company filed with the Commission on November 1, 2021) (Commission File No.</w:t>
        </w:r>
      </w:hyperlink>
    </w:p>
    <w:p>
      <w:pPr>
        <w:ind w:left="1220"/>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001-37867).</w:t>
        </w:r>
      </w:hyperlink>
    </w:p>
    <w:p>
      <w:pPr>
        <w:spacing w:after="0" w:line="7" w:lineRule="exact"/>
        <w:rPr>
          <w:sz w:val="20"/>
          <w:szCs w:val="20"/>
          <w:color w:val="auto"/>
        </w:rPr>
      </w:pPr>
    </w:p>
    <w:p>
      <w:pPr>
        <w:ind w:left="1220" w:right="560" w:hanging="354"/>
        <w:spacing w:after="0" w:line="234"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3.1 Sixth Amended and Restated Certificate of Incorporation of Dell Technologies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Company’s Current Report on Form 8-K filed with the Commission on June 29, 2022) (Commission File No. 001-37867).</w:t>
        </w:r>
      </w:hyperlink>
    </w:p>
    <w:p>
      <w:pPr>
        <w:spacing w:after="0" w:line="10" w:lineRule="exact"/>
        <w:rPr>
          <w:sz w:val="20"/>
          <w:szCs w:val="20"/>
          <w:color w:val="auto"/>
        </w:rPr>
      </w:pPr>
    </w:p>
    <w:p>
      <w:pPr>
        <w:ind w:left="1220" w:hanging="354"/>
        <w:spacing w:after="0" w:line="237"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3.2 Third Amended and Restated Bylaws of Dell Technologies Inc. (incorporated by reference to Exhibit 3.2 to the Company’s Current Report</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on Form 8-K filed with the Commission on June 29, 2022) (Commission File No. 001-37867).</w:t>
        </w:r>
      </w:hyperlink>
    </w:p>
    <w:p>
      <w:pPr>
        <w:spacing w:after="0" w:line="10" w:lineRule="exact"/>
        <w:rPr>
          <w:sz w:val="20"/>
          <w:szCs w:val="20"/>
          <w:color w:val="auto"/>
        </w:rPr>
      </w:pPr>
    </w:p>
    <w:p>
      <w:pPr>
        <w:ind w:left="1220" w:right="360" w:hanging="354"/>
        <w:spacing w:after="0" w:line="222"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4.1 Indenture, dated as of April 27, 1998, between Dell Computer Corporation and Chase Bank of Texas, National Association, as trustee</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(incorporated by reference to Exhibit 99.2 to Dell Inc.’s Current Report on Form 8-K filed with the Commission on April 28, 1998)</w:t>
        </w:r>
      </w:hyperlink>
    </w:p>
    <w:p>
      <w:pPr>
        <w:spacing w:after="0" w:line="2"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(Commission File No. 000-17017).</w:t>
        </w:r>
      </w:hyperlink>
    </w:p>
    <w:p>
      <w:pPr>
        <w:spacing w:after="0" w:line="7" w:lineRule="exact"/>
        <w:rPr>
          <w:sz w:val="20"/>
          <w:szCs w:val="20"/>
          <w:color w:val="auto"/>
        </w:rPr>
      </w:pPr>
    </w:p>
    <w:p>
      <w:pPr>
        <w:jc w:val="right"/>
        <w:ind w:left="860" w:right="100"/>
        <w:spacing w:after="0" w:line="220"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4.2  Indenture, dated as of April 17, 2008, between Dell Inc. and The Bank of New York Mellon Trust Company, N.A. (formerly The Bank of</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New York Trust Company, N.A.), as trustee (including the form of notes) (incorporated by reference to Exhibit 4.1 to Dell Inc.’s Current</w:t>
        </w:r>
      </w:hyperlink>
    </w:p>
    <w:p>
      <w:pPr>
        <w:ind w:left="122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Report on Form 8-K filed with the Commission on April 17, 2008) (Commission File No. 000-17017).</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6" w:name="page157"/>
    <w:bookmarkEnd w:id="156"/>
    <w:p>
      <w:pPr>
        <w:jc w:val="right"/>
        <w:ind w:right="80"/>
        <w:spacing w:after="0" w:line="222"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4.3  Indenture, dated as of April 6, 2009, between Dell Inc. and The Bank of New York Mellon Trust Company, N.A., as trustee (incorporated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by reference to Exhibit 4.1 to Dell Inc.’s Current Report on Form 8-K filed with the Commission on April 6, 2009) (Commission File No.</w:t>
        </w:r>
      </w:hyperlink>
    </w:p>
    <w:p>
      <w:pPr>
        <w:spacing w:after="0" w:line="2"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000-17017).</w:t>
        </w:r>
      </w:hyperlink>
    </w:p>
    <w:p>
      <w:pPr>
        <w:spacing w:after="0" w:line="7" w:lineRule="exact"/>
        <w:rPr>
          <w:sz w:val="20"/>
          <w:szCs w:val="20"/>
          <w:color w:val="auto"/>
        </w:rPr>
      </w:pPr>
    </w:p>
    <w:p>
      <w:pPr>
        <w:ind w:left="360" w:right="80" w:hanging="354"/>
        <w:spacing w:after="0" w:line="220"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4.4 Third Supplemental Indenture, dated September 10, 2010, between Dell Inc. and The Bank of New York Mellon Trust Company, N.A., as</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trustee (incorporated by reference to Exhibit 4.1 to Dell Inc.’s Current Report on Form 8-K filed with the Commission on September 10,</w:t>
        </w:r>
      </w:hyperlink>
    </w:p>
    <w:p>
      <w:pPr>
        <w:ind w:left="360"/>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2010) (Commission File No. 000-17017).</w:t>
        </w:r>
      </w:hyperlink>
    </w:p>
    <w:p>
      <w:pPr>
        <w:spacing w:after="0" w:line="7" w:lineRule="exact"/>
        <w:rPr>
          <w:sz w:val="20"/>
          <w:szCs w:val="20"/>
          <w:color w:val="auto"/>
        </w:rPr>
      </w:pPr>
    </w:p>
    <w:p>
      <w:pPr>
        <w:ind w:left="360" w:hanging="354"/>
        <w:spacing w:after="0" w:line="220"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4.5 Base Indenture, dated as of June 1, 2016, among Diamond 1 Finance Corporation and Diamond 2 Finance Corporation, as issuers, and The</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Bank of New York Mellon Trust Company, N.A., as trustee and collateral agent (incorporated by reference to Exhibit 4.14 to Amendment</w:t>
        </w:r>
      </w:hyperlink>
    </w:p>
    <w:p>
      <w:pPr>
        <w:ind w:left="360"/>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No. 6 to the Company’s 2016 Form S-4 filed with the Commission on June 3, 2016) (Registration No. 333-208524).</w:t>
        </w:r>
      </w:hyperlink>
    </w:p>
    <w:p>
      <w:pPr>
        <w:spacing w:after="0" w:line="7" w:lineRule="exact"/>
        <w:rPr>
          <w:sz w:val="20"/>
          <w:szCs w:val="20"/>
          <w:color w:val="auto"/>
        </w:rPr>
      </w:pPr>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4.6 2026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4.21 to</w:t>
        </w:r>
      </w:hyperlink>
    </w:p>
    <w:p>
      <w:pPr>
        <w:ind w:left="360"/>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4.7 2036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4.23 to</w:t>
        </w:r>
      </w:hyperlink>
    </w:p>
    <w:p>
      <w:pPr>
        <w:ind w:left="360"/>
        <w:spacing w:after="0"/>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140" w:hanging="354"/>
        <w:spacing w:after="0" w:line="220"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4.8 2046 Notes Supplemental Indenture No. 1, dated June 1, 2016, among Diamond 1 Finance Corporation, Diamond 2 Finance Corporation</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and The Bank of New York Mellon Trust Company, N.A., as trustee and collateral agent (incorporated by reference to Exhibit 4.25 to</w:t>
        </w:r>
      </w:hyperlink>
    </w:p>
    <w:p>
      <w:pPr>
        <w:ind w:left="360"/>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Amendment No. 6 to the Company’s 2016 Form S-4 filed with the Commission on June 3, 2016) (Registration No. 333-208524).</w:t>
        </w:r>
      </w:hyperlink>
    </w:p>
    <w:p>
      <w:pPr>
        <w:spacing w:after="0" w:line="7" w:lineRule="exact"/>
        <w:rPr>
          <w:sz w:val="20"/>
          <w:szCs w:val="20"/>
          <w:color w:val="auto"/>
        </w:rPr>
      </w:pPr>
    </w:p>
    <w:p>
      <w:pPr>
        <w:ind w:left="360" w:right="20" w:hanging="354"/>
        <w:spacing w:after="0" w:line="233" w:lineRule="auto"/>
        <w:rPr>
          <w:rFonts w:ascii="Times New Roman" w:cs="Times New Roman" w:eastAsia="Times New Roman" w:hAnsi="Times New Roman"/>
          <w:sz w:val="17"/>
          <w:szCs w:val="17"/>
          <w:u w:val="single" w:color="auto"/>
          <w:color w:val="0000FF"/>
        </w:rPr>
      </w:pPr>
      <w:hyperlink r:id="rId236">
        <w:r>
          <w:rPr>
            <w:rFonts w:ascii="Times New Roman" w:cs="Times New Roman" w:eastAsia="Times New Roman" w:hAnsi="Times New Roman"/>
            <w:sz w:val="17"/>
            <w:szCs w:val="17"/>
            <w:u w:val="single" w:color="auto"/>
            <w:color w:val="0000FF"/>
          </w:rPr>
          <w:t>4.9 First Supplemental Indenture, dated as of September 6, 2016, by and among Diamond 1 Finance Corporation, Diamond 2 Finance</w:t>
        </w:r>
      </w:hyperlink>
      <w:r>
        <w:rPr>
          <w:rFonts w:ascii="Times New Roman" w:cs="Times New Roman" w:eastAsia="Times New Roman" w:hAnsi="Times New Roman"/>
          <w:sz w:val="17"/>
          <w:szCs w:val="17"/>
          <w:u w:val="single" w:color="auto"/>
          <w:color w:val="0000FF"/>
        </w:rPr>
        <w:t xml:space="preserve"> </w:t>
      </w:r>
      <w:hyperlink r:id="rId236">
        <w:r>
          <w:rPr>
            <w:rFonts w:ascii="Times New Roman" w:cs="Times New Roman" w:eastAsia="Times New Roman" w:hAnsi="Times New Roman"/>
            <w:sz w:val="17"/>
            <w:szCs w:val="17"/>
            <w:u w:val="single" w:color="auto"/>
            <w:color w:val="0000FF"/>
          </w:rPr>
          <w:t>Corporation and The Bank of New York Mellon Trust Company, N.A., as trustee and collateral agent (incorporated by reference to Exhibit</w:t>
        </w:r>
      </w:hyperlink>
    </w:p>
    <w:p>
      <w:pPr>
        <w:ind w:left="360"/>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4.1 to the Company’s Current Report on Form 8-K filed with the Commission on September 9, 2016) (Commission File No. 001-37867).</w:t>
        </w:r>
      </w:hyperlink>
    </w:p>
    <w:p>
      <w:pPr>
        <w:spacing w:after="0" w:line="7" w:lineRule="exact"/>
        <w:rPr>
          <w:sz w:val="20"/>
          <w:szCs w:val="20"/>
          <w:color w:val="auto"/>
        </w:rPr>
      </w:pPr>
    </w:p>
    <w:p>
      <w:pPr>
        <w:ind w:left="360" w:right="180" w:hanging="444"/>
        <w:spacing w:after="0" w:line="233" w:lineRule="auto"/>
        <w:rPr>
          <w:rFonts w:ascii="Times New Roman" w:cs="Times New Roman" w:eastAsia="Times New Roman" w:hAnsi="Times New Roman"/>
          <w:sz w:val="17"/>
          <w:szCs w:val="17"/>
          <w:u w:val="single" w:color="auto"/>
          <w:color w:val="0000FF"/>
        </w:rPr>
      </w:pPr>
      <w:hyperlink r:id="rId237">
        <w:r>
          <w:rPr>
            <w:rFonts w:ascii="Times New Roman" w:cs="Times New Roman" w:eastAsia="Times New Roman" w:hAnsi="Times New Roman"/>
            <w:sz w:val="17"/>
            <w:szCs w:val="17"/>
            <w:u w:val="single" w:color="auto"/>
            <w:color w:val="0000FF"/>
          </w:rPr>
          <w:t>4.10 2019 Notes Supplemental Indenture No. 2, 2021 Notes Supplemental Indenture No. 2, 2023 Notes Supplemental Indenture No. 2, 2026</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Notes Supplemental Indenture No. 2, 2036 Notes Supplemental Indenture No. 2 and 2046 Notes Supplemental Indenture No. 2, dated as</w:t>
        </w:r>
      </w:hyperlink>
    </w:p>
    <w:p>
      <w:pPr>
        <w:jc w:val="both"/>
        <w:ind w:left="360" w:right="340"/>
        <w:spacing w:after="0" w:line="218"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of September 7, 2016, by and among Dell International L.L.C., EMC Corporation, New Dell International LLC and The Bank of New</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York Mellon Trust Company, N.A., as trustee and collateral agent (incorporated by reference to Exhibit 4.2 to the Company’s Current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Report on Form 8-K filed with the Commission on September 9, 2016)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360" w:right="180" w:hanging="438"/>
        <w:spacing w:after="0" w:line="236" w:lineRule="auto"/>
        <w:rPr>
          <w:rFonts w:ascii="Times New Roman" w:cs="Times New Roman" w:eastAsia="Times New Roman" w:hAnsi="Times New Roman"/>
          <w:sz w:val="17"/>
          <w:szCs w:val="17"/>
          <w:u w:val="single" w:color="auto"/>
          <w:color w:val="0000FF"/>
        </w:rPr>
      </w:pPr>
      <w:hyperlink r:id="rId238">
        <w:r>
          <w:rPr>
            <w:rFonts w:ascii="Times New Roman" w:cs="Times New Roman" w:eastAsia="Times New Roman" w:hAnsi="Times New Roman"/>
            <w:sz w:val="17"/>
            <w:szCs w:val="17"/>
            <w:u w:val="single" w:color="auto"/>
            <w:color w:val="0000FF"/>
          </w:rPr>
          <w:t>4.11 2019 Notes Supplemental Indenture No. 3, 2021 Notes Supplemental Indenture No. 3, 2023 Notes Supplemental Indenture No. 3, 2026</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Notes Supplemental Indenture No. 3, 2036 Notes Supplemental Indenture No. 3 and 2046 Notes Supplemental Indenture No. 3, dated as</w:t>
        </w:r>
      </w:hyperlink>
    </w:p>
    <w:p>
      <w:pPr>
        <w:ind w:left="360" w:right="160"/>
        <w:spacing w:after="0" w:line="208"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of September 7, 2016, by and among Dell International L.L.C., EMC Corporation, Dell Technologies Inc., Denali Intermediate Inc., Dell</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Inc., the other guarantors named therein and The Bank of New York Mellon Trust Company, N.A., as trustee and collateral agent</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(incorporated by reference to Exhibit 4.3 to the Company’s Current Report on Form 8-K filed with the Commission on September 9,</w:t>
        </w:r>
      </w:hyperlink>
    </w:p>
    <w:p>
      <w:pPr>
        <w:spacing w:after="0" w:line="2" w:lineRule="exact"/>
        <w:rPr>
          <w:rFonts w:ascii="Times New Roman" w:cs="Times New Roman" w:eastAsia="Times New Roman" w:hAnsi="Times New Roman"/>
          <w:sz w:val="18"/>
          <w:szCs w:val="18"/>
          <w:u w:val="single" w:color="auto"/>
          <w:color w:val="0000FF"/>
        </w:rPr>
      </w:pPr>
    </w:p>
    <w:p>
      <w:pPr>
        <w:ind w:left="360"/>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2016) (Commission File No. 001-37867).</w:t>
        </w:r>
      </w:hyperlink>
    </w:p>
    <w:p>
      <w:pPr>
        <w:spacing w:after="0" w:line="7" w:lineRule="exact"/>
        <w:rPr>
          <w:rFonts w:ascii="Times New Roman" w:cs="Times New Roman" w:eastAsia="Times New Roman" w:hAnsi="Times New Roman"/>
          <w:sz w:val="18"/>
          <w:szCs w:val="18"/>
          <w:u w:val="single" w:color="auto"/>
          <w:color w:val="0000FF"/>
        </w:rPr>
      </w:pPr>
    </w:p>
    <w:p>
      <w:pPr>
        <w:ind w:left="360" w:right="180" w:hanging="444"/>
        <w:spacing w:after="0" w:line="233" w:lineRule="auto"/>
        <w:rPr>
          <w:rFonts w:ascii="Times New Roman" w:cs="Times New Roman" w:eastAsia="Times New Roman" w:hAnsi="Times New Roman"/>
          <w:sz w:val="17"/>
          <w:szCs w:val="17"/>
          <w:u w:val="single" w:color="auto"/>
          <w:color w:val="0000FF"/>
        </w:rPr>
      </w:pPr>
      <w:hyperlink r:id="rId239">
        <w:r>
          <w:rPr>
            <w:rFonts w:ascii="Times New Roman" w:cs="Times New Roman" w:eastAsia="Times New Roman" w:hAnsi="Times New Roman"/>
            <w:sz w:val="17"/>
            <w:szCs w:val="17"/>
            <w:u w:val="single" w:color="auto"/>
            <w:color w:val="0000FF"/>
          </w:rPr>
          <w:t>4.12 2019 Notes Supplemental Indenture No. 4, 2021 Notes Supplemental Indenture No. 4, 2023 Notes Supplemental Indenture No. 4, 2026</w:t>
        </w:r>
      </w:hyperlink>
      <w:r>
        <w:rPr>
          <w:rFonts w:ascii="Times New Roman" w:cs="Times New Roman" w:eastAsia="Times New Roman" w:hAnsi="Times New Roman"/>
          <w:sz w:val="17"/>
          <w:szCs w:val="17"/>
          <w:u w:val="single" w:color="auto"/>
          <w:color w:val="0000FF"/>
        </w:rPr>
        <w:t xml:space="preserve"> </w:t>
      </w:r>
      <w:hyperlink r:id="rId239">
        <w:r>
          <w:rPr>
            <w:rFonts w:ascii="Times New Roman" w:cs="Times New Roman" w:eastAsia="Times New Roman" w:hAnsi="Times New Roman"/>
            <w:sz w:val="17"/>
            <w:szCs w:val="17"/>
            <w:u w:val="single" w:color="auto"/>
            <w:color w:val="0000FF"/>
          </w:rPr>
          <w:t>Notes Supplemental Indenture No. 4, 2036 Notes Supplemental Indenture No. 4 and 2046 Notes Supplemental Indenture No. 4, dated as</w:t>
        </w:r>
      </w:hyperlink>
    </w:p>
    <w:p>
      <w:pPr>
        <w:ind w:left="360" w:right="360"/>
        <w:spacing w:after="0" w:line="218"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of May 23, 2017, by and among Dell International L.L.C., EMC Corporation, Dell Global Holdings XIII L.L.C., QTZ L.L.C. and The</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Bank of New York Mellon Trust Company, N.A., as Trustee and Collateral Agent (incorporated by reference to Exhibit 4.32 to the</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Company’s Annual Report on Form 10-K for the fiscal year ended February 1, 2019)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360" w:right="360" w:hanging="444"/>
        <w:spacing w:after="0" w:line="236" w:lineRule="auto"/>
        <w:rPr>
          <w:rFonts w:ascii="Times New Roman" w:cs="Times New Roman" w:eastAsia="Times New Roman" w:hAnsi="Times New Roman"/>
          <w:sz w:val="17"/>
          <w:szCs w:val="17"/>
          <w:u w:val="single" w:color="auto"/>
          <w:color w:val="0000FF"/>
        </w:rPr>
      </w:pPr>
      <w:hyperlink r:id="rId240">
        <w:r>
          <w:rPr>
            <w:rFonts w:ascii="Times New Roman" w:cs="Times New Roman" w:eastAsia="Times New Roman" w:hAnsi="Times New Roman"/>
            <w:sz w:val="17"/>
            <w:szCs w:val="17"/>
            <w:u w:val="single" w:color="auto"/>
            <w:color w:val="0000FF"/>
          </w:rPr>
          <w:t>4.13 Supplemental Indenture No. 5, dated as of March 20, 2019, among Dell International L.L.C., EMC Corporation, the guarantors party</w:t>
        </w:r>
      </w:hyperlink>
      <w:r>
        <w:rPr>
          <w:rFonts w:ascii="Times New Roman" w:cs="Times New Roman" w:eastAsia="Times New Roman" w:hAnsi="Times New Roman"/>
          <w:sz w:val="17"/>
          <w:szCs w:val="17"/>
          <w:u w:val="single" w:color="auto"/>
          <w:color w:val="0000FF"/>
        </w:rPr>
        <w:t xml:space="preserve"> </w:t>
      </w:r>
      <w:hyperlink r:id="rId240">
        <w:r>
          <w:rPr>
            <w:rFonts w:ascii="Times New Roman" w:cs="Times New Roman" w:eastAsia="Times New Roman" w:hAnsi="Times New Roman"/>
            <w:sz w:val="17"/>
            <w:szCs w:val="17"/>
            <w:u w:val="single" w:color="auto"/>
            <w:color w:val="0000FF"/>
          </w:rPr>
          <w:t>thereto and The Bank of New York Mellon Trust Company, N.A., as Trustee and Notes Collateral Agent (incorporated by reference to</w:t>
        </w:r>
      </w:hyperlink>
    </w:p>
    <w:p>
      <w:pPr>
        <w:ind w:left="360" w:right="240"/>
        <w:spacing w:after="0" w:line="226"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Exhibit 4.11 to the Company’s Current Report on Form 8-K filed with the Commission on March 21, 2019) (Commission File No. 001-</w:t>
        </w:r>
      </w:hyperlink>
      <w:hyperlink r:id="rId240">
        <w:r>
          <w:rPr>
            <w:rFonts w:ascii="Times New Roman" w:cs="Times New Roman" w:eastAsia="Times New Roman" w:hAnsi="Times New Roman"/>
            <w:sz w:val="18"/>
            <w:szCs w:val="18"/>
            <w:u w:val="single" w:color="auto"/>
            <w:color w:val="0000FF"/>
          </w:rPr>
          <w:t>37867).</w:t>
        </w:r>
      </w:hyperlink>
    </w:p>
    <w:p>
      <w:pPr>
        <w:ind w:left="360" w:right="240" w:hanging="444"/>
        <w:spacing w:after="0" w:line="233" w:lineRule="auto"/>
        <w:rPr>
          <w:rFonts w:ascii="Times New Roman" w:cs="Times New Roman" w:eastAsia="Times New Roman" w:hAnsi="Times New Roman"/>
          <w:sz w:val="17"/>
          <w:szCs w:val="17"/>
          <w:u w:val="single" w:color="auto"/>
          <w:color w:val="0000FF"/>
        </w:rPr>
      </w:pPr>
      <w:hyperlink r:id="rId241">
        <w:r>
          <w:rPr>
            <w:rFonts w:ascii="Times New Roman" w:cs="Times New Roman" w:eastAsia="Times New Roman" w:hAnsi="Times New Roman"/>
            <w:sz w:val="17"/>
            <w:szCs w:val="17"/>
            <w:u w:val="single" w:color="auto"/>
            <w:color w:val="0000FF"/>
          </w:rPr>
          <w:t>4.14 Base Indenture, dated as of March 20, 2019, among Dell International L.L.C., EMC Corporation, the guarantors party thereto and The</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Bank of New York Mellon Trust Company, N.A., as Trustee and Notes Collateral Agent (incorporated by reference to Exhibit 4.1 to the</w:t>
        </w:r>
      </w:hyperlink>
    </w:p>
    <w:p>
      <w:pPr>
        <w:ind w:left="360"/>
        <w:spacing w:after="0"/>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Company’s Current Report on Form 8-K filed with the Commission on March 21, 2019) (Commission File No. 001-37867).</w:t>
        </w:r>
      </w:hyperlink>
    </w:p>
    <w:p>
      <w:pPr>
        <w:spacing w:after="0" w:line="7" w:lineRule="exact"/>
        <w:rPr>
          <w:sz w:val="20"/>
          <w:szCs w:val="20"/>
          <w:color w:val="auto"/>
        </w:rPr>
      </w:pPr>
    </w:p>
    <w:p>
      <w:pPr>
        <w:ind w:left="360" w:right="40" w:hanging="444"/>
        <w:spacing w:after="0" w:line="220"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4.15 2024 Notes Supplemental Indenture No. 1, dated as of March 20, 2019, among Dell International L.L.C., EMC Corporation, the</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guarantors party thereto and The Bank of New York Mellon Trust Company, N.A., as Trustee and Notes Collateral Agent (incorporated by</w:t>
        </w:r>
      </w:hyperlink>
    </w:p>
    <w:p>
      <w:pPr>
        <w:ind w:left="360" w:right="100"/>
        <w:spacing w:after="0" w:line="226"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reference to Exhibit 4.2 to the Company’s Current Report on Form 8-K filed with the Commission on March 21, 2019) (Commission File</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No. 001-37867).</w:t>
        </w:r>
      </w:hyperlink>
    </w:p>
    <w:p>
      <w:pPr>
        <w:ind w:left="360" w:right="40" w:hanging="444"/>
        <w:spacing w:after="0" w:line="220"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4.16 2026 Notes Supplemental Indenture No. 1, dated as of March 20, 2019, among Dell International L.L.C., EMC Corporation, the</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guarantors party thereto and The Bank of New York Mellon Trust Company, N.A., as Trustee and Notes Collateral Agent (incorporated by</w:t>
        </w:r>
      </w:hyperlink>
    </w:p>
    <w:p>
      <w:pPr>
        <w:ind w:left="360" w:right="100"/>
        <w:spacing w:after="0" w:line="22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reference to Exhibit 4.3 to the Company’s Current Report on Form 8-K filed with the Commission on March 21, 2019) (Commission File</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No. 001-37867).</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227330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180" w:top="1134" w:right="359" w:bottom="1440" w:gutter="0" w:footer="0" w:header="0"/>
        </w:sectPr>
      </w:pPr>
    </w:p>
    <w:bookmarkStart w:id="157" w:name="page158"/>
    <w:bookmarkEnd w:id="157"/>
    <w:p>
      <w:pPr>
        <w:ind w:left="460" w:right="40" w:hanging="444"/>
        <w:spacing w:after="0" w:line="222"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4.17 2029 Notes Supplemental Indenture No. 1, dated as of March 20, 2019, among Dell International L.L.C., EMC Corporation, the</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guarantors party thereto and The Bank of New York Mellon Trust Company, N.A., as Trustee and Notes Collateral Agent (incorporated by</w:t>
        </w:r>
      </w:hyperlink>
    </w:p>
    <w:p>
      <w:pPr>
        <w:spacing w:after="0" w:line="2" w:lineRule="exact"/>
        <w:rPr>
          <w:sz w:val="20"/>
          <w:szCs w:val="20"/>
          <w:color w:val="auto"/>
        </w:rPr>
      </w:pPr>
    </w:p>
    <w:p>
      <w:pPr>
        <w:ind w:left="460" w:right="100"/>
        <w:spacing w:after="0" w:line="226"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reference to Exhibit 4.4 to the Company’s Current Report on Form 8-K filed with the Commission on March 21, 2019) (Commission File</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No. 001-37867).</w:t>
        </w:r>
      </w:hyperlink>
    </w:p>
    <w:p>
      <w:pPr>
        <w:ind w:left="460" w:right="100" w:hanging="444"/>
        <w:spacing w:after="0" w:line="220"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4.18 Base Indenture, dated as of April 9, 2020, among Dell International L.L.C., EMC Corporation, the guarantors party thereto and The Bank</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of New York Mellon Trust Company, N.A., as Trustee and Notes Collateral Agent (incorporated by reference to Exhibit 4.1 to the</w:t>
        </w:r>
      </w:hyperlink>
    </w:p>
    <w:p>
      <w:pPr>
        <w:ind w:left="460"/>
        <w:spacing w:after="0"/>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Company’s Current Report on Form 8-K filed with the Commission on April 9, 2020) (Commission File No. 001-37867).</w:t>
        </w:r>
      </w:hyperlink>
    </w:p>
    <w:p>
      <w:pPr>
        <w:spacing w:after="0" w:line="7" w:lineRule="exact"/>
        <w:rPr>
          <w:sz w:val="20"/>
          <w:szCs w:val="20"/>
          <w:color w:val="auto"/>
        </w:rPr>
      </w:pPr>
    </w:p>
    <w:p>
      <w:pPr>
        <w:jc w:val="right"/>
        <w:ind w:right="120"/>
        <w:spacing w:after="0" w:line="220"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4.19  2025 Notes Supplemental Indenture No. 1, dated as of April 9, 2020, among Dell International L.L.C., EMC Corporation, the guarantors</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party thereto and The Bank of New York Mellon Trust Company, N.A., as Trustee and Notes Collateral Agent (incorporated by reference</w:t>
        </w:r>
      </w:hyperlink>
    </w:p>
    <w:p>
      <w:pPr>
        <w:ind w:left="460" w:right="320"/>
        <w:spacing w:after="0" w:line="22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to Exhibit 4.2 to the Company’s Current Report on Form 8-K filed with the Commission on April 9, 2020) (Commission File No. 001-</w:t>
        </w:r>
      </w:hyperlink>
      <w:hyperlink r:id="rId247">
        <w:r>
          <w:rPr>
            <w:rFonts w:ascii="Times New Roman" w:cs="Times New Roman" w:eastAsia="Times New Roman" w:hAnsi="Times New Roman"/>
            <w:sz w:val="18"/>
            <w:szCs w:val="18"/>
            <w:u w:val="single" w:color="auto"/>
            <w:color w:val="0000FF"/>
          </w:rPr>
          <w:t>37867).</w:t>
        </w:r>
      </w:hyperlink>
    </w:p>
    <w:p>
      <w:pPr>
        <w:jc w:val="right"/>
        <w:ind w:right="120"/>
        <w:spacing w:after="0" w:line="220"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4.20  2027 Notes Supplemental Indenture No. 1, dated as of April 9, 2020, among Dell International L.L.C., EMC Corporation, the guarantors</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party thereto and The Bank of New York Mellon Trust Company, N.A., as Trustee and Notes Collateral Agent (incorporated by reference</w:t>
        </w:r>
      </w:hyperlink>
    </w:p>
    <w:p>
      <w:pPr>
        <w:ind w:left="460" w:right="320"/>
        <w:spacing w:after="0" w:line="226"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to Exhibit 4.3 to the Company’s Current Report on Form 8-K filed with the Commission on April 9, 2020) (Commission File No. 001-</w:t>
        </w:r>
      </w:hyperlink>
      <w:hyperlink r:id="rId248">
        <w:r>
          <w:rPr>
            <w:rFonts w:ascii="Times New Roman" w:cs="Times New Roman" w:eastAsia="Times New Roman" w:hAnsi="Times New Roman"/>
            <w:sz w:val="18"/>
            <w:szCs w:val="18"/>
            <w:u w:val="single" w:color="auto"/>
            <w:color w:val="0000FF"/>
          </w:rPr>
          <w:t>37867).</w:t>
        </w:r>
      </w:hyperlink>
    </w:p>
    <w:p>
      <w:pPr>
        <w:jc w:val="right"/>
        <w:ind w:right="120"/>
        <w:spacing w:after="0" w:line="220" w:lineRule="auto"/>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4.21  2030 Notes Supplemental Indenture No. 1, dated as of April 9, 2020, among Dell International L.L.C., EMC Corporation, the guarantors</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party thereto and The Bank of New York Mellon Trust Company, N.A., as Trustee and Notes Collateral Agent (incorporated by reference</w:t>
        </w:r>
      </w:hyperlink>
    </w:p>
    <w:p>
      <w:pPr>
        <w:ind w:left="460" w:right="320"/>
        <w:spacing w:after="0" w:line="226" w:lineRule="auto"/>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to Exhibit 4.4 to the Company’s Current Report on Form 8-K filed with the Commission on April 9, 2020) (Commission File No. 001-</w:t>
        </w:r>
      </w:hyperlink>
      <w:hyperlink r:id="rId249">
        <w:r>
          <w:rPr>
            <w:rFonts w:ascii="Times New Roman" w:cs="Times New Roman" w:eastAsia="Times New Roman" w:hAnsi="Times New Roman"/>
            <w:sz w:val="18"/>
            <w:szCs w:val="18"/>
            <w:u w:val="single" w:color="auto"/>
            <w:color w:val="0000FF"/>
          </w:rPr>
          <w:t>37867).</w:t>
        </w:r>
      </w:hyperlink>
    </w:p>
    <w:p>
      <w:pPr>
        <w:jc w:val="right"/>
        <w:ind w:right="20"/>
        <w:spacing w:after="0" w:line="220" w:lineRule="auto"/>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4.22  Base Indenture, dated as of December 13, 2021, among Dell International L.L.C., EMC Corporation, the guarantors party thereto and The</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Bank of New York Mellon Trust Company, N.A., as Trustee (incorporated by reference to Exhibit 4.1 to the Company’s Current Report on</w:t>
        </w:r>
      </w:hyperlink>
    </w:p>
    <w:p>
      <w:pPr>
        <w:ind w:left="460"/>
        <w:spacing w:after="0"/>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Form 8-K filed with the Commission on December 15, 2021) (Commission File No. 001-37867).</w:t>
        </w:r>
      </w:hyperlink>
    </w:p>
    <w:p>
      <w:pPr>
        <w:spacing w:after="0" w:line="7" w:lineRule="exact"/>
        <w:rPr>
          <w:sz w:val="20"/>
          <w:szCs w:val="20"/>
          <w:color w:val="auto"/>
        </w:rPr>
      </w:pPr>
    </w:p>
    <w:p>
      <w:pPr>
        <w:ind w:left="460" w:right="120" w:hanging="444"/>
        <w:spacing w:after="0" w:line="233" w:lineRule="auto"/>
        <w:rPr>
          <w:rFonts w:ascii="Times New Roman" w:cs="Times New Roman" w:eastAsia="Times New Roman" w:hAnsi="Times New Roman"/>
          <w:sz w:val="17"/>
          <w:szCs w:val="17"/>
          <w:u w:val="single" w:color="auto"/>
          <w:color w:val="0000FF"/>
        </w:rPr>
      </w:pPr>
      <w:hyperlink r:id="rId251">
        <w:r>
          <w:rPr>
            <w:rFonts w:ascii="Times New Roman" w:cs="Times New Roman" w:eastAsia="Times New Roman" w:hAnsi="Times New Roman"/>
            <w:sz w:val="17"/>
            <w:szCs w:val="17"/>
            <w:u w:val="single" w:color="auto"/>
            <w:color w:val="0000FF"/>
          </w:rPr>
          <w:t>4.23 2041 Notes Supplemental Indenture No. 1, dated as of December 13, 2021,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51">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4.2 to</w:t>
        </w:r>
      </w:hyperlink>
    </w:p>
    <w:p>
      <w:pPr>
        <w:ind w:left="46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the Company’s Current Report on Form 8-K filed with the Commission on December 15, 2021) (Commission File No. 001-37867).</w:t>
        </w:r>
      </w:hyperlink>
    </w:p>
    <w:p>
      <w:pPr>
        <w:spacing w:after="0" w:line="7" w:lineRule="exact"/>
        <w:rPr>
          <w:sz w:val="20"/>
          <w:szCs w:val="20"/>
          <w:color w:val="auto"/>
        </w:rPr>
      </w:pPr>
    </w:p>
    <w:p>
      <w:pPr>
        <w:ind w:left="460" w:right="120" w:hanging="444"/>
        <w:spacing w:after="0" w:line="233" w:lineRule="auto"/>
        <w:rPr>
          <w:rFonts w:ascii="Times New Roman" w:cs="Times New Roman" w:eastAsia="Times New Roman" w:hAnsi="Times New Roman"/>
          <w:sz w:val="17"/>
          <w:szCs w:val="17"/>
          <w:u w:val="single" w:color="auto"/>
          <w:color w:val="0000FF"/>
        </w:rPr>
      </w:pPr>
      <w:hyperlink r:id="rId252">
        <w:r>
          <w:rPr>
            <w:rFonts w:ascii="Times New Roman" w:cs="Times New Roman" w:eastAsia="Times New Roman" w:hAnsi="Times New Roman"/>
            <w:sz w:val="17"/>
            <w:szCs w:val="17"/>
            <w:u w:val="single" w:color="auto"/>
            <w:color w:val="0000FF"/>
          </w:rPr>
          <w:t>4.24 2051 Notes Supplemental Indenture No. 1, dated as of December 13, 2021,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4.3 to</w:t>
        </w:r>
      </w:hyperlink>
    </w:p>
    <w:p>
      <w:pPr>
        <w:jc w:val="center"/>
        <w:ind w:right="80"/>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the Company’s Current Report on Form 8-K filed with the Commission on December 15, 2021) (Commission File No. 001-37867).</w:t>
        </w:r>
      </w:hyperlink>
    </w:p>
    <w:p>
      <w:pPr>
        <w:spacing w:after="0" w:line="7" w:lineRule="exact"/>
        <w:rPr>
          <w:sz w:val="20"/>
          <w:szCs w:val="20"/>
          <w:color w:val="auto"/>
        </w:rPr>
      </w:pPr>
    </w:p>
    <w:p>
      <w:pPr>
        <w:jc w:val="right"/>
        <w:ind w:right="100"/>
        <w:spacing w:after="0" w:line="220"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4.25  Registration Rights Agreement, dated as of December 13, 2021, among Dell International L.L.C., EMC Corporation, the guarantors party</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thereto and BofA Securities, Inc., Barclays Capital Inc., Citigroup Global Markets Inc., Credit Suisse Securities (USA) LLC, J.P. Morgan</w:t>
        </w:r>
      </w:hyperlink>
    </w:p>
    <w:p>
      <w:pPr>
        <w:ind w:left="460" w:right="100"/>
        <w:spacing w:after="0" w:line="239" w:lineRule="auto"/>
        <w:rPr>
          <w:rFonts w:ascii="Times New Roman" w:cs="Times New Roman" w:eastAsia="Times New Roman" w:hAnsi="Times New Roman"/>
          <w:sz w:val="17"/>
          <w:szCs w:val="17"/>
          <w:u w:val="single" w:color="auto"/>
          <w:color w:val="0000FF"/>
        </w:rPr>
      </w:pPr>
      <w:hyperlink r:id="rId253">
        <w:r>
          <w:rPr>
            <w:rFonts w:ascii="Times New Roman" w:cs="Times New Roman" w:eastAsia="Times New Roman" w:hAnsi="Times New Roman"/>
            <w:sz w:val="17"/>
            <w:szCs w:val="17"/>
            <w:u w:val="single" w:color="auto"/>
            <w:color w:val="0000FF"/>
          </w:rPr>
          <w:t>Securities LLC and Wells Fargo Securities LLC, as the representatives for the initial purchasers. (incorporated by reference to Exhibit 4.4</w:t>
        </w:r>
      </w:hyperlink>
      <w:r>
        <w:rPr>
          <w:rFonts w:ascii="Times New Roman" w:cs="Times New Roman" w:eastAsia="Times New Roman" w:hAnsi="Times New Roman"/>
          <w:sz w:val="17"/>
          <w:szCs w:val="17"/>
          <w:u w:val="single" w:color="auto"/>
          <w:color w:val="0000FF"/>
        </w:rPr>
        <w:t xml:space="preserve"> </w:t>
      </w:r>
      <w:hyperlink r:id="rId253">
        <w:r>
          <w:rPr>
            <w:rFonts w:ascii="Times New Roman" w:cs="Times New Roman" w:eastAsia="Times New Roman" w:hAnsi="Times New Roman"/>
            <w:sz w:val="17"/>
            <w:szCs w:val="17"/>
            <w:u w:val="single" w:color="auto"/>
            <w:color w:val="0000FF"/>
          </w:rPr>
          <w:t>to the Company’s Current Report on Form 8-K filed with the Commission on December 15, 2021) (Commission File No. 001-37867).</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4.26  Form of Global Note for 3.375% Senior Notes due 2041 (included in Exhibit 4.23).</w:t>
        </w:r>
      </w:hyperlink>
    </w:p>
    <w:p>
      <w:pPr>
        <w:spacing w:after="0" w:line="2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4.27  Form of Global Note for 3.450% Senior Notes due 2051 (included in Exhibit 4.24).</w:t>
        </w:r>
      </w:hyperlink>
    </w:p>
    <w:p>
      <w:pPr>
        <w:spacing w:after="0" w:line="23" w:lineRule="exact"/>
        <w:rPr>
          <w:sz w:val="20"/>
          <w:szCs w:val="20"/>
          <w:color w:val="auto"/>
        </w:rPr>
      </w:pPr>
    </w:p>
    <w:p>
      <w:pPr>
        <w:ind w:left="460" w:right="180" w:hanging="444"/>
        <w:spacing w:after="0" w:line="220"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4.28 Second Amended and Restated Registration Rights Agreement, dated as of December 25, 2018, by and among the Company, Michael S.</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Dell, Susan Lieberman Dell Separate Property Trust, MSDC Denali Investors, L.P., MSDC Denali EIV, LLC, Silver Lake Partners III,</w:t>
        </w:r>
      </w:hyperlink>
    </w:p>
    <w:p>
      <w:pPr>
        <w:jc w:val="both"/>
        <w:ind w:left="460" w:right="120"/>
        <w:spacing w:after="0" w:line="231" w:lineRule="auto"/>
        <w:rPr>
          <w:rFonts w:ascii="Times New Roman" w:cs="Times New Roman" w:eastAsia="Times New Roman" w:hAnsi="Times New Roman"/>
          <w:sz w:val="17"/>
          <w:szCs w:val="17"/>
          <w:u w:val="single" w:color="auto"/>
          <w:color w:val="0000FF"/>
        </w:rPr>
      </w:pPr>
      <w:hyperlink r:id="rId254">
        <w:r>
          <w:rPr>
            <w:rFonts w:ascii="Times New Roman" w:cs="Times New Roman" w:eastAsia="Times New Roman" w:hAnsi="Times New Roman"/>
            <w:sz w:val="17"/>
            <w:szCs w:val="17"/>
            <w:u w:val="single" w:color="auto"/>
            <w:color w:val="0000FF"/>
          </w:rPr>
          <w:t>L.P., Silver Lake Technology Investors III, L.P., Silver Lake Partners IV, L.P., Silver Lake Technology Investors IV, L.P., SLP Denali Co-</w:t>
        </w:r>
      </w:hyperlink>
      <w:hyperlink r:id="rId254">
        <w:r>
          <w:rPr>
            <w:rFonts w:ascii="Times New Roman" w:cs="Times New Roman" w:eastAsia="Times New Roman" w:hAnsi="Times New Roman"/>
            <w:sz w:val="17"/>
            <w:szCs w:val="17"/>
            <w:u w:val="single" w:color="auto"/>
            <w:color w:val="0000FF"/>
          </w:rPr>
          <w:t>Invest, L.P., Venezio Investments Pte. Ltd. and the Management Stockholders party thereto (incorporated by reference to Exhibit 10.4 to</w:t>
        </w:r>
      </w:hyperlink>
      <w:r>
        <w:rPr>
          <w:rFonts w:ascii="Times New Roman" w:cs="Times New Roman" w:eastAsia="Times New Roman" w:hAnsi="Times New Roman"/>
          <w:sz w:val="17"/>
          <w:szCs w:val="17"/>
          <w:u w:val="single" w:color="auto"/>
          <w:color w:val="0000FF"/>
        </w:rPr>
        <w:t xml:space="preserve"> </w:t>
      </w:r>
      <w:hyperlink r:id="rId254">
        <w:r>
          <w:rPr>
            <w:rFonts w:ascii="Times New Roman" w:cs="Times New Roman" w:eastAsia="Times New Roman" w:hAnsi="Times New Roman"/>
            <w:sz w:val="17"/>
            <w:szCs w:val="17"/>
            <w:u w:val="single" w:color="auto"/>
            <w:color w:val="0000FF"/>
          </w:rPr>
          <w:t>the Company’s Current Report on Form 8-K filed with the Commission on December 28, 2018) (Commission File No. 001-37867).</w:t>
        </w:r>
      </w:hyperlink>
    </w:p>
    <w:p>
      <w:pPr>
        <w:spacing w:after="0" w:line="10" w:lineRule="exact"/>
        <w:rPr>
          <w:rFonts w:ascii="Times New Roman" w:cs="Times New Roman" w:eastAsia="Times New Roman" w:hAnsi="Times New Roman"/>
          <w:sz w:val="17"/>
          <w:szCs w:val="17"/>
          <w:u w:val="single" w:color="auto"/>
          <w:color w:val="0000FF"/>
        </w:rPr>
      </w:pPr>
    </w:p>
    <w:p>
      <w:pPr>
        <w:ind w:left="460" w:right="360" w:hanging="444"/>
        <w:spacing w:after="0" w:line="236" w:lineRule="auto"/>
        <w:rPr>
          <w:rFonts w:ascii="Times New Roman" w:cs="Times New Roman" w:eastAsia="Times New Roman" w:hAnsi="Times New Roman"/>
          <w:sz w:val="17"/>
          <w:szCs w:val="17"/>
          <w:u w:val="single" w:color="auto"/>
          <w:color w:val="0000FF"/>
        </w:rPr>
      </w:pPr>
      <w:hyperlink r:id="rId255">
        <w:r>
          <w:rPr>
            <w:rFonts w:ascii="Times New Roman" w:cs="Times New Roman" w:eastAsia="Times New Roman" w:hAnsi="Times New Roman"/>
            <w:sz w:val="17"/>
            <w:szCs w:val="17"/>
            <w:u w:val="single" w:color="auto"/>
            <w:color w:val="0000FF"/>
          </w:rPr>
          <w:t>4.29 Amendment No. 1 to the Second Amended and Restated Registration Rights Agreement, dated as of May 27, 2019, among Dell</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Technologies Inc., Michael S. Dell, Susan Lieberman Dell Separate Property Trust, MSDC Denali Investors, L.P., MSDC Denali EIV,</w:t>
        </w:r>
      </w:hyperlink>
    </w:p>
    <w:p>
      <w:pPr>
        <w:jc w:val="both"/>
        <w:ind w:left="460" w:right="320"/>
        <w:spacing w:after="0" w:line="220" w:lineRule="auto"/>
        <w:rPr>
          <w:rFonts w:ascii="Times New Roman" w:cs="Times New Roman" w:eastAsia="Times New Roman" w:hAnsi="Times New Roman"/>
          <w:sz w:val="17"/>
          <w:szCs w:val="17"/>
          <w:u w:val="single" w:color="auto"/>
          <w:color w:val="0000FF"/>
        </w:rPr>
      </w:pPr>
      <w:hyperlink r:id="rId255">
        <w:r>
          <w:rPr>
            <w:rFonts w:ascii="Times New Roman" w:cs="Times New Roman" w:eastAsia="Times New Roman" w:hAnsi="Times New Roman"/>
            <w:sz w:val="17"/>
            <w:szCs w:val="17"/>
            <w:u w:val="single" w:color="auto"/>
            <w:color w:val="0000FF"/>
          </w:rPr>
          <w:t>LLC, SL SPV-2, L.P., Silver Lake Partners IV, L.P., Silver Lake Technology Investors IV, L.P., Silver Lake Partners V DE (AIV), L.P.,</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Silver Lake Technology Investors V, L.P., SLP Denali Co-Invest, L.P. and Venezio Investments Pte. Ltd. (incorporated by reference to</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Exhibit 4.40 to the Company’s Annual Report on Form 10-K for the fiscal year ended January 31, 2020) (Commission File No. 001-</w:t>
        </w:r>
      </w:hyperlink>
    </w:p>
    <w:p>
      <w:pPr>
        <w:spacing w:after="0" w:line="2" w:lineRule="exact"/>
        <w:rPr>
          <w:rFonts w:ascii="Times New Roman" w:cs="Times New Roman" w:eastAsia="Times New Roman" w:hAnsi="Times New Roman"/>
          <w:sz w:val="17"/>
          <w:szCs w:val="17"/>
          <w:u w:val="single" w:color="auto"/>
          <w:color w:val="0000FF"/>
        </w:rPr>
      </w:pPr>
    </w:p>
    <w:p>
      <w:pPr>
        <w:ind w:left="46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37867).</w:t>
        </w:r>
      </w:hyperlink>
    </w:p>
    <w:p>
      <w:pPr>
        <w:spacing w:after="0" w:line="7" w:lineRule="exact"/>
        <w:rPr>
          <w:rFonts w:ascii="Times New Roman" w:cs="Times New Roman" w:eastAsia="Times New Roman" w:hAnsi="Times New Roman"/>
          <w:sz w:val="17"/>
          <w:szCs w:val="17"/>
          <w:u w:val="single" w:color="auto"/>
          <w:color w:val="0000FF"/>
        </w:rPr>
      </w:pPr>
    </w:p>
    <w:p>
      <w:pPr>
        <w:ind w:left="460" w:hanging="444"/>
        <w:spacing w:after="0" w:line="233" w:lineRule="auto"/>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4.30 Amendment No. 2 to the Second Amended and Restated Registration Rights Agreement, dated as of April 15, 2020, among Dell</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Technologies Inc., Michael S. Dell and Susan Lieberman Dell Separate Property Trust, SL SPV-2 L.P., Silver Lake Partners IV, L.P., Silver</w:t>
        </w:r>
      </w:hyperlink>
    </w:p>
    <w:p>
      <w:pPr>
        <w:ind w:left="460" w:right="120"/>
        <w:spacing w:after="0" w:line="218"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Lake Technology Investors IV, L.P., Silver Lake Partners V DE (AIV), L.P., Silver Lake Technology Investors V, L.P. and Venezio</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Investments Pte. Ltd. (incorporated by reference to Exhibit 4.9 to the Company’s Quarterly Report on Form 10-Q for the quarterly period</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ended May 1, 2020) (Commission File No. 001-37867).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2" w:lineRule="exact"/>
        <w:rPr>
          <w:rFonts w:ascii="Times New Roman" w:cs="Times New Roman" w:eastAsia="Times New Roman" w:hAnsi="Times New Roman"/>
          <w:sz w:val="18"/>
          <w:szCs w:val="18"/>
          <w:u w:val="single" w:color="auto"/>
          <w:color w:val="0000FF"/>
        </w:rPr>
      </w:pPr>
    </w:p>
    <w:p>
      <w:pPr>
        <w:ind w:left="472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-489585</wp:posOffset>
            </wp:positionH>
            <wp:positionV relativeFrom="paragraph">
              <wp:posOffset>227330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34" w:right="359" w:bottom="1440" w:gutter="0" w:footer="0" w:header="0"/>
        </w:sectPr>
      </w:pPr>
    </w:p>
    <w:bookmarkStart w:id="158" w:name="page159"/>
    <w:bookmarkEnd w:id="158"/>
    <w:p>
      <w:pPr>
        <w:ind w:left="540" w:hanging="444"/>
        <w:spacing w:after="0" w:line="236" w:lineRule="auto"/>
        <w:rPr>
          <w:rFonts w:ascii="Times New Roman" w:cs="Times New Roman" w:eastAsia="Times New Roman" w:hAnsi="Times New Roman"/>
          <w:sz w:val="17"/>
          <w:szCs w:val="17"/>
          <w:u w:val="single" w:color="auto"/>
          <w:color w:val="0000FF"/>
        </w:rPr>
      </w:pPr>
      <w:hyperlink r:id="rId258">
        <w:r>
          <w:rPr>
            <w:rFonts w:ascii="Times New Roman" w:cs="Times New Roman" w:eastAsia="Times New Roman" w:hAnsi="Times New Roman"/>
            <w:sz w:val="17"/>
            <w:szCs w:val="17"/>
            <w:u w:val="single" w:color="auto"/>
            <w:color w:val="0000FF"/>
          </w:rPr>
          <w:t>4.31 Amendment No. 3 to the Second Amended and Restated Registration Rights Agreement, dated as of September 15, 2020, among Dell</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Technologies Inc., Michael S. Dell and Susan Lieberman Dell Separate Property Trust, SL SPV-2 L.P., Silver Lake Partners IV, L.P., Silver</w:t>
        </w:r>
      </w:hyperlink>
    </w:p>
    <w:p>
      <w:pPr>
        <w:ind w:left="540" w:right="120"/>
        <w:spacing w:after="0" w:line="218"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Lake Technology Investors IV, L.P., Silver Lake Partners V DE (AIV), L.P., Silver Lake Technology Investors V, L.P. and Venezio</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Investments Pte. Ltd. (incorporated by reference to Exhibit 4.1 to the Company’s Quarterly Report on Form 10-Q for the quarterly period</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ended October 30, 2020) (Commission File No. 001-37867).</w:t>
        </w:r>
      </w:hyperlink>
    </w:p>
    <w:p>
      <w:pPr>
        <w:ind w:left="80"/>
        <w:spacing w:after="0" w:line="238"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4.32  Consent to the Extension of Registration Rights Under the Second Amended and Restated Registration Rights Agreement, dated January</w:t>
        </w:r>
      </w:hyperlink>
    </w:p>
    <w:p>
      <w:pPr>
        <w:ind w:left="540"/>
        <w:spacing w:after="0" w:line="219"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18, 2023, among Dell Technologies Inc. and SL SPV-2 L.P., Silver Lake Partners IV, L.P., Silver Lake Technology Investors IV, L.P.,</w:t>
        </w:r>
      </w:hyperlink>
    </w:p>
    <w:p>
      <w:pPr>
        <w:ind w:left="540" w:right="660"/>
        <w:spacing w:after="0" w:line="226"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Silver Lake Partners V DE (AIV), L.P., Silver Lake Technology Investors V, L.P. (incorporated by reference to Exhibit 4.36 to the</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Company’s Annual Report on Form 10-K for the fiscal year ended February 3, 2023) (Commission File No. 001-37867).</w:t>
        </w:r>
      </w:hyperlink>
    </w:p>
    <w:p>
      <w:pPr>
        <w:ind w:left="80"/>
        <w:spacing w:after="0" w:line="221"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4.33  Consent to the Extension of Registration Rights Under the Second Amended and Restated Registration Rights Agreement, dated March</w:t>
        </w:r>
      </w:hyperlink>
    </w:p>
    <w:p>
      <w:pPr>
        <w:ind w:left="540"/>
        <w:spacing w:after="0" w:line="219"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30, 2023, among Dell Technologies Inc. and SL SPV-2 L.P., Silver Lake Partners IV, L.P., Silver Lake Technology Investors IV, L.P.,</w:t>
        </w:r>
      </w:hyperlink>
    </w:p>
    <w:p>
      <w:pPr>
        <w:ind w:left="540" w:right="740"/>
        <w:spacing w:after="0" w:line="226"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Silver Lake Partners V DE (AIV), L.P., Silver Lake Technology Investors V, L.P.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Company’s Quarterly Report on Form 10-Q for the quarterly period ended May 5, 2023) (Commission File No. 001-37867).</w:t>
        </w:r>
      </w:hyperlink>
    </w:p>
    <w:p>
      <w:pPr>
        <w:jc w:val="right"/>
        <w:ind w:right="200"/>
        <w:spacing w:after="0" w:line="221"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4.34  Consent to the Extension of Registration Rights Under the Second Amended and Restated Registration Rights Agreement, dated June 5,</w:t>
        </w:r>
      </w:hyperlink>
    </w:p>
    <w:p>
      <w:pPr>
        <w:jc w:val="right"/>
        <w:ind w:right="240"/>
        <w:spacing w:after="0" w:line="219"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2023, among Dell Technologies Inc. and SL SPV-2 L.P., Silver Lake Partners IV, L.P., Silver Lake Technology Investors IV, L.P., Silver</w:t>
        </w:r>
      </w:hyperlink>
    </w:p>
    <w:p>
      <w:pPr>
        <w:ind w:left="540" w:right="360"/>
        <w:spacing w:after="0" w:line="226"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Lake Partners V DE (AIV), L.P., Silver Lake Technology Investors V, L.P.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Quarterly Report on Form 10-Q for the quarterly period ended August 4, 2023) (Commission File No. 001-37867).</w:t>
        </w:r>
      </w:hyperlink>
    </w:p>
    <w:p>
      <w:pPr>
        <w:ind w:left="540" w:hanging="444"/>
        <w:spacing w:after="0" w:line="220"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4.35 Consent to the Extension of Registration Rights Under the Second Amended and Restated Registration Rights Agreement, dated</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September 11, 2023, among Dell Technologies Inc. and SL SPV-2 L.P., Silver Lake Partners IV, L.P., Silver Lake Technology Investors IV,</w:t>
        </w:r>
      </w:hyperlink>
    </w:p>
    <w:p>
      <w:pPr>
        <w:ind w:left="540" w:right="380"/>
        <w:spacing w:after="0" w:line="239" w:lineRule="auto"/>
        <w:rPr>
          <w:rFonts w:ascii="Times New Roman" w:cs="Times New Roman" w:eastAsia="Times New Roman" w:hAnsi="Times New Roman"/>
          <w:sz w:val="17"/>
          <w:szCs w:val="17"/>
          <w:u w:val="single" w:color="auto"/>
          <w:color w:val="0000FF"/>
        </w:rPr>
      </w:pPr>
      <w:hyperlink r:id="rId262">
        <w:r>
          <w:rPr>
            <w:rFonts w:ascii="Times New Roman" w:cs="Times New Roman" w:eastAsia="Times New Roman" w:hAnsi="Times New Roman"/>
            <w:sz w:val="17"/>
            <w:szCs w:val="17"/>
            <w:u w:val="single" w:color="auto"/>
            <w:color w:val="0000FF"/>
          </w:rPr>
          <w:t>L.P., Silver Lake Partners V DE (AIV), L.P., Silver Lake Technology Investors V, L.P. (incorporated by reference to Exhibit 4.1 to the</w:t>
        </w:r>
      </w:hyperlink>
      <w:r>
        <w:rPr>
          <w:rFonts w:ascii="Times New Roman" w:cs="Times New Roman" w:eastAsia="Times New Roman" w:hAnsi="Times New Roman"/>
          <w:sz w:val="17"/>
          <w:szCs w:val="17"/>
          <w:u w:val="single" w:color="auto"/>
          <w:color w:val="0000FF"/>
        </w:rPr>
        <w:t xml:space="preserve"> </w:t>
      </w:r>
      <w:hyperlink r:id="rId262">
        <w:r>
          <w:rPr>
            <w:rFonts w:ascii="Times New Roman" w:cs="Times New Roman" w:eastAsia="Times New Roman" w:hAnsi="Times New Roman"/>
            <w:sz w:val="17"/>
            <w:szCs w:val="17"/>
            <w:u w:val="single" w:color="auto"/>
            <w:color w:val="0000FF"/>
          </w:rPr>
          <w:t>Company’s Quarterly Report on Form 10-Q for the quarterly period ended November 3, 2023) (Commission File No. 001-37867).</w:t>
        </w:r>
      </w:hyperlink>
    </w:p>
    <w:p>
      <w:pPr>
        <w:spacing w:after="0" w:line="1" w:lineRule="exact"/>
        <w:rPr>
          <w:sz w:val="20"/>
          <w:szCs w:val="20"/>
          <w:color w:val="auto"/>
        </w:rPr>
      </w:pPr>
    </w:p>
    <w:p>
      <w:pPr>
        <w:ind w:left="540" w:right="20" w:hanging="534"/>
        <w:spacing w:after="0" w:line="220" w:lineRule="auto"/>
        <w:rPr>
          <w:sz w:val="20"/>
          <w:szCs w:val="20"/>
          <w:color w:val="auto"/>
        </w:rPr>
      </w:pPr>
      <w:r>
        <w:rPr>
          <w:rFonts w:ascii="Times New Roman" w:cs="Times New Roman" w:eastAsia="Times New Roman" w:hAnsi="Times New Roman"/>
          <w:sz w:val="18"/>
          <w:szCs w:val="18"/>
          <w:u w:val="single" w:color="auto"/>
          <w:color w:val="0000FF"/>
        </w:rPr>
        <w:t>4.36† Consent to the Extension of Registration Rights Under the Second Amended and Restated Registration Rights Agreement, dated December 13, 2023, among Dell Technologies Inc. and SL SPV-2 L.P., Silver Lake Partners IV, L.P., Silver Lake Technology Investors IV,</w:t>
      </w:r>
    </w:p>
    <w:p>
      <w:pPr>
        <w:ind w:left="540"/>
        <w:spacing w:after="0"/>
        <w:rPr>
          <w:sz w:val="20"/>
          <w:szCs w:val="20"/>
          <w:color w:val="auto"/>
        </w:rPr>
      </w:pPr>
      <w:r>
        <w:rPr>
          <w:rFonts w:ascii="Times New Roman" w:cs="Times New Roman" w:eastAsia="Times New Roman" w:hAnsi="Times New Roman"/>
          <w:sz w:val="18"/>
          <w:szCs w:val="18"/>
          <w:u w:val="single" w:color="auto"/>
          <w:color w:val="0000FF"/>
        </w:rPr>
        <w:t>L.P., Silver Lake Partners V DE (AIV), L.P., Silver Lake Technology Investors V, L.P.</w:t>
      </w:r>
    </w:p>
    <w:p>
      <w:pPr>
        <w:spacing w:after="0" w:line="7" w:lineRule="exact"/>
        <w:rPr>
          <w:sz w:val="20"/>
          <w:szCs w:val="20"/>
          <w:color w:val="auto"/>
        </w:rPr>
      </w:pPr>
    </w:p>
    <w:p>
      <w:pPr>
        <w:ind w:left="540" w:right="20" w:hanging="444"/>
        <w:spacing w:after="0" w:line="233" w:lineRule="auto"/>
        <w:rPr>
          <w:rFonts w:ascii="Times New Roman" w:cs="Times New Roman" w:eastAsia="Times New Roman" w:hAnsi="Times New Roman"/>
          <w:sz w:val="17"/>
          <w:szCs w:val="17"/>
          <w:u w:val="single" w:color="auto"/>
          <w:color w:val="0000FF"/>
        </w:rPr>
      </w:pPr>
      <w:hyperlink r:id="rId263">
        <w:r>
          <w:rPr>
            <w:rFonts w:ascii="Times New Roman" w:cs="Times New Roman" w:eastAsia="Times New Roman" w:hAnsi="Times New Roman"/>
            <w:sz w:val="17"/>
            <w:szCs w:val="17"/>
            <w:u w:val="single" w:color="auto"/>
            <w:color w:val="0000FF"/>
          </w:rPr>
          <w:t>4.37 Base Indenture, dated as of January 24, 2023, among Dell International L.L.C, EMC Corporation, the guarantors party thereto and The</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Bank of New York Mellon Trust Company, N.A., as Trustee (incorporated by reference to Exhibit 4.1 to the Company’s Current Report on</w:t>
        </w:r>
      </w:hyperlink>
    </w:p>
    <w:p>
      <w:pPr>
        <w:ind w:left="540"/>
        <w:spacing w:after="0"/>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Form 8-K filed with the Commission on January 24, 2023) (Commission File No. 001-37867).</w:t>
        </w:r>
      </w:hyperlink>
    </w:p>
    <w:p>
      <w:pPr>
        <w:spacing w:after="0" w:line="7" w:lineRule="exact"/>
        <w:rPr>
          <w:sz w:val="20"/>
          <w:szCs w:val="20"/>
          <w:color w:val="auto"/>
        </w:rPr>
      </w:pPr>
    </w:p>
    <w:p>
      <w:pPr>
        <w:ind w:left="540" w:right="120" w:hanging="444"/>
        <w:spacing w:after="0" w:line="233" w:lineRule="auto"/>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4.38 2028 Notes Supplemental Indenture No. 1, dated as of January 24, 2023,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4.2 to</w:t>
        </w:r>
      </w:hyperlink>
    </w:p>
    <w:p>
      <w:pPr>
        <w:ind w:left="540"/>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the Company’s Current Report on Form 8-K filed with the Commission on January 24, 2023) (Commission File No. 001-37867).</w:t>
        </w:r>
      </w:hyperlink>
    </w:p>
    <w:p>
      <w:pPr>
        <w:spacing w:after="0" w:line="7" w:lineRule="exact"/>
        <w:rPr>
          <w:sz w:val="20"/>
          <w:szCs w:val="20"/>
          <w:color w:val="auto"/>
        </w:rPr>
      </w:pPr>
    </w:p>
    <w:p>
      <w:pPr>
        <w:ind w:left="540" w:right="120" w:hanging="444"/>
        <w:spacing w:after="0" w:line="233" w:lineRule="auto"/>
        <w:rPr>
          <w:rFonts w:ascii="Times New Roman" w:cs="Times New Roman" w:eastAsia="Times New Roman" w:hAnsi="Times New Roman"/>
          <w:sz w:val="17"/>
          <w:szCs w:val="17"/>
          <w:u w:val="single" w:color="auto"/>
          <w:color w:val="0000FF"/>
        </w:rPr>
      </w:pPr>
      <w:hyperlink r:id="rId265">
        <w:r>
          <w:rPr>
            <w:rFonts w:ascii="Times New Roman" w:cs="Times New Roman" w:eastAsia="Times New Roman" w:hAnsi="Times New Roman"/>
            <w:sz w:val="17"/>
            <w:szCs w:val="17"/>
            <w:u w:val="single" w:color="auto"/>
            <w:color w:val="0000FF"/>
          </w:rPr>
          <w:t>4.39 2033 Notes Supplemental Indenture No. 1, dated as of January 24, 2023, among Dell International L.L.C, EMC Corporation, the</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guarantors party thereto and The Bank of New York Mellon Trust Company, N.A., as Trustee (incorporated by reference to Exhibit 4.3 to</w:t>
        </w:r>
      </w:hyperlink>
    </w:p>
    <w:p>
      <w:pPr>
        <w:ind w:left="540"/>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the Company’s Current Report on Form 8-K filed with the Commission on January 24, 2023) (Commission File No. 001-37867).</w:t>
        </w:r>
      </w:hyperlink>
    </w:p>
    <w:p>
      <w:pPr>
        <w:spacing w:after="0" w:line="7"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4.40  Form of Global Note for 5.250% Senior Notes due 2028 (included in Exhibit 4.38).</w:t>
        </w:r>
      </w:hyperlink>
    </w:p>
    <w:p>
      <w:pPr>
        <w:spacing w:after="0" w:line="23" w:lineRule="exact"/>
        <w:rPr>
          <w:sz w:val="20"/>
          <w:szCs w:val="20"/>
          <w:color w:val="auto"/>
        </w:rPr>
      </w:pPr>
    </w:p>
    <w:p>
      <w:pPr>
        <w:ind w:left="80"/>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4.41  Form of Global Note for 5.750% Senior Notes due 2033 (included in Exhibit 4.39).</w:t>
        </w:r>
      </w:hyperlink>
    </w:p>
    <w:p>
      <w:pPr>
        <w:spacing w:after="0" w:line="23" w:lineRule="exact"/>
        <w:rPr>
          <w:sz w:val="20"/>
          <w:szCs w:val="20"/>
          <w:color w:val="auto"/>
        </w:rPr>
      </w:pPr>
    </w:p>
    <w:p>
      <w:pPr>
        <w:ind w:left="540" w:right="360" w:hanging="444"/>
        <w:spacing w:after="0" w:line="234"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4.42 Amended and Restated Description of Common Stock (incorporated by reference to Exhibit 4.42 to the Company’s Annual Report on</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Form 10-K for the fiscal year ended February 3, 2023) (Commission File No. 001-37867).</w:t>
        </w:r>
      </w:hyperlink>
    </w:p>
    <w:p>
      <w:pPr>
        <w:spacing w:after="0" w:line="10" w:lineRule="exact"/>
        <w:rPr>
          <w:sz w:val="20"/>
          <w:szCs w:val="20"/>
          <w:color w:val="auto"/>
        </w:rPr>
      </w:pPr>
    </w:p>
    <w:p>
      <w:pPr>
        <w:ind w:left="540" w:right="300" w:hanging="534"/>
        <w:spacing w:after="0" w:line="222" w:lineRule="auto"/>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10.1* Dell Technologies Inc. 2012 Long-Term Incentive Plan (formerly known as Dell Inc. 2012 Long-Term Incentive Plan) as amended and</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restated as of October 6, 2017 (incorporated by reference to Exhibit 10.4 to the Company’s Quarterly Report on Form 10-Q for the</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quarterly period ended November 3, 2017) (Commission File No. 001-37867).</w:t>
        </w:r>
      </w:hyperlink>
    </w:p>
    <w:p>
      <w:pPr>
        <w:spacing w:after="0" w:line="7" w:lineRule="exact"/>
        <w:rPr>
          <w:sz w:val="20"/>
          <w:szCs w:val="20"/>
          <w:color w:val="auto"/>
        </w:rPr>
      </w:pPr>
    </w:p>
    <w:p>
      <w:pPr>
        <w:ind w:left="540" w:right="680" w:hanging="534"/>
        <w:spacing w:after="0" w:line="234"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10.2* Dell Inc. Annual Bonus Plan (incorporated by reference to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quarterly period ended May 1, 2020) (Commission File No. 001-37867).</w:t>
        </w:r>
      </w:hyperlink>
    </w:p>
    <w:p>
      <w:pPr>
        <w:spacing w:after="0" w:line="10" w:lineRule="exact"/>
        <w:rPr>
          <w:sz w:val="20"/>
          <w:szCs w:val="20"/>
          <w:color w:val="auto"/>
        </w:rPr>
      </w:pPr>
    </w:p>
    <w:p>
      <w:pPr>
        <w:ind w:left="540" w:right="180" w:hanging="534"/>
        <w:spacing w:after="0" w:line="222" w:lineRule="auto"/>
        <w:rPr>
          <w:rFonts w:ascii="Times New Roman" w:cs="Times New Roman" w:eastAsia="Times New Roman" w:hAnsi="Times New Roman"/>
          <w:sz w:val="18"/>
          <w:szCs w:val="18"/>
          <w:u w:val="single" w:color="auto"/>
          <w:color w:val="0000FF"/>
        </w:rPr>
      </w:pPr>
      <w:hyperlink r:id="rId269">
        <w:r>
          <w:rPr>
            <w:rFonts w:ascii="Times New Roman" w:cs="Times New Roman" w:eastAsia="Times New Roman" w:hAnsi="Times New Roman"/>
            <w:sz w:val="18"/>
            <w:szCs w:val="18"/>
            <w:u w:val="single" w:color="auto"/>
            <w:color w:val="0000FF"/>
          </w:rPr>
          <w:t>10.3* Employment Agreement, dated October 29, 2013, by and among Dell Inc., the Company and Michael S. Dell (incorporated by reference</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to Exhibit 10.7 to Amendment No. 3 to the Company’s 2016 Form S-4 filed with the Commission on April 11, 2016) (Registration No.</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0000FF"/>
        </w:rPr>
      </w:pPr>
      <w:hyperlink r:id="rId269">
        <w:r>
          <w:rPr>
            <w:rFonts w:ascii="Times New Roman" w:cs="Times New Roman" w:eastAsia="Times New Roman" w:hAnsi="Times New Roman"/>
            <w:sz w:val="18"/>
            <w:szCs w:val="18"/>
            <w:u w:val="single" w:color="auto"/>
            <w:color w:val="0000FF"/>
          </w:rPr>
          <w:t>333-208524).</w:t>
        </w:r>
      </w:hyperlink>
    </w:p>
    <w:p>
      <w:pPr>
        <w:spacing w:after="0" w:line="7" w:lineRule="exact"/>
        <w:rPr>
          <w:sz w:val="20"/>
          <w:szCs w:val="20"/>
          <w:color w:val="auto"/>
        </w:rPr>
      </w:pPr>
    </w:p>
    <w:p>
      <w:pPr>
        <w:ind w:left="540" w:right="240" w:hanging="534"/>
        <w:spacing w:after="0" w:line="234" w:lineRule="auto"/>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10.4* Dell Inc. Severance Pay Plan for Executive Employees (incorporated by reference to Exhibit 10.14 to the Company’s Annual Report on</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Form 10-K for the fiscal year ended February 3, 2017) (Commission File No. 001-37867).</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227330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00" w:top="1134" w:right="359" w:bottom="1440" w:gutter="0" w:footer="0" w:header="0"/>
        </w:sectPr>
      </w:pPr>
    </w:p>
    <w:bookmarkStart w:id="159" w:name="page160"/>
    <w:bookmarkEnd w:id="159"/>
    <w:p>
      <w:pPr>
        <w:ind w:left="640" w:right="60" w:hanging="534"/>
        <w:spacing w:after="0" w:line="237"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10.5* Form of Protection of Sensitive Information, Noncompetition and Nonsolicitation Agreement (incorporated by reference to Exhibit 10.16</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to Amendment No. 3 to the Company’s 2016 Form S-4 filed with the Commission on April 11, 2016) (Registration No. 333-208524).</w:t>
        </w:r>
      </w:hyperlink>
    </w:p>
    <w:p>
      <w:pPr>
        <w:spacing w:after="0" w:line="10" w:lineRule="exact"/>
        <w:rPr>
          <w:sz w:val="20"/>
          <w:szCs w:val="20"/>
          <w:color w:val="auto"/>
        </w:rPr>
      </w:pPr>
    </w:p>
    <w:p>
      <w:pPr>
        <w:ind w:left="640" w:right="200" w:hanging="534"/>
        <w:spacing w:after="0" w:line="237" w:lineRule="auto"/>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10.6* Form of Dell Technologies Inc. Deferred Cash Award Agreement (incorporated by reference to Exhibit 10.26 to the Company’s Annual</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Report on Form 10-K for the fiscal year ended February 3, 2017) (Commission File No. 001-37867).</w:t>
        </w:r>
      </w:hyperlink>
    </w:p>
    <w:p>
      <w:pPr>
        <w:ind w:left="180"/>
        <w:spacing w:after="0" w:line="237"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10.7  Amended and Restated Master Transaction Agreement among EMC Corporation, Dell Technologies Inc. and VMware, Inc. dated January</w:t>
        </w:r>
      </w:hyperlink>
    </w:p>
    <w:p>
      <w:pPr>
        <w:ind w:left="640"/>
        <w:spacing w:after="0" w:line="220"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9, 2018 (incorporated by reference to Exhibit 10.1 to VMware, Inc.’s Annual Report on Form 10-K for the fiscal year ended February 2,</w:t>
        </w:r>
      </w:hyperlink>
    </w:p>
    <w:p>
      <w:pPr>
        <w:ind w:left="640"/>
        <w:spacing w:after="0"/>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2018) (Commission File No. 001-33622).</w:t>
        </w:r>
      </w:hyperlink>
    </w:p>
    <w:p>
      <w:pPr>
        <w:spacing w:after="0" w:line="7" w:lineRule="exact"/>
        <w:rPr>
          <w:sz w:val="20"/>
          <w:szCs w:val="20"/>
          <w:color w:val="auto"/>
        </w:rPr>
      </w:pPr>
    </w:p>
    <w:p>
      <w:pPr>
        <w:ind w:left="640" w:right="200" w:hanging="534"/>
        <w:spacing w:after="0" w:line="220" w:lineRule="auto"/>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10.8* Form of Indemnification Agreement between the Company and certain members of its Board of Directors (incorporated by reference to</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Exhibit 10.1 to the Company’s Quarterly Report on Form 10-Q for the quarter ended October 28, 2022) (Commission File No. 001-</w:t>
        </w:r>
      </w:hyperlink>
    </w:p>
    <w:p>
      <w:pPr>
        <w:ind w:left="640"/>
        <w:spacing w:after="0"/>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ind w:left="640" w:right="220" w:hanging="534"/>
        <w:spacing w:after="0" w:line="233" w:lineRule="auto"/>
        <w:rPr>
          <w:rFonts w:ascii="Times New Roman" w:cs="Times New Roman" w:eastAsia="Times New Roman" w:hAnsi="Times New Roman"/>
          <w:sz w:val="17"/>
          <w:szCs w:val="17"/>
          <w:u w:val="single" w:color="auto"/>
          <w:color w:val="0000FF"/>
        </w:rPr>
      </w:pPr>
      <w:hyperlink r:id="rId276">
        <w:r>
          <w:rPr>
            <w:rFonts w:ascii="Times New Roman" w:cs="Times New Roman" w:eastAsia="Times New Roman" w:hAnsi="Times New Roman"/>
            <w:sz w:val="17"/>
            <w:szCs w:val="17"/>
            <w:u w:val="single" w:color="auto"/>
            <w:color w:val="0000FF"/>
          </w:rPr>
          <w:t>10.9* Form of Indemnification Agreement between EMC Corporation and each of Jeremy Burton, Howard D. Elias and David I. Goulden</w:t>
        </w:r>
      </w:hyperlink>
      <w:r>
        <w:rPr>
          <w:rFonts w:ascii="Times New Roman" w:cs="Times New Roman" w:eastAsia="Times New Roman" w:hAnsi="Times New Roman"/>
          <w:sz w:val="17"/>
          <w:szCs w:val="17"/>
          <w:u w:val="single" w:color="auto"/>
          <w:color w:val="0000FF"/>
        </w:rPr>
        <w:t xml:space="preserve"> </w:t>
      </w:r>
      <w:hyperlink r:id="rId276">
        <w:r>
          <w:rPr>
            <w:rFonts w:ascii="Times New Roman" w:cs="Times New Roman" w:eastAsia="Times New Roman" w:hAnsi="Times New Roman"/>
            <w:sz w:val="17"/>
            <w:szCs w:val="17"/>
            <w:u w:val="single" w:color="auto"/>
            <w:color w:val="0000FF"/>
          </w:rPr>
          <w:t>(incorporated by reference to Exhibit 10.39 to the Company’s Annual Report on Form 10-K for the fiscal year ended February 3, 2017)</w:t>
        </w:r>
      </w:hyperlink>
    </w:p>
    <w:p>
      <w:pPr>
        <w:ind w:left="640"/>
        <w:spacing w:after="0"/>
        <w:rPr>
          <w:rFonts w:ascii="Times New Roman" w:cs="Times New Roman" w:eastAsia="Times New Roman" w:hAnsi="Times New Roman"/>
          <w:sz w:val="18"/>
          <w:szCs w:val="18"/>
          <w:u w:val="single" w:color="auto"/>
          <w:color w:val="0000FF"/>
        </w:rPr>
      </w:pPr>
      <w:hyperlink r:id="rId276">
        <w:r>
          <w:rPr>
            <w:rFonts w:ascii="Times New Roman" w:cs="Times New Roman" w:eastAsia="Times New Roman" w:hAnsi="Times New Roman"/>
            <w:sz w:val="18"/>
            <w:szCs w:val="18"/>
            <w:u w:val="single" w:color="auto"/>
            <w:color w:val="0000FF"/>
          </w:rPr>
          <w:t>(Commission File No. 001-37867).</w:t>
        </w:r>
      </w:hyperlink>
    </w:p>
    <w:p>
      <w:pPr>
        <w:spacing w:after="0" w:line="7" w:lineRule="exact"/>
        <w:rPr>
          <w:sz w:val="20"/>
          <w:szCs w:val="20"/>
          <w:color w:val="auto"/>
        </w:rPr>
      </w:pPr>
    </w:p>
    <w:p>
      <w:pPr>
        <w:jc w:val="right"/>
        <w:ind w:right="300"/>
        <w:spacing w:after="0" w:line="220" w:lineRule="auto"/>
        <w:rPr>
          <w:rFonts w:ascii="Times New Roman" w:cs="Times New Roman" w:eastAsia="Times New Roman" w:hAnsi="Times New Roman"/>
          <w:sz w:val="18"/>
          <w:szCs w:val="18"/>
          <w:u w:val="single" w:color="auto"/>
          <w:color w:val="0000FF"/>
        </w:rPr>
      </w:pPr>
      <w:hyperlink r:id="rId277">
        <w:r>
          <w:rPr>
            <w:rFonts w:ascii="Times New Roman" w:cs="Times New Roman" w:eastAsia="Times New Roman" w:hAnsi="Times New Roman"/>
            <w:sz w:val="18"/>
            <w:szCs w:val="18"/>
            <w:u w:val="single" w:color="auto"/>
            <w:color w:val="0000FF"/>
          </w:rPr>
          <w:t>10.10*  Form of Indemnification Agreement between Dell Technologies Inc. and certain of its executive officers (incorporated by reference to</w:t>
        </w:r>
      </w:hyperlink>
      <w:r>
        <w:rPr>
          <w:rFonts w:ascii="Times New Roman" w:cs="Times New Roman" w:eastAsia="Times New Roman" w:hAnsi="Times New Roman"/>
          <w:sz w:val="18"/>
          <w:szCs w:val="18"/>
          <w:u w:val="single" w:color="auto"/>
          <w:color w:val="0000FF"/>
        </w:rPr>
        <w:t xml:space="preserve"> </w:t>
      </w:r>
      <w:hyperlink r:id="rId277">
        <w:r>
          <w:rPr>
            <w:rFonts w:ascii="Times New Roman" w:cs="Times New Roman" w:eastAsia="Times New Roman" w:hAnsi="Times New Roman"/>
            <w:sz w:val="18"/>
            <w:szCs w:val="18"/>
            <w:u w:val="single" w:color="auto"/>
            <w:color w:val="0000FF"/>
          </w:rPr>
          <w:t>Exhibit 10.40 to the Company’s Annual Report on Form 10-K for the fiscal year ended February 3, 2017) (Commission File No. 001-</w:t>
        </w:r>
      </w:hyperlink>
    </w:p>
    <w:p>
      <w:pPr>
        <w:ind w:left="640"/>
        <w:spacing w:after="0"/>
        <w:rPr>
          <w:rFonts w:ascii="Times New Roman" w:cs="Times New Roman" w:eastAsia="Times New Roman" w:hAnsi="Times New Roman"/>
          <w:sz w:val="18"/>
          <w:szCs w:val="18"/>
          <w:u w:val="single" w:color="auto"/>
          <w:color w:val="0000FF"/>
        </w:rPr>
      </w:pPr>
      <w:hyperlink r:id="rId277">
        <w:r>
          <w:rPr>
            <w:rFonts w:ascii="Times New Roman" w:cs="Times New Roman" w:eastAsia="Times New Roman" w:hAnsi="Times New Roman"/>
            <w:sz w:val="18"/>
            <w:szCs w:val="18"/>
            <w:u w:val="single" w:color="auto"/>
            <w:color w:val="0000FF"/>
          </w:rPr>
          <w:t>37867).</w:t>
        </w:r>
      </w:hyperlink>
    </w:p>
    <w:p>
      <w:pPr>
        <w:spacing w:after="0" w:line="7" w:lineRule="exact"/>
        <w:rPr>
          <w:sz w:val="20"/>
          <w:szCs w:val="20"/>
          <w:color w:val="auto"/>
        </w:rPr>
      </w:pPr>
    </w:p>
    <w:p>
      <w:pPr>
        <w:ind w:left="640" w:right="220" w:hanging="618"/>
        <w:spacing w:after="0" w:line="233" w:lineRule="auto"/>
        <w:rPr>
          <w:rFonts w:ascii="Times New Roman" w:cs="Times New Roman" w:eastAsia="Times New Roman" w:hAnsi="Times New Roman"/>
          <w:sz w:val="17"/>
          <w:szCs w:val="17"/>
          <w:u w:val="single" w:color="auto"/>
          <w:color w:val="0000FF"/>
        </w:rPr>
      </w:pPr>
      <w:hyperlink r:id="rId278">
        <w:r>
          <w:rPr>
            <w:rFonts w:ascii="Times New Roman" w:cs="Times New Roman" w:eastAsia="Times New Roman" w:hAnsi="Times New Roman"/>
            <w:sz w:val="17"/>
            <w:szCs w:val="17"/>
            <w:u w:val="single" w:color="auto"/>
            <w:color w:val="0000FF"/>
          </w:rPr>
          <w:t>10.11* Form of EMC Corporation Deferred Compensation Retirement Plan, as amended and restated, effective as of January 1, 2016</w:t>
        </w:r>
      </w:hyperlink>
      <w:r>
        <w:rPr>
          <w:rFonts w:ascii="Times New Roman" w:cs="Times New Roman" w:eastAsia="Times New Roman" w:hAnsi="Times New Roman"/>
          <w:sz w:val="17"/>
          <w:szCs w:val="17"/>
          <w:u w:val="single" w:color="auto"/>
          <w:color w:val="0000FF"/>
        </w:rPr>
        <w:t xml:space="preserve"> </w:t>
      </w:r>
      <w:hyperlink r:id="rId278">
        <w:r>
          <w:rPr>
            <w:rFonts w:ascii="Times New Roman" w:cs="Times New Roman" w:eastAsia="Times New Roman" w:hAnsi="Times New Roman"/>
            <w:sz w:val="17"/>
            <w:szCs w:val="17"/>
            <w:u w:val="single" w:color="auto"/>
            <w:color w:val="0000FF"/>
          </w:rPr>
          <w:t>(incorporated by reference to Exhibit 10.41 to the Company’s Annual Report on Form 10-K for the fiscal year ended February 3, 2017)</w:t>
        </w:r>
      </w:hyperlink>
    </w:p>
    <w:p>
      <w:pPr>
        <w:ind w:left="640"/>
        <w:spacing w:after="0"/>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(Commission File No. 001-37867).</w:t>
        </w:r>
      </w:hyperlink>
    </w:p>
    <w:p>
      <w:pPr>
        <w:spacing w:after="0" w:line="7" w:lineRule="exact"/>
        <w:rPr>
          <w:sz w:val="20"/>
          <w:szCs w:val="20"/>
          <w:color w:val="auto"/>
        </w:rPr>
      </w:pPr>
    </w:p>
    <w:p>
      <w:pPr>
        <w:ind w:left="640" w:right="120" w:hanging="624"/>
        <w:spacing w:after="0" w:line="234" w:lineRule="auto"/>
        <w:rPr>
          <w:rFonts w:ascii="Times New Roman" w:cs="Times New Roman" w:eastAsia="Times New Roman" w:hAnsi="Times New Roman"/>
          <w:sz w:val="18"/>
          <w:szCs w:val="18"/>
          <w:u w:val="single" w:color="auto"/>
          <w:color w:val="0000FF"/>
        </w:rPr>
      </w:pPr>
      <w:hyperlink r:id="rId279">
        <w:r>
          <w:rPr>
            <w:rFonts w:ascii="Times New Roman" w:cs="Times New Roman" w:eastAsia="Times New Roman" w:hAnsi="Times New Roman"/>
            <w:sz w:val="18"/>
            <w:szCs w:val="18"/>
            <w:u w:val="single" w:color="auto"/>
            <w:color w:val="0000FF"/>
          </w:rPr>
          <w:t>10.12* Form of Dell Deferred Compensation Plan, effective as of January 1, 2017 (incorporated by reference to Exhibit 10.42 to the Company’s</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Annual Report on Form 10-K for the fiscal year ended February 3, 2017) (Commission File No. 001-37867).</w:t>
        </w:r>
      </w:hyperlink>
    </w:p>
    <w:p>
      <w:pPr>
        <w:spacing w:after="0" w:line="10" w:lineRule="exact"/>
        <w:rPr>
          <w:sz w:val="20"/>
          <w:szCs w:val="20"/>
          <w:color w:val="auto"/>
        </w:rPr>
      </w:pPr>
    </w:p>
    <w:p>
      <w:pPr>
        <w:jc w:val="right"/>
        <w:ind w:right="200"/>
        <w:spacing w:after="0" w:line="222" w:lineRule="auto"/>
        <w:rPr>
          <w:rFonts w:ascii="Times New Roman" w:cs="Times New Roman" w:eastAsia="Times New Roman" w:hAnsi="Times New Roman"/>
          <w:sz w:val="18"/>
          <w:szCs w:val="18"/>
          <w:u w:val="single" w:color="auto"/>
          <w:color w:val="0000FF"/>
        </w:rPr>
      </w:pPr>
      <w:hyperlink r:id="rId280">
        <w:r>
          <w:rPr>
            <w:rFonts w:ascii="Times New Roman" w:cs="Times New Roman" w:eastAsia="Times New Roman" w:hAnsi="Times New Roman"/>
            <w:sz w:val="18"/>
            <w:szCs w:val="18"/>
            <w:u w:val="single" w:color="auto"/>
            <w:color w:val="0000FF"/>
          </w:rPr>
          <w:t>10.13*  Form of Protection of Sensitive Information, Noncompetition and Nonsolicitation Agreement between Dell Inc. and each of Howard D.</w:t>
        </w:r>
      </w:hyperlink>
      <w:r>
        <w:rPr>
          <w:rFonts w:ascii="Times New Roman" w:cs="Times New Roman" w:eastAsia="Times New Roman" w:hAnsi="Times New Roman"/>
          <w:sz w:val="18"/>
          <w:szCs w:val="18"/>
          <w:u w:val="single" w:color="auto"/>
          <w:color w:val="0000FF"/>
        </w:rPr>
        <w:t xml:space="preserve"> </w:t>
      </w:r>
      <w:hyperlink r:id="rId280">
        <w:r>
          <w:rPr>
            <w:rFonts w:ascii="Times New Roman" w:cs="Times New Roman" w:eastAsia="Times New Roman" w:hAnsi="Times New Roman"/>
            <w:sz w:val="18"/>
            <w:szCs w:val="18"/>
            <w:u w:val="single" w:color="auto"/>
            <w:color w:val="0000FF"/>
          </w:rPr>
          <w:t>Elias and William F. Scannell (incorporated by reference to Exhibit 10.47 to the Company’s Annual Report on Form 10-K for the fiscal</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80">
        <w:r>
          <w:rPr>
            <w:rFonts w:ascii="Times New Roman" w:cs="Times New Roman" w:eastAsia="Times New Roman" w:hAnsi="Times New Roman"/>
            <w:sz w:val="18"/>
            <w:szCs w:val="18"/>
            <w:u w:val="single" w:color="auto"/>
            <w:color w:val="0000FF"/>
          </w:rPr>
          <w:t>year ended February 2, 2018) (Commission File No. 001-37867).</w:t>
        </w:r>
      </w:hyperlink>
    </w:p>
    <w:p>
      <w:pPr>
        <w:spacing w:after="0" w:line="7" w:lineRule="exact"/>
        <w:rPr>
          <w:sz w:val="20"/>
          <w:szCs w:val="20"/>
          <w:color w:val="auto"/>
        </w:rPr>
      </w:pPr>
    </w:p>
    <w:p>
      <w:pPr>
        <w:ind w:left="640" w:right="140" w:hanging="624"/>
        <w:spacing w:after="0" w:line="234" w:lineRule="auto"/>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10.14* Offer Letter to William F. Scannell, dated August 12, 2016 (incorporated by reference to Exhibit 10.51 to the Company’s Annual Report</w:t>
        </w:r>
      </w:hyperlink>
      <w:r>
        <w:rPr>
          <w:rFonts w:ascii="Times New Roman" w:cs="Times New Roman" w:eastAsia="Times New Roman" w:hAnsi="Times New Roman"/>
          <w:sz w:val="18"/>
          <w:szCs w:val="18"/>
          <w:u w:val="single" w:color="auto"/>
          <w:color w:val="0000FF"/>
        </w:rPr>
        <w:t xml:space="preserve"> </w:t>
      </w:r>
      <w:hyperlink r:id="rId281">
        <w:r>
          <w:rPr>
            <w:rFonts w:ascii="Times New Roman" w:cs="Times New Roman" w:eastAsia="Times New Roman" w:hAnsi="Times New Roman"/>
            <w:sz w:val="18"/>
            <w:szCs w:val="18"/>
            <w:u w:val="single" w:color="auto"/>
            <w:color w:val="0000FF"/>
          </w:rPr>
          <w:t>on Form 10-K for the fiscal year ended February 2, 2018) (Commission File No. 001-37867).</w:t>
        </w:r>
      </w:hyperlink>
    </w:p>
    <w:p>
      <w:pPr>
        <w:spacing w:after="0" w:line="10" w:lineRule="exact"/>
        <w:rPr>
          <w:sz w:val="20"/>
          <w:szCs w:val="20"/>
          <w:color w:val="auto"/>
        </w:rPr>
      </w:pPr>
    </w:p>
    <w:p>
      <w:pPr>
        <w:ind w:left="640" w:right="400" w:hanging="624"/>
        <w:spacing w:after="0" w:line="222" w:lineRule="auto"/>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10.15* Form of Amended and Restated Stock Option Agreement-Performance Vesting Option for grants to executive officers under the Dell</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Technologies Inc. 2013 Stock Incentive Plan (incorporated by reference to Exhibit 10.10 to Amendment No. 2 to the Company’s</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Registration Statement on Form S-4 filed with the Commission on October 4, 2018) (Registration No. 333-226618).</w:t>
        </w:r>
      </w:hyperlink>
    </w:p>
    <w:p>
      <w:pPr>
        <w:spacing w:after="0" w:line="7" w:lineRule="exact"/>
        <w:rPr>
          <w:sz w:val="20"/>
          <w:szCs w:val="20"/>
          <w:color w:val="auto"/>
        </w:rPr>
      </w:pPr>
    </w:p>
    <w:p>
      <w:pPr>
        <w:ind w:left="640" w:right="720" w:hanging="624"/>
        <w:spacing w:after="0" w:line="233" w:lineRule="auto"/>
        <w:rPr>
          <w:rFonts w:ascii="Times New Roman" w:cs="Times New Roman" w:eastAsia="Times New Roman" w:hAnsi="Times New Roman"/>
          <w:sz w:val="17"/>
          <w:szCs w:val="17"/>
          <w:u w:val="single" w:color="auto"/>
          <w:color w:val="0000FF"/>
        </w:rPr>
      </w:pPr>
      <w:hyperlink r:id="rId283">
        <w:r>
          <w:rPr>
            <w:rFonts w:ascii="Times New Roman" w:cs="Times New Roman" w:eastAsia="Times New Roman" w:hAnsi="Times New Roman"/>
            <w:sz w:val="17"/>
            <w:szCs w:val="17"/>
            <w:u w:val="single" w:color="auto"/>
            <w:color w:val="0000FF"/>
          </w:rPr>
          <w:t>10.16* Form of Amended and Restated Stock Option Agreement-Performance Vesting Option for grants to employees under the Dell</w:t>
        </w:r>
      </w:hyperlink>
      <w:r>
        <w:rPr>
          <w:rFonts w:ascii="Times New Roman" w:cs="Times New Roman" w:eastAsia="Times New Roman" w:hAnsi="Times New Roman"/>
          <w:sz w:val="17"/>
          <w:szCs w:val="17"/>
          <w:u w:val="single" w:color="auto"/>
          <w:color w:val="0000FF"/>
        </w:rPr>
        <w:t xml:space="preserve"> </w:t>
      </w:r>
      <w:hyperlink r:id="rId283">
        <w:r>
          <w:rPr>
            <w:rFonts w:ascii="Times New Roman" w:cs="Times New Roman" w:eastAsia="Times New Roman" w:hAnsi="Times New Roman"/>
            <w:sz w:val="17"/>
            <w:szCs w:val="17"/>
            <w:u w:val="single" w:color="auto"/>
            <w:color w:val="0000FF"/>
          </w:rPr>
          <w:t>Technologies Inc. 2013 Stock Incentive Plan (incorporated by reference to Exhibit 10.11 to Amendment No. 2 to the Company’s</w:t>
        </w:r>
      </w:hyperlink>
    </w:p>
    <w:p>
      <w:pPr>
        <w:jc w:val="center"/>
        <w:ind w:right="980"/>
        <w:spacing w:after="0"/>
        <w:rPr>
          <w:rFonts w:ascii="Times New Roman" w:cs="Times New Roman" w:eastAsia="Times New Roman" w:hAnsi="Times New Roman"/>
          <w:sz w:val="18"/>
          <w:szCs w:val="18"/>
          <w:u w:val="single" w:color="auto"/>
          <w:color w:val="0000FF"/>
        </w:rPr>
      </w:pPr>
      <w:hyperlink r:id="rId283">
        <w:r>
          <w:rPr>
            <w:rFonts w:ascii="Times New Roman" w:cs="Times New Roman" w:eastAsia="Times New Roman" w:hAnsi="Times New Roman"/>
            <w:sz w:val="18"/>
            <w:szCs w:val="18"/>
            <w:u w:val="single" w:color="auto"/>
            <w:color w:val="0000FF"/>
          </w:rPr>
          <w:t>Registration Statement on Form S-4 filed with the Commission on October 4, 2018) (Registration No. 333-226618).</w:t>
        </w:r>
      </w:hyperlink>
    </w:p>
    <w:p>
      <w:pPr>
        <w:spacing w:after="0" w:line="7" w:lineRule="exact"/>
        <w:rPr>
          <w:sz w:val="20"/>
          <w:szCs w:val="20"/>
          <w:color w:val="auto"/>
        </w:rPr>
      </w:pPr>
    </w:p>
    <w:p>
      <w:pPr>
        <w:ind w:left="640" w:right="700" w:hanging="624"/>
        <w:spacing w:after="0" w:line="233" w:lineRule="auto"/>
        <w:rPr>
          <w:rFonts w:ascii="Times New Roman" w:cs="Times New Roman" w:eastAsia="Times New Roman" w:hAnsi="Times New Roman"/>
          <w:sz w:val="17"/>
          <w:szCs w:val="17"/>
          <w:u w:val="single" w:color="auto"/>
          <w:color w:val="0000FF"/>
        </w:rPr>
      </w:pPr>
      <w:hyperlink r:id="rId284">
        <w:r>
          <w:rPr>
            <w:rFonts w:ascii="Times New Roman" w:cs="Times New Roman" w:eastAsia="Times New Roman" w:hAnsi="Times New Roman"/>
            <w:sz w:val="17"/>
            <w:szCs w:val="17"/>
            <w:u w:val="single" w:color="auto"/>
            <w:color w:val="0000FF"/>
          </w:rPr>
          <w:t>10.17* Form of Amended and Restated Stock Option Agreement-Time Vesting Option for grants to executive officers under the Dell</w:t>
        </w:r>
      </w:hyperlink>
      <w:r>
        <w:rPr>
          <w:rFonts w:ascii="Times New Roman" w:cs="Times New Roman" w:eastAsia="Times New Roman" w:hAnsi="Times New Roman"/>
          <w:sz w:val="17"/>
          <w:szCs w:val="17"/>
          <w:u w:val="single" w:color="auto"/>
          <w:color w:val="0000FF"/>
        </w:rPr>
        <w:t xml:space="preserve"> </w:t>
      </w:r>
      <w:hyperlink r:id="rId284">
        <w:r>
          <w:rPr>
            <w:rFonts w:ascii="Times New Roman" w:cs="Times New Roman" w:eastAsia="Times New Roman" w:hAnsi="Times New Roman"/>
            <w:sz w:val="17"/>
            <w:szCs w:val="17"/>
            <w:u w:val="single" w:color="auto"/>
            <w:color w:val="0000FF"/>
          </w:rPr>
          <w:t>Technologies Inc. 2013 Stock Incentive Plan (incorporated by reference to Exhibit 10.12 to Amendment No. 2 to the Company’s</w:t>
        </w:r>
      </w:hyperlink>
    </w:p>
    <w:p>
      <w:pPr>
        <w:ind w:left="640"/>
        <w:spacing w:after="0"/>
        <w:rPr>
          <w:rFonts w:ascii="Times New Roman" w:cs="Times New Roman" w:eastAsia="Times New Roman" w:hAnsi="Times New Roman"/>
          <w:sz w:val="18"/>
          <w:szCs w:val="18"/>
          <w:u w:val="single" w:color="auto"/>
          <w:color w:val="0000FF"/>
        </w:rPr>
      </w:pPr>
      <w:hyperlink r:id="rId284">
        <w:r>
          <w:rPr>
            <w:rFonts w:ascii="Times New Roman" w:cs="Times New Roman" w:eastAsia="Times New Roman" w:hAnsi="Times New Roman"/>
            <w:sz w:val="18"/>
            <w:szCs w:val="18"/>
            <w:u w:val="single" w:color="auto"/>
            <w:color w:val="0000FF"/>
          </w:rPr>
          <w:t>Registration Statement on Form S-4 filed with the Commission on October 4, 2018) (Registration No. 333-226618).</w:t>
        </w:r>
      </w:hyperlink>
    </w:p>
    <w:p>
      <w:pPr>
        <w:jc w:val="right"/>
        <w:ind w:right="120"/>
        <w:spacing w:after="0" w:line="229"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10.18*  Form of Amended and Restated Stock Option Agreement-Time Vesting Option for grants to employees under the Dell Technologies Inc.</w:t>
        </w:r>
      </w:hyperlink>
    </w:p>
    <w:p>
      <w:pPr>
        <w:jc w:val="right"/>
        <w:ind w:right="120"/>
        <w:spacing w:after="0" w:line="219"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2013 Stock Incentive Plan (incorporated by reference to Exhibit 10.13 to Amendment No. 2 to the Company’s Registration Statement on</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spacing w:after="0" w:line="229" w:lineRule="auto"/>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10.19*  Form of Amended and Restated Dell Performance Award Agreement for grants to executive officers under the Dell Technologies Inc.</w:t>
        </w:r>
      </w:hyperlink>
    </w:p>
    <w:p>
      <w:pPr>
        <w:ind w:left="640"/>
        <w:spacing w:after="0" w:line="219" w:lineRule="auto"/>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2013 Stock Incentive Plan (incorporated by reference to Exhibit 10.14 to Amendment No. 2 to the Company’s Registration Statement on</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spacing w:after="0" w:line="7" w:lineRule="exact"/>
        <w:rPr>
          <w:sz w:val="20"/>
          <w:szCs w:val="20"/>
          <w:color w:val="auto"/>
        </w:rPr>
      </w:pPr>
    </w:p>
    <w:p>
      <w:pPr>
        <w:ind w:left="640" w:hanging="624"/>
        <w:spacing w:after="0" w:line="220" w:lineRule="auto"/>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10.20* Form of Amended and Restated Dell Performance Award Agreement for grants to employees under the Dell Technologies Inc. 2013 Stock</w:t>
        </w:r>
      </w:hyperlink>
      <w:r>
        <w:rPr>
          <w:rFonts w:ascii="Times New Roman" w:cs="Times New Roman" w:eastAsia="Times New Roman" w:hAnsi="Times New Roman"/>
          <w:sz w:val="18"/>
          <w:szCs w:val="18"/>
          <w:u w:val="single" w:color="auto"/>
          <w:color w:val="0000FF"/>
        </w:rPr>
        <w:t xml:space="preserve"> </w:t>
      </w:r>
      <w:hyperlink r:id="rId287">
        <w:r>
          <w:rPr>
            <w:rFonts w:ascii="Times New Roman" w:cs="Times New Roman" w:eastAsia="Times New Roman" w:hAnsi="Times New Roman"/>
            <w:sz w:val="18"/>
            <w:szCs w:val="18"/>
            <w:u w:val="single" w:color="auto"/>
            <w:color w:val="0000FF"/>
          </w:rPr>
          <w:t>Incentive Plan (incorporated by reference to Exhibit 10.15 to Amendment No. 2 to the Company’s Registration Statement on Form S-4</w:t>
        </w:r>
      </w:hyperlink>
    </w:p>
    <w:p>
      <w:pPr>
        <w:ind w:left="640"/>
        <w:spacing w:after="0"/>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filed with the Commission on October 4, 2018) (Registration No. 333-226618).</w:t>
        </w:r>
      </w:hyperlink>
    </w:p>
    <w:p>
      <w:pPr>
        <w:spacing w:after="0" w:line="7" w:lineRule="exact"/>
        <w:rPr>
          <w:sz w:val="20"/>
          <w:szCs w:val="20"/>
          <w:color w:val="auto"/>
        </w:rPr>
      </w:pPr>
    </w:p>
    <w:p>
      <w:pPr>
        <w:ind w:left="640" w:right="20" w:hanging="624"/>
        <w:spacing w:after="0" w:line="220" w:lineRule="auto"/>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10.21* Form of Amended and Restated Dell Time Award Agreement for grants to executive officers under the Dell Technologies Inc. 2013 Stock</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Incentive Plan (incorporated by reference to Exhibit 10.16 to Amendment No. 2 to the Company’s Registration Statement on Form S-4</w:t>
        </w:r>
      </w:hyperlink>
    </w:p>
    <w:p>
      <w:pPr>
        <w:ind w:left="640"/>
        <w:spacing w:after="0"/>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filed with the Commission on October 4, 2018) (Registration No. 333-226618).</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227330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00" w:top="1134" w:right="399" w:bottom="1440" w:gutter="0" w:footer="0" w:header="0"/>
        </w:sectPr>
      </w:pPr>
    </w:p>
    <w:bookmarkStart w:id="160" w:name="page161"/>
    <w:bookmarkEnd w:id="160"/>
    <w:p>
      <w:pPr>
        <w:ind w:left="640" w:right="260" w:hanging="624"/>
        <w:spacing w:after="0" w:line="236" w:lineRule="auto"/>
        <w:rPr>
          <w:rFonts w:ascii="Times New Roman" w:cs="Times New Roman" w:eastAsia="Times New Roman" w:hAnsi="Times New Roman"/>
          <w:sz w:val="17"/>
          <w:szCs w:val="17"/>
          <w:u w:val="single" w:color="auto"/>
          <w:color w:val="0000FF"/>
        </w:rPr>
      </w:pPr>
      <w:hyperlink r:id="rId290">
        <w:r>
          <w:rPr>
            <w:rFonts w:ascii="Times New Roman" w:cs="Times New Roman" w:eastAsia="Times New Roman" w:hAnsi="Times New Roman"/>
            <w:sz w:val="17"/>
            <w:szCs w:val="17"/>
            <w:u w:val="single" w:color="auto"/>
            <w:color w:val="0000FF"/>
          </w:rPr>
          <w:t>10.22* Form of Amended and Restated Dell Time Award Agreement for grants to employees under the Dell Technologies Inc. 2013 Stock</w:t>
        </w:r>
      </w:hyperlink>
      <w:r>
        <w:rPr>
          <w:rFonts w:ascii="Times New Roman" w:cs="Times New Roman" w:eastAsia="Times New Roman" w:hAnsi="Times New Roman"/>
          <w:sz w:val="17"/>
          <w:szCs w:val="17"/>
          <w:u w:val="single" w:color="auto"/>
          <w:color w:val="0000FF"/>
        </w:rPr>
        <w:t xml:space="preserve"> </w:t>
      </w:r>
      <w:hyperlink r:id="rId290">
        <w:r>
          <w:rPr>
            <w:rFonts w:ascii="Times New Roman" w:cs="Times New Roman" w:eastAsia="Times New Roman" w:hAnsi="Times New Roman"/>
            <w:sz w:val="17"/>
            <w:szCs w:val="17"/>
            <w:u w:val="single" w:color="auto"/>
            <w:color w:val="0000FF"/>
          </w:rPr>
          <w:t>Incentive Plan (incorporated by reference to Exhibit 10.17 to Amendment No. 2 to the Company’s Registration Statement on Form S-4</w:t>
        </w:r>
      </w:hyperlink>
    </w:p>
    <w:p>
      <w:pPr>
        <w:ind w:left="640"/>
        <w:spacing w:after="0"/>
        <w:rPr>
          <w:rFonts w:ascii="Times New Roman" w:cs="Times New Roman" w:eastAsia="Times New Roman" w:hAnsi="Times New Roman"/>
          <w:sz w:val="18"/>
          <w:szCs w:val="18"/>
          <w:u w:val="single" w:color="auto"/>
          <w:color w:val="0000FF"/>
        </w:rPr>
      </w:pPr>
      <w:hyperlink r:id="rId290">
        <w:r>
          <w:rPr>
            <w:rFonts w:ascii="Times New Roman" w:cs="Times New Roman" w:eastAsia="Times New Roman" w:hAnsi="Times New Roman"/>
            <w:sz w:val="18"/>
            <w:szCs w:val="18"/>
            <w:u w:val="single" w:color="auto"/>
            <w:color w:val="0000FF"/>
          </w:rPr>
          <w:t>filed with the Commission on October 4, 2018) (Registration No. 333-226618).</w:t>
        </w:r>
      </w:hyperlink>
    </w:p>
    <w:p>
      <w:pPr>
        <w:spacing w:after="0" w:line="229"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10.23*  Form of Amended and Restated Dell Deferred Time Award Agreement for Non-Employee Directors under the Dell Technologies Inc.</w:t>
        </w:r>
      </w:hyperlink>
    </w:p>
    <w:p>
      <w:pPr>
        <w:ind w:left="640"/>
        <w:spacing w:after="0" w:line="219"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2013 Stock Incentive Plan (incorporated by reference to Exhibit 10.18 to Amendment No. 2 to the Company’s Registration Statement on</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jc w:val="right"/>
        <w:ind w:right="180"/>
        <w:spacing w:after="0" w:line="229" w:lineRule="auto"/>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10.24*  Form of Amended and Restated Stock Option Agreement for Non-Employee Directors (Annual Grant) under the Dell Technologies Inc.</w:t>
        </w:r>
      </w:hyperlink>
    </w:p>
    <w:p>
      <w:pPr>
        <w:jc w:val="right"/>
        <w:ind w:right="140"/>
        <w:spacing w:after="0" w:line="219" w:lineRule="auto"/>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2013 Stock Incentive Plan (incorporated by reference to Exhibit 10.19 to Amendment No. 2 to the Company’s Registration Statement on</w:t>
        </w:r>
      </w:hyperlink>
    </w:p>
    <w:p>
      <w:pPr>
        <w:spacing w:after="0" w:line="1" w:lineRule="exact"/>
        <w:rPr>
          <w:sz w:val="20"/>
          <w:szCs w:val="20"/>
          <w:color w:val="auto"/>
        </w:rPr>
      </w:pPr>
    </w:p>
    <w:p>
      <w:pPr>
        <w:ind w:left="640"/>
        <w:spacing w:after="0"/>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Form S-4 filed with the Commission on October 4, 2018) (Registration No. 333-226618).</w:t>
        </w:r>
      </w:hyperlink>
    </w:p>
    <w:p>
      <w:pPr>
        <w:spacing w:after="0" w:line="7" w:lineRule="exact"/>
        <w:rPr>
          <w:sz w:val="20"/>
          <w:szCs w:val="20"/>
          <w:color w:val="auto"/>
        </w:rPr>
      </w:pPr>
    </w:p>
    <w:p>
      <w:pPr>
        <w:jc w:val="right"/>
        <w:ind w:right="240"/>
        <w:spacing w:after="0" w:line="220" w:lineRule="auto"/>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10.25*  Form of Stock Option Agreement for Non-Employee Directors (Sign-On Grant) under the Dell Technologies Inc. 2013 Stock Incentive</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Plan (incorporated by reference to Exhibit 10.20 to Amendment No. 2 to the Company’s Registration Statement on Form S-4 filed with</w:t>
        </w:r>
      </w:hyperlink>
    </w:p>
    <w:p>
      <w:pPr>
        <w:ind w:left="640"/>
        <w:spacing w:after="0"/>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the Commission on October 4, 2018) (Registration No. 333-226618).</w:t>
        </w:r>
      </w:hyperlink>
    </w:p>
    <w:p>
      <w:pPr>
        <w:spacing w:after="0" w:line="7" w:lineRule="exact"/>
        <w:rPr>
          <w:sz w:val="20"/>
          <w:szCs w:val="20"/>
          <w:color w:val="auto"/>
        </w:rPr>
      </w:pPr>
    </w:p>
    <w:p>
      <w:pPr>
        <w:ind w:left="640" w:right="40" w:hanging="624"/>
        <w:spacing w:after="0" w:line="233" w:lineRule="auto"/>
        <w:rPr>
          <w:rFonts w:ascii="Times New Roman" w:cs="Times New Roman" w:eastAsia="Times New Roman" w:hAnsi="Times New Roman"/>
          <w:sz w:val="17"/>
          <w:szCs w:val="17"/>
          <w:u w:val="single" w:color="auto"/>
          <w:color w:val="0000FF"/>
        </w:rPr>
      </w:pPr>
      <w:hyperlink r:id="rId294">
        <w:r>
          <w:rPr>
            <w:rFonts w:ascii="Times New Roman" w:cs="Times New Roman" w:eastAsia="Times New Roman" w:hAnsi="Times New Roman"/>
            <w:sz w:val="17"/>
            <w:szCs w:val="17"/>
            <w:u w:val="single" w:color="auto"/>
            <w:color w:val="0000FF"/>
          </w:rPr>
          <w:t>10.26* Form of Amended and Restated Stock Option Agreement for grants to executive officers (Rollover Option) under the Dell Technologies</w:t>
        </w:r>
      </w:hyperlink>
      <w:r>
        <w:rPr>
          <w:rFonts w:ascii="Times New Roman" w:cs="Times New Roman" w:eastAsia="Times New Roman" w:hAnsi="Times New Roman"/>
          <w:sz w:val="17"/>
          <w:szCs w:val="17"/>
          <w:u w:val="single" w:color="auto"/>
          <w:color w:val="0000FF"/>
        </w:rPr>
        <w:t xml:space="preserve"> </w:t>
      </w:r>
      <w:hyperlink r:id="rId294">
        <w:r>
          <w:rPr>
            <w:rFonts w:ascii="Times New Roman" w:cs="Times New Roman" w:eastAsia="Times New Roman" w:hAnsi="Times New Roman"/>
            <w:sz w:val="17"/>
            <w:szCs w:val="17"/>
            <w:u w:val="single" w:color="auto"/>
            <w:color w:val="0000FF"/>
          </w:rPr>
          <w:t>Inc. 2013 Stock Incentive Plan (incorporated by reference to Exhibit 10.21 to Amendment No. 2 to the Company’s Registration Statement</w:t>
        </w:r>
      </w:hyperlink>
    </w:p>
    <w:p>
      <w:pPr>
        <w:ind w:left="640"/>
        <w:spacing w:after="0"/>
        <w:rPr>
          <w:rFonts w:ascii="Times New Roman" w:cs="Times New Roman" w:eastAsia="Times New Roman" w:hAnsi="Times New Roman"/>
          <w:sz w:val="18"/>
          <w:szCs w:val="18"/>
          <w:u w:val="single" w:color="auto"/>
          <w:color w:val="0000FF"/>
        </w:rPr>
      </w:pPr>
      <w:hyperlink r:id="rId294">
        <w:r>
          <w:rPr>
            <w:rFonts w:ascii="Times New Roman" w:cs="Times New Roman" w:eastAsia="Times New Roman" w:hAnsi="Times New Roman"/>
            <w:sz w:val="18"/>
            <w:szCs w:val="18"/>
            <w:u w:val="single" w:color="auto"/>
            <w:color w:val="0000FF"/>
          </w:rPr>
          <w:t>on Form S-4 filed with the Commission on October 4, 2018) (Registration No. 333-226618).</w:t>
        </w:r>
      </w:hyperlink>
    </w:p>
    <w:p>
      <w:pPr>
        <w:spacing w:after="0" w:line="7" w:lineRule="exact"/>
        <w:rPr>
          <w:sz w:val="20"/>
          <w:szCs w:val="20"/>
          <w:color w:val="auto"/>
        </w:rPr>
      </w:pPr>
    </w:p>
    <w:p>
      <w:pPr>
        <w:jc w:val="center"/>
        <w:ind w:right="100"/>
        <w:spacing w:after="0" w:line="234" w:lineRule="auto"/>
        <w:rPr>
          <w:rFonts w:ascii="Times New Roman" w:cs="Times New Roman" w:eastAsia="Times New Roman" w:hAnsi="Times New Roman"/>
          <w:sz w:val="18"/>
          <w:szCs w:val="18"/>
          <w:u w:val="single" w:color="auto"/>
          <w:color w:val="0000FF"/>
        </w:rPr>
      </w:pPr>
      <w:hyperlink r:id="rId295">
        <w:r>
          <w:rPr>
            <w:rFonts w:ascii="Times New Roman" w:cs="Times New Roman" w:eastAsia="Times New Roman" w:hAnsi="Times New Roman"/>
            <w:sz w:val="18"/>
            <w:szCs w:val="18"/>
            <w:u w:val="single" w:color="auto"/>
            <w:color w:val="0000FF"/>
          </w:rPr>
          <w:t>10.27*  Dell Technologies Inc. 2013 Stock Incentive Plan (as amended and restated as of July 9, 2019) (incorporated by reference to Exhibit 10.1</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to the Company’s Current Report on Form 8-K filed with the Commission on July 11, 2019) (Commission File No. 001-37867).</w:t>
        </w:r>
      </w:hyperlink>
    </w:p>
    <w:p>
      <w:pPr>
        <w:spacing w:after="0" w:line="10" w:lineRule="exact"/>
        <w:rPr>
          <w:sz w:val="20"/>
          <w:szCs w:val="20"/>
          <w:color w:val="auto"/>
        </w:rPr>
      </w:pPr>
    </w:p>
    <w:p>
      <w:pPr>
        <w:ind w:left="640" w:hanging="624"/>
        <w:spacing w:after="0" w:line="237" w:lineRule="auto"/>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10.28* Amended and Restated Compensation Program for Independent Non-Employee Directors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Company’s Quarterly Report on Form 10-Q for the quarterly period ended August 4, 2023) (Commission File No. 001-37867).</w:t>
        </w:r>
      </w:hyperlink>
    </w:p>
    <w:p>
      <w:pPr>
        <w:spacing w:after="0" w:line="10" w:lineRule="exact"/>
        <w:rPr>
          <w:sz w:val="20"/>
          <w:szCs w:val="20"/>
          <w:color w:val="auto"/>
        </w:rPr>
      </w:pPr>
    </w:p>
    <w:p>
      <w:pPr>
        <w:ind w:left="640" w:right="340" w:hanging="534"/>
        <w:spacing w:after="0" w:line="237" w:lineRule="auto"/>
        <w:rPr>
          <w:rFonts w:ascii="Times New Roman" w:cs="Times New Roman" w:eastAsia="Times New Roman" w:hAnsi="Times New Roman"/>
          <w:sz w:val="18"/>
          <w:szCs w:val="18"/>
          <w:u w:val="single" w:color="auto"/>
          <w:color w:val="0000FF"/>
        </w:rPr>
      </w:pPr>
      <w:hyperlink r:id="rId297">
        <w:r>
          <w:rPr>
            <w:rFonts w:ascii="Times New Roman" w:cs="Times New Roman" w:eastAsia="Times New Roman" w:hAnsi="Times New Roman"/>
            <w:sz w:val="18"/>
            <w:szCs w:val="18"/>
            <w:u w:val="single" w:color="auto"/>
            <w:color w:val="0000FF"/>
          </w:rPr>
          <w:t>10.29 Letter Agreement, dated as of July 1, 2018, between the Company and VMware, Inc. (incorporated by reference to Exhibit 10.2 to the</w:t>
        </w:r>
      </w:hyperlink>
      <w:r>
        <w:rPr>
          <w:rFonts w:ascii="Times New Roman" w:cs="Times New Roman" w:eastAsia="Times New Roman" w:hAnsi="Times New Roman"/>
          <w:sz w:val="18"/>
          <w:szCs w:val="18"/>
          <w:u w:val="single" w:color="auto"/>
          <w:color w:val="0000FF"/>
        </w:rPr>
        <w:t xml:space="preserve"> </w:t>
      </w:r>
      <w:hyperlink r:id="rId297">
        <w:r>
          <w:rPr>
            <w:rFonts w:ascii="Times New Roman" w:cs="Times New Roman" w:eastAsia="Times New Roman" w:hAnsi="Times New Roman"/>
            <w:sz w:val="18"/>
            <w:szCs w:val="18"/>
            <w:u w:val="single" w:color="auto"/>
            <w:color w:val="0000FF"/>
          </w:rPr>
          <w:t>Company’s Current Report on Form 8-K filed with the Commission on July 2, 2018) (Commission File No. 001-37867).</w:t>
        </w:r>
      </w:hyperlink>
    </w:p>
    <w:p>
      <w:pPr>
        <w:spacing w:after="0" w:line="10" w:lineRule="exact"/>
        <w:rPr>
          <w:sz w:val="20"/>
          <w:szCs w:val="20"/>
          <w:color w:val="auto"/>
        </w:rPr>
      </w:pPr>
    </w:p>
    <w:p>
      <w:pPr>
        <w:ind w:left="640" w:right="580" w:hanging="534"/>
        <w:spacing w:after="0" w:line="256" w:lineRule="auto"/>
        <w:rPr>
          <w:rFonts w:ascii="Times New Roman" w:cs="Times New Roman" w:eastAsia="Times New Roman" w:hAnsi="Times New Roman"/>
          <w:sz w:val="17"/>
          <w:szCs w:val="17"/>
          <w:u w:val="single" w:color="auto"/>
          <w:color w:val="0000FF"/>
        </w:rPr>
      </w:pPr>
      <w:hyperlink r:id="rId298">
        <w:r>
          <w:rPr>
            <w:rFonts w:ascii="Times New Roman" w:cs="Times New Roman" w:eastAsia="Times New Roman" w:hAnsi="Times New Roman"/>
            <w:sz w:val="17"/>
            <w:szCs w:val="17"/>
            <w:u w:val="single" w:color="auto"/>
            <w:color w:val="0000FF"/>
          </w:rPr>
          <w:t>10.30 Waiver, dated as of November 14, 2018, among the Company and VMware, Inc. (incorporated by reference to Exhibit 10.6 to the</w:t>
        </w:r>
      </w:hyperlink>
      <w:r>
        <w:rPr>
          <w:rFonts w:ascii="Times New Roman" w:cs="Times New Roman" w:eastAsia="Times New Roman" w:hAnsi="Times New Roman"/>
          <w:sz w:val="17"/>
          <w:szCs w:val="17"/>
          <w:u w:val="single" w:color="auto"/>
          <w:color w:val="0000FF"/>
        </w:rPr>
        <w:t xml:space="preserve"> </w:t>
      </w:r>
      <w:hyperlink r:id="rId298">
        <w:r>
          <w:rPr>
            <w:rFonts w:ascii="Times New Roman" w:cs="Times New Roman" w:eastAsia="Times New Roman" w:hAnsi="Times New Roman"/>
            <w:sz w:val="17"/>
            <w:szCs w:val="17"/>
            <w:u w:val="single" w:color="auto"/>
            <w:color w:val="0000FF"/>
          </w:rPr>
          <w:t>Company’s Current Report on Form 8-K/A filed with the Commission on November 15, 2018) (Commission File No. 001-37867).</w:t>
        </w:r>
      </w:hyperlink>
    </w:p>
    <w:p>
      <w:pPr>
        <w:spacing w:after="0" w:line="1" w:lineRule="exact"/>
        <w:rPr>
          <w:sz w:val="20"/>
          <w:szCs w:val="20"/>
          <w:color w:val="auto"/>
        </w:rPr>
      </w:pPr>
    </w:p>
    <w:p>
      <w:pPr>
        <w:jc w:val="right"/>
        <w:ind w:left="100" w:right="380"/>
        <w:spacing w:after="0" w:line="222" w:lineRule="auto"/>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10.31  MD Stockholders Agreement, dated as of December 25, 2018, by and among the Company, Denali Intermediate Inc., Dell Inc., EMC</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Corporation, Denali Finance Corp., Dell International L.L.C., Michael S. Dell and the Susan Lieberman Dell Separate Property Trust</w:t>
        </w:r>
      </w:hyperlink>
    </w:p>
    <w:p>
      <w:pPr>
        <w:spacing w:after="0" w:line="2" w:lineRule="exact"/>
        <w:rPr>
          <w:sz w:val="20"/>
          <w:szCs w:val="20"/>
          <w:color w:val="auto"/>
        </w:rPr>
      </w:pPr>
    </w:p>
    <w:p>
      <w:pPr>
        <w:ind w:left="640" w:right="300"/>
        <w:spacing w:after="0" w:line="226" w:lineRule="auto"/>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(incorporated by reference to Exhibit 10.1 to the Company’s Current Report on Form 8-K filed with the Commission on December 28,</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2018) (Commission File No. 001-37867).</w:t>
        </w:r>
      </w:hyperlink>
    </w:p>
    <w:p>
      <w:pPr>
        <w:ind w:left="640" w:right="280" w:hanging="534"/>
        <w:spacing w:after="0" w:line="233" w:lineRule="auto"/>
        <w:rPr>
          <w:rFonts w:ascii="Times New Roman" w:cs="Times New Roman" w:eastAsia="Times New Roman" w:hAnsi="Times New Roman"/>
          <w:sz w:val="17"/>
          <w:szCs w:val="17"/>
          <w:u w:val="single" w:color="auto"/>
          <w:color w:val="0000FF"/>
        </w:rPr>
      </w:pPr>
      <w:hyperlink r:id="rId300">
        <w:r>
          <w:rPr>
            <w:rFonts w:ascii="Times New Roman" w:cs="Times New Roman" w:eastAsia="Times New Roman" w:hAnsi="Times New Roman"/>
            <w:sz w:val="17"/>
            <w:szCs w:val="17"/>
            <w:u w:val="single" w:color="auto"/>
            <w:color w:val="0000FF"/>
          </w:rPr>
          <w:t>10.32 SLP Stockholders Agreement, dated as of December 25, 2018, by and among the Company, Denali Intermediate Inc., Dell Inc., EMC</w:t>
        </w:r>
      </w:hyperlink>
      <w:r>
        <w:rPr>
          <w:rFonts w:ascii="Times New Roman" w:cs="Times New Roman" w:eastAsia="Times New Roman" w:hAnsi="Times New Roman"/>
          <w:sz w:val="17"/>
          <w:szCs w:val="17"/>
          <w:u w:val="single" w:color="auto"/>
          <w:color w:val="0000FF"/>
        </w:rPr>
        <w:t xml:space="preserve"> </w:t>
      </w:r>
      <w:hyperlink r:id="rId300">
        <w:r>
          <w:rPr>
            <w:rFonts w:ascii="Times New Roman" w:cs="Times New Roman" w:eastAsia="Times New Roman" w:hAnsi="Times New Roman"/>
            <w:sz w:val="17"/>
            <w:szCs w:val="17"/>
            <w:u w:val="single" w:color="auto"/>
            <w:color w:val="0000FF"/>
          </w:rPr>
          <w:t>Corporation, Denali Finance Corp., Dell International L.L.C., Silver Lake Partners III, L.P., Silver Lake Technology Investors III, L.P.,</w:t>
        </w:r>
      </w:hyperlink>
    </w:p>
    <w:p>
      <w:pPr>
        <w:jc w:val="both"/>
        <w:ind w:left="640" w:right="20"/>
        <w:spacing w:after="0" w:line="218" w:lineRule="auto"/>
        <w:rPr>
          <w:rFonts w:ascii="Times New Roman" w:cs="Times New Roman" w:eastAsia="Times New Roman" w:hAnsi="Times New Roman"/>
          <w:sz w:val="18"/>
          <w:szCs w:val="18"/>
          <w:u w:val="single" w:color="auto"/>
          <w:color w:val="0000FF"/>
        </w:rPr>
      </w:pPr>
      <w:hyperlink r:id="rId300">
        <w:r>
          <w:rPr>
            <w:rFonts w:ascii="Times New Roman" w:cs="Times New Roman" w:eastAsia="Times New Roman" w:hAnsi="Times New Roman"/>
            <w:sz w:val="18"/>
            <w:szCs w:val="18"/>
            <w:u w:val="single" w:color="auto"/>
            <w:color w:val="0000FF"/>
          </w:rPr>
          <w:t>Silver Lake Partners IV, L.P., Silver Lake Technology Investors IV, L.P. and SLP Denali Co-Invest, L.P. and the other stockholders named</w:t>
        </w:r>
      </w:hyperlink>
      <w:r>
        <w:rPr>
          <w:rFonts w:ascii="Times New Roman" w:cs="Times New Roman" w:eastAsia="Times New Roman" w:hAnsi="Times New Roman"/>
          <w:sz w:val="18"/>
          <w:szCs w:val="18"/>
          <w:u w:val="single" w:color="auto"/>
          <w:color w:val="0000FF"/>
        </w:rPr>
        <w:t xml:space="preserve"> </w:t>
      </w:r>
      <w:hyperlink r:id="rId300">
        <w:r>
          <w:rPr>
            <w:rFonts w:ascii="Times New Roman" w:cs="Times New Roman" w:eastAsia="Times New Roman" w:hAnsi="Times New Roman"/>
            <w:sz w:val="18"/>
            <w:szCs w:val="18"/>
            <w:u w:val="single" w:color="auto"/>
            <w:color w:val="0000FF"/>
          </w:rPr>
          <w:t>therein (incorporated by reference to Exhibit 10.2 to the Company’s Current Report on Form 8-K filed with the Commission on December</w:t>
        </w:r>
      </w:hyperlink>
      <w:r>
        <w:rPr>
          <w:rFonts w:ascii="Times New Roman" w:cs="Times New Roman" w:eastAsia="Times New Roman" w:hAnsi="Times New Roman"/>
          <w:sz w:val="18"/>
          <w:szCs w:val="18"/>
          <w:u w:val="single" w:color="auto"/>
          <w:color w:val="0000FF"/>
        </w:rPr>
        <w:t xml:space="preserve"> </w:t>
      </w:r>
      <w:hyperlink r:id="rId300">
        <w:r>
          <w:rPr>
            <w:rFonts w:ascii="Times New Roman" w:cs="Times New Roman" w:eastAsia="Times New Roman" w:hAnsi="Times New Roman"/>
            <w:sz w:val="18"/>
            <w:szCs w:val="18"/>
            <w:u w:val="single" w:color="auto"/>
            <w:color w:val="0000FF"/>
          </w:rPr>
          <w:t>28, 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640" w:right="100" w:hanging="534"/>
        <w:spacing w:after="0" w:line="236" w:lineRule="auto"/>
        <w:rPr>
          <w:rFonts w:ascii="Times New Roman" w:cs="Times New Roman" w:eastAsia="Times New Roman" w:hAnsi="Times New Roman"/>
          <w:sz w:val="17"/>
          <w:szCs w:val="17"/>
          <w:u w:val="single" w:color="auto"/>
          <w:color w:val="0000FF"/>
        </w:rPr>
      </w:pPr>
      <w:hyperlink r:id="rId301">
        <w:r>
          <w:rPr>
            <w:rFonts w:ascii="Times New Roman" w:cs="Times New Roman" w:eastAsia="Times New Roman" w:hAnsi="Times New Roman"/>
            <w:sz w:val="17"/>
            <w:szCs w:val="17"/>
            <w:u w:val="single" w:color="auto"/>
            <w:color w:val="0000FF"/>
          </w:rPr>
          <w:t>10.33 Second Amended and Restated Management Stockholders Agreement, dated as of December 25, 2018, by and among the Company,</w:t>
        </w:r>
      </w:hyperlink>
      <w:r>
        <w:rPr>
          <w:rFonts w:ascii="Times New Roman" w:cs="Times New Roman" w:eastAsia="Times New Roman" w:hAnsi="Times New Roman"/>
          <w:sz w:val="17"/>
          <w:szCs w:val="17"/>
          <w:u w:val="single" w:color="auto"/>
          <w:color w:val="0000FF"/>
        </w:rPr>
        <w:t xml:space="preserve"> </w:t>
      </w:r>
      <w:hyperlink r:id="rId301">
        <w:r>
          <w:rPr>
            <w:rFonts w:ascii="Times New Roman" w:cs="Times New Roman" w:eastAsia="Times New Roman" w:hAnsi="Times New Roman"/>
            <w:sz w:val="17"/>
            <w:szCs w:val="17"/>
            <w:u w:val="single" w:color="auto"/>
            <w:color w:val="0000FF"/>
          </w:rPr>
          <w:t>Michael S. Dell, Susan Lieberman Dell Separate Property Trust, Silver Lake Partners III, L.P., Silver Lake Technology Investors III, L.P.,</w:t>
        </w:r>
      </w:hyperlink>
    </w:p>
    <w:p>
      <w:pPr>
        <w:ind w:left="640"/>
        <w:spacing w:after="0" w:line="218" w:lineRule="auto"/>
        <w:rPr>
          <w:rFonts w:ascii="Times New Roman" w:cs="Times New Roman" w:eastAsia="Times New Roman" w:hAnsi="Times New Roman"/>
          <w:sz w:val="18"/>
          <w:szCs w:val="18"/>
          <w:u w:val="single" w:color="auto"/>
          <w:color w:val="0000FF"/>
        </w:rPr>
      </w:pPr>
      <w:hyperlink r:id="rId301">
        <w:r>
          <w:rPr>
            <w:rFonts w:ascii="Times New Roman" w:cs="Times New Roman" w:eastAsia="Times New Roman" w:hAnsi="Times New Roman"/>
            <w:sz w:val="18"/>
            <w:szCs w:val="18"/>
            <w:u w:val="single" w:color="auto"/>
            <w:color w:val="0000FF"/>
          </w:rPr>
          <w:t>Silver Lake Partners IV, L.P., Silver Lake Technology Investors IV, L.P., SLP Denali Co-Invest, L.P. and the Management Stockholders (as</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defined therein) (incorporated by reference to Exhibit 10.5 to the Company’s Current Report on Form 8-K filed with the Commission on</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December 28, 2018) (Commission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640" w:right="180" w:hanging="534"/>
        <w:spacing w:after="0" w:line="222" w:lineRule="auto"/>
        <w:rPr>
          <w:rFonts w:ascii="Times New Roman" w:cs="Times New Roman" w:eastAsia="Times New Roman" w:hAnsi="Times New Roman"/>
          <w:sz w:val="18"/>
          <w:szCs w:val="18"/>
          <w:u w:val="single" w:color="auto"/>
          <w:color w:val="0000FF"/>
        </w:rPr>
      </w:pPr>
      <w:hyperlink r:id="rId302">
        <w:r>
          <w:rPr>
            <w:rFonts w:ascii="Times New Roman" w:cs="Times New Roman" w:eastAsia="Times New Roman" w:hAnsi="Times New Roman"/>
            <w:sz w:val="18"/>
            <w:szCs w:val="18"/>
            <w:u w:val="single" w:color="auto"/>
            <w:color w:val="0000FF"/>
          </w:rPr>
          <w:t>10.34 Amended and Restated Class C Stockholders Agreement, dated as of December 25, 2018, by and among the Company, Michael S. Dell,</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Susan Lieberman Dell Separate Property Trust, Silver Lake Partners III, L.P., Silver Lake Partners IV, L.P., Silver Lake Technology</w:t>
        </w:r>
      </w:hyperlink>
    </w:p>
    <w:p>
      <w:pPr>
        <w:spacing w:after="0" w:line="2" w:lineRule="exact"/>
        <w:rPr>
          <w:sz w:val="20"/>
          <w:szCs w:val="20"/>
          <w:color w:val="auto"/>
        </w:rPr>
      </w:pPr>
    </w:p>
    <w:p>
      <w:pPr>
        <w:ind w:left="640" w:right="60"/>
        <w:spacing w:after="0" w:line="218" w:lineRule="auto"/>
        <w:rPr>
          <w:rFonts w:ascii="Times New Roman" w:cs="Times New Roman" w:eastAsia="Times New Roman" w:hAnsi="Times New Roman"/>
          <w:sz w:val="18"/>
          <w:szCs w:val="18"/>
          <w:u w:val="single" w:color="auto"/>
          <w:color w:val="0000FF"/>
        </w:rPr>
      </w:pPr>
      <w:hyperlink r:id="rId302">
        <w:r>
          <w:rPr>
            <w:rFonts w:ascii="Times New Roman" w:cs="Times New Roman" w:eastAsia="Times New Roman" w:hAnsi="Times New Roman"/>
            <w:sz w:val="18"/>
            <w:szCs w:val="18"/>
            <w:u w:val="single" w:color="auto"/>
            <w:color w:val="0000FF"/>
          </w:rPr>
          <w:t>Investors III, L.P., Silver Lake Technology Investors IV, L.P., SLP Denali Co-Invest, L.P. and Venezio Investments Pte. Ltd. (incorporated</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by reference to Exhibit 10.6 to the Company’s Current Report on Form 8-K filed with the Commission on December 28, 2018)</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(Commission File No. 001-37867).</w:t>
        </w:r>
      </w:hyperlink>
    </w:p>
    <w:p>
      <w:pPr>
        <w:spacing w:after="0" w:line="10" w:lineRule="exact"/>
        <w:rPr>
          <w:rFonts w:ascii="Times New Roman" w:cs="Times New Roman" w:eastAsia="Times New Roman" w:hAnsi="Times New Roman"/>
          <w:sz w:val="18"/>
          <w:szCs w:val="18"/>
          <w:u w:val="single" w:color="auto"/>
          <w:color w:val="0000FF"/>
        </w:rPr>
      </w:pPr>
    </w:p>
    <w:p>
      <w:pPr>
        <w:ind w:left="640" w:hanging="534"/>
        <w:spacing w:after="0" w:line="222" w:lineRule="auto"/>
        <w:rPr>
          <w:rFonts w:ascii="Times New Roman" w:cs="Times New Roman" w:eastAsia="Times New Roman" w:hAnsi="Times New Roman"/>
          <w:sz w:val="18"/>
          <w:szCs w:val="18"/>
          <w:u w:val="single" w:color="auto"/>
          <w:color w:val="0000FF"/>
        </w:rPr>
      </w:pPr>
      <w:hyperlink r:id="rId303">
        <w:r>
          <w:rPr>
            <w:rFonts w:ascii="Times New Roman" w:cs="Times New Roman" w:eastAsia="Times New Roman" w:hAnsi="Times New Roman"/>
            <w:sz w:val="18"/>
            <w:szCs w:val="18"/>
            <w:u w:val="single" w:color="auto"/>
            <w:color w:val="0000FF"/>
          </w:rPr>
          <w:t>10.35 Second Amended and Restated Class A Stockholders Agreement, dated as of December 25, 2018, by and among the Company, Michael S.</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Dell, Susan Lieberman Dell Separate Property Trust, Silver Lake Partners III, L.P., Silver Lake Partners IV, L.P., Silver Lake Technology</w:t>
        </w:r>
      </w:hyperlink>
    </w:p>
    <w:p>
      <w:pPr>
        <w:spacing w:after="0" w:line="2" w:lineRule="exact"/>
        <w:rPr>
          <w:sz w:val="20"/>
          <w:szCs w:val="20"/>
          <w:color w:val="auto"/>
        </w:rPr>
      </w:pPr>
    </w:p>
    <w:p>
      <w:pPr>
        <w:ind w:left="640" w:right="80"/>
        <w:spacing w:after="0" w:line="218" w:lineRule="auto"/>
        <w:rPr>
          <w:rFonts w:ascii="Times New Roman" w:cs="Times New Roman" w:eastAsia="Times New Roman" w:hAnsi="Times New Roman"/>
          <w:sz w:val="18"/>
          <w:szCs w:val="18"/>
          <w:u w:val="single" w:color="auto"/>
          <w:color w:val="0000FF"/>
        </w:rPr>
      </w:pPr>
      <w:hyperlink r:id="rId303">
        <w:r>
          <w:rPr>
            <w:rFonts w:ascii="Times New Roman" w:cs="Times New Roman" w:eastAsia="Times New Roman" w:hAnsi="Times New Roman"/>
            <w:sz w:val="18"/>
            <w:szCs w:val="18"/>
            <w:u w:val="single" w:color="auto"/>
            <w:color w:val="0000FF"/>
          </w:rPr>
          <w:t>Investors III, L.P., Silver Lake Technology Investors IV, L.P., SLP Denali Co-Invest, L.P. and the New Class A Stockholders party thereto</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(incorporated by reference to Exhibit 10.7 to the Company’s Current Report on Form 8-K filed with the Commission on December 28,</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2018) (Commission File No. 001-37867).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2" w:lineRule="exact"/>
        <w:rPr>
          <w:rFonts w:ascii="Times New Roman" w:cs="Times New Roman" w:eastAsia="Times New Roman" w:hAnsi="Times New Roman"/>
          <w:sz w:val="18"/>
          <w:szCs w:val="18"/>
          <w:u w:val="single" w:color="auto"/>
          <w:color w:val="0000FF"/>
        </w:rPr>
      </w:pPr>
    </w:p>
    <w:p>
      <w:pPr>
        <w:ind w:left="49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-375285</wp:posOffset>
            </wp:positionH>
            <wp:positionV relativeFrom="paragraph">
              <wp:posOffset>227330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00" w:top="1134" w:right="37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220" w:type="dxa"/>
            <w:vAlign w:val="bottom"/>
            <w:gridSpan w:val="7"/>
          </w:tcPr>
          <w:p>
            <w:pPr>
              <w:jc w:val="right"/>
              <w:ind w:right="140"/>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Form of Restricted Stock Unit Agreement under the Dell Technologies Inc. 2013 Stock Incentive Plan (incorporated by reference to</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Exhibit 10.1 to the Company’s Current Report on Form 8-K filed with the Commission on March 19, 2019) (Commission File No.</w:t>
              </w:r>
            </w:hyperlink>
          </w:p>
        </w:tc>
        <w:tc>
          <w:tcPr>
            <w:tcW w:w="300" w:type="dxa"/>
            <w:vAlign w:val="bottom"/>
            <w:gridSpan w:val="8"/>
          </w:tcPr>
          <w:p>
            <w:pPr>
              <w:jc w:val="center"/>
              <w:spacing w:after="0" w:line="156" w:lineRule="exact"/>
              <w:rPr>
                <w:rFonts w:ascii="Times New Roman" w:cs="Times New Roman" w:eastAsia="Times New Roman" w:hAnsi="Times New Roman"/>
                <w:sz w:val="18"/>
                <w:szCs w:val="18"/>
                <w:color w:val="0000FF"/>
                <w:w w:val="78"/>
              </w:rPr>
            </w:pPr>
            <w:hyperlink r:id="rId305">
              <w:r>
                <w:rPr>
                  <w:rFonts w:ascii="Times New Roman" w:cs="Times New Roman" w:eastAsia="Times New Roman" w:hAnsi="Times New Roman"/>
                  <w:sz w:val="18"/>
                  <w:szCs w:val="18"/>
                  <w:color w:val="0000FF"/>
                  <w:w w:val="78"/>
                </w:rPr>
                <w:t>001-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3"/>
              </w:rPr>
            </w:pPr>
            <w:hyperlink r:id="rId305">
              <w:r>
                <w:rPr>
                  <w:rFonts w:ascii="Times New Roman" w:cs="Times New Roman" w:eastAsia="Times New Roman" w:hAnsi="Times New Roman"/>
                  <w:sz w:val="18"/>
                  <w:szCs w:val="18"/>
                  <w:color w:val="0000FF"/>
                  <w:w w:val="93"/>
                </w:rPr>
                <w:t>37867).</w:t>
              </w:r>
            </w:hyperlink>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20" w:type="dxa"/>
            <w:vAlign w:val="bottom"/>
            <w:gridSpan w:val="7"/>
          </w:tcPr>
          <w:p>
            <w:pPr>
              <w:jc w:val="right"/>
              <w:ind w:right="140"/>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Performance-Based Restricted Stock Unit Agreement under the Dell Technologies Inc. 2013 Stock Incentive Plan (incorporated</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by reference to Exhibit 10.2 to the Company’s Current Report on Form 8-K filed with the Commission on March 19, 2019) (Commission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306">
              <w:r>
                <w:rPr>
                  <w:rFonts w:ascii="Times New Roman" w:cs="Times New Roman" w:eastAsia="Times New Roman" w:hAnsi="Times New Roman"/>
                  <w:sz w:val="18"/>
                  <w:szCs w:val="18"/>
                  <w:color w:val="0000FF"/>
                  <w:w w:val="98"/>
                </w:rPr>
                <w:t>File No. 001-37867).</w:t>
              </w:r>
            </w:hyperlink>
          </w:p>
        </w:tc>
        <w:tc>
          <w:tcPr>
            <w:tcW w:w="8360" w:type="dxa"/>
            <w:vAlign w:val="bottom"/>
            <w:gridSpan w:val="3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gridSpan w:val="6"/>
          </w:tcPr>
          <w:p>
            <w:pPr>
              <w:jc w:val="right"/>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140" w:type="dxa"/>
            <w:vAlign w:val="bottom"/>
          </w:tcPr>
          <w:p>
            <w:pPr>
              <w:spacing w:after="0"/>
              <w:rPr>
                <w:sz w:val="18"/>
                <w:szCs w:val="18"/>
                <w:color w:val="auto"/>
              </w:rPr>
            </w:pPr>
          </w:p>
        </w:tc>
        <w:tc>
          <w:tcPr>
            <w:tcW w:w="10060" w:type="dxa"/>
            <w:vAlign w:val="bottom"/>
            <w:gridSpan w:val="43"/>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Commercial Framework Agreement, dated as of November 1, 2021, by and between Dell Technologies Inc. and VMware,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60" w:type="dxa"/>
            <w:vAlign w:val="bottom"/>
            <w:gridSpan w:val="43"/>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(incorporated by reference to Exhibit 10.1 to the Company’s Current Report on Form 8-K filed with the Commission on November 1,</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2021) (Commission File No. 001-37867).</w:t>
              </w:r>
            </w:hyperlink>
          </w:p>
        </w:tc>
        <w:tc>
          <w:tcPr>
            <w:tcW w:w="66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20" w:type="dxa"/>
            <w:vAlign w:val="bottom"/>
            <w:gridSpan w:val="7"/>
          </w:tcPr>
          <w:p>
            <w:pPr>
              <w:jc w:val="right"/>
              <w:ind w:right="140"/>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Dell Technologies Inc. Restricted Stock Unit Agreement with Anthony Charles Whitten (incorporated by reference to Exhibit 10.45 to the</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Company’s Annual Report on Form 10-K for the fiscal year ended February 3, 2023) (Commission File No. 001-37867).</w:t>
              </w:r>
            </w:hyperlink>
          </w:p>
        </w:tc>
        <w:tc>
          <w:tcPr>
            <w:tcW w:w="12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gridSpan w:val="6"/>
          </w:tcPr>
          <w:p>
            <w:pPr>
              <w:jc w:val="right"/>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140" w:type="dxa"/>
            <w:vAlign w:val="bottom"/>
          </w:tcPr>
          <w:p>
            <w:pPr>
              <w:spacing w:after="0"/>
              <w:rPr>
                <w:sz w:val="19"/>
                <w:szCs w:val="19"/>
                <w:color w:val="auto"/>
              </w:rPr>
            </w:pPr>
          </w:p>
        </w:tc>
        <w:tc>
          <w:tcPr>
            <w:tcW w:w="10060" w:type="dxa"/>
            <w:vAlign w:val="bottom"/>
            <w:gridSpan w:val="43"/>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Credit Agreement, dated as of November 1, 2021, among Dell Technologies Inc., Denali Intermediate Inc., Dell Inc., Dell International</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7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L.L.C., as a borrower, EMC Corporation, as a borrower, JPMorgan Chase Bank, N.A., as administrative agent, and each of the lenders</w:t>
              </w:r>
            </w:hyperlink>
          </w:p>
        </w:tc>
        <w:tc>
          <w:tcPr>
            <w:tcW w:w="340" w:type="dxa"/>
            <w:vAlign w:val="bottom"/>
            <w:gridSpan w:val="17"/>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6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other parties from time to time party thereto (incorporated by reference to Exhibit 10.2 to the Company’s Current Report on Form 8-K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filed with the Commission on November 1, 2021) (Commission File No. 001-37867).</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6"/>
          </w:tcPr>
          <w:p>
            <w:pPr>
              <w:jc w:val="right"/>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140" w:type="dxa"/>
            <w:vAlign w:val="bottom"/>
          </w:tcPr>
          <w:p>
            <w:pPr>
              <w:spacing w:after="0"/>
              <w:rPr>
                <w:sz w:val="18"/>
                <w:szCs w:val="18"/>
                <w:color w:val="auto"/>
              </w:rPr>
            </w:pPr>
          </w:p>
        </w:tc>
        <w:tc>
          <w:tcPr>
            <w:tcW w:w="10060" w:type="dxa"/>
            <w:vAlign w:val="bottom"/>
            <w:gridSpan w:val="43"/>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First Amendment to the Credit Agreement, dated as of February 8, 2022, among Dell Technologies Inc., Denali Intermediate Inc., Dell</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 Dell International L.L.C., as a borrower, EMC Corporation, as a borrower, JPMorgan Chase Bank, N.A., as administrative agent,</w:t>
              </w:r>
            </w:hyperlink>
          </w:p>
        </w:tc>
        <w:tc>
          <w:tcPr>
            <w:tcW w:w="360" w:type="dxa"/>
            <w:vAlign w:val="bottom"/>
            <w:gridSpan w:val="18"/>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each of the lenders and other parties from time to time party thereto (incorporated by reference to Exhibit 10.47 to the Company’s Annual</w:t>
              </w:r>
            </w:hyperlink>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Report on Form 10-K for the fiscal year ended February 3, 2023) (Commission File No. 001-37867).</w:t>
              </w:r>
            </w:hyperlink>
          </w:p>
        </w:tc>
        <w:tc>
          <w:tcPr>
            <w:tcW w:w="266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gridSpan w:val="6"/>
          </w:tcPr>
          <w:p>
            <w:pPr>
              <w:jc w:val="right"/>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hyperlink>
          </w:p>
        </w:tc>
        <w:tc>
          <w:tcPr>
            <w:tcW w:w="140" w:type="dxa"/>
            <w:vAlign w:val="bottom"/>
          </w:tcPr>
          <w:p>
            <w:pPr>
              <w:spacing w:after="0"/>
              <w:rPr>
                <w:sz w:val="18"/>
                <w:szCs w:val="18"/>
                <w:color w:val="auto"/>
              </w:rPr>
            </w:pPr>
          </w:p>
        </w:tc>
        <w:tc>
          <w:tcPr>
            <w:tcW w:w="10060" w:type="dxa"/>
            <w:vAlign w:val="bottom"/>
            <w:gridSpan w:val="43"/>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Second Amendment to the Credit Agreement, dated as of November 10, 2022, among Dell Technologies Inc., Denali Intermediate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60" w:type="dxa"/>
            <w:vAlign w:val="bottom"/>
            <w:gridSpan w:val="43"/>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Dell Inc., Dell International L.L.C., as a borrower, EMC Corporation, as a borrower, JPMorgan Chase Bank, N.A., as administrative agent,</w:t>
              </w:r>
            </w:hyperlink>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40" w:type="dxa"/>
            <w:vAlign w:val="bottom"/>
            <w:tcBorders>
              <w:top w:val="single" w:sz="8" w:color="0000FF"/>
            </w:tcBorders>
            <w:gridSpan w:val="42"/>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and each of the lenders and other parties from time to time party thereto (incorporated by reference to Exhibit 10.48 to the Company’s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Annual Report on Form 10-K for the fiscal year ended February 3, 2023) (Commission File No. 001-37867).</w:t>
              </w:r>
            </w:hyperlink>
          </w:p>
        </w:tc>
        <w:tc>
          <w:tcPr>
            <w:tcW w:w="1780" w:type="dxa"/>
            <w:vAlign w:val="bottom"/>
            <w:tcBorders>
              <w:top w:val="single" w:sz="8" w:color="0000FF"/>
            </w:tcBorders>
            <w:gridSpan w:val="9"/>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7"/>
          </w:tcPr>
          <w:p>
            <w:pPr>
              <w:jc w:val="right"/>
              <w:ind w:right="140"/>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43*</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Dell Technologies Inc. 2023 Stock Incentive Plan (incorporated by reference to Exhibit 10.1 to the Company’s Current Report on Form 8-</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K filed with the Commission on June 22, 2023) (Commission File No. 001-37867).</w:t>
              </w:r>
            </w:hyperlink>
          </w:p>
        </w:tc>
        <w:tc>
          <w:tcPr>
            <w:tcW w:w="3960" w:type="dxa"/>
            <w:vAlign w:val="bottom"/>
            <w:tcBorders>
              <w:top w:val="single" w:sz="8" w:color="0000FF"/>
            </w:tcBorders>
            <w:gridSpan w:val="28"/>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20" w:type="dxa"/>
            <w:vAlign w:val="bottom"/>
            <w:tcBorders>
              <w:bottom w:val="single" w:sz="8" w:color="0000FF"/>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44*†</w:t>
            </w:r>
          </w:p>
        </w:tc>
        <w:tc>
          <w:tcPr>
            <w:tcW w:w="8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Form of Time-Based Restricted Stock Unit Agreement under the Dell Technologies Inc. 2023 Stock Incentive Plan.</w:t>
            </w:r>
          </w:p>
        </w:tc>
        <w:tc>
          <w:tcPr>
            <w:tcW w:w="174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45*†</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Unit Agreement under the Dell Technologies Inc. 2023 Stock Incentive Plan.</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tcPr>
          <w:p>
            <w:pPr>
              <w:spacing w:after="0"/>
              <w:rPr>
                <w:sz w:val="18"/>
                <w:szCs w:val="18"/>
                <w:color w:val="auto"/>
              </w:rPr>
            </w:pPr>
          </w:p>
        </w:tc>
        <w:tc>
          <w:tcPr>
            <w:tcW w:w="700" w:type="dxa"/>
            <w:vAlign w:val="bottom"/>
            <w:gridSpan w:val="5"/>
          </w:tcPr>
          <w:p>
            <w:pPr>
              <w:jc w:val="right"/>
              <w:ind w:right="140"/>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Deferred Stock Unit Agreement under the Dell Technologies Inc. 2023 Stock Incentive Plan (incorporated by reference to Exhibit</w:t>
              </w:r>
            </w:hyperlink>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6</w:t>
              </w:r>
              <w:r>
                <w:rPr>
                  <w:rFonts w:ascii="Times New Roman" w:cs="Times New Roman" w:eastAsia="Times New Roman" w:hAnsi="Times New Roman"/>
                  <w:sz w:val="18"/>
                  <w:szCs w:val="18"/>
                  <w:color w:val="0000FF"/>
                  <w:w w:val="99"/>
                </w:rPr>
                <w:t xml:space="preserve"> to the Company’s Quarterly Report on Form 10-Q for the quarterly period ended August 4, 2023) (Commission File No. 001-37867).</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7"/>
          </w:tcPr>
          <w:p>
            <w:pPr>
              <w:jc w:val="right"/>
              <w:ind w:right="140"/>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47*</w:t>
              </w:r>
            </w:hyperlink>
          </w:p>
        </w:tc>
        <w:tc>
          <w:tcPr>
            <w:tcW w:w="10060" w:type="dxa"/>
            <w:vAlign w:val="bottom"/>
            <w:gridSpan w:val="43"/>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Separation Agreement and Release, dated July 27, 2023, between the Company and Anthony Charles Whitten (incorporated by reference</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8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to Exhibit 10.2 to the Company’s Quarterly Report on Form 10-Q for the quarterly period ended August 4, 2023) (Commission File No.</w:t>
              </w:r>
            </w:hyperlink>
          </w:p>
        </w:tc>
        <w:tc>
          <w:tcPr>
            <w:tcW w:w="1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0000FF"/>
                <w:w w:val="93"/>
              </w:rPr>
              <w:t>21.</w:t>
            </w:r>
            <w:r>
              <w:rPr>
                <w:rFonts w:ascii="Times New Roman" w:cs="Times New Roman" w:eastAsia="Times New Roman" w:hAnsi="Times New Roman"/>
                <w:sz w:val="18"/>
                <w:szCs w:val="18"/>
                <w:u w:val="single" w:color="auto"/>
                <w:color w:val="0000FF"/>
                <w:w w:val="93"/>
              </w:rPr>
              <w:t>1†</w:t>
            </w:r>
          </w:p>
        </w:tc>
        <w:tc>
          <w:tcPr>
            <w:tcW w:w="8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314">
              <w:r>
                <w:rPr>
                  <w:rFonts w:ascii="Times New Roman" w:cs="Times New Roman" w:eastAsia="Times New Roman" w:hAnsi="Times New Roman"/>
                  <w:sz w:val="18"/>
                  <w:szCs w:val="18"/>
                  <w:color w:val="0000FF"/>
                  <w:w w:val="97"/>
                </w:rPr>
                <w:t>001-37867).</w:t>
              </w:r>
            </w:hyperlink>
          </w:p>
        </w:tc>
        <w:tc>
          <w:tcPr>
            <w:tcW w:w="6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100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Dell Technologies Inc</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Borders>
              <w:bottom w:val="single" w:sz="8" w:color="0000FF"/>
            </w:tcBorders>
            <w:gridSpan w:val="4"/>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line="203" w:lineRule="exact"/>
              <w:rPr>
                <w:sz w:val="20"/>
                <w:szCs w:val="20"/>
                <w:color w:val="auto"/>
              </w:rPr>
            </w:pPr>
            <w:r>
              <w:rPr>
                <w:rFonts w:ascii="Times New Roman" w:cs="Times New Roman" w:eastAsia="Times New Roman" w:hAnsi="Times New Roman"/>
                <w:sz w:val="18"/>
                <w:szCs w:val="18"/>
                <w:color w:val="0000FF"/>
                <w:w w:val="93"/>
              </w:rPr>
              <w:t>22.</w:t>
            </w:r>
            <w:r>
              <w:rPr>
                <w:rFonts w:ascii="Times New Roman" w:cs="Times New Roman" w:eastAsia="Times New Roman" w:hAnsi="Times New Roman"/>
                <w:sz w:val="18"/>
                <w:szCs w:val="18"/>
                <w:u w:val="single" w:color="auto"/>
                <w:color w:val="0000FF"/>
                <w:w w:val="93"/>
              </w:rPr>
              <w:t>1†</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List of Guarantor Subsidiaries and Issuers of Guaranteed Securities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tcBorders>
              <w:bottom w:val="single" w:sz="8" w:color="0000FF"/>
            </w:tcBorders>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0000FF"/>
            </w:tcBorders>
            <w:gridSpan w:val="3"/>
          </w:tcPr>
          <w:p>
            <w:pPr>
              <w:jc w:val="right"/>
              <w:ind w:right="140"/>
              <w:spacing w:after="0" w:line="203" w:lineRule="exact"/>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8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 of Dell Technologies Inc.</w:t>
            </w:r>
          </w:p>
        </w:tc>
        <w:tc>
          <w:tcPr>
            <w:tcW w:w="182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Certification of Michael S. Dell, Chairman and Chief Executive Officer, pursuant to Rule 13a-14(a) or Rule 15d-14(a) under the Securities</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31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Certification of Yvonne McGill, Executive Vice President and Chief Financial Officer, pursuant to Rule 13a-14(a) or Rule 15d-14(a) under</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the Securities Exchange Act of 1934, as adopted pursuant to Section 302 of the Sarbanes-Oxley Act of 2002.</w:t>
            </w:r>
          </w:p>
        </w:tc>
        <w:tc>
          <w:tcPr>
            <w:tcW w:w="218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Certifications of Michael S. Dell, Chairman and Chief Executive Officer, and Yvonne McGill, Executive Vice President and Chief</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w w:val="99"/>
              </w:rPr>
              <w:t>Financial Officer, pursuant to Rule 13a-14(b) or Rule 15d-14(b) under the Securities Exchange Act of 1934 and 18 U.S.C. Section</w:t>
            </w:r>
          </w:p>
        </w:tc>
        <w:tc>
          <w:tcPr>
            <w:tcW w:w="680" w:type="dxa"/>
            <w:vAlign w:val="bottom"/>
            <w:gridSpan w:val="23"/>
          </w:tcPr>
          <w:p>
            <w:pPr>
              <w:jc w:val="right"/>
              <w:ind w:right="240"/>
              <w:spacing w:after="0" w:line="156" w:lineRule="exact"/>
              <w:rPr>
                <w:sz w:val="20"/>
                <w:szCs w:val="20"/>
                <w:color w:val="auto"/>
              </w:rPr>
            </w:pPr>
            <w:r>
              <w:rPr>
                <w:rFonts w:ascii="Times New Roman" w:cs="Times New Roman" w:eastAsia="Times New Roman" w:hAnsi="Times New Roman"/>
                <w:sz w:val="18"/>
                <w:szCs w:val="18"/>
                <w:color w:val="0000FF"/>
              </w:rPr>
              <w:t>1350,</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4700" w:type="dxa"/>
            <w:vAlign w:val="bottom"/>
            <w:tcBorders>
              <w:top w:val="single" w:sz="8" w:color="0000FF"/>
            </w:tcBorders>
            <w:gridSpan w:val="23"/>
          </w:tcPr>
          <w:p>
            <w:pPr>
              <w:spacing w:after="0"/>
              <w:rPr>
                <w:sz w:val="14"/>
                <w:szCs w:val="14"/>
                <w:color w:val="auto"/>
              </w:rPr>
            </w:pPr>
          </w:p>
        </w:tc>
        <w:tc>
          <w:tcPr>
            <w:tcW w:w="2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000FF"/>
                <w:w w:val="88"/>
              </w:rPr>
              <w:t>97†</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Dell Technologies Inc. Incentive-Based Compensation Recovery Policy effective September 28, 2023.</w:t>
            </w:r>
          </w:p>
        </w:tc>
        <w:tc>
          <w:tcPr>
            <w:tcW w:w="0" w:type="dxa"/>
            <w:vAlign w:val="bottom"/>
          </w:tcPr>
          <w:p>
            <w:pPr>
              <w:spacing w:after="0"/>
              <w:rPr>
                <w:sz w:val="1"/>
                <w:szCs w:val="1"/>
                <w:color w:val="auto"/>
              </w:rPr>
            </w:pPr>
          </w:p>
        </w:tc>
      </w:tr>
      <w:tr>
        <w:trPr>
          <w:trHeight w:val="20"/>
        </w:trPr>
        <w:tc>
          <w:tcPr>
            <w:tcW w:w="820" w:type="dxa"/>
            <w:vAlign w:val="bottom"/>
            <w:gridSpan w:val="5"/>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gridSpan w:val="12"/>
            <w:shd w:val="clear" w:color="auto" w:fill="0000FF"/>
          </w:tcPr>
          <w:p>
            <w:pPr>
              <w:spacing w:after="0" w:line="20" w:lineRule="exact"/>
              <w:rPr>
                <w:sz w:val="1"/>
                <w:szCs w:val="1"/>
                <w:color w:val="auto"/>
              </w:rPr>
            </w:pPr>
          </w:p>
        </w:tc>
        <w:tc>
          <w:tcPr>
            <w:tcW w:w="270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7"/>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101 .INS†</w:t>
            </w:r>
          </w:p>
        </w:tc>
        <w:tc>
          <w:tcPr>
            <w:tcW w:w="1006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2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101 .SCH†</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2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101 .CAL††</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4"/>
        </w:trPr>
        <w:tc>
          <w:tcPr>
            <w:tcW w:w="12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101 .DEF†</w:t>
            </w:r>
          </w:p>
        </w:tc>
        <w:tc>
          <w:tcPr>
            <w:tcW w:w="10060" w:type="dxa"/>
            <w:vAlign w:val="bottom"/>
            <w:gridSpan w:val="4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93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6"/>
          </w:tcPr>
          <w:p>
            <w:pPr>
              <w:ind w:left="426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2" w:name="page163"/>
    <w:bookmarkEnd w:id="162"/>
    <w:p>
      <w:pPr>
        <w:ind w:left="280"/>
        <w:spacing w:after="0"/>
        <w:rPr>
          <w:sz w:val="20"/>
          <w:szCs w:val="20"/>
          <w:color w:val="auto"/>
        </w:rPr>
      </w:pPr>
      <w:r>
        <w:rPr>
          <w:rFonts w:ascii="Times New Roman" w:cs="Times New Roman" w:eastAsia="Times New Roman" w:hAnsi="Times New Roman"/>
          <w:sz w:val="18"/>
          <w:szCs w:val="18"/>
          <w:color w:val="auto"/>
        </w:rPr>
        <w:t>101 .LAB†  Inline XBRL Taxonomy Extension Label Linkbase Document.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.PRE†  Inline XBRL Taxonomy Extension Presentation Linkbase Document.</w:t>
      </w:r>
    </w:p>
    <w:p>
      <w:pPr>
        <w:spacing w:after="0" w:line="23" w:lineRule="exact"/>
        <w:rPr>
          <w:sz w:val="20"/>
          <w:szCs w:val="20"/>
          <w:color w:val="auto"/>
        </w:rPr>
      </w:pPr>
    </w:p>
    <w:p>
      <w:pPr>
        <w:ind w:left="1000" w:right="60" w:hanging="186"/>
        <w:spacing w:after="0" w:line="406" w:lineRule="auto"/>
        <w:tabs>
          <w:tab w:leader="none" w:pos="12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 * Management contracts or compensation plans or arrangements in which directors or executive officers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-152400</wp:posOffset>
            </wp:positionV>
            <wp:extent cx="6940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7">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ind w:left="1240" w:hanging="23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2" w:lineRule="exact"/>
        <w:rPr>
          <w:rFonts w:ascii="Times New Roman" w:cs="Times New Roman" w:eastAsia="Times New Roman" w:hAnsi="Times New Roman"/>
          <w:sz w:val="18"/>
          <w:szCs w:val="18"/>
          <w:color w:val="auto"/>
        </w:rPr>
      </w:pPr>
    </w:p>
    <w:p>
      <w:pPr>
        <w:ind w:left="1240" w:hanging="323"/>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22" w:lineRule="exact"/>
        <w:rPr>
          <w:rFonts w:ascii="Times New Roman" w:cs="Times New Roman" w:eastAsia="Times New Roman" w:hAnsi="Times New Roman"/>
          <w:sz w:val="18"/>
          <w:szCs w:val="18"/>
          <w:color w:val="auto"/>
        </w:rPr>
      </w:pPr>
    </w:p>
    <w:p>
      <w:pPr>
        <w:jc w:val="both"/>
        <w:ind w:left="124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163" w:name="page164"/>
    <w:bookmarkEnd w:id="16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93"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DELL</w:t>
            </w:r>
          </w:p>
        </w:tc>
      </w:tr>
      <w:tr>
        <w:trPr>
          <w:trHeight w:val="216"/>
        </w:trPr>
        <w:tc>
          <w:tcPr>
            <w:tcW w:w="440" w:type="dxa"/>
            <w:vAlign w:val="bottom"/>
          </w:tcPr>
          <w:p>
            <w:pPr>
              <w:spacing w:after="0"/>
              <w:rPr>
                <w:sz w:val="18"/>
                <w:szCs w:val="18"/>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0"/>
        </w:trPr>
        <w:tc>
          <w:tcPr>
            <w:tcW w:w="44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236"/>
        </w:trPr>
        <w:tc>
          <w:tcPr>
            <w:tcW w:w="440" w:type="dxa"/>
            <w:vAlign w:val="bottom"/>
          </w:tcPr>
          <w:p>
            <w:pPr>
              <w:spacing w:after="0"/>
              <w:rPr>
                <w:sz w:val="20"/>
                <w:szCs w:val="20"/>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(Duly Authorized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ectPr>
          <w:pgSz w:w="11900" w:h="16838" w:orient="portrait"/>
          <w:cols w:equalWidth="0" w:num="1">
            <w:col w:w="10940"/>
          </w:cols>
          <w:pgMar w:left="320" w:top="108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type w:val="continuous"/>
        </w:sectPr>
      </w:pPr>
    </w:p>
    <w:bookmarkStart w:id="164" w:name="page165"/>
    <w:bookmarkEnd w:id="164"/>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25,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r>
      <w:tr>
        <w:trPr>
          <w:trHeight w:val="715"/>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W. DORMAN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W. Dorman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EGON DURBAN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Egon Durban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GRAIN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Grain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D. GREEN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D. Green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ELLEN J. KULLMAN</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Ellen J. Kullman</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M. MOLLENKOPF</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 M. Mollenkopf</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LYNN VOJVODICH RADAKOVICH</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Lynn Vojvodich Radakovich</w:t>
            </w:r>
          </w:p>
        </w:tc>
        <w:tc>
          <w:tcPr>
            <w:tcW w:w="4200" w:type="dxa"/>
            <w:vAlign w:val="bottom"/>
          </w:tcPr>
          <w:p>
            <w:pPr>
              <w:spacing w:after="0"/>
              <w:rPr>
                <w:sz w:val="19"/>
                <w:szCs w:val="19"/>
                <w:color w:val="auto"/>
              </w:rPr>
            </w:pP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11"/>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BRUNILDA RIOS</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Vice President, Corporate Finance and</w:t>
            </w:r>
          </w:p>
        </w:tc>
      </w:tr>
      <w:tr>
        <w:trPr>
          <w:trHeight w:val="218"/>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Brunilda Rios</w:t>
            </w: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4600" w:type="dxa"/>
            <w:vAlign w:val="bottom"/>
          </w:tcPr>
          <w:p>
            <w:pPr>
              <w:spacing w:after="0"/>
              <w:rPr>
                <w:sz w:val="20"/>
                <w:szCs w:val="20"/>
                <w:color w:val="auto"/>
              </w:rPr>
            </w:pP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24"/>
        </w:trPr>
        <w:tc>
          <w:tcPr>
            <w:tcW w:w="460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165</w:t>
            </w:r>
          </w:p>
        </w:tc>
      </w:tr>
    </w:tbl>
    <w:p>
      <w:pPr>
        <w:sectPr>
          <w:pgSz w:w="11900" w:h="16838" w:orient="portrait"/>
          <w:cols w:equalWidth="0" w:num="1">
            <w:col w:w="11180"/>
          </w:cols>
          <w:pgMar w:left="320" w:top="1093" w:right="399" w:bottom="1440" w:gutter="0" w:footer="0" w:header="0"/>
        </w:sectPr>
      </w:pPr>
    </w:p>
    <w:bookmarkStart w:id="165" w:name="page166"/>
    <w:bookmarkEnd w:id="165"/>
    <w:p>
      <w:pPr>
        <w:ind w:left="7140"/>
        <w:spacing w:after="0"/>
        <w:rPr>
          <w:sz w:val="20"/>
          <w:szCs w:val="20"/>
          <w:color w:val="auto"/>
        </w:rPr>
      </w:pPr>
      <w:r>
        <w:rPr>
          <w:rFonts w:ascii="Times New Roman" w:cs="Times New Roman" w:eastAsia="Times New Roman" w:hAnsi="Times New Roman"/>
          <w:sz w:val="22"/>
          <w:szCs w:val="22"/>
          <w:b w:val="1"/>
          <w:bCs w:val="1"/>
          <w:color w:val="auto"/>
        </w:rPr>
        <w:t>Exhibit 4.36</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to the Extension of Registration Rights Under the Second Amended and Restated Registration Rights Agreement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Reference is made herein to the Second Amended and Restated Registration Rights Agreement, dated as of December 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 as amended by Amendment No. 1, dated as of May 27, 2019, Amendment No. 2, dated as of April 15, 2020, and Amendment No. 3,</w:t>
      </w:r>
    </w:p>
    <w:p>
      <w:pPr>
        <w:spacing w:after="0" w:line="225" w:lineRule="auto"/>
        <w:rPr>
          <w:sz w:val="20"/>
          <w:szCs w:val="20"/>
          <w:color w:val="auto"/>
        </w:rPr>
      </w:pPr>
      <w:r>
        <w:rPr>
          <w:rFonts w:ascii="Times New Roman" w:cs="Times New Roman" w:eastAsia="Times New Roman" w:hAnsi="Times New Roman"/>
          <w:sz w:val="20"/>
          <w:szCs w:val="20"/>
          <w:color w:val="auto"/>
        </w:rPr>
        <w:t>dated as of September 15, 2020 (as so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by and among Dell Technologies Inc.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and each of (a) Michael S. Dell and Susan Lieberman Dell Separate Property Trust, (b) SL SPV-2,</w:t>
      </w:r>
    </w:p>
    <w:p>
      <w:pPr>
        <w:spacing w:after="0" w:line="237" w:lineRule="auto"/>
        <w:rPr>
          <w:sz w:val="20"/>
          <w:szCs w:val="20"/>
          <w:color w:val="auto"/>
        </w:rPr>
      </w:pPr>
      <w:r>
        <w:rPr>
          <w:rFonts w:ascii="Times New Roman" w:cs="Times New Roman" w:eastAsia="Times New Roman" w:hAnsi="Times New Roman"/>
          <w:sz w:val="19"/>
          <w:szCs w:val="19"/>
          <w:color w:val="auto"/>
        </w:rPr>
        <w:t>L.P., a Delaware limited partnership, Silver Lake Partners IV, L.P., a Delaware limited partnership, Silver Lake Technology Investors IV, L.P.,</w:t>
      </w:r>
    </w:p>
    <w:p>
      <w:pPr>
        <w:spacing w:after="0" w:line="225" w:lineRule="auto"/>
        <w:rPr>
          <w:sz w:val="20"/>
          <w:szCs w:val="20"/>
          <w:color w:val="auto"/>
        </w:rPr>
      </w:pPr>
      <w:r>
        <w:rPr>
          <w:rFonts w:ascii="Times New Roman" w:cs="Times New Roman" w:eastAsia="Times New Roman" w:hAnsi="Times New Roman"/>
          <w:sz w:val="20"/>
          <w:szCs w:val="20"/>
          <w:color w:val="auto"/>
        </w:rPr>
        <w:t>a Delaware limited partnership, Silver Lake Partners V DE (AIV), L.P., a Delaware limited partnership, and Silver Lake Technology</w:t>
      </w:r>
    </w:p>
    <w:p>
      <w:pPr>
        <w:spacing w:after="0"/>
        <w:rPr>
          <w:sz w:val="20"/>
          <w:szCs w:val="20"/>
          <w:color w:val="auto"/>
        </w:rPr>
      </w:pPr>
      <w:r>
        <w:rPr>
          <w:rFonts w:ascii="Times New Roman" w:cs="Times New Roman" w:eastAsia="Times New Roman" w:hAnsi="Times New Roman"/>
          <w:sz w:val="20"/>
          <w:szCs w:val="20"/>
          <w:color w:val="auto"/>
        </w:rPr>
        <w:t>Investors V, L.P., a Delaware limited partnership (collectively, the “</w:t>
      </w:r>
      <w:r>
        <w:rPr>
          <w:rFonts w:ascii="Times New Roman" w:cs="Times New Roman" w:eastAsia="Times New Roman" w:hAnsi="Times New Roman"/>
          <w:sz w:val="20"/>
          <w:szCs w:val="20"/>
          <w:u w:val="single" w:color="auto"/>
          <w:color w:val="auto"/>
        </w:rPr>
        <w:t>SLP Stockholders</w:t>
      </w:r>
      <w:r>
        <w:rPr>
          <w:rFonts w:ascii="Times New Roman" w:cs="Times New Roman" w:eastAsia="Times New Roman" w:hAnsi="Times New Roman"/>
          <w:sz w:val="20"/>
          <w:szCs w:val="20"/>
          <w:color w:val="auto"/>
        </w:rPr>
        <w:t>”), and (c) Venezio Investments Pte. Ltd., a Singapore</w:t>
      </w:r>
    </w:p>
    <w:p>
      <w:pPr>
        <w:spacing w:after="0" w:line="237" w:lineRule="auto"/>
        <w:rPr>
          <w:sz w:val="20"/>
          <w:szCs w:val="20"/>
          <w:color w:val="auto"/>
        </w:rPr>
      </w:pPr>
      <w:r>
        <w:rPr>
          <w:rFonts w:ascii="Times New Roman" w:cs="Times New Roman" w:eastAsia="Times New Roman" w:hAnsi="Times New Roman"/>
          <w:sz w:val="19"/>
          <w:szCs w:val="19"/>
          <w:color w:val="auto"/>
        </w:rPr>
        <w:t>corporation. Capitalized terms used but not defined in this Consent shall have the meanings ascribed to such terms in the Registration Rights</w:t>
      </w:r>
    </w:p>
    <w:p>
      <w:pPr>
        <w:spacing w:after="0"/>
        <w:rPr>
          <w:sz w:val="20"/>
          <w:szCs w:val="20"/>
          <w:color w:val="auto"/>
        </w:rPr>
      </w:pPr>
      <w:r>
        <w:rPr>
          <w:rFonts w:ascii="Times New Roman" w:cs="Times New Roman" w:eastAsia="Times New Roman" w:hAnsi="Times New Roman"/>
          <w:sz w:val="19"/>
          <w:szCs w:val="19"/>
          <w:color w:val="auto"/>
        </w:rPr>
        <w:t>Agreement. Capitalized terms defined in this Consent shall have the meanings ascribed to such terms herein for purposes of this Consent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Registration Rights Agreement.</w:t>
      </w:r>
    </w:p>
    <w:p>
      <w:pPr>
        <w:spacing w:after="0" w:line="207" w:lineRule="exact"/>
        <w:rPr>
          <w:sz w:val="20"/>
          <w:szCs w:val="20"/>
          <w:color w:val="auto"/>
        </w:rPr>
      </w:pPr>
    </w:p>
    <w:p>
      <w:pPr>
        <w:jc w:val="both"/>
        <w:ind w:right="120" w:firstLine="1296"/>
        <w:spacing w:after="0" w:line="247" w:lineRule="auto"/>
        <w:rPr>
          <w:sz w:val="20"/>
          <w:szCs w:val="20"/>
          <w:color w:val="auto"/>
        </w:rPr>
      </w:pPr>
      <w:r>
        <w:rPr>
          <w:rFonts w:ascii="Times New Roman" w:cs="Times New Roman" w:eastAsia="Times New Roman" w:hAnsi="Times New Roman"/>
          <w:sz w:val="20"/>
          <w:szCs w:val="20"/>
          <w:color w:val="auto"/>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 w:cs="Times New Roman" w:eastAsia="Times New Roman" w:hAnsi="Times New Roman"/>
          <w:sz w:val="20"/>
          <w:szCs w:val="20"/>
          <w:u w:val="single" w:color="auto"/>
          <w:color w:val="auto"/>
        </w:rPr>
        <w:t>Shelf Registration Filing Deadline</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100" w:firstLine="1296"/>
        <w:spacing w:after="0" w:line="247" w:lineRule="auto"/>
        <w:rPr>
          <w:sz w:val="20"/>
          <w:szCs w:val="20"/>
          <w:color w:val="auto"/>
        </w:rPr>
      </w:pPr>
      <w:r>
        <w:rPr>
          <w:rFonts w:ascii="Times New Roman" w:cs="Times New Roman" w:eastAsia="Times New Roman" w:hAnsi="Times New Roman"/>
          <w:sz w:val="20"/>
          <w:szCs w:val="20"/>
          <w:color w:val="auto"/>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spacing w:after="0" w:line="208" w:lineRule="exact"/>
        <w:rPr>
          <w:sz w:val="20"/>
          <w:szCs w:val="20"/>
          <w:color w:val="auto"/>
        </w:rPr>
      </w:pPr>
    </w:p>
    <w:p>
      <w:pPr>
        <w:ind w:right="680" w:firstLine="1296"/>
        <w:spacing w:after="0" w:line="255" w:lineRule="auto"/>
        <w:rPr>
          <w:sz w:val="20"/>
          <w:szCs w:val="20"/>
          <w:color w:val="auto"/>
        </w:rPr>
      </w:pPr>
      <w:r>
        <w:rPr>
          <w:rFonts w:ascii="Times New Roman" w:cs="Times New Roman" w:eastAsia="Times New Roman" w:hAnsi="Times New Roman"/>
          <w:sz w:val="20"/>
          <w:szCs w:val="20"/>
          <w:color w:val="auto"/>
        </w:rPr>
        <w:t>WHEREAS, the Company and the SLP Stockholders wish to consent to an extension of the Shelf Registration Filing Deadline for a period of three months to March 31, 2024;</w:t>
      </w:r>
    </w:p>
    <w:p>
      <w:pPr>
        <w:spacing w:after="0" w:line="186"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0"/>
          <w:szCs w:val="20"/>
          <w:color w:val="auto"/>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March 31, 2024.</w:t>
      </w:r>
    </w:p>
    <w:p>
      <w:pPr>
        <w:spacing w:after="0" w:line="208"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20"/>
          <w:szCs w:val="20"/>
          <w:color w:val="auto"/>
        </w:rPr>
        <w:t>Except as expressly set forth in this Consent, no other terms and conditions of the Registration Rights Agreement are hereby amended, modified, supplemented or waived.</w:t>
      </w:r>
    </w:p>
    <w:p>
      <w:pPr>
        <w:spacing w:after="0" w:line="200" w:lineRule="exact"/>
        <w:rPr>
          <w:sz w:val="20"/>
          <w:szCs w:val="20"/>
          <w:color w:val="auto"/>
        </w:rPr>
      </w:pPr>
    </w:p>
    <w:p>
      <w:pPr>
        <w:jc w:val="both"/>
        <w:ind w:right="140" w:firstLine="1296"/>
        <w:spacing w:after="0" w:line="237" w:lineRule="auto"/>
        <w:rPr>
          <w:sz w:val="20"/>
          <w:szCs w:val="20"/>
          <w:color w:val="auto"/>
        </w:rPr>
      </w:pPr>
      <w:r>
        <w:rPr>
          <w:rFonts w:ascii="Times New Roman" w:cs="Times New Roman" w:eastAsia="Times New Roman" w:hAnsi="Times New Roman"/>
          <w:sz w:val="20"/>
          <w:szCs w:val="20"/>
          <w:color w:val="auto"/>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240"/>
          </w:cols>
          <w:pgMar w:left="320" w:top="608" w:right="339" w:bottom="1440" w:gutter="0" w:footer="0" w:header="0"/>
        </w:sectPr>
      </w:pPr>
    </w:p>
    <w:bookmarkStart w:id="166" w:name="page167"/>
    <w:bookmarkEnd w:id="166"/>
    <w:p>
      <w:pPr>
        <w:ind w:left="7140"/>
        <w:spacing w:after="0"/>
        <w:rPr>
          <w:sz w:val="20"/>
          <w:szCs w:val="20"/>
          <w:color w:val="auto"/>
        </w:rPr>
      </w:pPr>
      <w:r>
        <w:rPr>
          <w:rFonts w:ascii="Times New Roman" w:cs="Times New Roman" w:eastAsia="Times New Roman" w:hAnsi="Times New Roman"/>
          <w:sz w:val="22"/>
          <w:szCs w:val="22"/>
          <w:b w:val="1"/>
          <w:bCs w:val="1"/>
          <w:color w:val="auto"/>
        </w:rPr>
        <w:t>Exhibit 4.36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 WITNESS WHEREOF, the undersigned have executed and delivered this Consent this December 13, 2023.</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2941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Name: Christopher A. Garcia</w:t>
      </w:r>
    </w:p>
    <w:p>
      <w:pPr>
        <w:ind w:left="3900"/>
        <w:spacing w:after="0"/>
        <w:rPr>
          <w:sz w:val="20"/>
          <w:szCs w:val="20"/>
          <w:color w:val="auto"/>
        </w:rPr>
      </w:pPr>
      <w:r>
        <w:rPr>
          <w:rFonts w:ascii="Times New Roman" w:cs="Times New Roman" w:eastAsia="Times New Roman" w:hAnsi="Times New Roman"/>
          <w:sz w:val="20"/>
          <w:szCs w:val="20"/>
          <w:color w:val="auto"/>
        </w:rPr>
        <w:t>Title: Senior Vice President and Assistant</w:t>
      </w:r>
    </w:p>
    <w:p>
      <w:pPr>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10139"/>
          </w:cols>
          <w:pgMar w:left="320" w:top="608"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Dell Technologies Inc., a Delaware corporation (the “Company”), is pleased to grant you an Other Stock-Based Award in the form of “restricted stock units” representing the right to receive shares of the Company’s Class C Common Stock (the “Shares”), subject to the terms and conditions described below. The number of restricted stock units that are awarded to you (the “Units”) is stated on the Company’s stock plan administrator’s website (the “Grant Summary”). Each Unit represents the right to receive one Share. In connection with the Units, the Company is also granting you an Other Stock-Based Award in the form of the right to receive a credit, payable in cash (without interest), equal to the value of each regular cash dividend that would have been paid on each Share underlying the Units if such Share had been issued to and held by you on the record date for such regular cash dividend (the “Dividend Equivalent Right”).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material inducement to the Company to grant you this award, you agree to the following terms and conditions.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agree that you are not otherwise entitled to this award, that the Company is providing you this award in consideration for your promises and agreements below, and that the Company would not grant you this award absent those promises and agreements. This Restricted Stock Unit Agreement (this “Agreement”), the Grant Summary, and the Dell Technologies Inc. 2023 Stock Incentive Plan (as amended, modified or restated from time to time, the “Plan”) set forth the terms of your Units identified in your Grant Summary.</w:t>
      </w:r>
    </w:p>
    <w:p>
      <w:pPr>
        <w:spacing w:after="0" w:line="74" w:lineRule="exact"/>
        <w:rPr>
          <w:sz w:val="20"/>
          <w:szCs w:val="20"/>
          <w:color w:val="auto"/>
        </w:rPr>
      </w:pPr>
    </w:p>
    <w:p>
      <w:pPr>
        <w:jc w:val="both"/>
        <w:ind w:left="660" w:hanging="328"/>
        <w:spacing w:after="0" w:line="252"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Vesting </w:t>
      </w:r>
      <w:r>
        <w:rPr>
          <w:rFonts w:ascii="Times New Roman" w:cs="Times New Roman" w:eastAsia="Times New Roman" w:hAnsi="Times New Roman"/>
          <w:sz w:val="20"/>
          <w:szCs w:val="20"/>
          <w:color w:val="auto"/>
        </w:rPr>
        <w:t>— The Units will vest, and you will receive Shares, in accordance with the schedule in your Grant Summary.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issue you one Share for each vested Unit and will pay to you the accrued cash value (if any) of the Dividend Equivalent Right related to each such Unit to be delivered on the applicable vesting date or as soon as administratively practicable thereafter, provided that in no event shall Shares or Dividend Equivalent Right payments be delivered later than the fifteenth day of the third month following the end of the calendar year with respect to which the Units were earned and not subject to forfeiture. The issuance of Shares shall be evidenced in such manner as the Company, in its discretion, deems appropriate. You will have no further rights with regard to Units once the Shares related to such Units have been issued and any related Dividend Equivalent Right payments have been made.</w:t>
      </w:r>
    </w:p>
    <w:p>
      <w:pPr>
        <w:spacing w:after="0" w:line="66"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Expiration </w:t>
      </w:r>
      <w:r>
        <w:rPr>
          <w:rFonts w:ascii="Times New Roman" w:cs="Times New Roman" w:eastAsia="Times New Roman" w:hAnsi="Times New Roman"/>
          <w:sz w:val="20"/>
          <w:szCs w:val="20"/>
          <w:color w:val="auto"/>
        </w:rPr>
        <w:t>— If your Employment terminates for any reason other than your death or Disability, any Units that have not vested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related Dividend Equivalent Rights) as described above will expire at that time.</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your Employment is terminated by reason of your death or Disability, unless otherwise set forth in your Grant Summary, all outstanding Units will vest immediately and automatically upon such termination of Employment and the Shares and the accrued cash value (if any) of the related Dividend Equivalent Rights will be distributed to you/your heir(s) as soon as administratively practicable and in all events within 60 days of such termination of Employment.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used herein, the term “Employer” means the Company (if you are employed by the Company) or the Affiliate or Subsidiary of the Company that employs you. As used herein, the term “Company” includes all Affiliates and Subsidiaries of the Company, including your Employer. As used herein, the term “Employment” has the meaning set forth in the Plan, except that it shall exclude employment with or the provision of services to SecureWorks Corp. and its Subsidiaries.</w:t>
      </w:r>
    </w:p>
    <w:p>
      <w:pPr>
        <w:spacing w:after="0" w:line="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used herein, the term “Affiliate” means any company or other entity that controls, is controlled by or is under common control with the Company within the meaning of Rule 405 of Regulation C under the Securities Act, including any Subsidiary.</w:t>
      </w:r>
    </w:p>
    <w:p>
      <w:pPr>
        <w:sectPr>
          <w:pgSz w:w="11900" w:h="16838" w:orient="portrait"/>
          <w:cols w:equalWidth="0" w:num="1">
            <w:col w:w="11240"/>
          </w:cols>
          <w:pgMar w:left="320" w:top="104"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As used herein, the term “Disability” means, with respect to you, that: (i) on or prior to the date of termination, you have provided proof that you have been determined by the U.S. Social Security Administration to be eligible for disability benefits under the Social Security disability insurance program or the Supplemental Security Income program; and (ii) the Committee has determined that you have a permanent physical or mental impairment of sufficient severity as to prevent you from performing duties for the Company or an Affiliate and provided written notice to you that your employment is terminated due to a permanent “Disability” for purposes of the Plan. The Committee, or its designee, may establish any process or procedure it deems appropriate for determining whether you have a “Disability.” Whether your employment is terminated due to “Disability” for purposes of the Plan shall be determined by the Committee in the Committee’s complete discretion.</w:t>
      </w:r>
    </w:p>
    <w:p>
      <w:pPr>
        <w:spacing w:after="0" w:line="50" w:lineRule="exact"/>
        <w:rPr>
          <w:sz w:val="20"/>
          <w:szCs w:val="20"/>
          <w:color w:val="auto"/>
        </w:rPr>
      </w:pPr>
    </w:p>
    <w:p>
      <w:pPr>
        <w:jc w:val="both"/>
        <w:ind w:left="660" w:hanging="328"/>
        <w:spacing w:after="0" w:line="258"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Rights as a Stockholder </w:t>
      </w:r>
      <w:r>
        <w:rPr>
          <w:rFonts w:ascii="Times New Roman" w:cs="Times New Roman" w:eastAsia="Times New Roman" w:hAnsi="Times New Roman"/>
          <w:sz w:val="20"/>
          <w:szCs w:val="20"/>
          <w:color w:val="auto"/>
        </w:rPr>
        <w:t>— You, or your estate or heirs, will have no rights as a stockholder with respect to unvested Units or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 to Shares that may be received by you with respect to your Units until those Shares are issued and registered in your name on the books of the Company’s transfer agent. Units granted to you will be satisfied wholly through the issuance and delivery of Shares, provided that in lieu of issuing any fractional Share, the Company shall make a cash payment to you equal to the Fair Market Value of such fractional Share.</w:t>
      </w:r>
    </w:p>
    <w:p>
      <w:pPr>
        <w:spacing w:after="0" w:line="59"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Agreement With Respect to Taxes </w:t>
      </w:r>
      <w:r>
        <w:rPr>
          <w:rFonts w:ascii="Times New Roman" w:cs="Times New Roman" w:eastAsia="Times New Roman" w:hAnsi="Times New Roman"/>
          <w:sz w:val="20"/>
          <w:szCs w:val="20"/>
          <w:color w:val="auto"/>
        </w:rPr>
        <w:t>— You must pay any federal, state, local and foreign taxes that are required to be withheld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or your Employer. You may pay such amounts in cash or make other arrangements satisfactory to the Company or your Employer for the payment of such amounts. You agree that the Company or your Employer, at its sole discretion and to the fullest extent permitted by Applicable Law, shall have the right to demand that you pay such amounts in cash or deduct such amounts from any payments of any kind otherwise due to you. At the Company’s or your Employer’s sole discretion, the Company or your Employer may permit or require that such withholding tax obligation shall be satisfied by withholding from the Shares otherwise issuable to you that number of Shares having an aggregate Fair Market Value at the time such withholding tax obligation arises equal to the amount of such withholding tax obligation. Such withholding obligation may be, or, if the Committee so directs, such withholding obligation shall be, satisfied by your delivery (on a form prescribed or accepted by the Committee) of an irrevocable direction to a licensed securities broker acceptable to the Committee to sell vested Shares being delivered under the award and to deliver all or part of the sale proceeds to the Company to satisfy such withholding obligation directly to the Company or your Employer. If the applicable tax withholding is satisfied by an irrevocable direction to a licensed securities broker, you will be subject to the Company’s policies regarding insider trading restrictions, which may affect your ability to acquire or sell Shares under the Plan. By acceptance of the award granted hereunder, you certify your understanding of and intent to fully comply with the standards contained in the Company’s insider trading policies (and related policies and procedures adopted by the Company).</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agree that, subject to compliance with Applicable Law, the Company or your Employer may recover from you taxes which may be payable by the Company or your Employer in any jurisdiction in relation to this award. You agree that the Company or your Employer shall be entitled to use whatever method it may deem appropriate to recover such taxes, including the sale of any Shares, paying you a net amount of shares (or cash), or recovering the taxes via payroll and direct invoicing. You further agree that the Company or your Employer may, as it reasonably considers necessary, amend or vary this Agreement to facilitate such recovery of taxes.</w:t>
      </w:r>
    </w:p>
    <w:p>
      <w:pPr>
        <w:spacing w:after="0" w:line="80" w:lineRule="exact"/>
        <w:rPr>
          <w:sz w:val="20"/>
          <w:szCs w:val="20"/>
          <w:color w:val="auto"/>
        </w:rPr>
      </w:pPr>
    </w:p>
    <w:p>
      <w:pPr>
        <w:ind w:left="660" w:right="20" w:hanging="328"/>
        <w:spacing w:after="0" w:line="287" w:lineRule="auto"/>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Leaves of Absence </w:t>
      </w:r>
      <w:r>
        <w:rPr>
          <w:rFonts w:ascii="Times New Roman" w:cs="Times New Roman" w:eastAsia="Times New Roman" w:hAnsi="Times New Roman"/>
          <w:sz w:val="20"/>
          <w:szCs w:val="20"/>
          <w:color w:val="auto"/>
        </w:rPr>
        <w:t>— For purposes of this Agreement, your Employment does not terminate when you take a leave of absence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been approved by the Company or your Employer or is one to which you are legally entitled regardless of such approval.</w:t>
      </w:r>
    </w:p>
    <w:p>
      <w:pPr>
        <w:sectPr>
          <w:pgSz w:w="11900" w:h="16838" w:orient="portrait"/>
          <w:cols w:equalWidth="0" w:num="1">
            <w:col w:w="11240"/>
          </w:cols>
          <w:pgMar w:left="320" w:top="10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51" w:lineRule="auto"/>
        <w:tabs>
          <w:tab w:leader="none" w:pos="6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Return of Share Value </w:t>
      </w:r>
      <w:r>
        <w:rPr>
          <w:rFonts w:ascii="Times New Roman" w:cs="Times New Roman" w:eastAsia="Times New Roman" w:hAnsi="Times New Roman"/>
          <w:sz w:val="20"/>
          <w:szCs w:val="20"/>
          <w:color w:val="auto"/>
        </w:rPr>
        <w:t>— You understand and agree that the Units and Dividend Equivalent Rights are designed to align your long-term interests with those of the Company and that having your interests aligned with the Company is a condition of retaining any Units, Shares delivered to you in respect of Units, or the cash value associated with such Units or Shares and with the Dividend Equivalent Rights. You further understand and agree that if the Company, acting through the Committee, determines that you engaged in “Conduct Detrimental to the Company” (as defined below) during your Employment or during the one-year period following the termination of your Employment, you shall, upon demand, return to the Company, in the form of a cash payment, certain share value (“Returnable Share Value”). For purposes of this provision, “Returnable Share Value” means a cash amount equal to the gross value of the Shares that were issued to you pursuant to this Agreement, determined as of the date such Shares were issued to you and using the Fair Market Value of the Company’s Class C Common Stock on that date, and the accrued cash value (if any) of the related Dividend Equivalent Rights paid to you. You understand and agree that your repayment of the Returnable Share Value is separate from, and does not preclude the Company from seeking and obtaining, other relief based on your conduct that constitutes Conduct Detrimental to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Agreement, you will be considered to have engaged in “Conduct Detrimental to the Company” if:</w:t>
      </w:r>
    </w:p>
    <w:p>
      <w:pPr>
        <w:spacing w:after="0" w:line="121" w:lineRule="exact"/>
        <w:rPr>
          <w:sz w:val="20"/>
          <w:szCs w:val="20"/>
          <w:color w:val="auto"/>
        </w:rPr>
      </w:pPr>
    </w:p>
    <w:p>
      <w:pPr>
        <w:ind w:left="1300" w:hanging="320"/>
        <w:spacing w:after="0" w:line="269" w:lineRule="auto"/>
        <w:tabs>
          <w:tab w:leader="none" w:pos="128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engage in serious misconduct (whether or not such serious misconduct is discovered by the Company prior to the termination of your Employment);</w:t>
      </w:r>
    </w:p>
    <w:p>
      <w:pPr>
        <w:spacing w:after="0" w:line="64"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actions taken on behalf of your Employer within the scope of your Employment, you use, disclose, copy, store, or retain any confidential, proprietary, or trade secret information obtained by you in connection with your Employment;</w:t>
      </w:r>
    </w:p>
    <w:p>
      <w:pPr>
        <w:spacing w:after="0" w:line="38"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communications made on behalf of your Employer within the scope of your Employment, you advise, assist, attempt to influence or otherwise induce or persuade (or assist any other person in advertising, attempting to influence or otherwise induce or persuade) any person employed by the Company to end his or her employment with the Company; or</w:t>
      </w:r>
    </w:p>
    <w:p>
      <w:pPr>
        <w:spacing w:after="0" w:line="7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engage in Conflicting Activities (as defined below).</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For purposes of this provision, “Conflicting Activities” means you, without the advance, express, written consent of the Company’s Chief Human Resources Officer:</w:t>
      </w:r>
    </w:p>
    <w:p>
      <w:pPr>
        <w:spacing w:after="0" w:line="52" w:lineRule="exact"/>
        <w:rPr>
          <w:sz w:val="20"/>
          <w:szCs w:val="20"/>
          <w:color w:val="auto"/>
        </w:rPr>
      </w:pPr>
    </w:p>
    <w:p>
      <w:pPr>
        <w:ind w:left="1300" w:hanging="424"/>
        <w:spacing w:after="0" w:line="269" w:lineRule="auto"/>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or become a principal, owner, officer, director, shareholder or other equity owner (other than a holder of less than 5% of the outstanding shares or other equity interests of a publicly traded company) of a Competitor (as defined below);</w:t>
      </w:r>
    </w:p>
    <w:p>
      <w:pPr>
        <w:spacing w:after="0" w:line="65" w:lineRule="exact"/>
        <w:rPr>
          <w:sz w:val="20"/>
          <w:szCs w:val="20"/>
          <w:color w:val="auto"/>
        </w:rPr>
      </w:pPr>
    </w:p>
    <w:p>
      <w:pPr>
        <w:ind w:left="1300" w:hanging="42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or become a partner or joint venture in any business or other enterprise or undertaking with a Competitor;</w:t>
      </w:r>
    </w:p>
    <w:p>
      <w:pPr>
        <w:spacing w:after="0" w:line="107" w:lineRule="exact"/>
        <w:rPr>
          <w:rFonts w:ascii="Times New Roman" w:cs="Times New Roman" w:eastAsia="Times New Roman" w:hAnsi="Times New Roman"/>
          <w:sz w:val="20"/>
          <w:szCs w:val="20"/>
          <w:color w:val="auto"/>
        </w:rPr>
      </w:pPr>
    </w:p>
    <w:p>
      <w:pPr>
        <w:jc w:val="both"/>
        <w:ind w:left="1300" w:hanging="479"/>
        <w:spacing w:after="0" w:line="258" w:lineRule="auto"/>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or perform services (including contract, consulting or advisory services) for a Competitor in any geographic area where the Company conducts business, if your work or services (i) are similar in any material way to the work or services you performed for the Company in the twenty-four month period preceding the termination of your Employment or (ii) could result in your using the Company’s confidential information or trade secrets; or</w:t>
      </w:r>
    </w:p>
    <w:p>
      <w:pPr>
        <w:spacing w:after="0" w:line="77" w:lineRule="exact"/>
        <w:rPr>
          <w:rFonts w:ascii="Times New Roman" w:cs="Times New Roman" w:eastAsia="Times New Roman" w:hAnsi="Times New Roman"/>
          <w:sz w:val="20"/>
          <w:szCs w:val="20"/>
          <w:color w:val="auto"/>
        </w:rPr>
      </w:pPr>
    </w:p>
    <w:p>
      <w:pPr>
        <w:ind w:left="1300" w:hanging="534"/>
        <w:spacing w:after="0" w:line="269" w:lineRule="auto"/>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divert, take away (or attempt to solicit, divert, or take away), directly or by assistance of others, any business from the Company’s clients or customers (including</w:t>
      </w:r>
    </w:p>
    <w:p>
      <w:pPr>
        <w:sectPr>
          <w:pgSz w:w="11900" w:h="16838" w:orient="portrait"/>
          <w:cols w:equalWidth="0" w:num="1">
            <w:col w:w="11240"/>
          </w:cols>
          <w:pgMar w:left="320" w:top="10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52" w:lineRule="exact"/>
        <w:rPr>
          <w:sz w:val="20"/>
          <w:szCs w:val="20"/>
          <w:color w:val="auto"/>
        </w:rPr>
      </w:pPr>
    </w:p>
    <w:p>
      <w:pPr>
        <w:jc w:val="both"/>
        <w:ind w:left="1300"/>
        <w:spacing w:after="0" w:line="283" w:lineRule="auto"/>
        <w:rPr>
          <w:sz w:val="20"/>
          <w:szCs w:val="20"/>
          <w:color w:val="auto"/>
        </w:rPr>
      </w:pPr>
      <w:r>
        <w:rPr>
          <w:rFonts w:ascii="Times New Roman" w:cs="Times New Roman" w:eastAsia="Times New Roman" w:hAnsi="Times New Roman"/>
          <w:sz w:val="20"/>
          <w:szCs w:val="20"/>
          <w:color w:val="auto"/>
        </w:rPr>
        <w:t>actively sought clients or customers) with whom you have or have had material contact during your Employment, for purposes of providing products or services that are competitive with those provided by the Company.</w:t>
      </w:r>
    </w:p>
    <w:p>
      <w:pPr>
        <w:spacing w:after="0" w:line="3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You understand and agree that neither this provision nor any other provision of this Agreement prohibits you from engaging in Conduct Detrimental to the Company, but only requires repayment of Returnable Share Value if you engage in Conduct Detrimental to the Company.</w:t>
      </w:r>
    </w:p>
    <w:p>
      <w:pPr>
        <w:spacing w:after="0" w:line="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term “Competitor” means any entity, or other business concern, that offers or plans to offer products or services that are materially competitive with any of the products or services being manufactured, offered, marketed, or actively developed by the Company as of the date your Employment ends.</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enter into any business, employment, or service relationship during your Employment or within the one-year period following the termination of your Employment, you agree to provide the Company sufficient information regarding such relationship to enable the Company to determine whether such employment or service constitutes Conflicting Activities. You agree to provide such information to your first- and second-level manager in writing within five business days of agreeing to such business, employment, or service relationship. You understand and agree that if you fail to provide sufficient information as required by this paragraph, the Committee may consider your failure to provide such information in making its determination, and you waive any claim or objection related to the Committee’s doing so and to the Committee’s not considering information you failed to provide.</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Committee shall have complete and absolute authority to make any factual findings and to construe and interpret the provisions of this Agreement, including but not limited to any determination as to whether you have engaged in “Conduct Detrimental to the Company.” Any such interpretations or determinations by the Committee will be final, binding, and conclusive on you, your beneficiaries or successors, the Company and all other interested persons.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anything herein to the contrary, if, within 30 days of the last day of your Employment, you either reside or work in the Commonwealth of Massachusetts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you agree that the provisions of the addendum attached hereto (the “Addendum”), shall apply to this Agreement and control to the extent there is any conflict between the Addendum and the other provisions of this Agreement.</w:t>
      </w:r>
    </w:p>
    <w:p>
      <w:pPr>
        <w:spacing w:after="0" w:line="56" w:lineRule="exact"/>
        <w:rPr>
          <w:sz w:val="20"/>
          <w:szCs w:val="20"/>
          <w:color w:val="auto"/>
        </w:rPr>
      </w:pPr>
    </w:p>
    <w:p>
      <w:pPr>
        <w:jc w:val="both"/>
        <w:ind w:left="660" w:hanging="328"/>
        <w:spacing w:after="0" w:line="254" w:lineRule="auto"/>
        <w:tabs>
          <w:tab w:leader="none" w:pos="64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Transferability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Units are not transferable other than by will or the applicable laws of descent and distribution, and unvested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Units may not be sold, assigned, transferred, pledged, hypothecated or otherwise encumbered, whether by operation of law or otherwise, nor may the Units be made subject to execution, attachment or similar process. If you attempt to take any of the actions referred to in the immediately preceding sentence, the Units will immediately become forfeited. Once Units have vested and Shares have been issued to you, such Shares shall be freely transferable, subject to any applicable securities laws, rules and regulations, any separately stated transfer restrictions that the Company may impose on such Shares, and any Restricted Periods (as defined below) to which you may be subject.</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Trading Restrictions </w:t>
      </w:r>
      <w:r>
        <w:rPr>
          <w:rFonts w:ascii="Times New Roman" w:cs="Times New Roman" w:eastAsia="Times New Roman" w:hAnsi="Times New Roman"/>
          <w:sz w:val="20"/>
          <w:szCs w:val="20"/>
          <w:color w:val="auto"/>
        </w:rPr>
        <w:t>— If you are subject to any Company “blackout” policy or other trading restriction imposed by the Company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Period”) on the date a distribution would otherwise be made pursuant to Section 1 herein, such distribution may instead be made on the earlier of (i) the first date on which you are not subject to any such policy or restriction and (ii) the later of (A) the last day of the calendar year in which such distribution would otherwise have been made, and (B) a date which is immediately prior to the expiration of two and one-half months following the date such distribution would otherwise have been made hereunder. For purposes of this provision, you acknowledge that you may be subject to a Restricted Period for any reason that the Company determines appropriate, including Restricted Periods generally</w:t>
      </w:r>
    </w:p>
    <w:p>
      <w:pPr>
        <w:sectPr>
          <w:pgSz w:w="11900" w:h="16838" w:orient="portrait"/>
          <w:cols w:equalWidth="0" w:num="1">
            <w:col w:w="11240"/>
          </w:cols>
          <w:pgMar w:left="320" w:top="10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52" w:lineRule="exact"/>
        <w:rPr>
          <w:sz w:val="20"/>
          <w:szCs w:val="20"/>
          <w:color w:val="auto"/>
        </w:rPr>
      </w:pPr>
    </w:p>
    <w:p>
      <w:pPr>
        <w:jc w:val="both"/>
        <w:ind w:left="328" w:right="20"/>
        <w:spacing w:after="0" w:line="283" w:lineRule="auto"/>
        <w:rPr>
          <w:sz w:val="20"/>
          <w:szCs w:val="20"/>
          <w:color w:val="auto"/>
        </w:rPr>
      </w:pPr>
      <w:r>
        <w:rPr>
          <w:rFonts w:ascii="Times New Roman" w:cs="Times New Roman" w:eastAsia="Times New Roman" w:hAnsi="Times New Roman"/>
          <w:sz w:val="20"/>
          <w:szCs w:val="20"/>
          <w:color w:val="auto"/>
        </w:rPr>
        <w:t>applicable to employees or groups of employees or Restricted Periods applicable to you during an investigation of allegations of misconduct or Conduct Detrimental to the Company by you.</w:t>
      </w:r>
    </w:p>
    <w:p>
      <w:pPr>
        <w:spacing w:after="0" w:line="34" w:lineRule="exact"/>
        <w:rPr>
          <w:sz w:val="20"/>
          <w:szCs w:val="20"/>
          <w:color w:val="auto"/>
        </w:rPr>
      </w:pPr>
    </w:p>
    <w:p>
      <w:pPr>
        <w:jc w:val="both"/>
        <w:ind w:left="328" w:hanging="328"/>
        <w:spacing w:after="0" w:line="252" w:lineRule="auto"/>
        <w:tabs>
          <w:tab w:leader="none" w:pos="31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Incorporation of Plan </w:t>
      </w:r>
      <w:r>
        <w:rPr>
          <w:rFonts w:ascii="Times New Roman" w:cs="Times New Roman" w:eastAsia="Times New Roman" w:hAnsi="Times New Roman"/>
          <w:sz w:val="20"/>
          <w:szCs w:val="20"/>
          <w:color w:val="auto"/>
        </w:rPr>
        <w:t>— This award is granted under the Plan and is governed by the terms of the Plan in addition to the terms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conditions stated herein. This Agreement, the Grant Summary and the Plan constitute the entire understanding between you and the Company regarding this award. In the event of any conflict between this Agreement or the Grant Summary and the Plan, the terms of the Plan shall control, provided that the definitions of “Company” and “Employment” set forth in Section 2 herein shall control over the conflicting definitions in the Plan. All terms used herein with their initial letters capitalized shall have the meanings given them in the Plan unless otherwise defined herein. A copy of the Plan is available upon request from the Company’s Stock Plan Administration Department. Your Units will be subject to the terms of any applicable agreement of merger, liquidation or reorganization in the event the Company is subject to such corporate activity and shall be subject to adjustment pursuant to Section 10 of the Plan.</w:t>
      </w:r>
    </w:p>
    <w:p>
      <w:pPr>
        <w:spacing w:after="0" w:line="81"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2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Notice </w:t>
      </w:r>
      <w:r>
        <w:rPr>
          <w:rFonts w:ascii="Times New Roman" w:cs="Times New Roman" w:eastAsia="Times New Roman" w:hAnsi="Times New Roman"/>
          <w:sz w:val="20"/>
          <w:szCs w:val="20"/>
          <w:color w:val="auto"/>
        </w:rPr>
        <w:t>— You agree that notices may be given to you in writing either at your home address as shown in the records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your Employer, or by electronic transmission (including e-mail or reference to a website or other URL) sent to you through the Company’s normal process for communicating electronically with its employees.</w:t>
      </w:r>
    </w:p>
    <w:p>
      <w:pPr>
        <w:spacing w:after="0" w:line="53"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1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 Right to Continued Employment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granting of Units does not confer upon you any right to the expectation of,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continuation of, your Employment. Unless otherwise specified in an employment or other written agreement between the Company or your Employer, as applicable, and you, the Company or your Employer, as applicable, reserves the right to terminate your Employment at any time and for any reason.</w:t>
      </w:r>
    </w:p>
    <w:p>
      <w:pPr>
        <w:spacing w:after="0" w:line="69"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2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Limitation on Rights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No Right to Future Grants; Extraordinary Item of Compensation </w:t>
      </w:r>
      <w:r>
        <w:rPr>
          <w:rFonts w:ascii="Times New Roman" w:cs="Times New Roman" w:eastAsia="Times New Roman" w:hAnsi="Times New Roman"/>
          <w:sz w:val="19"/>
          <w:szCs w:val="19"/>
          <w:color w:val="auto"/>
        </w:rPr>
        <w:t>— By accepting this Agreement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grant of the Units evidenced hereby, you expressly acknowledge that (a) the Plan is discretionary in nature and may be suspended or terminated by the Company at any time; (b) the grant of Units is a one-time benefit that does not create any contractual or other right to receive future grants of Units, or benefits in lieu of Units; (c) all determinations with respect to future grants, if any, including the grant date, the number of Units granted and the vesting dates, will be at the sole discretion of the Company; (d) your participation in the Plan is voluntary; (e) the value of the Units is an extraordinary item of compensation that is outside the scope of your employment contract, if any, and nothing can or must automatically be inferred from such employment contract or its consequences;</w:t>
      </w:r>
    </w:p>
    <w:p>
      <w:pPr>
        <w:spacing w:after="0" w:line="3" w:lineRule="exact"/>
        <w:rPr>
          <w:rFonts w:ascii="Times New Roman" w:cs="Times New Roman" w:eastAsia="Times New Roman" w:hAnsi="Times New Roman"/>
          <w:sz w:val="19"/>
          <w:szCs w:val="19"/>
          <w:color w:val="auto"/>
        </w:rPr>
      </w:pPr>
    </w:p>
    <w:p>
      <w:pPr>
        <w:jc w:val="both"/>
        <w:ind w:left="328" w:hanging="4"/>
        <w:spacing w:after="0" w:line="248" w:lineRule="auto"/>
        <w:tabs>
          <w:tab w:leader="none" w:pos="59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are not part of normal or expected compensation for any purpose, and are not to be used for calculating any severance, resignation, redundancy, end of service payments, bonuses, long-service awards, pension or retirement benefits or similar payments, and you waive any claim on such basis; (g) the grant of an equity interest in the Company gives rise to the Company’s need (on behalf of itself and its stockholders) to protect itself from Conduct Detrimental to the Company, and your promises described in Section 6 herein (Return of Share Value) above are designed to protect the Company and its stockholders from Conduct Detrimental to the Company; (h) vesting of Units ceases upon termination of Employment for any reason except as may otherwise be explicitly provided in the Plan document or in this Agreement; and (i) the future value of the Units is unknown and cannot be predicted with certainty. In addition, you understand, acknowledge and agree that you will have no rights to compensation or damages related to Units or Shares in consequence of the termination of your Employment for any reason whatsoever and whether or not in breach of contract.</w:t>
      </w:r>
    </w:p>
    <w:p>
      <w:pPr>
        <w:sectPr>
          <w:pgSz w:w="11900" w:h="16838" w:orient="portrait"/>
          <w:cols w:equalWidth="0" w:num="1">
            <w:col w:w="10908"/>
          </w:cols>
          <w:pgMar w:left="652" w:top="104"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48" w:lineRule="exact"/>
        <w:rPr>
          <w:sz w:val="20"/>
          <w:szCs w:val="20"/>
          <w:color w:val="auto"/>
        </w:rPr>
      </w:pPr>
    </w:p>
    <w:p>
      <w:pPr>
        <w:jc w:val="both"/>
        <w:ind w:left="328" w:hanging="328"/>
        <w:spacing w:after="0" w:line="250" w:lineRule="auto"/>
        <w:tabs>
          <w:tab w:leader="none" w:pos="3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Data Privacy Consent </w:t>
      </w:r>
      <w:r>
        <w:rPr>
          <w:rFonts w:ascii="Times New Roman" w:cs="Times New Roman" w:eastAsia="Times New Roman" w:hAnsi="Times New Roman"/>
          <w:sz w:val="20"/>
          <w:szCs w:val="20"/>
          <w:color w:val="auto"/>
        </w:rPr>
        <w:t>— As a condition of the grant of the Units, you acknowledge the legal basis for the Company processing your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data (as described in this Section 13) is to perform its obligations under this Agreement and administer all the Units. You also expressly consent to the collection, use and transfer of your personal data and you understand that the Company and its Affiliates and Subsidiaries hold certain personal information about you, including your name, home address and telephone number, date of birth, social security number, salary, nationality, job title, any ownership interests or directorships held in the Company, its Affiliates or its Subsidiaries and details of all Units, Shares, stock options or other equity awards awarded or cancelled (“Data”). You further understand that the Company, its Affiliates and Subsidiaries will transfer Data amongst themselves as necessary for the purposes of implementation, administration and management of your participation in the Plan, and that the Company, its Affiliates and any of its Subsidiaries may each further transfer Data to any third parties assisting the Company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or the subsequent holding of shares of common stock on your behalf, in electronic or other form, for the purposes of implementing, administering and managing your participation in the Plan, including any requisite transfer to a broker or other third party with whom you may elect to deposit any shares of common stock acquired under the Plan. You understand that you may, at any time, view such Data or require any necessary amendments to it. For more information on how the Company and its Affiliates and Subsidiaries processes your Personal Data, please read the Company’s Global Data Privacy Policy and HR Privacy Notice.</w:t>
      </w:r>
    </w:p>
    <w:p>
      <w:pPr>
        <w:spacing w:after="0" w:line="71" w:lineRule="exact"/>
        <w:rPr>
          <w:rFonts w:ascii="Times New Roman" w:cs="Times New Roman" w:eastAsia="Times New Roman" w:hAnsi="Times New Roman"/>
          <w:sz w:val="20"/>
          <w:szCs w:val="20"/>
          <w:color w:val="auto"/>
        </w:rPr>
      </w:pPr>
    </w:p>
    <w:p>
      <w:pPr>
        <w:jc w:val="both"/>
        <w:ind w:left="328" w:hanging="328"/>
        <w:spacing w:after="0" w:line="252" w:lineRule="auto"/>
        <w:tabs>
          <w:tab w:leader="none" w:pos="3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Governing Law and Venue </w:t>
      </w:r>
      <w:r>
        <w:rPr>
          <w:rFonts w:ascii="Times New Roman" w:cs="Times New Roman" w:eastAsia="Times New Roman" w:hAnsi="Times New Roman"/>
          <w:sz w:val="20"/>
          <w:szCs w:val="20"/>
          <w:color w:val="auto"/>
        </w:rPr>
        <w:t>— This Agreement and the Plan shall be governed by, and construed in accordance with, the laws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of Delaware, United States of America, without regard to conflict of laws principles thereof. For any dispute for which the forum and venue are not fixed by your agreement to arbitrate with the Company, the exclusive venue for any and all disputes arising out of or in connection with this Agreement shall be New Castle County, Delaware, United States of America, and the courts sitting exclusively in New Castle County, Delaware,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79"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Effect of Invalid Provisions </w:t>
      </w:r>
      <w:r>
        <w:rPr>
          <w:rFonts w:ascii="Times New Roman" w:cs="Times New Roman" w:eastAsia="Times New Roman" w:hAnsi="Times New Roman"/>
          <w:sz w:val="20"/>
          <w:szCs w:val="20"/>
          <w:color w:val="auto"/>
        </w:rPr>
        <w:t>— If any of the promises, terms or conditions set forth herein are determined by a court of competent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jurisdiction to be unenforceable, any Units that have not vested as described above will expire at that time and you agree to return to the Company an amount of cash equal to the Fair Market Value of all Shares theretofore issued to you pursuant to this Agreement, determined as of the date such Shares were issued.</w:t>
      </w:r>
    </w:p>
    <w:p>
      <w:pPr>
        <w:spacing w:after="0" w:line="56"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Communications </w:t>
      </w:r>
      <w:r>
        <w:rPr>
          <w:rFonts w:ascii="Times New Roman" w:cs="Times New Roman" w:eastAsia="Times New Roman" w:hAnsi="Times New Roman"/>
          <w:sz w:val="20"/>
          <w:szCs w:val="20"/>
          <w:color w:val="auto"/>
        </w:rPr>
        <w:t>— You agree that the Company may provide you with any communications associated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award in electronic format. Your consent to receive electronic communications includes, but is not limited to, all legal and regulatory disclosures and communications associated with this award or notices or disclosures about a change in the terms and conditions of this award.</w:t>
      </w:r>
    </w:p>
    <w:p>
      <w:pPr>
        <w:spacing w:after="0" w:line="69" w:lineRule="exact"/>
        <w:rPr>
          <w:rFonts w:ascii="Times New Roman" w:cs="Times New Roman" w:eastAsia="Times New Roman" w:hAnsi="Times New Roman"/>
          <w:sz w:val="20"/>
          <w:szCs w:val="20"/>
          <w:color w:val="auto"/>
        </w:rPr>
      </w:pPr>
    </w:p>
    <w:p>
      <w:pPr>
        <w:jc w:val="both"/>
        <w:ind w:left="328" w:hanging="328"/>
        <w:spacing w:after="0" w:line="263" w:lineRule="auto"/>
        <w:tabs>
          <w:tab w:leader="none" w:pos="3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Internal Revenue Code Section 409A </w:t>
      </w:r>
      <w:r>
        <w:rPr>
          <w:rFonts w:ascii="Times New Roman" w:cs="Times New Roman" w:eastAsia="Times New Roman" w:hAnsi="Times New Roman"/>
          <w:sz w:val="20"/>
          <w:szCs w:val="20"/>
          <w:color w:val="auto"/>
        </w:rPr>
        <w:t>— This Agreement is not intended to constitute a “nonqualified deferred compensation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purposes of Code Section 409A. Neither you nor the Company shall have the right to accelerate or defer the vesting and/or delivery of any Units if</w:t>
      </w:r>
    </w:p>
    <w:p>
      <w:pPr>
        <w:sectPr>
          <w:pgSz w:w="11900" w:h="16838" w:orient="portrait"/>
          <w:cols w:equalWidth="0" w:num="1">
            <w:col w:w="10908"/>
          </w:cols>
          <w:pgMar w:left="652" w:top="104"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Time-Based Award Agreement (Time-Based)</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5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such action would cause this Agreement to be subject to Code Section 409A. The Company makes no representations or warranty and shall have no liability to you or any other person if any provisions of or payments under this Agreement are determined to constitute nonqualified deferred compensation subject to Code Section 409A, but not to satisfy the conditions of that section. To the extent that the Committee determines that you would be subject to the additional 20% tax imposed on certain non-qualified deferred compensation plans pursuant to Code Section 409A as a result of any provision of this Agreement, such provision shall be deemed amended to the minimum extent necessary to avoid application of such additional tax. The nature of such amendment shall be determined by the Committee. For purposes of this Agreement, a termination of Employment only occurs upon an event that would be a “Separation from Service” within the meaning of Code Section 409A.</w:t>
      </w:r>
    </w:p>
    <w:p>
      <w:pPr>
        <w:spacing w:after="0" w:line="83" w:lineRule="exact"/>
        <w:rPr>
          <w:sz w:val="20"/>
          <w:szCs w:val="20"/>
          <w:color w:val="auto"/>
        </w:rPr>
      </w:pPr>
    </w:p>
    <w:p>
      <w:pPr>
        <w:jc w:val="both"/>
        <w:ind w:left="660" w:hanging="328"/>
        <w:spacing w:after="0" w:line="254" w:lineRule="auto"/>
        <w:tabs>
          <w:tab w:leader="none" w:pos="65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Titles and Interpretation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Titles are provided herein for convenience only and are not to serve as a basis for interpretation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construction of this Agreement. Defined terms used in this Agreement shall apply equally to both the singular and plural forms thereof. Whenever the context may require, any pronoun shall include the corresponding masculine, feminine and neuter forms. The words “include,” “includes,” and “including” shall be deemed to be followed by the phrase “without limitation.” The term “hereunder” shall mean this entire Agreement as a whole unless reference to a specific section or provision of this Agreement is made. Any reference to a section, subsection and provision is to this Agreement unless otherwise specified.</w:t>
      </w:r>
    </w:p>
    <w:p>
      <w:pPr>
        <w:spacing w:after="0" w:line="65"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Acceptance of Terms and Conditions </w:t>
      </w:r>
      <w:r>
        <w:rPr>
          <w:rFonts w:ascii="Times New Roman" w:cs="Times New Roman" w:eastAsia="Times New Roman" w:hAnsi="Times New Roman"/>
          <w:sz w:val="20"/>
          <w:szCs w:val="20"/>
          <w:color w:val="auto"/>
        </w:rPr>
        <w:t>— This award will not be effective and you may not take action with respect to the Units 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until you have acknowledged and agreed to the terms and conditions set forth herein in the manner prescribed by the Company. This award will also not be effective and you may not take action with respect to the Units or the Shares if you have not executed your Key Employee Agreement and Mutual Agreement to Arbitrate Claims in the manner prescribed by the Company. You should print a copy of this award and your Grant Summary for your records.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Awarded subject to the terms and conditions stated above: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_____________________________________________</w:t>
      </w:r>
    </w:p>
    <w:p>
      <w:pPr>
        <w:sectPr>
          <w:pgSz w:w="11900" w:h="16838" w:orient="portrait"/>
          <w:cols w:equalWidth="0" w:num="1">
            <w:col w:w="11240"/>
          </w:cols>
          <w:pgMar w:left="320" w:top="10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Agreement</w:t>
      </w:r>
    </w:p>
    <w:p>
      <w:pPr>
        <w:spacing w:after="0" w:line="200" w:lineRule="exact"/>
        <w:rPr>
          <w:sz w:val="20"/>
          <w:szCs w:val="20"/>
          <w:color w:val="auto"/>
        </w:rPr>
      </w:pPr>
    </w:p>
    <w:p>
      <w:pPr>
        <w:spacing w:after="0" w:line="3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Dell Technologies Inc., a Delaware corporation (the “Company”), is pleased to grant you an Other Stock-Based Award in the form of “restricted stock units” representing the right to receive shares of the Company’s Class C Common Stock (the “Shares”), subject to the terms and conditions described below. The number of restricted stock units that are awarded to you (the “Units”) is stated on the Company’s stock plan administrator’s online website (the “Grant Summary”). Each Unit represents the right to receive one Share. In connection with the Units, the Company is also granting you an Other Stock-Based Award in the form of the right to receive a credit, payable in cash (without interest), equal to the value of each regular cash dividend that would have been paid on each Share underlying the Units if such Share had been issued to and held by you on the record date for such regular cash dividend (the “Dividend Equivalent Right”).</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material inducement to the Company to grant you this award, you agree to the following terms and conditions. You agree that you are not otherwise entitled to this award, that the Company is providing you this award in consideration for your promises and agreements below, and that the Company would not grant you this award absent those promises and agreements. This Performance-Based Restricted Stock Unit Agreement and Performance Goals Appendix hereto (this “Agreement”), the Grant Summary, and the Dell Technologies Inc. 2023 Stock Incentive Plan (as amended, modified or restated from time to time, the “Plan”) set forth the terms of your Units identified in your Grant Summary.</w:t>
      </w:r>
    </w:p>
    <w:p>
      <w:pPr>
        <w:spacing w:after="0" w:line="67" w:lineRule="exact"/>
        <w:rPr>
          <w:sz w:val="20"/>
          <w:szCs w:val="20"/>
          <w:color w:val="auto"/>
        </w:rPr>
      </w:pPr>
    </w:p>
    <w:p>
      <w:pPr>
        <w:jc w:val="both"/>
        <w:ind w:left="660" w:hanging="328"/>
        <w:spacing w:after="0" w:line="252" w:lineRule="auto"/>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Vesting — </w:t>
      </w:r>
      <w:r>
        <w:rPr>
          <w:rFonts w:ascii="Times New Roman" w:cs="Times New Roman" w:eastAsia="Times New Roman" w:hAnsi="Times New Roman"/>
          <w:sz w:val="20"/>
          <w:szCs w:val="20"/>
          <w:color w:val="auto"/>
        </w:rPr>
        <w:t>The Units will vest, and you will receive Shares, in accordance with the schedule in the Performance Goals Appendix,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the achievement of performance goals described in the Performance Goals Appendix. The Company will issue you one Share for each vested Unit and will pay to you the accrued cash value (if any) of the Dividend Equivalent Right related to each such Unit to be delivered on the applicable vesting date or as soon as administratively practicable thereafter, provided that in no event shall Shares or Dividend Equivalent Right payments be delivered later than the fifteenth day of the third month following the end of the calendar year with respect to which the Units were earned and not subject to forfeiture. The issuance of Shares shall be evidenced in such manner as the Company, in its discretion, deems appropriate. You will have no further rights with regard to Units once the Shares related to such Units have been issued and any related Dividend Equivalent Right payments have been made.</w:t>
      </w:r>
    </w:p>
    <w:p>
      <w:pPr>
        <w:spacing w:after="0" w:line="79"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Expiration </w:t>
      </w:r>
      <w:r>
        <w:rPr>
          <w:rFonts w:ascii="Times New Roman" w:cs="Times New Roman" w:eastAsia="Times New Roman" w:hAnsi="Times New Roman"/>
          <w:sz w:val="20"/>
          <w:szCs w:val="20"/>
          <w:color w:val="auto"/>
        </w:rPr>
        <w:t>— If your Employment terminates for any reason other than your death or Disability, any Units that have not vested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related Dividend Equivalent Rights) as described above will expire at that time.</w:t>
      </w:r>
    </w:p>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your Employment is terminated by reason of your death or Disability, unless otherwise set forth in the Performance Goals Appendix, all outstanding Units will vest immediately and automatically upon such termination of Employment and the Shares and the accrued cash value (if any) of the related Dividend Equivalent Rights will be distributed to you/your heir(s) as soon as administratively practicable and in all events within 60 days of such termination of Employment.</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used herein, the term “Employer” means the Company (if you are employed by the Company) or the Affiliate or Subsidiary of the Company that employs you. As used herein, the term “Company” includes all Affiliates and Subsidiaries of the Company, including your Employer. As used herein, the term “Employment” has the meaning set forth in the Plan, except that it shall exclude employment with or the provision of services to SecureWorks Corp. and its Subsidiaries.</w:t>
      </w:r>
    </w:p>
    <w:p>
      <w:pPr>
        <w:sectPr>
          <w:pgSz w:w="11900" w:h="16838" w:orient="portrait"/>
          <w:cols w:equalWidth="0" w:num="1">
            <w:col w:w="11240"/>
          </w:cols>
          <w:pgMar w:left="320" w:top="10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used herein, the term “Affiliate” means any company or other entity that controls, is controlled by or is under common control with the Company within the meaning of Rule 405 of Regulation C under the Securities Act, including any Subsidiary.</w:t>
      </w:r>
    </w:p>
    <w:p>
      <w:pPr>
        <w:spacing w:after="0" w:line="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As used herein, the term “Disability” means, with respect to you, that: (i) on or prior to the date of termination, you have provided proof that you have been determined by the U.S. Social Security Administration to be eligible for disability benefits under the Social Security disability insurance program or the Supplemental Security Income program; and (ii) the Committee has determined that you have a permanent physical or mental impairment of sufficient severity as to prevent you from performing duties for the Company or an Affiliate and provided written notice to you that your employment is terminated due to a permanent “Disability” for purposes of the Plan. The Committee, or its designee, may establish any process or procedure it deems appropriate for determining whether you have a “Disability.” Whether your employment is terminated due to “Disability” for purposes of the Plan shall be determined by the Committee in the Committee’s complete discretion.</w:t>
      </w:r>
    </w:p>
    <w:p>
      <w:pPr>
        <w:spacing w:after="0" w:line="50" w:lineRule="exact"/>
        <w:rPr>
          <w:sz w:val="20"/>
          <w:szCs w:val="20"/>
          <w:color w:val="auto"/>
        </w:rPr>
      </w:pPr>
    </w:p>
    <w:p>
      <w:pPr>
        <w:jc w:val="both"/>
        <w:ind w:left="660" w:hanging="328"/>
        <w:spacing w:after="0" w:line="258" w:lineRule="auto"/>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Rights as a Stockholder </w:t>
      </w:r>
      <w:r>
        <w:rPr>
          <w:rFonts w:ascii="Times New Roman" w:cs="Times New Roman" w:eastAsia="Times New Roman" w:hAnsi="Times New Roman"/>
          <w:sz w:val="20"/>
          <w:szCs w:val="20"/>
          <w:color w:val="auto"/>
        </w:rPr>
        <w:t>— You, or your estate or heirs, will have no rights as a stockholder with respect to unvested Units or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respect to Shares that may be received by you with respect to your Units until those Shares are issued and registered in your name on the books of the Company’s transfer agent. Units granted to you will be satisfied wholly through the issuance and delivery of Shares, provided that in lieu of issuing any fractional Share, the Company shall make a cash payment to you equal to the Fair Market Value of such fractional Share.</w:t>
      </w:r>
    </w:p>
    <w:p>
      <w:pPr>
        <w:spacing w:after="0" w:line="59"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Agreement With Respect to Taxes </w:t>
      </w:r>
      <w:r>
        <w:rPr>
          <w:rFonts w:ascii="Times New Roman" w:cs="Times New Roman" w:eastAsia="Times New Roman" w:hAnsi="Times New Roman"/>
          <w:sz w:val="20"/>
          <w:szCs w:val="20"/>
          <w:color w:val="auto"/>
        </w:rPr>
        <w:t>— You must pay any federal, state, local and foreign taxes that are required to be withheld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or your Employer. You may pay such amounts in cash or make other arrangements satisfactory to the Company or your Employer for the payment of such amounts. You agree that the Company or your Employer, at its sole discretion and to the fullest extent permitted by Applicable Law, shall have the right to demand that you pay such amounts in cash or deduct such amounts from any payments of any kind otherwise due to you. At the Company’s or your Employer’s sole discretion, the Company or your Employer may permit or require that such withholding tax obligation shall be satisfied by withholding from the Shares otherwise issuable to you that number of Shares having an aggregate Fair Market Value at the time such withholding tax obligation arises equal to the amount of such withholding tax obligation. Such withholding obligation may be, or, if the Committee so directs, such withholding obligation shall be satisfied by your delivery (on a form prescribed or accepted by the Committee) of an irrevocable direction to a licensed securities broker acceptable to the Committee to sell vested Shares being delivered under the award and to deliver all or part of the sale proceeds to the Company to satisfy such withholding obligation directly to the Company or your Employer. If the applicable tax withholding is satisfied by an irrevocable direction to a licensed securities broker, you will be subject to the Company’s policies regarding insider trading restrictions, which may affect your ability to acquire or sell Shares under the Plan. By acceptance of the award granted hereunder, you certify your understanding of and intent to fully comply with the standards contained in the Company’s insider trading policies (and related policies and procedures adopted by the Company).</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 agree that, subject to compliance with Applicable Law, the Company or your Employer may recover from you taxes which may be payable by the Company or your Employer in any jurisdiction in relation to this award. You agree that the Company or your Employer shall be entitled to use whatever method it may deem appropriate to recover such taxes, including the sale of any Shares, paying you a net amount of shares (or cash), or recovering the taxes via payroll and direct invoicing. You further agree that the Company or your Employer may, as it reasonably considers necessary, amend or vary this Agreement to facilitate such recovery of taxes.</w:t>
      </w:r>
    </w:p>
    <w:p>
      <w:pPr>
        <w:sectPr>
          <w:pgSz w:w="11900" w:h="16838" w:orient="portrait"/>
          <w:cols w:equalWidth="0" w:num="1">
            <w:col w:w="11240"/>
          </w:cols>
          <w:pgMar w:left="320" w:top="104"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20" w:hanging="328"/>
        <w:spacing w:after="0" w:line="287"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Leaves of Absence </w:t>
      </w:r>
      <w:r>
        <w:rPr>
          <w:rFonts w:ascii="Times New Roman" w:cs="Times New Roman" w:eastAsia="Times New Roman" w:hAnsi="Times New Roman"/>
          <w:sz w:val="20"/>
          <w:szCs w:val="20"/>
          <w:color w:val="auto"/>
        </w:rPr>
        <w:t>— For purposes of this Agreement, your Employment does not terminate when you take a leave of absence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been approved by the Company or your Employer or is one to which you are legally entitled regardless of such approval.</w:t>
      </w:r>
    </w:p>
    <w:p>
      <w:pPr>
        <w:spacing w:after="0" w:line="30"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Return of Share Value </w:t>
      </w:r>
      <w:r>
        <w:rPr>
          <w:rFonts w:ascii="Times New Roman" w:cs="Times New Roman" w:eastAsia="Times New Roman" w:hAnsi="Times New Roman"/>
          <w:sz w:val="20"/>
          <w:szCs w:val="20"/>
          <w:color w:val="auto"/>
        </w:rPr>
        <w:t>— You understand and agree that the Units and Dividend Equivalent Rights are designed to align your long-term interests with those of the Company and that having your interests aligned with the Company is a condition of retaining any Units, Shares delivered to you in respect of Units, or the cash value associated with such Units or Shares and with the Dividend Equivalent Rights. You further understand and agree that if the Company, acting through the Committee, determines that you engaged in “Conduct Detrimental to the Company” (as defined below) during your Employment or during the one-year period following the termination of your Employment, you shall, upon demand, return to the Company, in the form of a cash payment, certain share value (“Returnable Share Value”). For purposes of this provision, “Returnable Share Value” means a cash amount equal to the gross value of the Shares that were issued to you pursuant to this Agreement, determined as of the date such Shares were issued to you and using the Fair Market Value of the Company’s Class C Common Stock on that date, and the accrued cash value (if any) of the related Dividend Equivalent Rights paid to you. You understand and agree that your repayment of the Returnable Share Value is separate from, and does not preclude the Company from seeking and obtaining, other relief based on your conduct that constitutes Conduct Detrimental to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Agreement, you will be considered to have engaged in “Conduct Detrimental to the Company” if:</w:t>
      </w:r>
    </w:p>
    <w:p>
      <w:pPr>
        <w:spacing w:after="0" w:line="121" w:lineRule="exact"/>
        <w:rPr>
          <w:sz w:val="20"/>
          <w:szCs w:val="20"/>
          <w:color w:val="auto"/>
        </w:rPr>
      </w:pPr>
    </w:p>
    <w:p>
      <w:pPr>
        <w:ind w:left="1300" w:hanging="320"/>
        <w:spacing w:after="0" w:line="283" w:lineRule="auto"/>
        <w:tabs>
          <w:tab w:leader="none" w:pos="128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engage in serious misconduct (whether or not such serious misconduct is discovered by the Company prior to the termination of your Employment);</w:t>
      </w:r>
    </w:p>
    <w:p>
      <w:pPr>
        <w:spacing w:after="0" w:line="38"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actions taken on behalf of your Employer within the scope of your Employment, you use, disclose, copy, store, or retain any confidential, proprietary, or trade secret information obtained by you in connection with your Employment;</w:t>
      </w:r>
    </w:p>
    <w:p>
      <w:pPr>
        <w:spacing w:after="0" w:line="38"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communications made on behalf of your Employer within the scope of your Employment, you advise, assist, attempt to influence or otherwise induce or persuade (or assist any other person in advertising, attempting to influence or otherwise induce or persuade) any person employed by the Company to end his or her employment with the Company; or</w:t>
      </w:r>
    </w:p>
    <w:p>
      <w:pPr>
        <w:spacing w:after="0" w:line="7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engage in Conflicting Activities (as defined below).</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purposes of this provision, “Conflicting Activities” means you, without the advance, express, written consent of the Company’s Chief Human Resources Officer:</w:t>
      </w:r>
    </w:p>
    <w:p>
      <w:pPr>
        <w:spacing w:after="0" w:line="65" w:lineRule="exact"/>
        <w:rPr>
          <w:sz w:val="20"/>
          <w:szCs w:val="20"/>
          <w:color w:val="auto"/>
        </w:rPr>
      </w:pPr>
    </w:p>
    <w:p>
      <w:pPr>
        <w:ind w:left="1300" w:hanging="424"/>
        <w:spacing w:after="0" w:line="269" w:lineRule="auto"/>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or become a principal, owner, officer, director, shareholder or other equity owner (other than a holder of less than 5% of the outstanding shares or other equity interests of a publicly traded company) of a Competitor (as defined below);</w:t>
      </w:r>
    </w:p>
    <w:p>
      <w:pPr>
        <w:spacing w:after="0" w:line="64" w:lineRule="exact"/>
        <w:rPr>
          <w:rFonts w:ascii="Times New Roman" w:cs="Times New Roman" w:eastAsia="Times New Roman" w:hAnsi="Times New Roman"/>
          <w:sz w:val="20"/>
          <w:szCs w:val="20"/>
          <w:color w:val="auto"/>
        </w:rPr>
      </w:pPr>
    </w:p>
    <w:p>
      <w:pPr>
        <w:ind w:left="1300" w:hanging="479"/>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or become a partner or joint venture in any business or other enterprise or undertaking with a Competitor;</w:t>
      </w:r>
    </w:p>
    <w:p>
      <w:pPr>
        <w:spacing w:after="0" w:line="121" w:lineRule="exact"/>
        <w:rPr>
          <w:rFonts w:ascii="Times New Roman" w:cs="Times New Roman" w:eastAsia="Times New Roman" w:hAnsi="Times New Roman"/>
          <w:sz w:val="20"/>
          <w:szCs w:val="20"/>
          <w:color w:val="auto"/>
        </w:rPr>
      </w:pPr>
    </w:p>
    <w:p>
      <w:pPr>
        <w:jc w:val="both"/>
        <w:ind w:left="1300" w:hanging="534"/>
        <w:spacing w:after="0" w:line="261" w:lineRule="auto"/>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or perform services (including contract, consulting or advisory services) for a Competitor in any geographic area where the Company conducts business, if your work or services (i) are similar in any material way to the work or services you performed for the Company in the twenty-four month period preceding the termination of your</w:t>
      </w:r>
    </w:p>
    <w:p>
      <w:pPr>
        <w:sectPr>
          <w:pgSz w:w="11900" w:h="16838" w:orient="portrait"/>
          <w:cols w:equalWidth="0" w:num="1">
            <w:col w:w="11240"/>
          </w:cols>
          <w:pgMar w:left="320" w:top="104"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Employment or (ii) could result in your using the Company’s confidential information or trade secrets; or</w:t>
      </w:r>
    </w:p>
    <w:p>
      <w:pPr>
        <w:spacing w:after="0" w:line="121" w:lineRule="exact"/>
        <w:rPr>
          <w:sz w:val="20"/>
          <w:szCs w:val="20"/>
          <w:color w:val="auto"/>
        </w:rPr>
      </w:pPr>
    </w:p>
    <w:p>
      <w:pPr>
        <w:jc w:val="both"/>
        <w:ind w:left="1300" w:hanging="523"/>
        <w:spacing w:after="0" w:line="254" w:lineRule="auto"/>
        <w:tabs>
          <w:tab w:leader="none" w:pos="128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divert, take away (or attempt to solicit, divert, or take away), directly or by assistance of others, any business from the Company’s clients or customers (including actively sought clients or customers) with whom you have or have had material contact during your Employment, for purposes of providing products or services that are competitive with those provided by the Company.</w:t>
      </w:r>
    </w:p>
    <w:p>
      <w:pPr>
        <w:spacing w:after="0" w:line="7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You understand and agree that neither this provision nor any other provision of this Agreement prohibits you from engaging in Conduct Detrimental to the Company, but only requires repayment of Returnable Share Value if you engage in Conduct Detrimental to the Company.</w:t>
      </w:r>
    </w:p>
    <w:p>
      <w:pPr>
        <w:spacing w:after="0" w:line="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term “Competitor” means any entity, or other business concern, that offers or plans to offer products or services that are materially competitive with any of the products or services being manufactured, offered, marketed, or actively developed by the Company as of the date your Employment ends.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enter into any business, employment, or service relationship during your Employment or within the one-year period following the termination of your Employment, you agree to provide the Company sufficient information regarding such relationship to enable the Company to determine whether such employment or service constitutes Conflicting Activities. You agree to provide such information to your first- and second-level manager in writing within five business days of agreeing to such business, employment, or service relationship. You understand and agree that if you fail to provide sufficient information as required by this paragraph, the Committee may consider your failure to provide such information in making its determination, and you waive any claim or objection related to the Committee’s doing so and to the Committee’s not considering information you failed to provide.</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Committee shall have complete and absolute authority to make any factual findings and to construe and interpret the provisions of this Agreement, including but not limited to any determination as to whether you have engaged in “Conduct Detrimental to the Company.” Any such interpretations or determinations by the Committee will be final, binding, and conclusive on you, your beneficiaries or successors, the Company and all other interested persons.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Notwithstanding anything herein to the contrary, if, within 30 days of the last day of your Employment, you either reside or work in the Commonwealth of Massachusetts, you agree that the provisions of the addendum attached hereto (the “Addendum”), shall apply to this Agreement and control to the extent there is any conflict between the Addendum and the other provisions of this Agreement.</w:t>
      </w:r>
    </w:p>
    <w:p>
      <w:pPr>
        <w:spacing w:after="0" w:line="49" w:lineRule="exact"/>
        <w:rPr>
          <w:sz w:val="20"/>
          <w:szCs w:val="20"/>
          <w:color w:val="auto"/>
        </w:rPr>
      </w:pPr>
    </w:p>
    <w:p>
      <w:pPr>
        <w:jc w:val="both"/>
        <w:ind w:left="660" w:hanging="328"/>
        <w:spacing w:after="0" w:line="254"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Transferability </w:t>
      </w:r>
      <w:r>
        <w:rPr>
          <w:rFonts w:ascii="Times New Roman" w:cs="Times New Roman" w:eastAsia="Times New Roman" w:hAnsi="Times New Roman"/>
          <w:sz w:val="20"/>
          <w:szCs w:val="20"/>
          <w:color w:val="auto"/>
        </w:rPr>
        <w:t>— The Units are not transferable other than by will or the applicable laws of descent and distribution, and unvested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Units may not be sold, assigned, transferred, pledged, hypothecated or otherwise encumbered, whether by operation of law or otherwise, nor may the Units be made subject to execution, attachment or similar process. If you attempt to take any of the actions referred to in the immediately preceding sentence, the Units will immediately become forfeited. Once Units have vested and Shares have been issued to you, such Shares shall be freely transferable, subject to any applicable securities laws, rules and regulations, any separately stated transfer restrictions that the Company may impose on such Shares, and any Restricted Periods (as defined below) to which you may be subject.</w:t>
      </w:r>
    </w:p>
    <w:p>
      <w:pPr>
        <w:spacing w:after="0" w:line="64"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Trading Restrictions </w:t>
      </w:r>
      <w:r>
        <w:rPr>
          <w:rFonts w:ascii="Times New Roman" w:cs="Times New Roman" w:eastAsia="Times New Roman" w:hAnsi="Times New Roman"/>
          <w:sz w:val="20"/>
          <w:szCs w:val="20"/>
          <w:color w:val="auto"/>
        </w:rPr>
        <w:t>— If you are subject to any Company “blackout” policy or other trading restriction imposed by the Company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Period”) on the date a distribution would otherwise be made pursuant to Section 1 herein, such distribution may instead be made on the earlier of (i) the first date on which you are not subject to any such policy or restriction and (ii) the later of (A) the last day of the calendar year in which such distribution would otherwise have</w:t>
      </w:r>
    </w:p>
    <w:p>
      <w:pPr>
        <w:sectPr>
          <w:pgSz w:w="11900" w:h="16838" w:orient="portrait"/>
          <w:cols w:equalWidth="0" w:num="1">
            <w:col w:w="11240"/>
          </w:cols>
          <w:pgMar w:left="320" w:top="104"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8" w:lineRule="exact"/>
        <w:rPr>
          <w:sz w:val="20"/>
          <w:szCs w:val="20"/>
          <w:color w:val="auto"/>
        </w:rPr>
      </w:pPr>
    </w:p>
    <w:p>
      <w:pPr>
        <w:jc w:val="both"/>
        <w:ind w:left="328"/>
        <w:spacing w:after="0" w:line="253" w:lineRule="auto"/>
        <w:rPr>
          <w:sz w:val="20"/>
          <w:szCs w:val="20"/>
          <w:color w:val="auto"/>
        </w:rPr>
      </w:pPr>
      <w:r>
        <w:rPr>
          <w:rFonts w:ascii="Times New Roman" w:cs="Times New Roman" w:eastAsia="Times New Roman" w:hAnsi="Times New Roman"/>
          <w:sz w:val="20"/>
          <w:szCs w:val="20"/>
          <w:color w:val="auto"/>
        </w:rPr>
        <w:t>been made, and (B) a date which is immediately prior to the expiration of two and one-half months following the date such distribution would otherwise have been made hereunder. For purposes of this provision, you acknowledge that you may be subject to a Restricted Period for any reason that the Company determines appropriate, including Restricted Periods generally applicable to employees or groups of employees or Restricted Periods applicable to you during an investigation of allegations of misconduct or Conduct Detrimental to the Company by you.</w:t>
      </w:r>
    </w:p>
    <w:p>
      <w:pPr>
        <w:spacing w:after="0" w:line="80" w:lineRule="exact"/>
        <w:rPr>
          <w:sz w:val="20"/>
          <w:szCs w:val="20"/>
          <w:color w:val="auto"/>
        </w:rPr>
      </w:pPr>
    </w:p>
    <w:p>
      <w:pPr>
        <w:jc w:val="both"/>
        <w:ind w:left="328" w:hanging="328"/>
        <w:spacing w:after="0" w:line="252" w:lineRule="auto"/>
        <w:tabs>
          <w:tab w:leader="none" w:pos="3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Incorporation of Plan </w:t>
      </w:r>
      <w:r>
        <w:rPr>
          <w:rFonts w:ascii="Times New Roman" w:cs="Times New Roman" w:eastAsia="Times New Roman" w:hAnsi="Times New Roman"/>
          <w:sz w:val="20"/>
          <w:szCs w:val="20"/>
          <w:color w:val="auto"/>
        </w:rPr>
        <w:t>— This award is granted under the Plan and is governed by the terms of the Plan in addition to the terms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conditions stated herein. This Agreement, the Grant Summary and the Plan constitute the entire understanding between you and the Company regarding this award. In the event of any conflict between this Agreement or the Grant Summary and the Plan, the terms of the Plan shall control, provided that the definitions of “Company” and “Employment” set forth in Section 2 herein shall control over the conflicting definitions in the Plan. All terms used herein with their initial letters capitalized shall have the meanings given them in the Plan unless otherwise defined herein. A copy of the Plan is available upon request from the Company’s Stock Plan Administration Department. Your Units will be subject to the terms of any applicable agreement of merger, liquidation or reorganization in the event the Company is subject to such corporate activity and shall be subject to adjustment pursuant to Section 10 of the Plan.</w:t>
      </w:r>
    </w:p>
    <w:p>
      <w:pPr>
        <w:spacing w:after="0" w:line="67" w:lineRule="exact"/>
        <w:rPr>
          <w:rFonts w:ascii="Times New Roman" w:cs="Times New Roman" w:eastAsia="Times New Roman" w:hAnsi="Times New Roman"/>
          <w:sz w:val="20"/>
          <w:szCs w:val="20"/>
          <w:color w:val="auto"/>
        </w:rPr>
      </w:pPr>
    </w:p>
    <w:p>
      <w:pPr>
        <w:jc w:val="both"/>
        <w:ind w:left="328" w:hanging="328"/>
        <w:spacing w:after="0" w:line="270" w:lineRule="auto"/>
        <w:tabs>
          <w:tab w:leader="none" w:pos="3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 You agree that notices may be given to you in writing either at your home address as shown in the records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your Employer, or by electronic transmission (including e-mail or reference to a website or other URL) sent to you through the Company’s normal process for communicating electronically with its employees.</w:t>
      </w:r>
    </w:p>
    <w:p>
      <w:pPr>
        <w:spacing w:after="0" w:line="47"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 Right to Continued Employment </w:t>
      </w:r>
      <w:r>
        <w:rPr>
          <w:rFonts w:ascii="Times New Roman" w:cs="Times New Roman" w:eastAsia="Times New Roman" w:hAnsi="Times New Roman"/>
          <w:sz w:val="20"/>
          <w:szCs w:val="20"/>
          <w:color w:val="auto"/>
        </w:rPr>
        <w:t>— The granting of Units does not confer upon you any right to the expectation of,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continuation of, your Employment. Unless otherwise specified in an employment or other written agreement between the Company or your Employer, as applicable, and you, the Company or your Employer, as applicable, reserves the right to terminate your Employment at any time and for any reason.</w:t>
      </w:r>
    </w:p>
    <w:p>
      <w:pPr>
        <w:spacing w:after="0" w:line="56" w:lineRule="exact"/>
        <w:rPr>
          <w:rFonts w:ascii="Times New Roman" w:cs="Times New Roman" w:eastAsia="Times New Roman" w:hAnsi="Times New Roman"/>
          <w:sz w:val="20"/>
          <w:szCs w:val="20"/>
          <w:color w:val="auto"/>
        </w:rPr>
      </w:pPr>
    </w:p>
    <w:p>
      <w:pPr>
        <w:jc w:val="both"/>
        <w:ind w:left="328" w:hanging="328"/>
        <w:spacing w:after="0" w:line="265" w:lineRule="auto"/>
        <w:tabs>
          <w:tab w:leader="none" w:pos="32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Limitation on Rights; No Right to Future Grants; Extraordinary Item of Compensation </w:t>
      </w:r>
      <w:r>
        <w:rPr>
          <w:rFonts w:ascii="Times New Roman" w:cs="Times New Roman" w:eastAsia="Times New Roman" w:hAnsi="Times New Roman"/>
          <w:sz w:val="19"/>
          <w:szCs w:val="19"/>
          <w:color w:val="auto"/>
        </w:rPr>
        <w:t>— By accepting this Agreement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grant of the Units evidenced hereby, you expressly acknowledge that (a) the Plan is discretionary in nature and may be suspended or terminated by the Company at any time; (b) the grant of Units is a one-time benefit that does not create any contractual or other right to receive future grants of Units, or benefits in lieu of Units; (c) all determinations with respect to future grants, if any, including the grant date, the number of Units granted and the vesting dates, will be at the sole discretion of the Company; (d) your participation in the Plan is voluntary; (e) the value of the Units is an extraordinary item of compensation that is outside the scope of your employment contract, if any, and nothing can or must automatically be inferred from such employment contract or its consequences;</w:t>
      </w:r>
    </w:p>
    <w:p>
      <w:pPr>
        <w:spacing w:after="0" w:line="4" w:lineRule="exact"/>
        <w:rPr>
          <w:rFonts w:ascii="Times New Roman" w:cs="Times New Roman" w:eastAsia="Times New Roman" w:hAnsi="Times New Roman"/>
          <w:sz w:val="19"/>
          <w:szCs w:val="19"/>
          <w:color w:val="auto"/>
        </w:rPr>
      </w:pPr>
    </w:p>
    <w:p>
      <w:pPr>
        <w:jc w:val="both"/>
        <w:ind w:left="328" w:hanging="4"/>
        <w:spacing w:after="0" w:line="249" w:lineRule="auto"/>
        <w:tabs>
          <w:tab w:leader="none" w:pos="597"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are not part of normal or expected compensation for any purpose, and are not to be used for calculating any severance, resignation, redundancy, end of service payments, bonuses, long-service awards, pension or retirement benefits or similar payments, and you waive any claim on such basis; (g) the grant of an equity interest in the Company gives rise to the Company’s need (on behalf of itself and its stockholders) to protect itself from Conduct Detrimental to the Company, and your promises described in Section 6 herein (Return of Share Value) above are designed to protect the Company and its stockholders from Conduct Detrimental to the Company; (h) vesting of Units ceases upon termination of Employment for any reason except as may otherwise be explicitly provided in the Plan document or in this Agreement; and (i) the future value of the Units is unknown and cannot be predicted with certainty. In addition, you understand, acknowledge and agree that you will</w:t>
      </w:r>
    </w:p>
    <w:p>
      <w:pPr>
        <w:sectPr>
          <w:pgSz w:w="11900" w:h="16838" w:orient="portrait"/>
          <w:cols w:equalWidth="0" w:num="1">
            <w:col w:w="10908"/>
          </w:cols>
          <w:pgMar w:left="652" w:top="104"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8" w:lineRule="exact"/>
        <w:rPr>
          <w:sz w:val="20"/>
          <w:szCs w:val="20"/>
          <w:color w:val="auto"/>
        </w:rPr>
      </w:pPr>
    </w:p>
    <w:p>
      <w:pPr>
        <w:jc w:val="both"/>
        <w:ind w:left="328" w:right="20"/>
        <w:spacing w:after="0" w:line="283" w:lineRule="auto"/>
        <w:rPr>
          <w:sz w:val="20"/>
          <w:szCs w:val="20"/>
          <w:color w:val="auto"/>
        </w:rPr>
      </w:pPr>
      <w:r>
        <w:rPr>
          <w:rFonts w:ascii="Times New Roman" w:cs="Times New Roman" w:eastAsia="Times New Roman" w:hAnsi="Times New Roman"/>
          <w:sz w:val="20"/>
          <w:szCs w:val="20"/>
          <w:color w:val="auto"/>
        </w:rPr>
        <w:t>have no rights to compensation or damages related to Units or Shares in consequence of the termination of your Employment for any reason whatsoever and whether or not in breach of contract.</w:t>
      </w:r>
    </w:p>
    <w:p>
      <w:pPr>
        <w:spacing w:after="0" w:line="34" w:lineRule="exact"/>
        <w:rPr>
          <w:sz w:val="20"/>
          <w:szCs w:val="20"/>
          <w:color w:val="auto"/>
        </w:rPr>
      </w:pPr>
    </w:p>
    <w:p>
      <w:pPr>
        <w:jc w:val="both"/>
        <w:ind w:left="328" w:hanging="328"/>
        <w:spacing w:after="0" w:line="250" w:lineRule="auto"/>
        <w:tabs>
          <w:tab w:leader="none" w:pos="32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Data Privacy Consent </w:t>
      </w:r>
      <w:r>
        <w:rPr>
          <w:rFonts w:ascii="Times New Roman" w:cs="Times New Roman" w:eastAsia="Times New Roman" w:hAnsi="Times New Roman"/>
          <w:sz w:val="20"/>
          <w:szCs w:val="20"/>
          <w:color w:val="auto"/>
        </w:rPr>
        <w:t>— As a condition of the grant of the Units, you acknowledge the legal basis for the Company processing your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personal data (as described in this Section 13) is to perform its obligations under this Agreement and administer all the Units. You also expressly consent to the collection, use and transfer of your personal data and you understand that the Company and its Affiliates and Subsidiaries hold certain personal information about you, including your name, home address and telephone number, date of birth, social security number, salary, nationality, job title, any ownership interests or directorships held in the Company, its Affiliates or its Subsidiaries and details of all Units, Shares, stock options or other equity awards awarded or cancelled (“Data”). You further understand that the Company, its Affiliates and Subsidiaries will transfer Data amongst themselves as necessary for the purposes of implementation, administration and management of your participation in the Plan, and that the Company, its Affiliates and any of its Subsidiaries may each further transfer Data to any third parties assisting the Company in the implementation, administration and management of the Plan. You understand that these recipients may be located in the European Economic Area or elsewhere, such as the United States. You authorize them to receive, possess, use, retain and transfer such Data as may be required for the administration of the Plan or the subsequent holding of shares of common stock on your behalf, in electronic or other form, for the purposes of implementing, administering and managing your participation in the Plan, including any requisite transfer to a broker or other third party with whom you may elect to deposit any shares of common stock acquired under the Plan. You understand that you may, at any time, view such Data or require any necessary amendments to it. For more information on how the Company and its Affiliates and Subsidiaries processes your Personal Data, please read the Company’s Global Data Privacy Policy and HR Privacy Notice.</w:t>
      </w:r>
    </w:p>
    <w:p>
      <w:pPr>
        <w:spacing w:after="0" w:line="71" w:lineRule="exact"/>
        <w:rPr>
          <w:rFonts w:ascii="Times New Roman" w:cs="Times New Roman" w:eastAsia="Times New Roman" w:hAnsi="Times New Roman"/>
          <w:sz w:val="20"/>
          <w:szCs w:val="20"/>
          <w:color w:val="auto"/>
        </w:rPr>
      </w:pPr>
    </w:p>
    <w:p>
      <w:pPr>
        <w:jc w:val="both"/>
        <w:ind w:left="328" w:hanging="328"/>
        <w:spacing w:after="0" w:line="252" w:lineRule="auto"/>
        <w:tabs>
          <w:tab w:leader="none" w:pos="32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Governing Law and Venue </w:t>
      </w:r>
      <w:r>
        <w:rPr>
          <w:rFonts w:ascii="Times New Roman" w:cs="Times New Roman" w:eastAsia="Times New Roman" w:hAnsi="Times New Roman"/>
          <w:sz w:val="20"/>
          <w:szCs w:val="20"/>
          <w:color w:val="auto"/>
        </w:rPr>
        <w:t>— This Agreement and the Plan shall be governed by, and construed in accordance with, the laws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of Delaware, United States of America, without regard to conflict of laws principles thereof. For any dispute for which the forum and venue are not fixed by your agreement to arbitrate with the Company, the exclusive venue for any and all disputes arising out of or in connection with this Agreement shall be New Castle County, Delaware, United States of America, and the courts sitting exclusively in New Castle County, Delaware,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79"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2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Effect of Invalid Provisions </w:t>
      </w:r>
      <w:r>
        <w:rPr>
          <w:rFonts w:ascii="Times New Roman" w:cs="Times New Roman" w:eastAsia="Times New Roman" w:hAnsi="Times New Roman"/>
          <w:sz w:val="20"/>
          <w:szCs w:val="20"/>
          <w:color w:val="auto"/>
        </w:rPr>
        <w:t>— If any of the promises, terms or conditions set forth herein are determined by a court of competent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jurisdiction to be unenforceable, any Units that have not vested as described above will expire at that time and you agree to return to the Company an amount of cash equal to the Fair Market Value of all Shares theretofore issued to you pursuant to this Agreement, determined as of the date such Shares were issued.</w:t>
      </w:r>
    </w:p>
    <w:p>
      <w:pPr>
        <w:spacing w:after="0" w:line="56" w:lineRule="exact"/>
        <w:rPr>
          <w:rFonts w:ascii="Times New Roman" w:cs="Times New Roman" w:eastAsia="Times New Roman" w:hAnsi="Times New Roman"/>
          <w:sz w:val="20"/>
          <w:szCs w:val="20"/>
          <w:color w:val="auto"/>
        </w:rPr>
      </w:pPr>
    </w:p>
    <w:p>
      <w:pPr>
        <w:jc w:val="both"/>
        <w:ind w:left="328" w:hanging="328"/>
        <w:spacing w:after="0" w:line="260" w:lineRule="auto"/>
        <w:tabs>
          <w:tab w:leader="none" w:pos="31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Consent to Electronic Communications </w:t>
      </w:r>
      <w:r>
        <w:rPr>
          <w:rFonts w:ascii="Times New Roman" w:cs="Times New Roman" w:eastAsia="Times New Roman" w:hAnsi="Times New Roman"/>
          <w:sz w:val="20"/>
          <w:szCs w:val="20"/>
          <w:color w:val="auto"/>
        </w:rPr>
        <w:t>— You agree that the Company may provide you with any communications associated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award in electronic format. Your consent to receive electronic communications includes, but is not limited to, all legal and regulatory disclosures and communications associated with this award or notices or disclosures about a change in the terms and conditions of this award.</w:t>
      </w:r>
    </w:p>
    <w:p>
      <w:pPr>
        <w:sectPr>
          <w:pgSz w:w="11900" w:h="16838" w:orient="portrait"/>
          <w:cols w:equalWidth="0" w:num="1">
            <w:col w:w="10908"/>
          </w:cols>
          <w:pgMar w:left="652" w:top="104"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FY25 US PRSU Award Agreement (Performance-Based)</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2023 Stock Incentive Plan</w:t>
      </w: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51" w:lineRule="auto"/>
        <w:tabs>
          <w:tab w:leader="none" w:pos="6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Internal Revenue Code Section 409A </w:t>
      </w:r>
      <w:r>
        <w:rPr>
          <w:rFonts w:ascii="Times New Roman" w:cs="Times New Roman" w:eastAsia="Times New Roman" w:hAnsi="Times New Roman"/>
          <w:sz w:val="20"/>
          <w:szCs w:val="20"/>
          <w:color w:val="auto"/>
        </w:rPr>
        <w:t>— This Agreement is not intended to constitute a “nonqualified deferred compensation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purposes of Code Section 409A. Neither you nor the Company shall have the right to accelerate or defer the vesting and/or delivery of any Units if such action would cause this Agreement to be subject to Code Section 409A. The Company makes no representations or warranty and shall have no liability to you or any other person if any provisions of or payments under this Agreement are determined to constitute nonqualified deferred compensation subject to Code Section 409A but not to satisfy the conditions of that section. To the extent that the Committee determines that you would be subject to the additional 20% tax imposed on certain non-qualified deferred compensation plans pursuant to Code Section 409A as a result of any provision of this Agreement, such provision shall be deemed amended to the minimum extent necessary to avoid application of such additional tax. The nature of such amendment shall be determined by the Committee. For purposes of this Agreement, a termination of Employment only occurs upon an event that would be a “Separation from Service” within the meaning of Code Section 409A.</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Titles and Interpretation </w:t>
      </w:r>
      <w:r>
        <w:rPr>
          <w:rFonts w:ascii="Times New Roman" w:cs="Times New Roman" w:eastAsia="Times New Roman" w:hAnsi="Times New Roman"/>
          <w:sz w:val="20"/>
          <w:szCs w:val="20"/>
          <w:color w:val="auto"/>
        </w:rPr>
        <w:t>— Titles are provided herein for convenience only and are not to serve as a basis for interpretation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construction of this Agreement. Defined terms used in this Agreement shall apply equally to both the singular and plural forms thereof. Whenever the context may require, any pronoun shall include the corresponding masculine, feminine and neuter forms. The words “include,” “includes,” and “including” shall be deemed to be followed by the phrase “without limitation.” The term “hereunder” shall mean this entire Agreement as a whole unless reference to a specific section or provision of this Agreement is made. Any reference to a section, subsection and provision is to this Agreement unless otherwise specified.</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5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Acceptance of Terms and Conditions </w:t>
      </w:r>
      <w:r>
        <w:rPr>
          <w:rFonts w:ascii="Times New Roman" w:cs="Times New Roman" w:eastAsia="Times New Roman" w:hAnsi="Times New Roman"/>
          <w:sz w:val="20"/>
          <w:szCs w:val="20"/>
          <w:color w:val="auto"/>
        </w:rPr>
        <w:t>— This award will not be effective and you may not take action with respect to the Units 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until you have acknowledged and agreed to the terms and conditions set forth herein in the manner prescribed by the Company. This award will also not be effective and you may not take action with respect to the Units or the Shares if you have not executed your Key Employee Agreement and Mutual Agreement to Arbitrate Claims in the manner prescribed by the Company. You should print a copy of this award and your Grant Summary for your records.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Awarded subject to the terms and conditions stated above: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____________________________________________</w:t>
      </w:r>
    </w:p>
    <w:p>
      <w:pPr>
        <w:sectPr>
          <w:pgSz w:w="11900" w:h="16838" w:orient="portrait"/>
          <w:cols w:equalWidth="0" w:num="1">
            <w:col w:w="11240"/>
          </w:cols>
          <w:pgMar w:left="320" w:top="104"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Dell Technologies Inc. Subsidiary List</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240" w:type="dxa"/>
            <w:vAlign w:val="bottom"/>
          </w:tcPr>
          <w:p>
            <w:pPr>
              <w:spacing w:after="0"/>
              <w:rPr>
                <w:sz w:val="24"/>
                <w:szCs w:val="24"/>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Country</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Bracknell Boulevard (Block C) LLC</w:t>
            </w:r>
          </w:p>
        </w:tc>
        <w:tc>
          <w:tcPr>
            <w:tcW w:w="3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Bracknell Boulevard (Block D) LLC</w:t>
            </w:r>
          </w:p>
        </w:tc>
        <w:tc>
          <w:tcPr>
            <w:tcW w:w="3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Bracknell Boulevard Management Company Limited</w:t>
            </w:r>
          </w:p>
        </w:tc>
        <w:tc>
          <w:tcPr>
            <w:tcW w:w="33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 of Dell Free Zone Company LLC</w:t>
            </w:r>
          </w:p>
        </w:tc>
        <w:tc>
          <w:tcPr>
            <w:tcW w:w="3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184"/>
        </w:trPr>
        <w:tc>
          <w:tcPr>
            <w:tcW w:w="20" w:type="dxa"/>
            <w:vAlign w:val="bottom"/>
            <w:shd w:val="clear" w:color="auto" w:fill="CCEEFF"/>
          </w:tcPr>
          <w:p>
            <w:pPr>
              <w:spacing w:after="0"/>
              <w:rPr>
                <w:sz w:val="16"/>
                <w:szCs w:val="16"/>
                <w:color w:val="auto"/>
              </w:rPr>
            </w:pPr>
          </w:p>
        </w:tc>
        <w:tc>
          <w:tcPr>
            <w:tcW w:w="79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Branch office of foreign company Dell Emerging Markets (EMEA) Limited United Kingdom – Branch</w:t>
            </w: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Skopje</w:t>
            </w:r>
          </w:p>
        </w:tc>
        <w:tc>
          <w:tcPr>
            <w:tcW w:w="3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North Macedonia, Republic of</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DCC Executive Security Inc.</w:t>
            </w:r>
          </w:p>
        </w:tc>
        <w:tc>
          <w:tcPr>
            <w:tcW w:w="3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(Chengdu) Company Limited</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Dell (China) Company Limited - Beijing Branch</w:t>
            </w:r>
            <w:r>
              <w:rPr>
                <w:rFonts w:ascii="SimSun" w:cs="SimSun" w:eastAsia="SimSun" w:hAnsi="SimSun"/>
                <w:sz w:val="18"/>
                <w:szCs w:val="18"/>
                <w:color w:val="auto"/>
              </w:rPr>
              <w:t>戴尔（中国）有限公司北京分公司</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Beijing Information Technology Branch Office</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Dalian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Guangzhou Branch</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Hangzhou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Jinan Branch</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Nanjing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Shanghai Branch</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Shenyang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Shenzhen Branch</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(China) Company Limited - Wuhan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(China) Company Limited - Xian Branch</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(Switzerland) GmbH</w:t>
            </w:r>
          </w:p>
        </w:tc>
        <w:tc>
          <w:tcPr>
            <w:tcW w:w="33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(Xiamen) Company Limited</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(Xiamen) Company Limited - Dalian Branch</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w:t>
            </w:r>
          </w:p>
        </w:tc>
        <w:tc>
          <w:tcPr>
            <w:tcW w:w="3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AB</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rPr>
              <w:t>Sweden</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America Latina Corp.</w:t>
            </w:r>
          </w:p>
        </w:tc>
        <w:tc>
          <w:tcPr>
            <w:tcW w:w="3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America Latina Corp., Sucursal Argentina</w:t>
            </w:r>
          </w:p>
        </w:tc>
        <w:tc>
          <w:tcPr>
            <w:tcW w:w="3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w:t>
            </w:r>
          </w:p>
        </w:tc>
        <w:tc>
          <w:tcPr>
            <w:tcW w:w="1240" w:type="dxa"/>
            <w:vAlign w:val="bottom"/>
          </w:tcPr>
          <w:p>
            <w:pPr>
              <w:spacing w:after="0"/>
              <w:rPr>
                <w:sz w:val="19"/>
                <w:szCs w:val="19"/>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Asia Holdings Pte. Ltd.</w:t>
            </w:r>
          </w:p>
        </w:tc>
        <w:tc>
          <w:tcPr>
            <w:tcW w:w="3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Asia Pacific Sdn. Bhd.</w:t>
            </w:r>
          </w:p>
        </w:tc>
        <w:tc>
          <w:tcPr>
            <w:tcW w:w="3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Asset Revolving Trust-B</w:t>
            </w:r>
          </w:p>
        </w:tc>
        <w:tc>
          <w:tcPr>
            <w:tcW w:w="3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Asset Syndication L.L.C.</w:t>
            </w:r>
          </w:p>
        </w:tc>
        <w:tc>
          <w:tcPr>
            <w:tcW w:w="3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Australia Pty Limited</w:t>
            </w:r>
          </w:p>
        </w:tc>
        <w:tc>
          <w:tcPr>
            <w:tcW w:w="33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B.V.</w:t>
            </w:r>
          </w:p>
        </w:tc>
        <w:tc>
          <w:tcPr>
            <w:tcW w:w="3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B.V. SUPERVISORY BOARD</w:t>
            </w:r>
          </w:p>
        </w:tc>
        <w:tc>
          <w:tcPr>
            <w:tcW w:w="33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B.V., Taiwan Branch</w:t>
            </w:r>
          </w:p>
        </w:tc>
        <w:tc>
          <w:tcPr>
            <w:tcW w:w="3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Taiwan (Province of China)</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 Czech Republic Branch</w:t>
            </w:r>
          </w:p>
        </w:tc>
        <w:tc>
          <w:tcPr>
            <w:tcW w:w="3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30"/>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Dell Bank International Designated Activity Company, Sucursal en España</w:t>
            </w:r>
          </w:p>
        </w:tc>
        <w:tc>
          <w:tcPr>
            <w:tcW w:w="12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rPr>
              <w:t>Spain</w:t>
            </w:r>
          </w:p>
        </w:tc>
      </w:tr>
      <w:tr>
        <w:trPr>
          <w:trHeight w:val="234"/>
        </w:trPr>
        <w:tc>
          <w:tcPr>
            <w:tcW w:w="2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Dell Canada Inc.</w:t>
            </w:r>
          </w:p>
        </w:tc>
        <w:tc>
          <w:tcPr>
            <w:tcW w:w="1240" w:type="dxa"/>
            <w:vAlign w:val="bottom"/>
          </w:tcPr>
          <w:p>
            <w:pPr>
              <w:spacing w:after="0"/>
              <w:rPr>
                <w:sz w:val="20"/>
                <w:szCs w:val="20"/>
                <w:color w:val="auto"/>
              </w:rPr>
            </w:pPr>
          </w:p>
        </w:tc>
        <w:tc>
          <w:tcPr>
            <w:tcW w:w="20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Canada</w:t>
            </w:r>
          </w:p>
        </w:tc>
      </w:tr>
    </w:tbl>
    <w:p>
      <w:pPr>
        <w:sectPr>
          <w:pgSz w:w="11900" w:h="16838" w:orient="portrait"/>
          <w:cols w:equalWidth="0" w:num="1">
            <w:col w:w="11240"/>
          </w:cols>
          <w:pgMar w:left="320" w:top="10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Catalog Sales LP Representative Office</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Colombia Inc.</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Colombia Inc. - COLOMBIA BRANCH</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Fortaleza Branch</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Hortolandia/SP Branch (A)</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Hortolandia/SP Branch (B)</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Rio de Janeiro Branch</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(Barueri - Alameda Rio Negro)</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(Cajamar)</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Sao Paulo Branch (Rua Verbo Divino)</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Computadores do Brasil - São Paulo Branch (Santana do Parnaíba)</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Computadores do Brasil Ltda.</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Computer (Pty) Limited</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Computer de Chile Ltda.</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Computer Holdings L.P.</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Computer SAU</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Computer, spol. s r.o.</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Conduit Funding-B L.L.C.</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Conduit Funding-C L.L.C.</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Corporation (Thailand) Co., Ltd.</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Corporation Limited</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Costa Rica SA</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Depositor L.L.C.</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DFS Corporation</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DFS Group Holdings L.L.C.</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DFS Holdings Kft</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DFS Holdings L.L.C.</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El Salvador, Limitada</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Jordan</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Tunisia</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 Representative Office</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Lebanon</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(Kazakhstan Representative Office)</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Kazakhstan</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(Kenya Branch)</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Kenya</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(Trade Representative Office Bulgaria)</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(Uganda Representative Office)</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External Company (Ghana)</w:t>
            </w:r>
          </w:p>
        </w:tc>
        <w:tc>
          <w:tcPr>
            <w:tcW w:w="38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Ghana</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EMERGING MARKETS (EMEA) LIMITED za usluge, Podružnica Zagreb</w:t>
            </w:r>
          </w:p>
        </w:tc>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Croatia</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2018-2</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2019-1</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2019-2</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2020-1</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2020-2</w:t>
            </w:r>
          </w:p>
        </w:tc>
        <w:tc>
          <w:tcPr>
            <w:tcW w:w="38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2021-1</w:t>
            </w:r>
          </w:p>
        </w:tc>
        <w:tc>
          <w:tcPr>
            <w:tcW w:w="38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1240"/>
          </w:cols>
          <w:pgMar w:left="320" w:top="104"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2021-2</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2022-1</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2022-2</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2023-1</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2023-2</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Finance Trust 2023-3</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Equipment Funding LP</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Equipment GP LLC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Federal Systems Corporation</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Federal Systems GP L.L.C.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Federal Systems L.P.</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Federal Systems LP L.L.C.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Canada Limited</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Holding Pty Ltd</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International Ireland Designated Activity Company</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L.L.C.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Pte. Ltd.</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Financial Services Pty Ltd</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Financial Services Pty Ltd (Registered overseas ASIC company)</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FZ-LLC</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FZ-LLC - Abu Dhabi Branch</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FZ-LLC - BAHRAIN BRANCH</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Bahrain</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FZ-LLC - Qatar Branch</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Gesellschaft mbH</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B.V. - Bangladesh Liaison Office</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Bangladesh</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 - Philippines Representative Office</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B.V. - Sri Lanka Liaison / Representative Office</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Sri Lanka</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B.V. (Singapore Branch)</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Business Center Sdn. Bhd.</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Holdings III B.V.</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Global Holdings XV L.L.C.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Global Holdings XVI L.L.C.</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GmbH</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GmbH SUPERVISORY BOARD</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Guatemala, Ltda.</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Guatemala</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Hong Kong Limited</w:t>
            </w:r>
          </w:p>
        </w:tc>
        <w:tc>
          <w:tcPr>
            <w:tcW w:w="41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Hungary Technology Solutions Trade LLC</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III - Comercio de Computadores, Unipessoal Lda</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Inc.</w:t>
            </w:r>
          </w:p>
        </w:tc>
        <w:tc>
          <w:tcPr>
            <w:tcW w:w="41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Holdings II Limited</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Holdings Kft</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Holdings Limited</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Holdings VIII B.V.</w:t>
            </w:r>
          </w:p>
        </w:tc>
        <w:tc>
          <w:tcPr>
            <w:tcW w:w="4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Inc. (Korea)</w:t>
            </w:r>
          </w:p>
        </w:tc>
        <w:tc>
          <w:tcPr>
            <w:tcW w:w="41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Korea, Republic of</w:t>
            </w:r>
          </w:p>
        </w:tc>
      </w:tr>
    </w:tbl>
    <w:p>
      <w:pPr>
        <w:sectPr>
          <w:pgSz w:w="11900" w:h="16838" w:orient="portrait"/>
          <w:cols w:equalWidth="0" w:num="1">
            <w:col w:w="11240"/>
          </w:cols>
          <w:pgMar w:left="320" w:top="104"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Inc. (Korea) (Business Registration Number in Hong Kong: 73662962)</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L.L.C.</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International Services India Private Limited</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International Services Philippines, Inc.</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Latinoamerica, S. de R.L.</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Leasing Mexico S. de RL de C.V.</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LLC</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Marketing Corporation</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Marketing GP L.L.C.</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Marketing L.P.</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Marketing LP L.L.C.</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Mexico S.A. de C.V.</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Morocco SAS</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New Zealand Limited</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NV</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Panama S de RL</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Peru S.A.C.</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 - Shanghai Branch</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Procurement (Xiamen) Company Limited - Shenzhen Branch</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 and Process Innovation Services Corp.</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(Poland) Sp.z.o.o.</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Corporation</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GP L.L.C.</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L.P.</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LP L.L.C.</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Products Unlimited Company</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Products Unlimited Company Eesti filiaal</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Estonia</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PS Limited</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Puerto Rico Corp.</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Revolver Company L.P.</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Revolver GP L.L.C.</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Revolving Transferor L.L.C.</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S.à r.l</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S.p.A.</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s.r.o.</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Slovakia</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SA</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SAS</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SAS</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Services (China) Company Limited</w:t>
            </w:r>
          </w:p>
        </w:tc>
        <w:tc>
          <w:tcPr>
            <w:tcW w:w="3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Singapore Pte. Ltd. (In Liquidation)</w:t>
            </w:r>
          </w:p>
        </w:tc>
        <w:tc>
          <w:tcPr>
            <w:tcW w:w="3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Soluzioni Finanziarie S.r.l.</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Sp. z o.o.</w:t>
            </w:r>
          </w:p>
        </w:tc>
        <w:tc>
          <w:tcPr>
            <w:tcW w:w="3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Systems Applications Solutions, Inc.</w:t>
            </w:r>
          </w:p>
        </w:tc>
        <w:tc>
          <w:tcPr>
            <w:tcW w:w="36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United States</w:t>
            </w:r>
          </w:p>
        </w:tc>
      </w:tr>
    </w:tbl>
    <w:p>
      <w:pPr>
        <w:sectPr>
          <w:pgSz w:w="11900" w:h="16838" w:orient="portrait"/>
          <w:cols w:equalWidth="0" w:num="1">
            <w:col w:w="11240"/>
          </w:cols>
          <w:pgMar w:left="320" w:top="10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Systems TSI (Hungary) Likviditásmenedzsment Korlátolt Felelısségő Társaság</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Taiwan B.V.</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Taiwan B.V., Taiwan Branch</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Taiwan (Province of China)</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Bulgaria EOOD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Capital,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d.o.o. Beograd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DFS Holdings Limited</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Egypt Limited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Inc.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Japan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Kazakhstan and Central Asia LLP</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Kazakhstan</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Lithuania UAB</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Lithuania</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Pakistan (Private) Limited</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Pakistan</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Philippines Inc.</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Technologies Regional Headquarter (One Partner Company)</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Technologies SLO, spremljajoče marketinške storitve, d.o.o.</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Slovenia</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Technology &amp; Solutions Israel Ltd</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Technology &amp; Solutions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Technology &amp; Solutions Nigeria Limited</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Technology Products And Services Single Member S.A.</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Greece</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Technology S.R.L.</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Romania</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Teknoloji Limited Sirketi</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Teknoloji Limited Sirketi - Ankara Branch</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Trading (Kunshan) Company Limited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UK Employee Financial Security Plan</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UK Group Pension Scheme 2018</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USA Corporation</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USA GP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USA L.P.</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USA LP LLC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Vendor Finance Facility 2017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Vietnam Company Limited</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Vietnam Company Limited – Hanoi Branch</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World Trade Corporation</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World Trade GP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Dell World Trade L.P.</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Dell World Trade LP L.L.C.</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Denali Intermediate Inc.</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DFS B.V.</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ECM Software Group Limited</w:t>
            </w:r>
          </w:p>
        </w:tc>
        <w:tc>
          <w:tcPr>
            <w:tcW w:w="3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Cyprus</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(Benelux) B.V.</w:t>
            </w: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Australia Pty Limited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Qatar</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(China) Co., Ltd.</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China</w:t>
            </w:r>
          </w:p>
        </w:tc>
      </w:tr>
    </w:tbl>
    <w:p>
      <w:pPr>
        <w:sectPr>
          <w:pgSz w:w="11900" w:h="16838" w:orient="portrait"/>
          <w:cols w:equalWidth="0" w:num="1">
            <w:col w:w="11240"/>
          </w:cols>
          <w:pgMar w:left="320" w:top="104"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(China) Co., Ltd. - Shanghai Branch Office</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(Malaysia) Sdn. Bhd.</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(South Asia) Pte. Ltd.</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(“Rep Office in Egypt”)</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 Abu Dhabi</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("Rep Office in Jordan")</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Jordan</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("Saudi Arabia" branch)</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atstovybė ("Representative Office in Lithuania")</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Lithuania</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Eesti filiaal</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Estonia</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Austria GmbH, podruznica Ljubljana</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Slovenia</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Computer Systems Mexico, S.A. de CV</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Computer Systems Philippines, Inc.</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Corporation</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Egypt Service Center Limited</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Equity Assets LLC</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Europe Limited</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Global Holdings Company</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Global Holdings Company (Foreign company registered in Australia)</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(Thailand) Limited</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CIS</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Colombia Ltda.</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International Unlimited Company</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175"/>
        </w:trPr>
        <w:tc>
          <w:tcPr>
            <w:tcW w:w="7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EMC Information Systems Management Limited (Business Registration Number in Hong Kong:</w:t>
            </w:r>
          </w:p>
        </w:tc>
        <w:tc>
          <w:tcPr>
            <w:tcW w:w="3400" w:type="dxa"/>
            <w:vAlign w:val="bottom"/>
          </w:tcPr>
          <w:p>
            <w:pPr>
              <w:spacing w:after="0"/>
              <w:rPr>
                <w:sz w:val="15"/>
                <w:szCs w:val="15"/>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63925364)</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 Singapore Branch</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Systems Management Limited, German Branch</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Systems Nigeria Limited</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(Beijing) Co., Ltd.</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(Chengdu) Co., Ltd.</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Information Technology Research &amp; Development (Shanghai) Co., Ltd.</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International Unlimited Company</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IP Holding Company LLC</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Ireland Holdings Unlimited Company</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Israel Advanced Information Technologies Ltd.</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Middle East</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 Research and Development Centre</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EMC St. Petersburg Development Centre</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Flanders Road Holdings LLC</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“EMC Information Systems Ukraine”</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Dell Ukraine</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Moogsoft (Herd) LLC</w:t>
            </w:r>
          </w:p>
        </w:tc>
        <w:tc>
          <w:tcPr>
            <w:tcW w:w="3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Moogsoft GmbH</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Moogsoft Limited</w:t>
            </w:r>
          </w:p>
        </w:tc>
        <w:tc>
          <w:tcPr>
            <w:tcW w:w="34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0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NBT Investment Partners LLC</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Newfound Investment Partners LLC</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Oy Dell Ab</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Dell Indonesia</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 Office of "Dell Emerging Markets (EMEA) Limited" in the Republic of Azerbaijan</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Azerbaijan</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Representative Office of EMC Computer Systems Austria GmbH Belgrade</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ScaleIO LLC</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SecureWorks Australia Pty. Ltd.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SecureWorks Corp.</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SecureWorks Europe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SecureWorks Europe S.R.L.</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Romania</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SecureWorks India Private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SecureWorks Japan K.K.</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SecureWorks SAS</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Secureworks Software Canada ULC</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SecureWorks, Inc.</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Sichuan An Cheng Security Technology Company</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Dell Global B.V. in Hanoi City</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Dell Global B.V. in Ho Chi Minh City</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EMC Computer Systems (South Asia) Pte. Ltd. in Hanoi City</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Representative Office of EMC Computer Systems (South Asia) Pte. Ltd. in Ho Chi Minh City</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VCE Solutions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Bulgaria EOOD</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Canada Holdings, Inc.</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Cayman Holdings Limited</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Cloud Services Australia Pty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Cloud Services Ireland Unlimited Company</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Cloud Services Japan K.K.</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Germany GmbH</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Group Holdings LLC</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IP Holding Company LLC</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Ireland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Limited</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LLC</w:t>
            </w:r>
          </w:p>
        </w:tc>
        <w:tc>
          <w:tcPr>
            <w:tcW w:w="32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LT UAB</w:t>
            </w:r>
          </w:p>
        </w:tc>
        <w:tc>
          <w:tcPr>
            <w:tcW w:w="3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Lithuania</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Security Solutions Private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Virtustream Switzerland Sàrl, en liquidation</w:t>
            </w:r>
          </w:p>
        </w:tc>
        <w:tc>
          <w:tcPr>
            <w:tcW w:w="32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Virtustream UK Limited</w:t>
            </w:r>
          </w:p>
        </w:tc>
        <w:tc>
          <w:tcPr>
            <w:tcW w:w="3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40"/>
          </w:cols>
          <w:pgMar w:left="320" w:top="104"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30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February 2, 2024.</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Description of Senior Notes</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4.000% Senior Notes due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5.850% Senior Notes due 2025</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6.020% Senior Notes due 2026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4.900% Senior Notes due 2026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6.100% Senior Notes due 2027</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5.250% Senior Notes due 2028</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5.300% Senior Notes due 2029</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6.200% Senior Notes due 2030</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5.750% Senior Notes due 2033</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8.100% Senior Notes due 2036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3.375% Senior Notes due 2041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8.350% Senior Notes due 2046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3.450% Senior Notes due 2051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93"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8"/>
          <w:szCs w:val="18"/>
          <w:color w:val="auto"/>
        </w:rPr>
        <w:t>As of February 2, 2024, the obligors under the Senior Notes consisted of Dell Technologies, as a guarantor, and its subsidiaries listed in the following table (together with Dell Technologies, the “Obligors”).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Obligor Type</w:t>
            </w:r>
          </w:p>
        </w:tc>
        <w:tc>
          <w:tcPr>
            <w:tcW w:w="0" w:type="dxa"/>
            <w:vAlign w:val="bottom"/>
          </w:tcPr>
          <w:p>
            <w:pPr>
              <w:spacing w:after="0"/>
              <w:rPr>
                <w:sz w:val="1"/>
                <w:szCs w:val="1"/>
                <w:color w:val="auto"/>
              </w:rPr>
            </w:pPr>
          </w:p>
        </w:tc>
      </w:tr>
      <w:tr>
        <w:trPr>
          <w:trHeight w:val="84"/>
        </w:trPr>
        <w:tc>
          <w:tcPr>
            <w:tcW w:w="5720" w:type="dxa"/>
            <w:vAlign w:val="bottom"/>
            <w:gridSpan w:val="2"/>
            <w:vMerge w:val="continue"/>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Dell Inc.</w:t>
            </w:r>
          </w:p>
        </w:tc>
        <w:tc>
          <w:tcPr>
            <w:tcW w:w="100" w:type="dxa"/>
            <w:vAlign w:val="bottom"/>
          </w:tcPr>
          <w:p>
            <w:pPr>
              <w:spacing w:after="0"/>
              <w:rPr>
                <w:sz w:val="19"/>
                <w:szCs w:val="19"/>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Dell International L.L.C.</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30"/>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Denali Intermediate Inc.</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EMC Corporation</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58" w:right="339" w:bottom="1440" w:gutter="0" w:footer="0" w:header="0"/>
        </w:sectPr>
      </w:pPr>
    </w:p>
    <w:bookmarkStart w:id="189" w:name="page190"/>
    <w:bookmarkEnd w:id="189"/>
    <w:p>
      <w:pPr>
        <w:ind w:left="71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333-269159) and Form S-8 (No. 333-213515, No. 333-232675, No. 333-265446, No. 333-269390 and No. 333-272885) of Dell Technologies Inc. of our report dated March 25,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rPr>
          <w:sz w:val="20"/>
          <w:szCs w:val="20"/>
          <w:color w:val="auto"/>
        </w:rPr>
      </w:pPr>
      <w:r>
        <w:rPr>
          <w:rFonts w:ascii="Times New Roman" w:cs="Times New Roman" w:eastAsia="Times New Roman" w:hAnsi="Times New Roman"/>
          <w:sz w:val="18"/>
          <w:szCs w:val="18"/>
          <w:color w:val="auto"/>
        </w:rPr>
        <w:t>March 25, 2024</w:t>
      </w:r>
    </w:p>
    <w:p>
      <w:pPr>
        <w:sectPr>
          <w:pgSz w:w="11900" w:h="16838" w:orient="portrait"/>
          <w:cols w:equalWidth="0" w:num="1">
            <w:col w:w="11180"/>
          </w:cols>
          <w:pgMar w:left="320" w:top="117" w:right="3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2024</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YVONNE MCGILL, EXECUTIVE VICE PRESIDENT AND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Yvonne McGill, certify that:</w:t>
      </w:r>
    </w:p>
    <w:p>
      <w:pPr>
        <w:spacing w:after="0" w:line="117"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March 25, 2024</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CERTIFICATIONS OF MICHAEL S. DELL, CHAIRMAN AND CHIEF EXECUTIVE OFFICER, AND YVONNE MCGILL, EXECUTIVE VICE PRESIDENT AND CHIEF FINANCIAL OFFICER, PURSUANT TO 18 U.S.C. SECTION 1350, AS ADOPTED PURSUANT TO 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officers of Dell Technologies Inc. hereby certify that (a) Dell Technologies Inc.’s Annual Report on Form 10-K for the fiscal year ended February 2, 2024,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March 25,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35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March 25,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193" w:name="page194"/>
    <w:bookmarkEnd w:id="193"/>
    <w:p>
      <w:pPr>
        <w:ind w:left="6808"/>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2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24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b w:val="1"/>
          <w:bCs w:val="1"/>
          <w:color w:val="auto"/>
        </w:rPr>
        <w:t>Effective SEPTEMBER 28, 2023</w:t>
      </w:r>
    </w:p>
    <w:p>
      <w:pPr>
        <w:spacing w:after="0" w:line="229" w:lineRule="exact"/>
        <w:rPr>
          <w:sz w:val="20"/>
          <w:szCs w:val="20"/>
          <w:color w:val="auto"/>
        </w:rPr>
      </w:pPr>
    </w:p>
    <w:p>
      <w:pPr>
        <w:ind w:left="328" w:hanging="328"/>
        <w:spacing w:after="0"/>
        <w:tabs>
          <w:tab w:leader="none" w:pos="3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Purpose</w:t>
      </w:r>
      <w:r>
        <w:rPr>
          <w:rFonts w:ascii="Times New Roman" w:cs="Times New Roman" w:eastAsia="Times New Roman" w:hAnsi="Times New Roman"/>
          <w:sz w:val="20"/>
          <w:szCs w:val="20"/>
          <w:color w:val="auto"/>
        </w:rPr>
        <w:t>. The purpose of this Dell Technologies Inc. Incentive-Based Compensation Recovery Policy (this “Policy”) is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enable Dell Technologies Inc. (“the Company”) to recover Erroneously Awarded Compensation in the event of an Accounting Restatement. This Policy is intended to comply with the requirements set forth in Section 303A.14 of the New York Stock Exchange Listed Company Manual (the “Listing Rule”) and shall be construed and interpreted in accordance with such intent. Unless otherwise defined in this Policy, capitalized terms shall have the meaning ascribed to such terms in paragraph 7.</w:t>
      </w:r>
    </w:p>
    <w:p>
      <w:pPr>
        <w:spacing w:after="0" w:line="200" w:lineRule="exact"/>
        <w:rPr>
          <w:rFonts w:ascii="Times New Roman" w:cs="Times New Roman" w:eastAsia="Times New Roman" w:hAnsi="Times New Roman"/>
          <w:sz w:val="20"/>
          <w:szCs w:val="20"/>
          <w:color w:val="auto"/>
        </w:rPr>
      </w:pPr>
    </w:p>
    <w:p>
      <w:pPr>
        <w:ind w:left="328" w:hanging="328"/>
        <w:spacing w:after="0" w:line="237" w:lineRule="auto"/>
        <w:tabs>
          <w:tab w:leader="none" w:pos="3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Administration</w:t>
      </w:r>
      <w:r>
        <w:rPr>
          <w:rFonts w:ascii="Times New Roman" w:cs="Times New Roman" w:eastAsia="Times New Roman" w:hAnsi="Times New Roman"/>
          <w:sz w:val="20"/>
          <w:szCs w:val="20"/>
          <w:color w:val="auto"/>
        </w:rPr>
        <w:t>. This Policy shall be administered by the Nominating and Governance Committee of the Board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unless the Board determines to administer this Policy itself. The Committee has full and final authority to make all determinations under this Policy, in each case to the extent permitted under the Listing Rule and in compliance with (or pursuant to an exemption from the application of) Section 409A of the Code.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shall limit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w:t>
      </w:r>
    </w:p>
    <w:p>
      <w:pPr>
        <w:spacing w:after="0" w:line="197" w:lineRule="exact"/>
        <w:rPr>
          <w:rFonts w:ascii="Times New Roman" w:cs="Times New Roman" w:eastAsia="Times New Roman" w:hAnsi="Times New Roman"/>
          <w:sz w:val="20"/>
          <w:szCs w:val="20"/>
          <w:color w:val="auto"/>
        </w:rPr>
      </w:pPr>
    </w:p>
    <w:p>
      <w:pPr>
        <w:ind w:left="328" w:right="100" w:hanging="328"/>
        <w:spacing w:after="0" w:line="239" w:lineRule="auto"/>
        <w:tabs>
          <w:tab w:leader="none" w:pos="32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Application</w:t>
      </w:r>
      <w:r>
        <w:rPr>
          <w:rFonts w:ascii="Times New Roman" w:cs="Times New Roman" w:eastAsia="Times New Roman" w:hAnsi="Times New Roman"/>
          <w:sz w:val="20"/>
          <w:szCs w:val="20"/>
          <w:color w:val="auto"/>
        </w:rPr>
        <w:t>. This Policy applies to all Incentive-Based Compensation received by a person: (a) after beginning service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 (b) who served as an Executive Officer at any time during the performance period for such Incentive-Based Compensation; (c) while the Company had a class of securities listed on the New York Stock Exchange (“NYSE”) or another national securities exchange or a national securities association; and (d) during the three completed fiscal years immediately</w:t>
      </w:r>
    </w:p>
    <w:p>
      <w:pPr>
        <w:ind w:left="328"/>
        <w:spacing w:after="0" w:line="226" w:lineRule="auto"/>
        <w:rPr>
          <w:sz w:val="20"/>
          <w:szCs w:val="20"/>
          <w:color w:val="auto"/>
        </w:rPr>
      </w:pPr>
      <w:r>
        <w:rPr>
          <w:rFonts w:ascii="Times New Roman" w:cs="Times New Roman" w:eastAsia="Times New Roman" w:hAnsi="Times New Roman"/>
          <w:sz w:val="20"/>
          <w:szCs w:val="20"/>
          <w:color w:val="auto"/>
        </w:rPr>
        <w:t>preceding the Accounting Restatement Date. In addition to such last three completed fiscal years, the immediately preceding clause</w:t>
      </w:r>
    </w:p>
    <w:p>
      <w:pPr>
        <w:ind w:left="328" w:right="20"/>
        <w:spacing w:after="0" w:line="234" w:lineRule="auto"/>
        <w:rPr>
          <w:sz w:val="20"/>
          <w:szCs w:val="20"/>
          <w:color w:val="auto"/>
        </w:rPr>
      </w:pPr>
      <w:r>
        <w:rPr>
          <w:rFonts w:ascii="Times New Roman" w:cs="Times New Roman" w:eastAsia="Times New Roman" w:hAnsi="Times New Roman"/>
          <w:sz w:val="20"/>
          <w:szCs w:val="20"/>
          <w:color w:val="auto"/>
        </w:rPr>
        <w:t>(d) includes any transition period that results from a change in the Company’s fiscal year within or immediately following such three completed fiscal years; provided that, a transition period between the last day of the Company’s previous fiscal year end and the first day of its new fiscal year that constitutes a period of nine to twelve months shall be deemed a completed fiscal year. For purposes of this paragraph 3,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such fiscal period.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spacing w:after="0" w:line="196" w:lineRule="exact"/>
        <w:rPr>
          <w:sz w:val="20"/>
          <w:szCs w:val="20"/>
          <w:color w:val="auto"/>
        </w:rPr>
      </w:pPr>
    </w:p>
    <w:p>
      <w:pPr>
        <w:ind w:left="328" w:right="20" w:hanging="328"/>
        <w:spacing w:after="0" w:line="241" w:lineRule="auto"/>
        <w:tabs>
          <w:tab w:leader="none" w:pos="32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Recovery Requirement</w:t>
      </w:r>
      <w:r>
        <w:rPr>
          <w:rFonts w:ascii="Times New Roman" w:cs="Times New Roman" w:eastAsia="Times New Roman" w:hAnsi="Times New Roman"/>
          <w:sz w:val="20"/>
          <w:szCs w:val="20"/>
          <w:color w:val="auto"/>
        </w:rPr>
        <w:t>. In the case of an Accounting Restatement, the Company must recover, reasonably promptly,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Erroneously Awarded Compensation in amounts determined pursuant to this Policy. The Company’s obligation to recover Erroneously Awarded Compensation is not dependent on whether or when the Company files restated financial statements. Recovery under this Policy with respect to an Executive Officer shall not require a</w:t>
      </w:r>
    </w:p>
    <w:p>
      <w:pPr>
        <w:sectPr>
          <w:pgSz w:w="11900" w:h="16838" w:orient="portrait"/>
          <w:cols w:equalWidth="0" w:num="1">
            <w:col w:w="10888"/>
          </w:cols>
          <w:pgMar w:left="652" w:top="117" w:right="359" w:bottom="1440" w:gutter="0" w:footer="0" w:header="0"/>
        </w:sectPr>
      </w:pPr>
    </w:p>
    <w:bookmarkStart w:id="194" w:name="page195"/>
    <w:bookmarkEnd w:id="194"/>
    <w:p>
      <w:pPr>
        <w:ind w:left="6808"/>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8" w:right="60"/>
        <w:spacing w:after="0" w:line="237" w:lineRule="auto"/>
        <w:rPr>
          <w:sz w:val="20"/>
          <w:szCs w:val="20"/>
          <w:color w:val="auto"/>
        </w:rPr>
      </w:pPr>
      <w:r>
        <w:rPr>
          <w:rFonts w:ascii="Times New Roman" w:cs="Times New Roman" w:eastAsia="Times New Roman" w:hAnsi="Times New Roman"/>
          <w:sz w:val="20"/>
          <w:szCs w:val="20"/>
          <w:color w:val="auto"/>
        </w:rPr>
        <w:t>finding of any misconduct by such Executive Officer or a finding that such Executive Officer was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a recovery, to the extent permitted under the Listing Rule and in compliance with (or pursuant to an exemption from the application of) Section 409A of the Code. The Company’s recovery obligation pursuant to this paragraph 4 shall not apply to the extent that the Committee or, in the absence of the Committee, a majority of the independent directors serving on the Board determines that such recovery would be impracticable and:</w:t>
      </w:r>
    </w:p>
    <w:p>
      <w:pPr>
        <w:spacing w:after="0" w:line="206" w:lineRule="exact"/>
        <w:rPr>
          <w:sz w:val="20"/>
          <w:szCs w:val="20"/>
          <w:color w:val="auto"/>
        </w:rPr>
      </w:pPr>
    </w:p>
    <w:p>
      <w:pPr>
        <w:ind w:left="968" w:right="180" w:hanging="320"/>
        <w:spacing w:after="0" w:line="256" w:lineRule="auto"/>
        <w:tabs>
          <w:tab w:leader="none" w:pos="95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to be recovered; provided that, before concluding that it would be impracticable to recover any amount of Erroneously Awarded Compensation based on the expense of enforcement, the Company shall make a reasonable attempt to recover such Erroneously Awarded Compensation, document such reasonable attempt to recover, and provide such documentation to the NYSE; or</w:t>
      </w:r>
    </w:p>
    <w:p>
      <w:pPr>
        <w:spacing w:after="0" w:line="201" w:lineRule="exact"/>
        <w:rPr>
          <w:rFonts w:ascii="Times New Roman" w:cs="Times New Roman" w:eastAsia="Times New Roman" w:hAnsi="Times New Roman"/>
          <w:sz w:val="19"/>
          <w:szCs w:val="19"/>
          <w:color w:val="auto"/>
        </w:rPr>
      </w:pPr>
    </w:p>
    <w:p>
      <w:pPr>
        <w:ind w:left="968" w:hanging="320"/>
        <w:spacing w:after="0" w:line="239" w:lineRule="auto"/>
        <w:tabs>
          <w:tab w:leader="none" w:pos="96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provided that, before concluding that it would be impracticable to recover any amount of Erroneously Awarded Compensation based on a violation of home country law, the Company shall obtain an opinion of home country counsel, acceptable to the NYSE, that recovery would result in such a violation, and must provide such opinion to the NYSE; or</w:t>
      </w:r>
    </w:p>
    <w:p>
      <w:pPr>
        <w:spacing w:after="0" w:line="204" w:lineRule="exact"/>
        <w:rPr>
          <w:rFonts w:ascii="Times New Roman" w:cs="Times New Roman" w:eastAsia="Times New Roman" w:hAnsi="Times New Roman"/>
          <w:sz w:val="20"/>
          <w:szCs w:val="20"/>
          <w:color w:val="auto"/>
        </w:rPr>
      </w:pPr>
    </w:p>
    <w:p>
      <w:pPr>
        <w:ind w:left="968" w:right="40" w:hanging="320"/>
        <w:spacing w:after="0" w:line="295" w:lineRule="auto"/>
        <w:tabs>
          <w:tab w:leader="none" w:pos="95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Section 401(a)(13) of the Code or Section 411(a) of the Code.</w:t>
      </w:r>
    </w:p>
    <w:p>
      <w:pPr>
        <w:spacing w:after="0" w:line="147" w:lineRule="exact"/>
        <w:rPr>
          <w:rFonts w:ascii="Times New Roman" w:cs="Times New Roman" w:eastAsia="Times New Roman" w:hAnsi="Times New Roman"/>
          <w:sz w:val="19"/>
          <w:szCs w:val="19"/>
          <w:color w:val="auto"/>
        </w:rPr>
      </w:pPr>
    </w:p>
    <w:p>
      <w:pPr>
        <w:jc w:val="both"/>
        <w:ind w:left="328" w:right="580" w:hanging="328"/>
        <w:spacing w:after="0" w:line="249" w:lineRule="auto"/>
        <w:tabs>
          <w:tab w:leader="none" w:pos="32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Prohibition on Indemnification and Insurance Reimbursement</w:t>
      </w:r>
      <w:r>
        <w:rPr>
          <w:rFonts w:ascii="Times New Roman" w:cs="Times New Roman" w:eastAsia="Times New Roman" w:hAnsi="Times New Roman"/>
          <w:sz w:val="20"/>
          <w:szCs w:val="20"/>
          <w:color w:val="auto"/>
        </w:rPr>
        <w:t>. The Company is prohibited from indemnifying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 against the loss of Erroneously Awarded Compensation. Further, the Company is prohibited from paying or reimbursing an Executive Officer for purchasing insurance to cover any such loss.</w:t>
      </w:r>
    </w:p>
    <w:p>
      <w:pPr>
        <w:spacing w:after="0" w:line="188" w:lineRule="exact"/>
        <w:rPr>
          <w:rFonts w:ascii="Times New Roman" w:cs="Times New Roman" w:eastAsia="Times New Roman" w:hAnsi="Times New Roman"/>
          <w:sz w:val="20"/>
          <w:szCs w:val="20"/>
          <w:color w:val="auto"/>
        </w:rPr>
      </w:pPr>
    </w:p>
    <w:p>
      <w:pPr>
        <w:jc w:val="both"/>
        <w:ind w:left="328" w:right="820" w:hanging="328"/>
        <w:spacing w:after="0" w:line="300" w:lineRule="auto"/>
        <w:tabs>
          <w:tab w:leader="none" w:pos="328"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Required Policy-Related Filings</w:t>
      </w:r>
      <w:r>
        <w:rPr>
          <w:rFonts w:ascii="Times New Roman" w:cs="Times New Roman" w:eastAsia="Times New Roman" w:hAnsi="Times New Roman"/>
          <w:sz w:val="19"/>
          <w:szCs w:val="19"/>
          <w:color w:val="auto"/>
        </w:rPr>
        <w:t>. The Company shall file all disclosures with respect to this Policy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requirements of the federal securities laws, including disclosures required by rules or regulations promulgated by the SEC.</w:t>
      </w:r>
    </w:p>
    <w:p>
      <w:pPr>
        <w:spacing w:after="0" w:line="146" w:lineRule="exact"/>
        <w:rPr>
          <w:rFonts w:ascii="Times New Roman" w:cs="Times New Roman" w:eastAsia="Times New Roman" w:hAnsi="Times New Roman"/>
          <w:sz w:val="19"/>
          <w:szCs w:val="19"/>
          <w:color w:val="auto"/>
        </w:rPr>
      </w:pPr>
    </w:p>
    <w:p>
      <w:pPr>
        <w:ind w:left="328" w:hanging="328"/>
        <w:spacing w:after="0"/>
        <w:tabs>
          <w:tab w:leader="none" w:pos="32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w:t>
      </w:r>
    </w:p>
    <w:p>
      <w:pPr>
        <w:spacing w:after="0" w:line="238" w:lineRule="exact"/>
        <w:rPr>
          <w:rFonts w:ascii="Times New Roman" w:cs="Times New Roman" w:eastAsia="Times New Roman" w:hAnsi="Times New Roman"/>
          <w:sz w:val="20"/>
          <w:szCs w:val="20"/>
          <w:color w:val="auto"/>
        </w:rPr>
      </w:pPr>
    </w:p>
    <w:p>
      <w:pPr>
        <w:ind w:left="968" w:right="20" w:hanging="320"/>
        <w:spacing w:after="0" w:line="241" w:lineRule="auto"/>
        <w:tabs>
          <w:tab w:leader="none" w:pos="957"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6" w:lineRule="exact"/>
        <w:rPr>
          <w:rFonts w:ascii="Times New Roman" w:cs="Times New Roman" w:eastAsia="Times New Roman" w:hAnsi="Times New Roman"/>
          <w:sz w:val="20"/>
          <w:szCs w:val="20"/>
          <w:color w:val="auto"/>
        </w:rPr>
      </w:pPr>
    </w:p>
    <w:p>
      <w:pPr>
        <w:ind w:left="968" w:right="160" w:hanging="320"/>
        <w:spacing w:after="0" w:line="249" w:lineRule="auto"/>
        <w:tabs>
          <w:tab w:leader="none" w:pos="96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Accounting Restatement Date</w:t>
      </w:r>
      <w:r>
        <w:rPr>
          <w:rFonts w:ascii="Times New Roman" w:cs="Times New Roman" w:eastAsia="Times New Roman" w:hAnsi="Times New Roman"/>
          <w:sz w:val="20"/>
          <w:szCs w:val="20"/>
          <w:color w:val="auto"/>
        </w:rPr>
        <w:t>” means the earlier to occur of: (i) the date on which the Board, a committee of the Board, or the officer or officers of the Company authorized to take such action (if Board action is not required) concludes, or reasonably should have concluded, that the Company is required to prepare an Accounting Restatement; and (ii)</w:t>
      </w:r>
    </w:p>
    <w:p>
      <w:pPr>
        <w:sectPr>
          <w:pgSz w:w="11900" w:h="16838" w:orient="portrait"/>
          <w:cols w:equalWidth="0" w:num="1">
            <w:col w:w="10908"/>
          </w:cols>
          <w:pgMar w:left="652" w:top="117" w:right="339" w:bottom="1440" w:gutter="0" w:footer="0" w:header="0"/>
        </w:sectPr>
      </w:pPr>
    </w:p>
    <w:bookmarkStart w:id="195" w:name="page196"/>
    <w:bookmarkEnd w:id="195"/>
    <w:p>
      <w:pPr>
        <w:ind w:left="6808"/>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8" w:right="780"/>
        <w:spacing w:after="0" w:line="255" w:lineRule="auto"/>
        <w:rPr>
          <w:sz w:val="20"/>
          <w:szCs w:val="20"/>
          <w:color w:val="auto"/>
        </w:rPr>
      </w:pPr>
      <w:r>
        <w:rPr>
          <w:rFonts w:ascii="Times New Roman" w:cs="Times New Roman" w:eastAsia="Times New Roman" w:hAnsi="Times New Roman"/>
          <w:sz w:val="20"/>
          <w:szCs w:val="20"/>
          <w:color w:val="auto"/>
        </w:rPr>
        <w:t>the date on which a court, regulator or other legally authorized body directs the Company to prepare an Accounting Restatement.</w:t>
      </w:r>
    </w:p>
    <w:p>
      <w:pPr>
        <w:spacing w:after="0" w:line="196" w:lineRule="exact"/>
        <w:rPr>
          <w:sz w:val="20"/>
          <w:szCs w:val="20"/>
          <w:color w:val="auto"/>
        </w:rPr>
      </w:pPr>
    </w:p>
    <w:p>
      <w:pPr>
        <w:ind w:left="968" w:hanging="320"/>
        <w:spacing w:after="0"/>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rFonts w:ascii="Times New Roman" w:cs="Times New Roman" w:eastAsia="Times New Roman" w:hAnsi="Times New Roman"/>
          <w:sz w:val="20"/>
          <w:szCs w:val="20"/>
          <w:color w:val="auto"/>
        </w:rPr>
      </w:pPr>
    </w:p>
    <w:p>
      <w:pPr>
        <w:ind w:left="968" w:right="140" w:hanging="320"/>
        <w:spacing w:after="0" w:line="246"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91" w:lineRule="exact"/>
        <w:rPr>
          <w:rFonts w:ascii="Times New Roman" w:cs="Times New Roman" w:eastAsia="Times New Roman" w:hAnsi="Times New Roman"/>
          <w:sz w:val="20"/>
          <w:szCs w:val="20"/>
          <w:color w:val="auto"/>
        </w:rPr>
      </w:pPr>
    </w:p>
    <w:p>
      <w:pPr>
        <w:ind w:left="968" w:right="180" w:hanging="320"/>
        <w:spacing w:after="0" w:line="235" w:lineRule="auto"/>
        <w:tabs>
          <w:tab w:leader="none" w:pos="95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Erroneously Awarded Compensation</w:t>
      </w:r>
      <w:r>
        <w:rPr>
          <w:rFonts w:ascii="Times New Roman" w:cs="Times New Roman" w:eastAsia="Times New Roman" w:hAnsi="Times New Roman"/>
          <w:sz w:val="20"/>
          <w:szCs w:val="20"/>
          <w:color w:val="auto"/>
        </w:rPr>
        <w:t>” means, in the event of an Accounting Restatement, the amount of Incentive-Based Compensation previously received that exceeds the amount of Incentive-Based Compensation that otherwise would have been received if the Incentive-Based Compensation had been determined based on the restated amounts contained in such Accounting Restatement, which shall be computed without regard to any taxes paid by the relevant Executive Officer; provided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shall maintain documentation of the determination of such reasonable estimate and provide such documentation to the NYSE.</w:t>
      </w:r>
    </w:p>
    <w:p>
      <w:pPr>
        <w:spacing w:after="0" w:line="205" w:lineRule="exact"/>
        <w:rPr>
          <w:rFonts w:ascii="Times New Roman" w:cs="Times New Roman" w:eastAsia="Times New Roman" w:hAnsi="Times New Roman"/>
          <w:sz w:val="20"/>
          <w:szCs w:val="20"/>
          <w:color w:val="auto"/>
        </w:rPr>
      </w:pPr>
    </w:p>
    <w:p>
      <w:pPr>
        <w:ind w:left="968" w:hanging="320"/>
        <w:spacing w:after="0" w:line="238" w:lineRule="auto"/>
        <w:tabs>
          <w:tab w:leader="none" w:pos="9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policy-making functions for the Company.</w:t>
      </w:r>
    </w:p>
    <w:p>
      <w:pPr>
        <w:spacing w:after="0" w:line="211" w:lineRule="exact"/>
        <w:rPr>
          <w:rFonts w:ascii="Times New Roman" w:cs="Times New Roman" w:eastAsia="Times New Roman" w:hAnsi="Times New Roman"/>
          <w:sz w:val="20"/>
          <w:szCs w:val="20"/>
          <w:color w:val="auto"/>
        </w:rPr>
      </w:pPr>
    </w:p>
    <w:p>
      <w:pPr>
        <w:ind w:left="968" w:right="20" w:hanging="320"/>
        <w:spacing w:after="0" w:line="237"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Financial Reporting Measure</w:t>
      </w:r>
      <w:r>
        <w:rPr>
          <w:rFonts w:ascii="Times New Roman" w:cs="Times New Roman" w:eastAsia="Times New Roman" w:hAnsi="Times New Roman"/>
          <w:sz w:val="20"/>
          <w:szCs w:val="20"/>
          <w:color w:val="auto"/>
        </w:rPr>
        <w:t>” means any measure that is determined and presented in accordance with the accounting principles used in preparing the Company’s financial statements, and any measure that is derived wholly or in part from such measure; provided that, a Financial Reporting Measure is not required to be presented within the Company’s financial statements or included in a filing with the SEC to qualify as a “Financial Reporting Measure.” For purposes of this Policy, “Financial Reporting Measure” includes, but is not limited to, stock price and total stockholder return.</w:t>
      </w:r>
    </w:p>
    <w:p>
      <w:pPr>
        <w:spacing w:after="0" w:line="214" w:lineRule="exact"/>
        <w:rPr>
          <w:rFonts w:ascii="Times New Roman" w:cs="Times New Roman" w:eastAsia="Times New Roman" w:hAnsi="Times New Roman"/>
          <w:sz w:val="20"/>
          <w:szCs w:val="20"/>
          <w:color w:val="auto"/>
        </w:rPr>
      </w:pPr>
    </w:p>
    <w:p>
      <w:pPr>
        <w:ind w:left="968" w:right="100" w:hanging="320"/>
        <w:spacing w:after="0" w:line="259" w:lineRule="auto"/>
        <w:tabs>
          <w:tab w:leader="none" w:pos="96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92" w:lineRule="exact"/>
        <w:rPr>
          <w:rFonts w:ascii="Times New Roman" w:cs="Times New Roman" w:eastAsia="Times New Roman" w:hAnsi="Times New Roman"/>
          <w:sz w:val="20"/>
          <w:szCs w:val="20"/>
          <w:color w:val="auto"/>
        </w:rPr>
      </w:pPr>
    </w:p>
    <w:p>
      <w:pPr>
        <w:ind w:left="328" w:right="100" w:hanging="328"/>
        <w:spacing w:after="0" w:line="241" w:lineRule="auto"/>
        <w:tabs>
          <w:tab w:leader="none" w:pos="32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Acknowledgement</w:t>
      </w:r>
      <w:r>
        <w:rPr>
          <w:rFonts w:ascii="Times New Roman" w:cs="Times New Roman" w:eastAsia="Times New Roman" w:hAnsi="Times New Roman"/>
          <w:sz w:val="20"/>
          <w:szCs w:val="20"/>
          <w:color w:val="auto"/>
        </w:rPr>
        <w:t>. Each Executive Officer shall sign and return to the Company, within 30 calendar days following the later of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Effective Date of this Policy or (ii) the date the individual becomes an Executive Officer,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Executive Officer agrees to be bound by, and to comply with, the terms and conditions of this Policy.</w:t>
      </w:r>
    </w:p>
    <w:p>
      <w:pPr>
        <w:sectPr>
          <w:pgSz w:w="11900" w:h="16838" w:orient="portrait"/>
          <w:cols w:equalWidth="0" w:num="1">
            <w:col w:w="10888"/>
          </w:cols>
          <w:pgMar w:left="652" w:top="117" w:right="359" w:bottom="1440" w:gutter="0" w:footer="0" w:header="0"/>
        </w:sectPr>
      </w:pPr>
    </w:p>
    <w:bookmarkStart w:id="196" w:name="page197"/>
    <w:bookmarkEnd w:id="196"/>
    <w:p>
      <w:pPr>
        <w:ind w:left="6808"/>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 w:right="100" w:hanging="328"/>
        <w:spacing w:after="0" w:line="241" w:lineRule="auto"/>
        <w:tabs>
          <w:tab w:leader="none" w:pos="32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 To the extent that any provision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Policy is found to be unenforceable or invalid under any applicable law, such provision shall be applied to the maximum extent permitted by applicable law, and shall automatically be deemed amended in a manner consistent with its objectives to the extent necessary to conform to any limitations required under applicable law.</w:t>
      </w:r>
    </w:p>
    <w:p>
      <w:pPr>
        <w:spacing w:after="0" w:line="210" w:lineRule="exact"/>
        <w:rPr>
          <w:rFonts w:ascii="Times New Roman" w:cs="Times New Roman" w:eastAsia="Times New Roman" w:hAnsi="Times New Roman"/>
          <w:sz w:val="20"/>
          <w:szCs w:val="20"/>
          <w:color w:val="auto"/>
        </w:rPr>
      </w:pPr>
    </w:p>
    <w:p>
      <w:pPr>
        <w:ind w:left="328" w:right="140" w:hanging="328"/>
        <w:spacing w:after="0" w:line="249" w:lineRule="auto"/>
        <w:tabs>
          <w:tab w:leader="none" w:pos="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 Termination</w:t>
      </w:r>
      <w:r>
        <w:rPr>
          <w:rFonts w:ascii="Times New Roman" w:cs="Times New Roman" w:eastAsia="Times New Roman" w:hAnsi="Times New Roman"/>
          <w:sz w:val="20"/>
          <w:szCs w:val="20"/>
          <w:color w:val="auto"/>
        </w:rPr>
        <w:t>. The Board may amend this Policy from time to time in its sole and absolute discretion and shall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as it deems necessary to reflect the Listing Rule or to comply with (or maintain an exemption from the application of) Section 409A of the Code. The Board may terminate this Policy at any time.</w:t>
      </w:r>
    </w:p>
    <w:p>
      <w:pPr>
        <w:spacing w:after="0" w:line="188" w:lineRule="exact"/>
        <w:rPr>
          <w:rFonts w:ascii="Times New Roman" w:cs="Times New Roman" w:eastAsia="Times New Roman" w:hAnsi="Times New Roman"/>
          <w:sz w:val="20"/>
          <w:szCs w:val="20"/>
          <w:color w:val="auto"/>
        </w:rPr>
      </w:pPr>
    </w:p>
    <w:p>
      <w:pPr>
        <w:ind w:left="328" w:hanging="328"/>
        <w:spacing w:after="0" w:line="248" w:lineRule="auto"/>
        <w:tabs>
          <w:tab w:leader="none" w:pos="31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Other Recovery Obligations; General Rights</w:t>
      </w:r>
      <w:r>
        <w:rPr>
          <w:rFonts w:ascii="Times New Roman" w:cs="Times New Roman" w:eastAsia="Times New Roman" w:hAnsi="Times New Roman"/>
          <w:sz w:val="19"/>
          <w:szCs w:val="19"/>
          <w:color w:val="auto"/>
        </w:rPr>
        <w:t>. To the extent that the application of this Policy would provide for recovery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Incentive-Based Compensation that the Company recovers pursuant to the Sarbanes-Oxley Act of 2002 or other recovery obligations, the amount the applicable Executive Officer has already reimbursed the Company shall be credited to the required recovery under this Policy. This Policy shall not limit the rights of the Company to take any other actions or pursue other remedies that the Company may deem appropriate under the circumstances and under applicable law, in each case to the extent permitted under the Listing Rule and in compliance with (or pursuant to an exemption from the application of) Section 409A of the Code. Nothing contained in this Policy shall limit the Company’s ability to seek recoupment, in appropriate circumstances (including circumstances beyond the scope of this Policy) and as permitted by applicable law, of any amounts from any individual, in each case to the extent permitted under the Listing Rule and in compliance with (or pursuant to an exemption from the application of) Section 409A of the Code.</w:t>
      </w:r>
    </w:p>
    <w:p>
      <w:pPr>
        <w:spacing w:after="0" w:line="209" w:lineRule="exact"/>
        <w:rPr>
          <w:rFonts w:ascii="Times New Roman" w:cs="Times New Roman" w:eastAsia="Times New Roman" w:hAnsi="Times New Roman"/>
          <w:sz w:val="19"/>
          <w:szCs w:val="19"/>
          <w:color w:val="auto"/>
        </w:rPr>
      </w:pPr>
    </w:p>
    <w:p>
      <w:pPr>
        <w:ind w:left="328" w:right="960" w:hanging="328"/>
        <w:spacing w:after="0" w:line="259" w:lineRule="auto"/>
        <w:tabs>
          <w:tab w:leader="none" w:pos="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is binding and enforceable against all Executive Officers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92" w:lineRule="exact"/>
        <w:rPr>
          <w:rFonts w:ascii="Times New Roman" w:cs="Times New Roman" w:eastAsia="Times New Roman" w:hAnsi="Times New Roman"/>
          <w:sz w:val="20"/>
          <w:szCs w:val="20"/>
          <w:color w:val="auto"/>
        </w:rPr>
      </w:pPr>
    </w:p>
    <w:p>
      <w:pPr>
        <w:ind w:left="328" w:right="120" w:hanging="328"/>
        <w:spacing w:after="0" w:line="242" w:lineRule="auto"/>
        <w:tabs>
          <w:tab w:leader="none" w:pos="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Venue</w:t>
      </w:r>
      <w:r>
        <w:rPr>
          <w:rFonts w:ascii="Times New Roman" w:cs="Times New Roman" w:eastAsia="Times New Roman" w:hAnsi="Times New Roman"/>
          <w:sz w:val="20"/>
          <w:szCs w:val="20"/>
          <w:color w:val="auto"/>
        </w:rPr>
        <w:t>. This Policy and all rights and obligations hereunder are governed by and construed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internal laws of the State of Delaware, excluding any choice of law rules or principles that may direct the application of the laws of another jurisdiction.</w:t>
      </w:r>
    </w:p>
    <w:p>
      <w:pPr>
        <w:spacing w:after="0" w:line="208" w:lineRule="exact"/>
        <w:rPr>
          <w:rFonts w:ascii="Times New Roman" w:cs="Times New Roman" w:eastAsia="Times New Roman" w:hAnsi="Times New Roman"/>
          <w:sz w:val="20"/>
          <w:szCs w:val="20"/>
          <w:color w:val="auto"/>
        </w:rPr>
      </w:pPr>
    </w:p>
    <w:p>
      <w:pPr>
        <w:ind w:left="328" w:right="220" w:hanging="328"/>
        <w:spacing w:after="0" w:line="259" w:lineRule="auto"/>
        <w:tabs>
          <w:tab w:leader="none" w:pos="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date first set forth above (such date, the “Effective Date”) and shall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Incentive-Based Compensation approved, awarded or granted to any Executive Officer prior to the Effective Date.</w:t>
      </w:r>
    </w:p>
    <w:p>
      <w:pPr>
        <w:sectPr>
          <w:pgSz w:w="11900" w:h="16838" w:orient="portrait"/>
          <w:cols w:equalWidth="0" w:num="1">
            <w:col w:w="10908"/>
          </w:cols>
          <w:pgMar w:left="652" w:top="117" w:right="339" w:bottom="1440" w:gutter="0" w:footer="0" w:header="0"/>
        </w:sectPr>
      </w:pPr>
    </w:p>
    <w:bookmarkStart w:id="197" w:name="page198"/>
    <w:bookmarkEnd w:id="197"/>
    <w:p>
      <w:pPr>
        <w:ind w:left="7140"/>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Incentive-Based Compensation Recovery Policy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2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Dell Technologies Inc. Incentive-Based Compensation Recovery Policy (the “Policy”).</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Dell Technologies Inc.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196850</wp:posOffset>
            </wp:positionV>
            <wp:extent cx="16198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194310</wp:posOffset>
            </wp:positionV>
            <wp:extent cx="16198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194310</wp:posOffset>
            </wp:positionV>
            <wp:extent cx="16198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Date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5"/>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decimal"/>
      <w:start w:val="719"/>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lowerLetter"/>
      <w:start w:val="1"/>
    </w:lvl>
  </w:abstractNum>
  <w:abstractNum w:abstractNumId="34">
    <w:nsid w:val="235BA861"/>
    <w:multiLevelType w:val="hybridMultilevel"/>
    <w:lvl w:ilvl="0">
      <w:lvlJc w:val="left"/>
      <w:lvlText w:val="(%1)"/>
      <w:numFmt w:val="lowerLetter"/>
      <w:start w:val="1"/>
    </w:lvl>
  </w:abstractNum>
  <w:abstractNum w:abstractNumId="35">
    <w:nsid w:val="47398C89"/>
    <w:multiLevelType w:val="hybridMultilevel"/>
    <w:lvl w:ilvl="0">
      <w:lvlJc w:val="left"/>
      <w:lvlText w:val="(%1)"/>
      <w:numFmt w:val="lowerLetter"/>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2"/>
    </w:lvl>
  </w:abstractNum>
  <w:abstractNum w:abstractNumId="49">
    <w:nsid w:val="25A70BF7"/>
    <w:multiLevelType w:val="hybridMultilevel"/>
    <w:lvl w:ilvl="0">
      <w:lvlJc w:val="left"/>
      <w:lvlText w:val="%1"/>
      <w:numFmt w:val="decimal"/>
      <w:start w:val="104"/>
    </w:lvl>
    <w:lvl w:ilvl="1">
      <w:lvlJc w:val="left"/>
      <w:lvlText w:val="*"/>
      <w:numFmt w:val="bullet"/>
      <w:start w:val="1"/>
    </w:lvl>
  </w:abstractNum>
  <w:abstractNum w:abstractNumId="50">
    <w:nsid w:val="1DBABF00"/>
    <w:multiLevelType w:val="hybridMultilevel"/>
    <w:lvl w:ilvl="0">
      <w:lvlJc w:val="left"/>
      <w:lvlText w:val="††"/>
      <w:numFmt w:val="bullet"/>
      <w:start w:val="1"/>
    </w:lvl>
    <w:lvl w:ilvl="1">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Roman"/>
      <w:start w:val="1"/>
    </w:lvl>
  </w:abstractNum>
  <w:abstractNum w:abstractNumId="57">
    <w:nsid w:val="15014ACB"/>
    <w:multiLevelType w:val="hybridMultilevel"/>
    <w:lvl w:ilvl="0">
      <w:lvlJc w:val="left"/>
      <w:lvlText w:val="%1."/>
      <w:numFmt w:val="lowerRoman"/>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3"/>
    </w:lvl>
    <w:lvl w:ilvl="1">
      <w:lvlJc w:val="left"/>
      <w:lvlText w:val="(%2)"/>
      <w:numFmt w:val="lowerLetter"/>
      <w:start w:val="6"/>
    </w:lvl>
  </w:abstractNum>
  <w:abstractNum w:abstractNumId="60">
    <w:nsid w:val="799D0247"/>
    <w:multiLevelType w:val="hybridMultilevel"/>
    <w:lvl w:ilvl="0">
      <w:lvlJc w:val="left"/>
      <w:lvlText w:val="%1."/>
      <w:numFmt w:val="lowerLetter"/>
      <w:start w:val="7"/>
    </w:lvl>
  </w:abstractNum>
  <w:abstractNum w:abstractNumId="61">
    <w:nsid w:val="6B94764"/>
    <w:multiLevelType w:val="hybridMultilevel"/>
    <w:lvl w:ilvl="0">
      <w:lvlJc w:val="left"/>
      <w:lvlText w:val="%1."/>
      <w:numFmt w:val="lowerLetter"/>
      <w:start w:val="12"/>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Roman"/>
      <w:start w:val="1"/>
    </w:lvl>
  </w:abstractNum>
  <w:abstractNum w:abstractNumId="67">
    <w:nsid w:val="540A471C"/>
    <w:multiLevelType w:val="hybridMultilevel"/>
    <w:lvl w:ilvl="0">
      <w:lvlJc w:val="left"/>
      <w:lvlText w:val="%1."/>
      <w:numFmt w:val="lowerRoman"/>
      <w:start w:val="4"/>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3"/>
    </w:lvl>
    <w:lvl w:ilvl="1">
      <w:lvlJc w:val="left"/>
      <w:lvlText w:val="(%2)"/>
      <w:numFmt w:val="lowerLetter"/>
      <w:start w:val="6"/>
    </w:lvl>
  </w:abstractNum>
  <w:abstractNum w:abstractNumId="70">
    <w:nsid w:val="613EFDC5"/>
    <w:multiLevelType w:val="hybridMultilevel"/>
    <w:lvl w:ilvl="0">
      <w:lvlJc w:val="left"/>
      <w:lvlText w:val="%1."/>
      <w:numFmt w:val="decimal"/>
      <w:start w:val="7"/>
    </w:lvl>
  </w:abstractNum>
  <w:abstractNum w:abstractNumId="71">
    <w:nsid w:val="BF72B14"/>
    <w:multiLevelType w:val="hybridMultilevel"/>
    <w:lvl w:ilvl="0">
      <w:lvlJc w:val="left"/>
      <w:lvlText w:val="%1."/>
      <w:numFmt w:val="decimal"/>
      <w:start w:val="11"/>
    </w:lvl>
  </w:abstractNum>
  <w:abstractNum w:abstractNumId="72">
    <w:nsid w:val="11447B73"/>
    <w:multiLevelType w:val="hybridMultilevel"/>
    <w:lvl w:ilvl="0">
      <w:lvlJc w:val="left"/>
      <w:lvlText w:val="%1."/>
      <w:numFmt w:val="decimal"/>
      <w:start w:val="1"/>
    </w:lvl>
    <w:lvl w:ilvl="1">
      <w:lvlJc w:val="left"/>
      <w:lvlText w:val="(%2)"/>
      <w:numFmt w:val="lowerLetter"/>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4"/>
    </w:lvl>
  </w:abstractNum>
  <w:abstractNum w:abstractNumId="76">
    <w:nsid w:val="1A32234B"/>
    <w:multiLevelType w:val="hybridMultilevel"/>
    <w:lvl w:ilvl="0">
      <w:lvlJc w:val="left"/>
      <w:lvlText w:val="%1"/>
      <w:numFmt w:val="decimal"/>
      <w:start w:val="1"/>
    </w:lvl>
    <w:lvl w:ilvl="1">
      <w:lvlJc w:val="left"/>
      <w:lvlText w:val="%2."/>
      <w:numFmt w:val="lowerLetter"/>
      <w:start w:val="1"/>
    </w:lvl>
  </w:abstractNum>
  <w:abstractNum w:abstractNumId="77">
    <w:nsid w:val="3B0FD379"/>
    <w:multiLevelType w:val="hybridMultilevel"/>
    <w:lvl w:ilvl="0">
      <w:lvlJc w:val="left"/>
      <w:lvlText w:val="%1."/>
      <w:numFmt w:val="decimal"/>
      <w:start w:val="5"/>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3"/>
    </w:lvl>
  </w:abstractNum>
  <w:abstractNum w:abstractNumId="79">
    <w:nsid w:val="4962813B"/>
    <w:multiLevelType w:val="hybridMultilevel"/>
    <w:lvl w:ilvl="0">
      <w:lvlJc w:val="left"/>
      <w:lvlText w:val="%1."/>
      <w:numFmt w:val="decimal"/>
      <w:start w:val="8"/>
    </w:lvl>
    <w:lvl w:ilvl="1">
      <w:lvlJc w:val="left"/>
      <w:lvlText w:val="%2"/>
      <w:numFmt w:val="lowerLetter"/>
      <w:start w:val="1"/>
    </w:lvl>
  </w:abstractNum>
  <w:abstractNum w:abstractNumId="80">
    <w:nsid w:val="60B6DF7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9" Type="http://schemas.openxmlformats.org/officeDocument/2006/relationships/image" Target="media/image215.png"/><Relationship Id="rId244" Type="http://schemas.openxmlformats.org/officeDocument/2006/relationships/image" Target="media/image216.png"/><Relationship Id="rId257" Type="http://schemas.openxmlformats.org/officeDocument/2006/relationships/image" Target="media/image217.png"/><Relationship Id="rId271" Type="http://schemas.openxmlformats.org/officeDocument/2006/relationships/image" Target="media/image218.png"/><Relationship Id="rId289" Type="http://schemas.openxmlformats.org/officeDocument/2006/relationships/image" Target="media/image219.png"/><Relationship Id="rId304" Type="http://schemas.openxmlformats.org/officeDocument/2006/relationships/image" Target="media/image220.png"/><Relationship Id="rId315" Type="http://schemas.openxmlformats.org/officeDocument/2006/relationships/image" Target="media/image221.png"/><Relationship Id="rId316" Type="http://schemas.openxmlformats.org/officeDocument/2006/relationships/image" Target="media/image222.png"/><Relationship Id="rId317" Type="http://schemas.openxmlformats.org/officeDocument/2006/relationships/image" Target="media/image223.png"/><Relationship Id="rId318" Type="http://schemas.openxmlformats.org/officeDocument/2006/relationships/image" Target="media/image224.png"/><Relationship Id="rId319" Type="http://schemas.openxmlformats.org/officeDocument/2006/relationships/image" Target="media/image225.png"/><Relationship Id="rId320" Type="http://schemas.openxmlformats.org/officeDocument/2006/relationships/image" Target="media/image226.png"/><Relationship Id="rId321" Type="http://schemas.openxmlformats.org/officeDocument/2006/relationships/image" Target="media/image227.png"/><Relationship Id="rId322" Type="http://schemas.openxmlformats.org/officeDocument/2006/relationships/image" Target="media/image228.png"/><Relationship Id="rId323" Type="http://schemas.openxmlformats.org/officeDocument/2006/relationships/image" Target="media/image229.png"/><Relationship Id="rId222" Type="http://schemas.openxmlformats.org/officeDocument/2006/relationships/hyperlink" Target="https://www.sec.gov/Archives/edgar/data/1571996/000119312521116271/d142017dex21.htm" TargetMode="External"/><Relationship Id="rId223" Type="http://schemas.openxmlformats.org/officeDocument/2006/relationships/hyperlink" Target="https://www.sec.gov/Archives/edgar/data/1571996/000119312521294210/d81504dex991.htm" TargetMode="External"/><Relationship Id="rId224" Type="http://schemas.openxmlformats.org/officeDocument/2006/relationships/hyperlink" Target="https://www.sec.gov/Archives/edgar/data/1571996/000119312521315488/d146470dex992.htm" TargetMode="External"/><Relationship Id="rId225" Type="http://schemas.openxmlformats.org/officeDocument/2006/relationships/hyperlink" Target="https://www.sec.gov/Archives/edgar/data/1571996/000157199622000025/ex31sixtharcertofdti.htm" TargetMode="External"/><Relationship Id="rId226" Type="http://schemas.openxmlformats.org/officeDocument/2006/relationships/hyperlink" Target="https://www.sec.gov/Archives/edgar/data/1571996/000157199622000025/ex32thirdbylawsofdti.htm" TargetMode="External"/><Relationship Id="rId227" Type="http://schemas.openxmlformats.org/officeDocument/2006/relationships/hyperlink" Target="https://www.sec.gov/Archives/edgar/data/826083/0000950134-98-003605.txt" TargetMode="External"/><Relationship Id="rId228" Type="http://schemas.openxmlformats.org/officeDocument/2006/relationships/hyperlink" Target="https://www.sec.gov/Archives/edgar/data/826083/000095013408006801/d55879exv4w1.htm" TargetMode="External"/><Relationship Id="rId230" Type="http://schemas.openxmlformats.org/officeDocument/2006/relationships/hyperlink" Target="https://www.sec.gov/Archives/edgar/data/826083/000119312509073812/dex41.htm" TargetMode="External"/><Relationship Id="rId231" Type="http://schemas.openxmlformats.org/officeDocument/2006/relationships/hyperlink" Target="https://www.sec.gov/Archives/edgar/data/826083/000095012310085135/d75835exv4w1.htm" TargetMode="External"/><Relationship Id="rId232" Type="http://schemas.openxmlformats.org/officeDocument/2006/relationships/hyperlink" Target="https://www.sec.gov/Archives/edgar/data/1571996/000119312516611855/d73946dex414.htm" TargetMode="External"/><Relationship Id="rId233" Type="http://schemas.openxmlformats.org/officeDocument/2006/relationships/hyperlink" Target="https://www.sec.gov/Archives/edgar/data/1571996/000119312516611855/d73946dex421.htm" TargetMode="External"/><Relationship Id="rId234" Type="http://schemas.openxmlformats.org/officeDocument/2006/relationships/hyperlink" Target="https://www.sec.gov/Archives/edgar/data/1571996/000119312516611855/d73946dex423.htm" TargetMode="External"/><Relationship Id="rId235" Type="http://schemas.openxmlformats.org/officeDocument/2006/relationships/hyperlink" Target="https://www.sec.gov/Archives/edgar/data/1571996/000119312516611855/d73946dex425.htm" TargetMode="External"/><Relationship Id="rId236" Type="http://schemas.openxmlformats.org/officeDocument/2006/relationships/hyperlink" Target="https://www.sec.gov/Archives/edgar/data/1571996/000119312516706567/d238698dex41.htm" TargetMode="External"/><Relationship Id="rId237" Type="http://schemas.openxmlformats.org/officeDocument/2006/relationships/hyperlink" Target="https://www.sec.gov/Archives/edgar/data/1571996/000119312516706567/d238698dex42.htm" TargetMode="External"/><Relationship Id="rId238" Type="http://schemas.openxmlformats.org/officeDocument/2006/relationships/hyperlink" Target="https://www.sec.gov/Archives/edgar/data/1571996/000119312516706567/d238698dex43.htm" TargetMode="External"/><Relationship Id="rId239" Type="http://schemas.openxmlformats.org/officeDocument/2006/relationships/hyperlink" Target="https://www.sec.gov/Archives/edgar/data/1571996/000157199619000008/exhibit432_020119.htm" TargetMode="External"/><Relationship Id="rId240" Type="http://schemas.openxmlformats.org/officeDocument/2006/relationships/hyperlink" Target="https://www.sec.gov/Archives/edgar/data/1571996/000119312519082281/d708174dex411.htm" TargetMode="External"/><Relationship Id="rId241" Type="http://schemas.openxmlformats.org/officeDocument/2006/relationships/hyperlink" Target="https://www.sec.gov/Archives/edgar/data/1571996/000119312519082281/d708174dex41.htm" TargetMode="External"/><Relationship Id="rId242" Type="http://schemas.openxmlformats.org/officeDocument/2006/relationships/hyperlink" Target="https://www.sec.gov/Archives/edgar/data/1571996/000119312519082281/d708174dex42.htm" TargetMode="External"/><Relationship Id="rId243" Type="http://schemas.openxmlformats.org/officeDocument/2006/relationships/hyperlink" Target="https://www.sec.gov/Archives/edgar/data/1571996/000119312519082281/d708174dex43.htm" TargetMode="External"/><Relationship Id="rId245" Type="http://schemas.openxmlformats.org/officeDocument/2006/relationships/hyperlink" Target="https://www.sec.gov/Archives/edgar/data/1571996/000119312519082281/d708174dex44.htm" TargetMode="External"/><Relationship Id="rId246" Type="http://schemas.openxmlformats.org/officeDocument/2006/relationships/hyperlink" Target="https://www.sec.gov/Archives/edgar/data/1571996/000119312520102602/d912603dex41.htm" TargetMode="External"/><Relationship Id="rId247" Type="http://schemas.openxmlformats.org/officeDocument/2006/relationships/hyperlink" Target="https://www.sec.gov/Archives/edgar/data/1571996/000119312520102602/d912603dex42.htm" TargetMode="External"/><Relationship Id="rId248" Type="http://schemas.openxmlformats.org/officeDocument/2006/relationships/hyperlink" Target="https://www.sec.gov/Archives/edgar/data/1571996/000119312520102602/d912603dex43.htm" TargetMode="External"/><Relationship Id="rId249" Type="http://schemas.openxmlformats.org/officeDocument/2006/relationships/hyperlink" Target="https://www.sec.gov/Archives/edgar/data/1571996/000119312520102602/d912603dex44.htm" TargetMode="External"/><Relationship Id="rId250" Type="http://schemas.openxmlformats.org/officeDocument/2006/relationships/hyperlink" Target="https://www.sec.gov/Archives/edgar/data/1571996/000119312521357927/d146295dex41.htm" TargetMode="External"/><Relationship Id="rId251" Type="http://schemas.openxmlformats.org/officeDocument/2006/relationships/hyperlink" Target="https://www.sec.gov/Archives/edgar/data/1571996/000119312521357927/d146295dex42.htm" TargetMode="External"/><Relationship Id="rId252" Type="http://schemas.openxmlformats.org/officeDocument/2006/relationships/hyperlink" Target="https://www.sec.gov/Archives/edgar/data/1571996/000119312521357927/d146295dex43.htm" TargetMode="External"/><Relationship Id="rId253" Type="http://schemas.openxmlformats.org/officeDocument/2006/relationships/hyperlink" Target="https://www.sec.gov/Archives/edgar/data/1571996/000119312521357927/d146295dex44.htm" TargetMode="External"/><Relationship Id="rId254" Type="http://schemas.openxmlformats.org/officeDocument/2006/relationships/hyperlink" Target="https://www.sec.gov/Archives/edgar/data/1571996/000119312518360943/d673794dex104.htm" TargetMode="External"/><Relationship Id="rId255" Type="http://schemas.openxmlformats.org/officeDocument/2006/relationships/hyperlink" Target="https://www.sec.gov/Archives/edgar/data/1571996/000157199620000017/exhibit440fy20.htm" TargetMode="External"/><Relationship Id="rId256" Type="http://schemas.openxmlformats.org/officeDocument/2006/relationships/hyperlink" Target="https://www.sec.gov/Archives/edgar/data/1571996/000157199620000034/exhibit49q1fy21.htm" TargetMode="External"/><Relationship Id="rId258" Type="http://schemas.openxmlformats.org/officeDocument/2006/relationships/hyperlink" Target="https://www.sec.gov/Archives/edgar/data/1571996/000157199620000051/exhibit41q3fy21.htm" TargetMode="External"/><Relationship Id="rId259" Type="http://schemas.openxmlformats.org/officeDocument/2006/relationships/hyperlink" Target="https://www.sec.gov/Archives/edgar/data/1571996/000157199623000007/exhibit436fy2310-k.htm" TargetMode="External"/><Relationship Id="rId260" Type="http://schemas.openxmlformats.org/officeDocument/2006/relationships/hyperlink" Target="https://www.sec.gov/Archives/edgar/data/1571996/000157199623000019/exhibit41q1fy24.htm" TargetMode="External"/><Relationship Id="rId261" Type="http://schemas.openxmlformats.org/officeDocument/2006/relationships/hyperlink" Target="https://www.sec.gov/Archives/edgar/data/1571996/000157199623000032/exhibit41q2fy24.htm" TargetMode="External"/><Relationship Id="rId262" Type="http://schemas.openxmlformats.org/officeDocument/2006/relationships/hyperlink" Target="https://www.sec.gov/Archives/edgar/data/1571996/000157199623000046/exhibit41q3fy24.htm" TargetMode="External"/><Relationship Id="rId263" Type="http://schemas.openxmlformats.org/officeDocument/2006/relationships/hyperlink" Target="https://www.sec.gov/Archives/edgar/data/1571996/000119312523014260/d453590dex41.htm" TargetMode="External"/><Relationship Id="rId264" Type="http://schemas.openxmlformats.org/officeDocument/2006/relationships/hyperlink" Target="https://www.sec.gov/Archives/edgar/data/1571996/000119312523014260/d453590dex42.htm" TargetMode="External"/><Relationship Id="rId265" Type="http://schemas.openxmlformats.org/officeDocument/2006/relationships/hyperlink" Target="https://www.sec.gov/Archives/edgar/data/1571996/000119312523014260/d453590dex43.htm" TargetMode="External"/><Relationship Id="rId266" Type="http://schemas.openxmlformats.org/officeDocument/2006/relationships/hyperlink" Target="https://www.sec.gov/Archives/edgar/data/1571996/000157199623000007/exhibit442fy2310-k.htm" TargetMode="External"/><Relationship Id="rId267" Type="http://schemas.openxmlformats.org/officeDocument/2006/relationships/hyperlink" Target="https://www.sec.gov/Archives/edgar/data/1571996/000157199617000045/exhibit104_110317.htm" TargetMode="External"/><Relationship Id="rId268" Type="http://schemas.openxmlformats.org/officeDocument/2006/relationships/hyperlink" Target="https://www.sec.gov/Archives/edgar/data/1571996/000157199620000034/exhibit101q1fy21.htm" TargetMode="External"/><Relationship Id="rId269" Type="http://schemas.openxmlformats.org/officeDocument/2006/relationships/hyperlink" Target="https://www.sec.gov/Archives/edgar/data/1571996/000119312516537298/d73946dex107.htm" TargetMode="External"/><Relationship Id="rId270" Type="http://schemas.openxmlformats.org/officeDocument/2006/relationships/hyperlink" Target="https://www.sec.gov/Archives/edgar/data/1571996/000157199617000004/exhibit1014_020317.htm" TargetMode="External"/><Relationship Id="rId272" Type="http://schemas.openxmlformats.org/officeDocument/2006/relationships/hyperlink" Target="https://www.sec.gov/Archives/edgar/data/1571996/000119312516537298/d73946dex1016.htm" TargetMode="External"/><Relationship Id="rId273" Type="http://schemas.openxmlformats.org/officeDocument/2006/relationships/hyperlink" Target="https://www.sec.gov/Archives/edgar/data/1571996/000157199617000004/exhibit1026_020317.htm" TargetMode="External"/><Relationship Id="rId274" Type="http://schemas.openxmlformats.org/officeDocument/2006/relationships/hyperlink" Target="https://www.sec.gov/Archives/edgar/data/1124610/000112461018000012/vmw-222018x10kex101.htm" TargetMode="External"/><Relationship Id="rId275" Type="http://schemas.openxmlformats.org/officeDocument/2006/relationships/hyperlink" Target="https://www.sec.gov/Archives/edgar/data/1571996/000157199622000044/exhibit101q3fy23.htm" TargetMode="External"/><Relationship Id="rId276" Type="http://schemas.openxmlformats.org/officeDocument/2006/relationships/hyperlink" Target="https://www.sec.gov/Archives/edgar/data/1571996/000157199617000004/exhibit1039_020317.htm" TargetMode="External"/><Relationship Id="rId277" Type="http://schemas.openxmlformats.org/officeDocument/2006/relationships/hyperlink" Target="https://www.sec.gov/Archives/edgar/data/1571996/000157199617000004/exhibit1040_020317.htm" TargetMode="External"/><Relationship Id="rId278" Type="http://schemas.openxmlformats.org/officeDocument/2006/relationships/hyperlink" Target="https://www.sec.gov/Archives/edgar/data/1571996/000157199617000004/exhibit1041_020317.htm" TargetMode="External"/><Relationship Id="rId279" Type="http://schemas.openxmlformats.org/officeDocument/2006/relationships/hyperlink" Target="https://www.sec.gov/Archives/edgar/data/1571996/000157199617000004/exhibit1042_020317.htm" TargetMode="External"/><Relationship Id="rId280" Type="http://schemas.openxmlformats.org/officeDocument/2006/relationships/hyperlink" Target="https://www.sec.gov/Archives/edgar/data/1571996/000157199618000004/exhibit1047_020218.htm" TargetMode="External"/><Relationship Id="rId281" Type="http://schemas.openxmlformats.org/officeDocument/2006/relationships/hyperlink" Target="https://www.sec.gov/Archives/edgar/data/1571996/000157199618000004/exhibit1051_020218.htm" TargetMode="External"/><Relationship Id="rId282" Type="http://schemas.openxmlformats.org/officeDocument/2006/relationships/hyperlink" Target="https://www.sec.gov/Archives/edgar/data/1571996/000119312518293366/d681091dex1010.htm" TargetMode="External"/><Relationship Id="rId283" Type="http://schemas.openxmlformats.org/officeDocument/2006/relationships/hyperlink" Target="https://www.sec.gov/Archives/edgar/data/1571996/000119312518293366/d681091dex1011.htm" TargetMode="External"/><Relationship Id="rId284" Type="http://schemas.openxmlformats.org/officeDocument/2006/relationships/hyperlink" Target="https://www.sec.gov/Archives/edgar/data/1571996/000119312518293366/d681091dex1012.htm" TargetMode="External"/><Relationship Id="rId285" Type="http://schemas.openxmlformats.org/officeDocument/2006/relationships/hyperlink" Target="https://www.sec.gov/Archives/edgar/data/1571996/000119312518293366/d681091dex1013.htm" TargetMode="External"/><Relationship Id="rId286" Type="http://schemas.openxmlformats.org/officeDocument/2006/relationships/hyperlink" Target="https://www.sec.gov/Archives/edgar/data/1571996/000119312518293366/d681091dex1014.htm" TargetMode="External"/><Relationship Id="rId287" Type="http://schemas.openxmlformats.org/officeDocument/2006/relationships/hyperlink" Target="https://www.sec.gov/Archives/edgar/data/1571996/000119312518293366/d681091dex1015.htm" TargetMode="External"/><Relationship Id="rId288" Type="http://schemas.openxmlformats.org/officeDocument/2006/relationships/hyperlink" Target="https://www.sec.gov/Archives/edgar/data/1571996/000119312518293366/d681091dex1016.htm" TargetMode="External"/><Relationship Id="rId290" Type="http://schemas.openxmlformats.org/officeDocument/2006/relationships/hyperlink" Target="https://www.sec.gov/Archives/edgar/data/1571996/000119312518293366/d681091dex1017.htm" TargetMode="External"/><Relationship Id="rId291" Type="http://schemas.openxmlformats.org/officeDocument/2006/relationships/hyperlink" Target="https://www.sec.gov/Archives/edgar/data/1571996/000119312518293366/d681091dex1018.htm" TargetMode="External"/><Relationship Id="rId292" Type="http://schemas.openxmlformats.org/officeDocument/2006/relationships/hyperlink" Target="https://www.sec.gov/Archives/edgar/data/1571996/000119312518293366/d681091dex1019.htm" TargetMode="External"/><Relationship Id="rId293" Type="http://schemas.openxmlformats.org/officeDocument/2006/relationships/hyperlink" Target="https://www.sec.gov/Archives/edgar/data/1571996/000119312518293366/d681091dex1020.htm" TargetMode="External"/><Relationship Id="rId294" Type="http://schemas.openxmlformats.org/officeDocument/2006/relationships/hyperlink" Target="https://www.sec.gov/Archives/edgar/data/1571996/000119312518293366/d681091dex1021.htm" TargetMode="External"/><Relationship Id="rId295" Type="http://schemas.openxmlformats.org/officeDocument/2006/relationships/hyperlink" Target="https://www.sec.gov/Archives/edgar/data/1571996/000157199619000032/a2013stockincentiveplanjul.htm" TargetMode="External"/><Relationship Id="rId296" Type="http://schemas.openxmlformats.org/officeDocument/2006/relationships/hyperlink" Target="https://www.sec.gov/Archives/edgar/data/1571996/000157199623000032/exhibit103q2fy24.htm" TargetMode="External"/><Relationship Id="rId297" Type="http://schemas.openxmlformats.org/officeDocument/2006/relationships/hyperlink" Target="https://www.sec.gov/Archives/edgar/data/1571996/000119312518210339/d880259dex102.htm" TargetMode="External"/><Relationship Id="rId298" Type="http://schemas.openxmlformats.org/officeDocument/2006/relationships/hyperlink" Target="https://www.sec.gov/Archives/edgar/data/1571996/000119312518328110/d655711dex106.htm" TargetMode="External"/><Relationship Id="rId299" Type="http://schemas.openxmlformats.org/officeDocument/2006/relationships/hyperlink" Target="https://www.sec.gov/Archives/edgar/data/1571996/000119312518360943/d673794dex101.htm" TargetMode="External"/><Relationship Id="rId300" Type="http://schemas.openxmlformats.org/officeDocument/2006/relationships/hyperlink" Target="https://www.sec.gov/Archives/edgar/data/1571996/000119312518360943/d673794dex102.htm" TargetMode="External"/><Relationship Id="rId301" Type="http://schemas.openxmlformats.org/officeDocument/2006/relationships/hyperlink" Target="https://www.sec.gov/Archives/edgar/data/1571996/000119312518360943/d673794dex105.htm" TargetMode="External"/><Relationship Id="rId302" Type="http://schemas.openxmlformats.org/officeDocument/2006/relationships/hyperlink" Target="https://www.sec.gov/Archives/edgar/data/1571996/000119312518360943/d673794dex106.htm" TargetMode="External"/><Relationship Id="rId303" Type="http://schemas.openxmlformats.org/officeDocument/2006/relationships/hyperlink" Target="https://www.sec.gov/Archives/edgar/data/1571996/000119312518360943/d673794dex107.htm" TargetMode="External"/><Relationship Id="rId305" Type="http://schemas.openxmlformats.org/officeDocument/2006/relationships/hyperlink" Target="https://www.sec.gov/Archives/edgar/data/1571996/000157199619000005/exhibit101formofrsu.htm" TargetMode="External"/><Relationship Id="rId306" Type="http://schemas.openxmlformats.org/officeDocument/2006/relationships/hyperlink" Target="https://www.sec.gov/Archives/edgar/data/1571996/000157199619000005/exhibit102formofprsu.htm" TargetMode="External"/><Relationship Id="rId307" Type="http://schemas.openxmlformats.org/officeDocument/2006/relationships/hyperlink" Target="https://www.sec.gov/Archives/edgar/data/1571996/000119312521315488/d146470dex101.htm" TargetMode="External"/><Relationship Id="rId308" Type="http://schemas.openxmlformats.org/officeDocument/2006/relationships/hyperlink" Target="https://www.sec.gov/Archives/edgar/data/1571996/000157199623000007/exhibit1045fy2310-k.htm" TargetMode="External"/><Relationship Id="rId309" Type="http://schemas.openxmlformats.org/officeDocument/2006/relationships/hyperlink" Target="https://www.sec.gov/Archives/edgar/data/1571996/000119312521315488/d146470dex102.htm" TargetMode="External"/><Relationship Id="rId310" Type="http://schemas.openxmlformats.org/officeDocument/2006/relationships/hyperlink" Target="https://www.sec.gov/Archives/edgar/data/1571996/000157199623000007/exhibit1047fy2310-k.htm" TargetMode="External"/><Relationship Id="rId311" Type="http://schemas.openxmlformats.org/officeDocument/2006/relationships/hyperlink" Target="https://www.sec.gov/Archives/edgar/data/1571996/000157199623000007/exhibit1048fy2310-k.htm" TargetMode="External"/><Relationship Id="rId312" Type="http://schemas.openxmlformats.org/officeDocument/2006/relationships/hyperlink" Target="https://www.sec.gov/Archives/edgar/data/1571996/000157199623000021/exhibit1012023stockincenti.htm" TargetMode="External"/><Relationship Id="rId313" Type="http://schemas.openxmlformats.org/officeDocument/2006/relationships/hyperlink" Target="https://www.sec.gov/Archives/edgar/data/1571996/000157199623000032/exhibit106q2fy24.htm" TargetMode="External"/><Relationship Id="rId314" Type="http://schemas.openxmlformats.org/officeDocument/2006/relationships/hyperlink" Target="https://www.sec.gov/Archives/edgar/data/1571996/000157199623000032/exhibit102q2fy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2024-03-25T16:02:43Z</dcterms:created>
  <dcterms:modified xsi:type="dcterms:W3CDTF">2024-03-25T16:02:43Z</dcterms:modified>
</cp:coreProperties>
</file>