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29" w:lineRule="exact"/>
        <w:rPr>
          <w:sz w:val="24"/>
          <w:szCs w:val="24"/>
          <w:color w:val="auto"/>
        </w:rPr>
      </w:pPr>
    </w:p>
    <w:p>
      <w:pPr>
        <w:sectPr>
          <w:pgSz w:w="11900" w:h="16838" w:orient="portrait"/>
          <w:cols w:equalWidth="0" w:num="2">
            <w:col w:w="2320" w:space="360"/>
            <w:col w:w="8300"/>
          </w:cols>
          <w:pgMar w:left="460" w:top="214" w:right="459" w:bottom="901"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gridSpan w:val="5"/>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Silver Lake Partners V DE (AIV), L.P.</w:t>
              </w:r>
            </w:hyperlink>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12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1740" w:type="dxa"/>
            <w:vAlign w:val="bottom"/>
            <w:gridSpan w:val="3"/>
            <w:vMerge w:val="restart"/>
          </w:tcPr>
          <w:p>
            <w:pPr>
              <w:ind w:left="6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1740" w:type="dxa"/>
            <w:vAlign w:val="bottom"/>
            <w:gridSpan w:val="3"/>
            <w:vMerge w:val="restart"/>
          </w:tcPr>
          <w:p>
            <w:pPr>
              <w:ind w:left="6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7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tcPr>
          <w:p>
            <w:pPr>
              <w:ind w:left="100"/>
              <w:spacing w:after="0"/>
              <w:rPr>
                <w:sz w:val="20"/>
                <w:szCs w:val="20"/>
                <w:color w:val="auto"/>
              </w:rPr>
            </w:pPr>
            <w:r>
              <w:rPr>
                <w:rFonts w:ascii="Arial" w:cs="Arial" w:eastAsia="Arial" w:hAnsi="Arial"/>
                <w:sz w:val="12"/>
                <w:szCs w:val="12"/>
                <w:color w:val="auto"/>
              </w:rPr>
              <w:t>(First)</w:t>
            </w:r>
          </w:p>
        </w:tc>
        <w:tc>
          <w:tcPr>
            <w:tcW w:w="560" w:type="dxa"/>
            <w:vAlign w:val="bottom"/>
          </w:tcPr>
          <w:p>
            <w:pPr>
              <w:ind w:left="4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5"/>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Arial" w:cs="Arial" w:eastAsia="Arial" w:hAnsi="Arial"/>
                <w:sz w:val="12"/>
                <w:szCs w:val="12"/>
                <w:color w:val="auto"/>
              </w:rPr>
              <w:t>below)</w:t>
            </w:r>
          </w:p>
        </w:tc>
        <w:tc>
          <w:tcPr>
            <w:tcW w:w="980" w:type="dxa"/>
            <w:vAlign w:val="bottom"/>
          </w:tcPr>
          <w:p>
            <w:pPr>
              <w:ind w:left="600"/>
              <w:spacing w:after="0"/>
              <w:rPr>
                <w:sz w:val="20"/>
                <w:szCs w:val="20"/>
                <w:color w:val="auto"/>
              </w:rPr>
            </w:pPr>
            <w:r>
              <w:rPr>
                <w:rFonts w:ascii="Arial" w:cs="Arial" w:eastAsia="Arial" w:hAnsi="Arial"/>
                <w:sz w:val="12"/>
                <w:szCs w:val="12"/>
                <w:color w:val="auto"/>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0000FF"/>
              </w:rPr>
              <w:t>06/09/2026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60" w:type="dxa"/>
            <w:vAlign w:val="bottom"/>
            <w:gridSpan w:val="6"/>
          </w:tcPr>
          <w:p>
            <w:pPr>
              <w:spacing w:after="0"/>
              <w:rPr>
                <w:sz w:val="20"/>
                <w:szCs w:val="20"/>
                <w:color w:val="auto"/>
              </w:rPr>
            </w:pPr>
            <w:r>
              <w:rPr>
                <w:rFonts w:ascii="Arial" w:cs="Arial" w:eastAsia="Arial" w:hAnsi="Arial"/>
                <w:sz w:val="12"/>
                <w:szCs w:val="12"/>
                <w:color w:val="auto"/>
              </w:rPr>
              <w:t>4. If Amendment, Date of Original Filed (Month/Day/Year)</w:t>
            </w:r>
          </w:p>
        </w:tc>
        <w:tc>
          <w:tcPr>
            <w:tcW w:w="420" w:type="dxa"/>
            <w:vAlign w:val="bottom"/>
          </w:tcPr>
          <w:p>
            <w:pPr>
              <w:spacing w:after="0"/>
              <w:rPr>
                <w:sz w:val="13"/>
                <w:szCs w:val="13"/>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color w:val="auto"/>
              </w:rPr>
              <w:t>Line)</w:t>
            </w:r>
          </w:p>
        </w:tc>
        <w:tc>
          <w:tcPr>
            <w:tcW w:w="28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94025</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100"/>
              <w:spacing w:after="0"/>
              <w:rPr>
                <w:sz w:val="20"/>
                <w:szCs w:val="20"/>
                <w:color w:val="auto"/>
              </w:rPr>
            </w:pPr>
            <w:r>
              <w:rPr>
                <w:rFonts w:ascii="Arial" w:cs="Arial" w:eastAsia="Arial" w:hAnsi="Arial"/>
                <w:sz w:val="12"/>
                <w:szCs w:val="12"/>
                <w:color w:val="auto"/>
              </w:rPr>
              <w:t>(State)</w:t>
            </w:r>
          </w:p>
        </w:tc>
        <w:tc>
          <w:tcPr>
            <w:tcW w:w="560" w:type="dxa"/>
            <w:vAlign w:val="bottom"/>
          </w:tcPr>
          <w:p>
            <w:pPr>
              <w:ind w:left="4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56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000" w:type="dxa"/>
            <w:vAlign w:val="bottom"/>
            <w:tcBorders>
              <w:top w:val="single" w:sz="8" w:color="2C2C2C"/>
            </w:tcBorders>
            <w:gridSpan w:val="16"/>
          </w:tcPr>
          <w:p>
            <w:pPr>
              <w:ind w:left="1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60" w:type="dxa"/>
            <w:vAlign w:val="bottom"/>
          </w:tcPr>
          <w:p>
            <w:pPr>
              <w:spacing w:after="0"/>
              <w:rPr>
                <w:sz w:val="14"/>
                <w:szCs w:val="14"/>
                <w:color w:val="auto"/>
              </w:rPr>
            </w:pPr>
          </w:p>
        </w:tc>
        <w:tc>
          <w:tcPr>
            <w:tcW w:w="1080" w:type="dxa"/>
            <w:vAlign w:val="bottom"/>
            <w:gridSpan w:val="6"/>
          </w:tcPr>
          <w:p>
            <w:pPr>
              <w:ind w:left="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6"/>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 Direct</w:t>
            </w: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6"/>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or Indirect</w:t>
            </w: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80" w:type="dxa"/>
            <w:vAlign w:val="bottom"/>
          </w:tcPr>
          <w:p>
            <w:pPr>
              <w:spacing w:after="0"/>
              <w:rPr>
                <w:sz w:val="5"/>
                <w:szCs w:val="5"/>
                <w:color w:val="auto"/>
              </w:rPr>
            </w:pPr>
          </w:p>
        </w:tc>
        <w:tc>
          <w:tcPr>
            <w:tcW w:w="76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vMerge w:val="restart"/>
          </w:tcPr>
          <w:p>
            <w:pPr>
              <w:jc w:val="center"/>
              <w:ind w:right="68"/>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18,557</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84,844</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vMerge w:val="restart"/>
          </w:tcPr>
          <w:p>
            <w:pPr>
              <w:jc w:val="center"/>
              <w:ind w:right="68"/>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1,010</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380.49</w:t>
            </w:r>
            <w:r>
              <w:rPr>
                <w:rFonts w:ascii="Times New Roman" w:cs="Times New Roman" w:eastAsia="Times New Roman" w:hAnsi="Times New Roman"/>
                <w:sz w:val="20"/>
                <w:szCs w:val="20"/>
                <w:color w:val="008000"/>
                <w:w w:val="93"/>
                <w:vertAlign w:val="superscript"/>
              </w:rPr>
              <w:t>(10)</w:t>
            </w: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83,834</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vMerge w:val="restart"/>
          </w:tcPr>
          <w:p>
            <w:pPr>
              <w:jc w:val="center"/>
              <w:ind w:right="68"/>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2,278</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381.74</w:t>
            </w:r>
            <w:r>
              <w:rPr>
                <w:rFonts w:ascii="Times New Roman" w:cs="Times New Roman" w:eastAsia="Times New Roman" w:hAnsi="Times New Roman"/>
                <w:sz w:val="20"/>
                <w:szCs w:val="20"/>
                <w:color w:val="008000"/>
                <w:w w:val="93"/>
                <w:vertAlign w:val="superscript"/>
              </w:rPr>
              <w:t>(11)</w:t>
            </w: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81,556</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vMerge w:val="restart"/>
          </w:tcPr>
          <w:p>
            <w:pPr>
              <w:jc w:val="center"/>
              <w:ind w:right="68"/>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190</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382.63</w:t>
            </w:r>
            <w:r>
              <w:rPr>
                <w:rFonts w:ascii="Times New Roman" w:cs="Times New Roman" w:eastAsia="Times New Roman" w:hAnsi="Times New Roman"/>
                <w:sz w:val="20"/>
                <w:szCs w:val="20"/>
                <w:color w:val="008000"/>
                <w:w w:val="93"/>
                <w:vertAlign w:val="superscript"/>
              </w:rPr>
              <w:t>(12)</w:t>
            </w: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81,366</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4"/>
          </w:tcPr>
          <w:p>
            <w:pPr>
              <w:jc w:val="center"/>
              <w:ind w:right="68"/>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6"/>
                <w:szCs w:val="16"/>
                <w:color w:val="0000FF"/>
                <w:w w:val="99"/>
              </w:rPr>
              <w:t>86</w:t>
            </w:r>
          </w:p>
        </w:tc>
        <w:tc>
          <w:tcPr>
            <w:tcW w:w="5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tcPr>
          <w:p>
            <w:pPr>
              <w:jc w:val="center"/>
              <w:spacing w:after="0" w:line="218" w:lineRule="exact"/>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383.02</w:t>
            </w:r>
            <w:r>
              <w:rPr>
                <w:rFonts w:ascii="Times New Roman" w:cs="Times New Roman" w:eastAsia="Times New Roman" w:hAnsi="Times New Roman"/>
                <w:sz w:val="20"/>
                <w:szCs w:val="20"/>
                <w:color w:val="008000"/>
                <w:w w:val="93"/>
                <w:vertAlign w:val="superscript"/>
              </w:rPr>
              <w:t>(13)</w:t>
            </w: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81,280</w:t>
            </w:r>
          </w:p>
        </w:tc>
        <w:tc>
          <w:tcPr>
            <w:tcW w:w="9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bl>
    <w:p>
      <w:pPr>
        <w:ind w:left="10240"/>
        <w:spacing w:after="0"/>
        <w:rPr>
          <w:sz w:val="20"/>
          <w:szCs w:val="20"/>
          <w:color w:val="auto"/>
        </w:rPr>
      </w:pPr>
      <w:r>
        <w:rPr>
          <w:rFonts w:ascii="Times New Roman" w:cs="Times New Roman" w:eastAsia="Times New Roman" w:hAnsi="Times New Roman"/>
          <w:sz w:val="16"/>
          <w:szCs w:val="16"/>
          <w:color w:val="0000FF"/>
        </w:rPr>
        <w:t>Partners</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V DE</w:t>
      </w:r>
    </w:p>
    <w:p>
      <w:pPr>
        <w:spacing w:after="0" w:line="1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(AIV),</w:t>
      </w:r>
    </w:p>
    <w:p>
      <w:pPr>
        <w:ind w:left="10240"/>
        <w:spacing w:after="0" w:line="187" w:lineRule="auto"/>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80"/>
          </w:cols>
          <w:pgMar w:left="460" w:top="214" w:right="459" w:bottom="90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ind w:left="74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jc w:val="center"/>
              <w:ind w:left="586"/>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4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4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35</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384.15</w:t>
            </w:r>
            <w:r>
              <w:rPr>
                <w:rFonts w:ascii="Times New Roman" w:cs="Times New Roman" w:eastAsia="Times New Roman" w:hAnsi="Times New Roman"/>
                <w:sz w:val="20"/>
                <w:szCs w:val="20"/>
                <w:color w:val="008000"/>
                <w:w w:val="98"/>
                <w:vertAlign w:val="superscript"/>
              </w:rPr>
              <w:t>(14)</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81,245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242</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386.25</w:t>
            </w:r>
            <w:r>
              <w:rPr>
                <w:rFonts w:ascii="Times New Roman" w:cs="Times New Roman" w:eastAsia="Times New Roman" w:hAnsi="Times New Roman"/>
                <w:sz w:val="20"/>
                <w:szCs w:val="20"/>
                <w:color w:val="008000"/>
                <w:w w:val="98"/>
                <w:vertAlign w:val="superscript"/>
              </w:rPr>
              <w:t>(15)</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81,004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173</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387.41</w:t>
            </w:r>
            <w:r>
              <w:rPr>
                <w:rFonts w:ascii="Times New Roman" w:cs="Times New Roman" w:eastAsia="Times New Roman" w:hAnsi="Times New Roman"/>
                <w:sz w:val="20"/>
                <w:szCs w:val="20"/>
                <w:color w:val="008000"/>
                <w:w w:val="98"/>
                <w:vertAlign w:val="superscript"/>
              </w:rPr>
              <w:t>(16)</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80,831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242</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388.67</w:t>
            </w:r>
            <w:r>
              <w:rPr>
                <w:rFonts w:ascii="Times New Roman" w:cs="Times New Roman" w:eastAsia="Times New Roman" w:hAnsi="Times New Roman"/>
                <w:sz w:val="20"/>
                <w:szCs w:val="20"/>
                <w:color w:val="008000"/>
                <w:w w:val="98"/>
                <w:vertAlign w:val="superscript"/>
              </w:rPr>
              <w:t>(17)</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80,590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1,672</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390.54</w:t>
            </w:r>
            <w:r>
              <w:rPr>
                <w:rFonts w:ascii="Times New Roman" w:cs="Times New Roman" w:eastAsia="Times New Roman" w:hAnsi="Times New Roman"/>
                <w:sz w:val="20"/>
                <w:szCs w:val="20"/>
                <w:color w:val="008000"/>
                <w:w w:val="98"/>
                <w:vertAlign w:val="superscript"/>
              </w:rPr>
              <w:t>(18)</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78,918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1,093</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391.43</w:t>
            </w:r>
            <w:r>
              <w:rPr>
                <w:rFonts w:ascii="Times New Roman" w:cs="Times New Roman" w:eastAsia="Times New Roman" w:hAnsi="Times New Roman"/>
                <w:sz w:val="20"/>
                <w:szCs w:val="20"/>
                <w:color w:val="008000"/>
                <w:w w:val="98"/>
                <w:vertAlign w:val="superscript"/>
              </w:rPr>
              <w:t>(19)</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77,825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18</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392.04</w:t>
            </w:r>
            <w:r>
              <w:rPr>
                <w:rFonts w:ascii="Times New Roman" w:cs="Times New Roman" w:eastAsia="Times New Roman" w:hAnsi="Times New Roman"/>
                <w:sz w:val="20"/>
                <w:szCs w:val="20"/>
                <w:color w:val="008000"/>
                <w:w w:val="98"/>
                <w:vertAlign w:val="superscript"/>
              </w:rPr>
              <w:t>(20)</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77,807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11"/>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8"/>
                <w:szCs w:val="18"/>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147</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395.11</w:t>
            </w:r>
            <w:r>
              <w:rPr>
                <w:rFonts w:ascii="Times New Roman" w:cs="Times New Roman" w:eastAsia="Times New Roman" w:hAnsi="Times New Roman"/>
                <w:sz w:val="20"/>
                <w:szCs w:val="20"/>
                <w:color w:val="008000"/>
                <w:w w:val="98"/>
                <w:vertAlign w:val="superscript"/>
              </w:rPr>
              <w:t>(21)</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77,661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89" w:right="479" w:bottom="1113" w:gutter="0" w:footer="0" w:header="0"/>
        </w:sectPr>
      </w:pPr>
    </w:p>
    <w:p>
      <w:pPr>
        <w:ind w:left="10220"/>
        <w:spacing w:after="0" w:line="200" w:lineRule="auto"/>
        <w:rPr>
          <w:sz w:val="20"/>
          <w:szCs w:val="20"/>
          <w:color w:val="auto"/>
        </w:rPr>
      </w:pPr>
      <w:r>
        <w:rPr>
          <w:rFonts w:ascii="Times New Roman" w:cs="Times New Roman" w:eastAsia="Times New Roman" w:hAnsi="Times New Roman"/>
          <w:sz w:val="3"/>
          <w:szCs w:val="3"/>
          <w:color w:val="0000FF"/>
        </w:rPr>
        <w:t>Partners</w:t>
      </w:r>
    </w:p>
    <w:p>
      <w:pPr>
        <w:sectPr>
          <w:pgSz w:w="11900" w:h="16838" w:orient="portrait"/>
          <w:cols w:equalWidth="0" w:num="1">
            <w:col w:w="10940"/>
          </w:cols>
          <w:pgMar w:left="480" w:top="189" w:right="479" w:bottom="1113" w:gutter="0" w:footer="0" w:header="0"/>
          <w:type w:val="continuous"/>
        </w:sectPr>
      </w:pPr>
    </w:p>
    <w:p>
      <w:pPr>
        <w:ind w:left="10220"/>
        <w:spacing w:after="0"/>
        <w:rPr>
          <w:sz w:val="20"/>
          <w:szCs w:val="20"/>
          <w:color w:val="auto"/>
        </w:rPr>
      </w:pPr>
      <w:r>
        <w:rPr>
          <w:rFonts w:ascii="Times New Roman" w:cs="Times New Roman" w:eastAsia="Times New Roman" w:hAnsi="Times New Roman"/>
          <w:sz w:val="16"/>
          <w:szCs w:val="16"/>
          <w:color w:val="0000FF"/>
        </w:rPr>
        <w:t>V DE</w:t>
      </w:r>
    </w:p>
    <w:p>
      <w:pPr>
        <w:spacing w:after="0" w:line="16"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6"/>
          <w:szCs w:val="16"/>
          <w:color w:val="0000FF"/>
        </w:rPr>
        <w:t>(AIV),</w:t>
      </w:r>
    </w:p>
    <w:p>
      <w:pPr>
        <w:ind w:left="10220"/>
        <w:spacing w:after="0" w:line="187" w:lineRule="auto"/>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40"/>
          </w:cols>
          <w:pgMar w:left="480" w:top="189" w:right="479" w:bottom="1113"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ind w:left="74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jc w:val="center"/>
              <w:ind w:left="586"/>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4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4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579</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396.18</w:t>
            </w:r>
            <w:r>
              <w:rPr>
                <w:rFonts w:ascii="Times New Roman" w:cs="Times New Roman" w:eastAsia="Times New Roman" w:hAnsi="Times New Roman"/>
                <w:sz w:val="20"/>
                <w:szCs w:val="20"/>
                <w:color w:val="008000"/>
                <w:w w:val="98"/>
                <w:vertAlign w:val="superscript"/>
              </w:rPr>
              <w:t>(22)</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77,082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1,039</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396.99</w:t>
            </w:r>
            <w:r>
              <w:rPr>
                <w:rFonts w:ascii="Times New Roman" w:cs="Times New Roman" w:eastAsia="Times New Roman" w:hAnsi="Times New Roman"/>
                <w:sz w:val="20"/>
                <w:szCs w:val="20"/>
                <w:color w:val="008000"/>
                <w:w w:val="98"/>
                <w:vertAlign w:val="superscript"/>
              </w:rPr>
              <w:t>(23)</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76,043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827</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398.17</w:t>
            </w:r>
            <w:r>
              <w:rPr>
                <w:rFonts w:ascii="Times New Roman" w:cs="Times New Roman" w:eastAsia="Times New Roman" w:hAnsi="Times New Roman"/>
                <w:sz w:val="20"/>
                <w:szCs w:val="20"/>
                <w:color w:val="008000"/>
                <w:w w:val="98"/>
                <w:vertAlign w:val="superscript"/>
              </w:rPr>
              <w:t>(24)</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75,216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330</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399.01</w:t>
            </w:r>
            <w:r>
              <w:rPr>
                <w:rFonts w:ascii="Times New Roman" w:cs="Times New Roman" w:eastAsia="Times New Roman" w:hAnsi="Times New Roman"/>
                <w:sz w:val="20"/>
                <w:szCs w:val="20"/>
                <w:color w:val="008000"/>
                <w:w w:val="98"/>
                <w:vertAlign w:val="superscript"/>
              </w:rPr>
              <w:t>(25)</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74,886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540</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400.07</w:t>
            </w:r>
            <w:r>
              <w:rPr>
                <w:rFonts w:ascii="Times New Roman" w:cs="Times New Roman" w:eastAsia="Times New Roman" w:hAnsi="Times New Roman"/>
                <w:sz w:val="20"/>
                <w:szCs w:val="20"/>
                <w:color w:val="008000"/>
                <w:w w:val="98"/>
                <w:vertAlign w:val="superscript"/>
              </w:rPr>
              <w:t>(26)</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74,347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226</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401.09</w:t>
            </w:r>
            <w:r>
              <w:rPr>
                <w:rFonts w:ascii="Times New Roman" w:cs="Times New Roman" w:eastAsia="Times New Roman" w:hAnsi="Times New Roman"/>
                <w:sz w:val="20"/>
                <w:szCs w:val="20"/>
                <w:color w:val="008000"/>
                <w:w w:val="98"/>
                <w:vertAlign w:val="superscript"/>
              </w:rPr>
              <w:t>(27)</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74,121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11"/>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6"/>
              <w:spacing w:after="0"/>
              <w:rPr>
                <w:sz w:val="20"/>
                <w:szCs w:val="20"/>
                <w:color w:val="auto"/>
              </w:rPr>
            </w:pPr>
            <w:r>
              <w:rPr>
                <w:rFonts w:ascii="Times New Roman" w:cs="Times New Roman" w:eastAsia="Times New Roman" w:hAnsi="Times New Roman"/>
                <w:sz w:val="16"/>
                <w:szCs w:val="16"/>
                <w:color w:val="0000FF"/>
              </w:rPr>
              <w:t>06/09/2026</w:t>
            </w:r>
          </w:p>
        </w:tc>
        <w:tc>
          <w:tcPr>
            <w:tcW w:w="1040" w:type="dxa"/>
            <w:vAlign w:val="bottom"/>
          </w:tcPr>
          <w:p>
            <w:pPr>
              <w:spacing w:after="0"/>
              <w:rPr>
                <w:sz w:val="18"/>
                <w:szCs w:val="18"/>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46"/>
              <w:spacing w:after="0"/>
              <w:rPr>
                <w:sz w:val="20"/>
                <w:szCs w:val="20"/>
                <w:color w:val="auto"/>
              </w:rPr>
            </w:pPr>
            <w:r>
              <w:rPr>
                <w:rFonts w:ascii="Times New Roman" w:cs="Times New Roman" w:eastAsia="Times New Roman" w:hAnsi="Times New Roman"/>
                <w:sz w:val="16"/>
                <w:szCs w:val="16"/>
                <w:color w:val="0000FF"/>
                <w:w w:val="99"/>
              </w:rPr>
              <w:t>328</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402.24</w:t>
            </w:r>
            <w:r>
              <w:rPr>
                <w:rFonts w:ascii="Times New Roman" w:cs="Times New Roman" w:eastAsia="Times New Roman" w:hAnsi="Times New Roman"/>
                <w:sz w:val="20"/>
                <w:szCs w:val="20"/>
                <w:color w:val="008000"/>
                <w:w w:val="98"/>
                <w:vertAlign w:val="superscript"/>
              </w:rPr>
              <w:t>(28)</w:t>
            </w: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color w:val="0000FF"/>
              </w:rPr>
              <w:t>73,792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89" w:right="479" w:bottom="75" w:gutter="0" w:footer="0" w:header="0"/>
        </w:sectPr>
      </w:pPr>
    </w:p>
    <w:p>
      <w:pPr>
        <w:ind w:left="10220"/>
        <w:spacing w:after="0" w:line="200" w:lineRule="auto"/>
        <w:rPr>
          <w:sz w:val="20"/>
          <w:szCs w:val="20"/>
          <w:color w:val="auto"/>
        </w:rPr>
      </w:pPr>
      <w:r>
        <w:rPr>
          <w:rFonts w:ascii="Times New Roman" w:cs="Times New Roman" w:eastAsia="Times New Roman" w:hAnsi="Times New Roman"/>
          <w:sz w:val="3"/>
          <w:szCs w:val="3"/>
          <w:color w:val="0000FF"/>
        </w:rPr>
        <w:t>Partners</w:t>
      </w:r>
    </w:p>
    <w:p>
      <w:pPr>
        <w:sectPr>
          <w:pgSz w:w="11900" w:h="16838" w:orient="portrait"/>
          <w:cols w:equalWidth="0" w:num="1">
            <w:col w:w="10940"/>
          </w:cols>
          <w:pgMar w:left="480" w:top="189" w:right="479" w:bottom="75" w:gutter="0" w:footer="0" w:header="0"/>
          <w:type w:val="continuous"/>
        </w:sectPr>
      </w:pPr>
    </w:p>
    <w:p>
      <w:pPr>
        <w:ind w:left="10220"/>
        <w:spacing w:after="0"/>
        <w:rPr>
          <w:sz w:val="20"/>
          <w:szCs w:val="20"/>
          <w:color w:val="auto"/>
        </w:rPr>
      </w:pPr>
      <w:r>
        <w:rPr>
          <w:rFonts w:ascii="Times New Roman" w:cs="Times New Roman" w:eastAsia="Times New Roman" w:hAnsi="Times New Roman"/>
          <w:sz w:val="16"/>
          <w:szCs w:val="16"/>
          <w:color w:val="0000FF"/>
        </w:rPr>
        <w:t>V DE</w:t>
      </w:r>
    </w:p>
    <w:p>
      <w:pPr>
        <w:spacing w:after="0" w:line="16"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6"/>
          <w:szCs w:val="16"/>
          <w:color w:val="0000FF"/>
        </w:rPr>
        <w:t>(AIV),</w:t>
      </w:r>
    </w:p>
    <w:p>
      <w:pPr>
        <w:ind w:left="10220"/>
        <w:spacing w:after="0" w:line="187" w:lineRule="auto"/>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9"/>
          <w:szCs w:val="9"/>
          <w:color w:val="008000"/>
        </w:rPr>
        <w:t>(3)(4)</w:t>
      </w:r>
    </w:p>
    <w:p>
      <w:pPr>
        <w:spacing w:after="0" w:line="114"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6"/>
          <w:szCs w:val="16"/>
          <w:color w:val="0000FF"/>
        </w:rPr>
        <w:t>Held</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6"/>
          <w:szCs w:val="16"/>
          <w:color w:val="0000FF"/>
        </w:rPr>
        <w:t>through</w:t>
      </w:r>
    </w:p>
    <w:p>
      <w:pPr>
        <w:spacing w:after="0" w:line="16" w:lineRule="exact"/>
        <w:rPr>
          <w:sz w:val="20"/>
          <w:szCs w:val="20"/>
          <w:color w:val="auto"/>
        </w:rPr>
      </w:pPr>
    </w:p>
    <w:p>
      <w:pPr>
        <w:ind w:left="8480" w:right="340" w:hanging="10156"/>
        <w:spacing w:after="0"/>
        <w:tabs>
          <w:tab w:leader="none" w:pos="8460" w:val="left"/>
        </w:tabs>
        <w:rPr>
          <w:sz w:val="20"/>
          <w:szCs w:val="20"/>
          <w:color w:val="auto"/>
        </w:rPr>
      </w:pPr>
      <w:r>
        <w:rPr>
          <w:rFonts w:ascii="Times New Roman" w:cs="Times New Roman" w:eastAsia="Times New Roman" w:hAnsi="Times New Roman"/>
          <w:sz w:val="16"/>
          <w:szCs w:val="16"/>
          <w:color w:val="0000FF"/>
        </w:rPr>
        <w:t>Class C Common Stock</w:t>
      </w:r>
      <w:r>
        <w:rPr>
          <w:sz w:val="20"/>
          <w:szCs w:val="20"/>
          <w:color w:val="auto"/>
        </w:rPr>
        <w:tab/>
      </w:r>
      <w:r>
        <w:rPr>
          <w:rFonts w:ascii="Times New Roman" w:cs="Times New Roman" w:eastAsia="Times New Roman" w:hAnsi="Times New Roman"/>
          <w:sz w:val="16"/>
          <w:szCs w:val="16"/>
          <w:color w:val="0000FF"/>
        </w:rPr>
        <w:t xml:space="preserve">9,359 I </w:t>
      </w:r>
      <w:r>
        <w:rPr>
          <w:rFonts w:ascii="Times New Roman" w:cs="Times New Roman" w:eastAsia="Times New Roman" w:hAnsi="Times New Roman"/>
          <w:sz w:val="32"/>
          <w:szCs w:val="32"/>
          <w:color w:val="0000FF"/>
          <w:vertAlign w:val="superscript"/>
        </w:rPr>
        <w:t>Silver</w:t>
      </w:r>
      <w:r>
        <w:rPr>
          <w:rFonts w:ascii="Times New Roman" w:cs="Times New Roman" w:eastAsia="Times New Roman" w:hAnsi="Times New Roman"/>
          <w:sz w:val="16"/>
          <w:szCs w:val="16"/>
          <w:color w:val="0000FF"/>
        </w:rPr>
        <w:t xml:space="preserve"> Lake</w:t>
      </w:r>
    </w:p>
    <w:p>
      <w:pPr>
        <w:spacing w:after="0" w:line="38"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6"/>
          <w:szCs w:val="16"/>
          <w:color w:val="0000FF"/>
        </w:rPr>
        <w:t>Group,</w:t>
      </w:r>
    </w:p>
    <w:p>
      <w:pPr>
        <w:ind w:left="10220"/>
        <w:spacing w:after="0" w:line="181" w:lineRule="auto"/>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9"/>
          <w:szCs w:val="9"/>
          <w:color w:val="008000"/>
        </w:rPr>
        <w:t>(4)(5)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4300" w:type="dxa"/>
            <w:vAlign w:val="bottom"/>
            <w:vMerge w:val="restart"/>
          </w:tcPr>
          <w:p>
            <w:pPr>
              <w:jc w:val="center"/>
              <w:ind w:left="2979"/>
              <w:spacing w:after="0"/>
              <w:rPr>
                <w:sz w:val="20"/>
                <w:szCs w:val="20"/>
                <w:color w:val="auto"/>
              </w:rPr>
            </w:pPr>
            <w:r>
              <w:rPr>
                <w:rFonts w:ascii="Times New Roman" w:cs="Times New Roman" w:eastAsia="Times New Roman" w:hAnsi="Times New Roman"/>
                <w:sz w:val="16"/>
                <w:szCs w:val="16"/>
                <w:color w:val="0000FF"/>
                <w:w w:val="99"/>
              </w:rPr>
              <w:t>4,845</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4980" w:type="dxa"/>
            <w:vAlign w:val="bottom"/>
            <w:vMerge w:val="continue"/>
          </w:tcPr>
          <w:p>
            <w:pPr>
              <w:spacing w:after="0"/>
              <w:rPr>
                <w:sz w:val="9"/>
                <w:szCs w:val="9"/>
                <w:color w:val="auto"/>
              </w:rPr>
            </w:pPr>
          </w:p>
        </w:tc>
        <w:tc>
          <w:tcPr>
            <w:tcW w:w="43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7"/>
        </w:trPr>
        <w:tc>
          <w:tcPr>
            <w:tcW w:w="4980" w:type="dxa"/>
            <w:vAlign w:val="bottom"/>
            <w:tcBorders>
              <w:bottom w:val="single" w:sz="8" w:color="2C2C2C"/>
            </w:tcBorders>
          </w:tcPr>
          <w:p>
            <w:pPr>
              <w:spacing w:after="0"/>
              <w:rPr>
                <w:sz w:val="13"/>
                <w:szCs w:val="13"/>
                <w:color w:val="auto"/>
              </w:rPr>
            </w:pPr>
          </w:p>
        </w:tc>
        <w:tc>
          <w:tcPr>
            <w:tcW w:w="43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9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4300" w:type="dxa"/>
            <w:vAlign w:val="bottom"/>
            <w:vMerge w:val="restart"/>
          </w:tcPr>
          <w:p>
            <w:pPr>
              <w:jc w:val="center"/>
              <w:ind w:left="2979"/>
              <w:spacing w:after="0"/>
              <w:rPr>
                <w:sz w:val="20"/>
                <w:szCs w:val="20"/>
                <w:color w:val="auto"/>
              </w:rPr>
            </w:pPr>
            <w:r>
              <w:rPr>
                <w:rFonts w:ascii="Times New Roman" w:cs="Times New Roman" w:eastAsia="Times New Roman" w:hAnsi="Times New Roman"/>
                <w:sz w:val="16"/>
                <w:szCs w:val="16"/>
                <w:color w:val="0000FF"/>
                <w:w w:val="99"/>
              </w:rPr>
              <w:t>164,214</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4980" w:type="dxa"/>
            <w:vAlign w:val="bottom"/>
            <w:vMerge w:val="continue"/>
          </w:tcPr>
          <w:p>
            <w:pPr>
              <w:spacing w:after="0"/>
              <w:rPr>
                <w:sz w:val="9"/>
                <w:szCs w:val="9"/>
                <w:color w:val="auto"/>
              </w:rPr>
            </w:pPr>
          </w:p>
        </w:tc>
        <w:tc>
          <w:tcPr>
            <w:tcW w:w="43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4980" w:type="dxa"/>
            <w:vAlign w:val="bottom"/>
            <w:tcBorders>
              <w:bottom w:val="single" w:sz="8" w:color="2C2C2C"/>
            </w:tcBorders>
          </w:tcPr>
          <w:p>
            <w:pPr>
              <w:spacing w:after="0"/>
              <w:rPr>
                <w:sz w:val="13"/>
                <w:szCs w:val="13"/>
                <w:color w:val="auto"/>
              </w:rPr>
            </w:pPr>
          </w:p>
        </w:tc>
        <w:tc>
          <w:tcPr>
            <w:tcW w:w="43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498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4300" w:type="dxa"/>
            <w:vAlign w:val="bottom"/>
            <w:tcBorders>
              <w:bottom w:val="single" w:sz="8" w:color="808080"/>
            </w:tcBorders>
          </w:tcPr>
          <w:p>
            <w:pPr>
              <w:jc w:val="center"/>
              <w:ind w:left="2979"/>
              <w:spacing w:after="0"/>
              <w:rPr>
                <w:sz w:val="20"/>
                <w:szCs w:val="20"/>
                <w:color w:val="auto"/>
              </w:rPr>
            </w:pPr>
            <w:r>
              <w:rPr>
                <w:rFonts w:ascii="Times New Roman" w:cs="Times New Roman" w:eastAsia="Times New Roman" w:hAnsi="Times New Roman"/>
                <w:sz w:val="16"/>
                <w:szCs w:val="16"/>
                <w:color w:val="0000FF"/>
                <w:w w:val="99"/>
              </w:rPr>
              <w:t>1,317,963</w:t>
            </w:r>
          </w:p>
        </w:tc>
        <w:tc>
          <w:tcPr>
            <w:tcW w:w="720" w:type="dxa"/>
            <w:vAlign w:val="bottom"/>
            <w:tcBorders>
              <w:bottom w:val="single" w:sz="8" w:color="808080"/>
            </w:tcBorders>
          </w:tcPr>
          <w:p>
            <w:pPr>
              <w:jc w:val="center"/>
              <w:ind w:left="9"/>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189" w:right="479" w:bottom="75" w:gutter="0" w:footer="0" w:header="0"/>
          <w:type w:val="continuous"/>
        </w:sectPr>
      </w:pPr>
    </w:p>
    <w:bookmarkStart w:id="3" w:name="page4"/>
    <w:bookmarkEnd w:id="3"/>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20" w:type="dxa"/>
            <w:vAlign w:val="bottom"/>
            <w:gridSpan w:val="4"/>
          </w:tcPr>
          <w:p>
            <w:pPr>
              <w:ind w:left="6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4"/>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3"/>
          </w:tcPr>
          <w:p>
            <w:pPr>
              <w:ind w:left="6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80" w:type="dxa"/>
            <w:vAlign w:val="bottom"/>
            <w:gridSpan w:val="4"/>
          </w:tcPr>
          <w:p>
            <w:pPr>
              <w:ind w:left="1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gridSpan w:val="4"/>
          </w:tcPr>
          <w:p>
            <w:pPr>
              <w:ind w:left="66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vMerge w:val="restart"/>
          </w:tcPr>
          <w:p>
            <w:pPr>
              <w:jc w:val="center"/>
              <w:ind w:right="5"/>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80"/>
              <w:spacing w:after="0" w:line="125" w:lineRule="exact"/>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0000FF"/>
              </w:rPr>
              <w:t>47,234</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7"/>
            <w:vMerge w:val="continue"/>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60" w:type="dxa"/>
            <w:vAlign w:val="bottom"/>
            <w:gridSpan w:val="14"/>
          </w:tcPr>
          <w:p>
            <w:pPr>
              <w:jc w:val="center"/>
              <w:ind w:right="12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gridSpan w:val="12"/>
          </w:tcPr>
          <w:p>
            <w:pPr>
              <w:jc w:val="center"/>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6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w w:val="95"/>
              </w:rPr>
              <w:t>Transactionof</w:t>
            </w:r>
          </w:p>
        </w:tc>
        <w:tc>
          <w:tcPr>
            <w:tcW w:w="14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5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5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9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jc w:val="center"/>
              <w:ind w:right="25"/>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60"/>
              <w:spacing w:after="0" w:line="263"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continue"/>
          </w:tcPr>
          <w:p>
            <w:pPr>
              <w:spacing w:after="0"/>
              <w:rPr>
                <w:sz w:val="6"/>
                <w:szCs w:val="6"/>
                <w:color w:val="auto"/>
              </w:rPr>
            </w:pPr>
          </w:p>
        </w:tc>
        <w:tc>
          <w:tcPr>
            <w:tcW w:w="840" w:type="dxa"/>
            <w:vAlign w:val="bottom"/>
            <w:vMerge w:val="restart"/>
          </w:tcPr>
          <w:p>
            <w:pPr>
              <w:jc w:val="right"/>
              <w:ind w:right="136"/>
              <w:spacing w:after="0"/>
              <w:rPr>
                <w:sz w:val="20"/>
                <w:szCs w:val="20"/>
                <w:color w:val="auto"/>
              </w:rPr>
            </w:pPr>
            <w:r>
              <w:rPr>
                <w:rFonts w:ascii="Times New Roman" w:cs="Times New Roman" w:eastAsia="Times New Roman" w:hAnsi="Times New Roman"/>
                <w:sz w:val="16"/>
                <w:szCs w:val="16"/>
                <w:color w:val="0000FF"/>
              </w:rPr>
              <w:t>18,557</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vMerge w:val="continue"/>
          </w:tcPr>
          <w:p>
            <w:pPr>
              <w:spacing w:after="0"/>
              <w:rPr>
                <w:sz w:val="5"/>
                <w:szCs w:val="5"/>
                <w:color w:val="auto"/>
              </w:rPr>
            </w:pPr>
          </w:p>
        </w:tc>
        <w:tc>
          <w:tcPr>
            <w:tcW w:w="10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2"/>
                <w:szCs w:val="12"/>
                <w:color w:val="0000FF"/>
              </w:rPr>
              <w:t>06/09/2026</w:t>
            </w: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80" w:type="dxa"/>
            <w:vAlign w:val="bottom"/>
            <w:gridSpan w:val="4"/>
            <w:vMerge w:val="restart"/>
          </w:tcPr>
          <w:p>
            <w:pPr>
              <w:ind w:left="520"/>
              <w:spacing w:after="0"/>
              <w:rPr>
                <w:sz w:val="20"/>
                <w:szCs w:val="20"/>
                <w:color w:val="auto"/>
              </w:rPr>
            </w:pPr>
            <w:r>
              <w:rPr>
                <w:rFonts w:ascii="Times New Roman" w:cs="Times New Roman" w:eastAsia="Times New Roman" w:hAnsi="Times New Roman"/>
                <w:sz w:val="12"/>
                <w:szCs w:val="12"/>
                <w:color w:val="0000FF"/>
              </w:rPr>
              <w:t>18,557</w:t>
            </w: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12"/>
                <w:szCs w:val="12"/>
                <w:color w:val="0000FF"/>
              </w:rPr>
              <w:t>9,620,914</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Partners V</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DE (AIV),</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right w:val="single" w:sz="8" w:color="2C2C2C"/>
            </w:tcBorders>
            <w:gridSpan w:val="3"/>
          </w:tcPr>
          <w:p>
            <w:pPr>
              <w:ind w:left="60"/>
              <w:spacing w:after="0" w:line="229"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35,467,264</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right"/>
              <w:ind w:right="104"/>
              <w:spacing w:after="0" w:line="101" w:lineRule="exact"/>
              <w:rPr>
                <w:sz w:val="20"/>
                <w:szCs w:val="20"/>
                <w:color w:val="auto"/>
              </w:rPr>
            </w:pPr>
            <w:r>
              <w:rPr>
                <w:rFonts w:ascii="Times New Roman" w:cs="Times New Roman" w:eastAsia="Times New Roman" w:hAnsi="Times New Roman"/>
                <w:sz w:val="11"/>
                <w:szCs w:val="11"/>
                <w:color w:val="0000FF"/>
              </w:rPr>
              <w:t>35,467,264</w:t>
            </w:r>
          </w:p>
        </w:tc>
        <w:tc>
          <w:tcPr>
            <w:tcW w:w="600" w:type="dxa"/>
            <w:vAlign w:val="bottom"/>
            <w:vMerge w:val="restart"/>
          </w:tcPr>
          <w:p>
            <w:pPr>
              <w:ind w:left="3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(29)</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7"/>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8"/>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V DE (AIV), L.P.</w:t>
              </w:r>
            </w:hyperlink>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8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8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3"/>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8"/>
          </w:tcPr>
          <w:p>
            <w:pPr>
              <w:spacing w:after="0" w:line="212" w:lineRule="exact"/>
              <w:rPr>
                <w:rFonts w:ascii="Times New Roman" w:cs="Times New Roman" w:eastAsia="Times New Roman" w:hAnsi="Times New Roman"/>
                <w:sz w:val="20"/>
                <w:szCs w:val="20"/>
                <w:color w:val="0000EE"/>
                <w:w w:val="98"/>
              </w:rPr>
            </w:pPr>
            <w:hyperlink r:id="rId18">
              <w:r>
                <w:rPr>
                  <w:rFonts w:ascii="Times New Roman" w:cs="Times New Roman" w:eastAsia="Times New Roman" w:hAnsi="Times New Roman"/>
                  <w:sz w:val="20"/>
                  <w:szCs w:val="20"/>
                  <w:color w:val="0000EE"/>
                  <w:w w:val="98"/>
                </w:rPr>
                <w:t>Silver Lake Technology Associates V, L.P.</w:t>
              </w:r>
            </w:hyperlink>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8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8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720" w:type="dxa"/>
            <w:vAlign w:val="bottom"/>
            <w:tcBorders>
              <w:bottom w:val="single" w:sz="8" w:color="2C2C2C"/>
            </w:tcBorders>
            <w:gridSpan w:val="3"/>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5"/>
          </w:tcPr>
          <w:p>
            <w:pPr>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V (GP), L.L.C.</w:t>
              </w:r>
            </w:hyperlink>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8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8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720" w:type="dxa"/>
            <w:vAlign w:val="bottom"/>
            <w:tcBorders>
              <w:bottom w:val="single" w:sz="8" w:color="2C2C2C"/>
            </w:tcBorders>
            <w:gridSpan w:val="3"/>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5"/>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8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8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-9046210</wp:posOffset>
            </wp:positionV>
            <wp:extent cx="28575" cy="2410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8575" cy="2410460"/>
                    </a:xfrm>
                    <a:prstGeom prst="rect">
                      <a:avLst/>
                    </a:prstGeom>
                    <a:noFill/>
                  </pic:spPr>
                </pic:pic>
              </a:graphicData>
            </a:graphic>
          </wp:anchor>
        </w:drawing>
      </w:r>
    </w:p>
    <w:p>
      <w:pPr>
        <w:spacing w:after="0" w:line="123"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189" w:right="359" w:bottom="0" w:gutter="0" w:footer="0" w:header="0"/>
        </w:sectPr>
      </w:pPr>
    </w:p>
    <w:bookmarkStart w:id="4" w:name="page5"/>
    <w:bookmarkEnd w:id="4"/>
    <w:p>
      <w:pPr>
        <w:ind w:left="83"/>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Durban Egon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-128905</wp:posOffset>
            </wp:positionV>
            <wp:extent cx="2814320" cy="1518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814320" cy="1518285"/>
                    </a:xfrm>
                    <a:prstGeom prst="rect">
                      <a:avLst/>
                    </a:prstGeom>
                    <a:noFill/>
                  </pic:spPr>
                </pic:pic>
              </a:graphicData>
            </a:graphic>
          </wp:anchor>
        </w:drawing>
      </w:r>
    </w:p>
    <w:p>
      <w:pPr>
        <w:spacing w:after="0" w:line="287" w:lineRule="exact"/>
        <w:rPr>
          <w:sz w:val="20"/>
          <w:szCs w:val="20"/>
          <w:color w:val="auto"/>
        </w:rPr>
      </w:pPr>
    </w:p>
    <w:tbl>
      <w:tblPr>
        <w:tblLayout w:type="fixed"/>
        <w:tblInd w:w="43"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1300" w:type="dxa"/>
            <w:vAlign w:val="bottom"/>
          </w:tcPr>
          <w:p>
            <w:pPr>
              <w:ind w:left="20"/>
              <w:spacing w:after="0"/>
              <w:rPr>
                <w:sz w:val="20"/>
                <w:szCs w:val="20"/>
                <w:color w:val="auto"/>
              </w:rPr>
            </w:pPr>
            <w:r>
              <w:rPr>
                <w:rFonts w:ascii="Arial" w:cs="Arial" w:eastAsia="Arial" w:hAnsi="Arial"/>
                <w:sz w:val="12"/>
                <w:szCs w:val="12"/>
                <w:color w:val="auto"/>
              </w:rPr>
              <w:t>(First)</w:t>
            </w:r>
          </w:p>
        </w:tc>
        <w:tc>
          <w:tcPr>
            <w:tcW w:w="152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C/O SILVER LAKE</w:t>
            </w:r>
          </w:p>
        </w:tc>
        <w:tc>
          <w:tcPr>
            <w:tcW w:w="13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52"/>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r>
      <w:tr>
        <w:trPr>
          <w:trHeight w:val="144"/>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1300" w:type="dxa"/>
            <w:vAlign w:val="bottom"/>
          </w:tcPr>
          <w:p>
            <w:pPr>
              <w:ind w:left="20"/>
              <w:spacing w:after="0"/>
              <w:rPr>
                <w:sz w:val="20"/>
                <w:szCs w:val="20"/>
                <w:color w:val="auto"/>
              </w:rPr>
            </w:pPr>
            <w:r>
              <w:rPr>
                <w:rFonts w:ascii="Arial" w:cs="Arial" w:eastAsia="Arial" w:hAnsi="Arial"/>
                <w:sz w:val="12"/>
                <w:szCs w:val="12"/>
                <w:color w:val="auto"/>
              </w:rPr>
              <w:t>(State)</w:t>
            </w:r>
          </w:p>
        </w:tc>
        <w:tc>
          <w:tcPr>
            <w:tcW w:w="152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jc w:val="both"/>
        <w:ind w:left="3" w:right="60" w:hanging="3"/>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9, 2026 and initiated in-kind distributions of shares of Class C Common Stock on June 9, 2026. The receipt of shares of Class C Common Stock by each of the Reporting Persons in connection with such distributions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3" w:right="40" w:hanging="3"/>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9, 2026, certain of the Reporting Persons converted shares of Class B Common Stock into an equal number of shares of Class C Common Stock in connection with the sales and distributions described in footnote (1) above.</w:t>
      </w:r>
    </w:p>
    <w:p>
      <w:pPr>
        <w:spacing w:after="0" w:line="13" w:lineRule="exact"/>
        <w:rPr>
          <w:rFonts w:ascii="Times New Roman" w:cs="Times New Roman" w:eastAsia="Times New Roman" w:hAnsi="Times New Roman"/>
          <w:sz w:val="12"/>
          <w:szCs w:val="12"/>
          <w:color w:val="008000"/>
        </w:rPr>
      </w:pPr>
    </w:p>
    <w:p>
      <w:pPr>
        <w:ind w:left="3" w:hanging="3"/>
        <w:spacing w:after="0" w:line="282"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V DE (AIV), L.P. The general partner of Silver Lake Partners V DE (AIV), L.P. is Silver Lake Technology Associates V, L.P. and the general partner of Silver Lake Technology Associates V, L.P. is SLTA V (GP), L.L.C.</w:t>
      </w:r>
    </w:p>
    <w:p>
      <w:pPr>
        <w:ind w:left="3" w:right="360" w:hanging="3"/>
        <w:spacing w:after="0" w:line="282"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ind w:left="3" w:right="300" w:hanging="3"/>
        <w:spacing w:after="0" w:line="282"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 Shares held include shares of Class C Common Stock received in connection with the distributions described herein on June 9, 2026. The receipt of such shares of Class C Common Stock was exempt from reporting pursuant to Rule 16a-13 of the Exchange Act.</w:t>
      </w:r>
    </w:p>
    <w:p>
      <w:pPr>
        <w:ind w:left="3" w:right="20" w:hanging="3"/>
        <w:spacing w:after="0" w:line="282"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 including shares received in connection with the distributions of shares of Class C Common Stock on June 9, 2026. The receipt of such shares of Class C Common Stock indirectly by Mr. Durban was exempt from reporting pursuant to Rule 16a-13 of the Exchange Act.</w:t>
      </w:r>
    </w:p>
    <w:p>
      <w:pPr>
        <w:ind w:left="3" w:right="60" w:hanging="3"/>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distributions described in footnote (1) above, distributions of certain shares were initiated to certain employees and managing members of SLG or its affiliates, including Mr. Durban. This amount reflects 24,563, 24,932, 114,663 and 56 shares held by SLTA SPV-2, L.P., Silver Lake Technology Associates V, L.P., SLG and Silver Lake Secondary Holdings L.P., respectively, on behalf of such individuals, including shares distributed in the June 9, 2026 distributions. The receipt of such shares of Class C Common Stock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3" w:right="240" w:hanging="3"/>
        <w:spacing w:after="0" w:line="282"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by Mr. Durban including shares received in connection with the distributions of shares of Class C Common Stock on June 9, 2026. The receipt of such shares of Class C Common Stock was exempt from reporting pursuant to Rule 16a-13 of the Exchange Act. Mr. Durban has filed a separate Form 4 reporting transactions in securities of the Issuer on June 9, 2026.</w:t>
      </w:r>
    </w:p>
    <w:p>
      <w:pPr>
        <w:ind w:left="3" w:right="140" w:hanging="3"/>
        <w:spacing w:after="0" w:line="282"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 including shares received in connection with the distributions of shares of Class C Common Stock on June 9, 2026. The receipt of such shares of Class C Common Stock indirectly by Mr. Durban was exempt from reporting pursuant to Rule 16a-13 of the Exchange Act.</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$380.0000 to $380.9800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100" w:hanging="3"/>
        <w:spacing w:after="0" w:line="282" w:lineRule="auto"/>
        <w:tabs>
          <w:tab w:leader="none" w:pos="18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$381.0000 to $381.9300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$382.0500 to $382.8500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$383.0000 to $383.1200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$384.1200 to $384.1800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$385.7600 to $386.7000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$386.9900 to $387.9300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10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$388.3200 to $389.1100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$390.0000 to $390.9983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$391.0000 to $391.9818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$392.0187 to $392.0794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$394.4800 to $395.4268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$395.5264 to $396.4800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$396.5300 to $397.5167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$397.5900 to $398.5700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$398.5900 to $399.5097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$399.6000 to $400.5786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$400.7600 to $401.7224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$401.8262 to $402.7200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jc w:val="both"/>
        <w:ind w:left="3" w:right="100" w:hanging="3"/>
        <w:spacing w:after="0" w:line="260"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17,314,068 shares of Class B Common Stock, Silver Lake Partners IV, L.P. directly holds 17,773,759 shares of Class B Common Stock, Silver Lake Technology Investors IV, L.P. directly holds 261,510 shares of Class B Common Stock and Silver Lake Technology Investors V, L.P. directly holds 117,927 shares of Class B Common Stock, which securities are reported on separate Form 4 filings.</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3" w:right="8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pacing w:after="0" w:line="42"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tabs>
          <w:tab w:leader="none" w:pos="8742" w:val="left"/>
        </w:tabs>
        <w:rPr>
          <w:sz w:val="20"/>
          <w:szCs w:val="20"/>
          <w:color w:val="auto"/>
        </w:rPr>
      </w:pPr>
      <w:r>
        <w:rPr>
          <w:rFonts w:ascii="Times New Roman" w:cs="Times New Roman" w:eastAsia="Times New Roman" w:hAnsi="Times New Roman"/>
          <w:sz w:val="16"/>
          <w:szCs w:val="16"/>
          <w:color w:val="0000FF"/>
        </w:rPr>
        <w:t>member of SLTA V (GP),</w:t>
      </w:r>
      <w:r>
        <w:rPr>
          <w:sz w:val="20"/>
          <w:szCs w:val="20"/>
          <w:color w:val="auto"/>
        </w:rPr>
        <w:tab/>
      </w: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8599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8599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9824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9824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954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Partners V DE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14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spacing w:after="0" w:line="26"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0000FF"/>
              </w:rPr>
              <w:t>By: /s/ Justin G. Hamill,</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06/11/2026</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2"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215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71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ectPr>
          <w:pgSz w:w="11900" w:h="16838" w:orient="portrait"/>
          <w:cols w:equalWidth="0" w:num="1">
            <w:col w:w="10903"/>
          </w:cols>
          <w:pgMar w:left="497" w:top="114" w:right="499" w:bottom="0" w:gutter="0" w:footer="0" w:header="0"/>
        </w:sectPr>
      </w:pPr>
    </w:p>
    <w:bookmarkStart w:id="5" w:name="page6"/>
    <w:bookmarkEnd w:id="5"/>
    <w:p>
      <w:pPr>
        <w:ind w:left="6563"/>
        <w:spacing w:after="0"/>
        <w:rPr>
          <w:sz w:val="20"/>
          <w:szCs w:val="20"/>
          <w:color w:val="auto"/>
        </w:rPr>
      </w:pPr>
      <w:r>
        <w:rPr>
          <w:rFonts w:ascii="Times New Roman" w:cs="Times New Roman" w:eastAsia="Times New Roman" w:hAnsi="Times New Roman"/>
          <w:sz w:val="15"/>
          <w:szCs w:val="15"/>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1905</wp:posOffset>
            </wp:positionV>
            <wp:extent cx="12954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spacing w:after="0" w:line="18"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600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002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579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03" w:space="160"/>
            <w:col w:w="1199"/>
          </w:cols>
          <w:pgMar w:left="497" w:top="127" w:right="1440" w:bottom="1440" w:gutter="0" w:footer="0" w:header="0"/>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1"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13" Type="http://schemas.openxmlformats.org/officeDocument/2006/relationships/hyperlink" Target="http://www.sec.gov/cgi-bin/browse-edgar?action=getcompany&amp;CIK=0001737659" TargetMode="External"/><Relationship Id="rId14" Type="http://schemas.openxmlformats.org/officeDocument/2006/relationships/hyperlink" Target="http://www.sec.gov/cgi-bin/browse-edgar?action=getcompany&amp;CIK=0001571996" TargetMode="External"/><Relationship Id="rId18" Type="http://schemas.openxmlformats.org/officeDocument/2006/relationships/hyperlink" Target="http://www.sec.gov/cgi-bin/browse-edgar?action=getcompany&amp;CIK=0001737657" TargetMode="External"/><Relationship Id="rId19" Type="http://schemas.openxmlformats.org/officeDocument/2006/relationships/hyperlink" Target="http://www.sec.gov/cgi-bin/browse-edgar?action=getcompany&amp;CIK=0001737652" TargetMode="External"/><Relationship Id="rId20" Type="http://schemas.openxmlformats.org/officeDocument/2006/relationships/hyperlink" Target="http://www.sec.gov/cgi-bin/browse-edgar?action=getcompany&amp;CIK=0001418226" TargetMode="External"/><Relationship Id="rId22"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2026-06-11T15:57:46Z</dcterms:created>
  <dcterms:modified xsi:type="dcterms:W3CDTF">2026-06-11T15:57:46Z</dcterms:modified>
</cp:coreProperties>
</file>