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54877dfwp.htm"/>
      <w:bookmarkStart w:id="1" w:name="ksd754877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333-269159 </w:t>
      </w:r>
    </w:p>
    <w:p>
      <w:pPr>
        <w:pStyle w:val="TextBody"/>
        <w:bidi w:val="0"/>
        <w:spacing w:before="0" w:after="0"/>
        <w:jc w:val="left"/>
        <w:rPr/>
      </w:pPr>
      <w:r>
        <w:rPr/>
        <w:t> </w:t>
      </w:r>
    </w:p>
    <w:p>
      <w:pPr>
        <w:pStyle w:val="TextBody"/>
        <w:bidi w:val="0"/>
        <w:spacing w:before="0" w:after="0"/>
        <w:jc w:val="center"/>
        <w:rPr/>
      </w:pPr>
      <w:r>
        <w:rPr/>
        <w:drawing>
          <wp:inline distT="0" distB="0" distL="0" distR="0">
            <wp:extent cx="38957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95725" cy="5238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Dell International L.L.C.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EMC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as Co-Issuers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 xml:space="preserve">$1,000,000,000 5.400% Senior Notes due 2034 </w:t>
      </w:r>
    </w:p>
    <w:p>
      <w:pPr>
        <w:pStyle w:val="TextBody"/>
        <w:bidi w:val="0"/>
        <w:spacing w:before="240" w:after="0"/>
        <w:jc w:val="right"/>
        <w:rPr>
          <w:rFonts w:ascii="Times New Roman" w:hAnsi="Times New Roman"/>
          <w:sz w:val="20"/>
        </w:rPr>
      </w:pPr>
      <w:r>
        <w:rPr>
          <w:rFonts w:ascii="Times New Roman" w:hAnsi="Times New Roman"/>
          <w:sz w:val="20"/>
        </w:rPr>
        <w:t xml:space="preserve">March 4, 2024 </w:t>
      </w:r>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(this Pricing Term Sheet) is qualified in its entirety by reference to the preliminary prospectus supplement dated March 4, 2024 (the Preliminary Prospectus Supplement) supplementing the base prospectus dated January 9, 2023 (the Base Prospectus) included in the registration statement (File No. 333-269159) filed with the Securities and Exchange Commission (the SEC). The information in this Pricing Term Sheet supplements the Preliminary Prospectus Supplement and supersedes the information in the Preliminary Prospectus Supplement and Base Prospectus to the extent inconsistent with the information contained therein. Terms used but not defined in the Pricing Term Sheet will have the meanings assigned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2"/>
        <w:gridCol w:w="123"/>
        <w:gridCol w:w="6270"/>
      </w:tblGrid>
      <w:tr>
        <w:trPr/>
        <w:tc>
          <w:tcPr>
            <w:tcW w:w="381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270" w:type="dxa"/>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Co-Issuers:</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Dell International L.L.C. and EMC Corporation (the Issuers)</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Notes Ratings (Moodys / S&amp;P / Fitch):</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Baa2 / BBB / BBB*</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Title of Securities:</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5.400% Senior Notes due 2034 (the Notes)</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Aggregate Principal Amount:</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$1,000,000,000</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Maturity Date:</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April 15, 2034</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Issue Price:</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99.802% of the principal amount plus accrued interest, if any, from March 18, 2024</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Coupon:</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5.400%</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5.425%</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Gross Proceeds:</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$998,020,000</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Spread to Benchmark Treasury:</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T+120 basis points</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4.000% UST due February 15, 2034</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Benchmark Treasury Price / Yield:</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98-06 / 4.225%</w:t>
            </w:r>
          </w:p>
        </w:tc>
      </w:tr>
      <w:tr>
        <w:trPr>
          <w:trHeight w:val="120" w:hRule="atLeast"/>
        </w:trPr>
        <w:tc>
          <w:tcPr>
            <w:tcW w:w="3812" w:type="dxa"/>
            <w:tcBorders/>
            <w:vAlign w:val="center"/>
          </w:tcPr>
          <w:p>
            <w:pPr>
              <w:pStyle w:val="TableContents"/>
              <w:bidi w:val="0"/>
              <w:spacing w:before="0" w:after="283"/>
              <w:jc w:val="left"/>
              <w:rPr>
                <w:sz w:val="4"/>
                <w:szCs w:val="4"/>
              </w:rPr>
            </w:pPr>
            <w:r>
              <w:rPr>
                <w:sz w:val="4"/>
                <w:szCs w:val="4"/>
              </w:rPr>
            </w:r>
          </w:p>
        </w:tc>
        <w:tc>
          <w:tcPr>
            <w:tcW w:w="6393" w:type="dxa"/>
            <w:gridSpan w:val="2"/>
            <w:tcBorders/>
            <w:vAlign w:val="center"/>
          </w:tcPr>
          <w:p>
            <w:pPr>
              <w:pStyle w:val="TableContents"/>
              <w:bidi w:val="0"/>
              <w:spacing w:before="0" w:after="283"/>
              <w:jc w:val="left"/>
              <w:rPr>
                <w:sz w:val="4"/>
                <w:szCs w:val="4"/>
              </w:rPr>
            </w:pPr>
            <w:r>
              <w:rPr>
                <w:sz w:val="4"/>
                <w:szCs w:val="4"/>
              </w:rPr>
            </w:r>
          </w:p>
        </w:tc>
      </w:tr>
      <w:tr>
        <w:trPr/>
        <w:tc>
          <w:tcPr>
            <w:tcW w:w="3812"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pPr>
            <w:r>
              <w:rPr/>
              <w:t>April 15 and October 15 of each year, commencing October 15, 2024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30"/>
        <w:gridCol w:w="120"/>
        <w:gridCol w:w="6255"/>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5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Record Dates:</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April 1 and October 1 of each year</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Make-whole call @ T+20 bps prior to January 15, 2034 (three (3) months prior to maturity) Par call on or after January 15, 2034 (three (3) months prior to maturity)</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Change of Control:</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Upon the occurrence of a Change of Control Triggering Event, the Issuers will be required to make an offer to purchase the Notes at a price equal to 101% of their principal amount plus accrued and unpaid interest to, but not including, the repurchase date.</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March 4, 2024</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March 18, 2024 (T+10)</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The settlement date of March 18, 2024 is the tenth business day following the trade date (such settlement being referred to as T+10). Since trades in the secondary market generally settle in two business days, purchasers who wish to trade the Notes on any date prior to the second business day before delivery will be required, by virtue of the fact that the Notes initially will settle in T+10, to specify an alternate settlement cycle at the time of any such trade to prevent a failed settlement. Purchasers of the Notes who wish to trade the Notes during such period should consult their advisors.</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Distribution:</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SEC Registered</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CUSIP/ISIN:</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24703DBN0 / US24703DBN03</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Minimum Denominations:</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$2,000 and $1,000 increments in excess thereof</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Joint Book-Running Managers (in tiered</w:t>
            </w:r>
          </w:p>
          <w:p>
            <w:pPr>
              <w:pStyle w:val="TableContents"/>
              <w:bidi w:val="0"/>
              <w:spacing w:before="0" w:after="20"/>
              <w:jc w:val="left"/>
              <w:rPr>
                <w:rFonts w:ascii="Times New Roman" w:hAnsi="Times New Roman"/>
                <w:b/>
                <w:sz w:val="20"/>
              </w:rPr>
            </w:pPr>
            <w:r>
              <w:rPr>
                <w:rFonts w:ascii="Times New Roman" w:hAnsi="Times New Roman"/>
                <w:b/>
                <w:sz w:val="20"/>
              </w:rPr>
              <w:t>alphabetical order):</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Barclays Capital Inc.</w:t>
            </w:r>
          </w:p>
        </w:tc>
      </w:tr>
      <w:tr>
        <w:trPr/>
        <w:tc>
          <w:tcPr>
            <w:tcW w:w="383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BofA Securities, Inc.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Citigroup Global Markets Inc.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Deutsche Bank Securities Inc.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Goldman Sachs &amp; Co. LLC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J.P. Morgan Securities LLC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Wells Fargo Securities, LLC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SG Americas Securities,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UBS Securities LLC</w:t>
            </w:r>
          </w:p>
        </w:tc>
      </w:tr>
      <w:tr>
        <w:trPr>
          <w:trHeight w:val="120" w:hRule="atLeast"/>
        </w:trPr>
        <w:tc>
          <w:tcPr>
            <w:tcW w:w="3830" w:type="dxa"/>
            <w:tcBorders/>
            <w:vAlign w:val="center"/>
          </w:tcPr>
          <w:p>
            <w:pPr>
              <w:pStyle w:val="TableContents"/>
              <w:bidi w:val="0"/>
              <w:spacing w:before="0" w:after="283"/>
              <w:jc w:val="left"/>
              <w:rPr>
                <w:sz w:val="4"/>
                <w:szCs w:val="4"/>
              </w:rPr>
            </w:pPr>
            <w:r>
              <w:rPr>
                <w:sz w:val="4"/>
                <w:szCs w:val="4"/>
              </w:rPr>
            </w:r>
          </w:p>
        </w:tc>
        <w:tc>
          <w:tcPr>
            <w:tcW w:w="6375" w:type="dxa"/>
            <w:gridSpan w:val="2"/>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Co-Managers (in alphabetical order):</w:t>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0"/>
              <w:jc w:val="left"/>
              <w:rPr>
                <w:rFonts w:ascii="Times New Roman" w:hAnsi="Times New Roman"/>
                <w:sz w:val="20"/>
              </w:rPr>
            </w:pPr>
            <w:r>
              <w:rPr>
                <w:rFonts w:ascii="Times New Roman" w:hAnsi="Times New Roman"/>
                <w:sz w:val="20"/>
              </w:rPr>
              <w:t>BNY Mellon Capital Markets, LLC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0"/>
              <w:jc w:val="left"/>
              <w:rPr>
                <w:rFonts w:ascii="Times New Roman" w:hAnsi="Times New Roman"/>
                <w:sz w:val="20"/>
              </w:rPr>
            </w:pPr>
            <w:r>
              <w:rPr>
                <w:rFonts w:ascii="Times New Roman" w:hAnsi="Times New Roman"/>
                <w:sz w:val="20"/>
              </w:rPr>
              <w:t>ING Financial Markets LLC</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5" w:type="dxa"/>
            <w:tcBorders/>
          </w:tcPr>
          <w:p>
            <w:pPr>
              <w:pStyle w:val="TableContents"/>
              <w:bidi w:val="0"/>
              <w:spacing w:before="0" w:after="283"/>
              <w:jc w:val="left"/>
              <w:rPr/>
            </w:pPr>
            <w:r>
              <w:rPr/>
              <w:t>Santander US Capital Markets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38"/>
        <w:gridCol w:w="120"/>
        <w:gridCol w:w="6247"/>
      </w:tblGrid>
      <w:tr>
        <w:trPr/>
        <w:tc>
          <w:tcPr>
            <w:tcW w:w="38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47" w:type="dxa"/>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47"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20"/>
              <w:jc w:val="left"/>
              <w:rPr>
                <w:rFonts w:ascii="Times New Roman" w:hAnsi="Times New Roman"/>
                <w:sz w:val="20"/>
              </w:rPr>
            </w:pPr>
            <w:r>
              <w:rPr>
                <w:rFonts w:ascii="Times New Roman" w:hAnsi="Times New Roman"/>
                <w:sz w:val="20"/>
              </w:rPr>
              <w:t>Truist Securities, Inc.</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6367" w:type="dxa"/>
            <w:gridSpan w:val="2"/>
            <w:tcBorders/>
            <w:vAlign w:val="center"/>
          </w:tcPr>
          <w:p>
            <w:pPr>
              <w:pStyle w:val="TableContents"/>
              <w:bidi w:val="0"/>
              <w:spacing w:before="0" w:after="283"/>
              <w:jc w:val="left"/>
              <w:rPr>
                <w:sz w:val="4"/>
                <w:szCs w:val="4"/>
              </w:rPr>
            </w:pPr>
            <w:r>
              <w:rPr>
                <w:sz w:val="4"/>
                <w:szCs w:val="4"/>
              </w:rPr>
            </w:r>
          </w:p>
        </w:tc>
      </w:tr>
      <w:tr>
        <w:trPr/>
        <w:tc>
          <w:tcPr>
            <w:tcW w:w="3838"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Co-Syndicate Managers (in alphabetical</w:t>
            </w:r>
          </w:p>
          <w:p>
            <w:pPr>
              <w:pStyle w:val="TableContents"/>
              <w:bidi w:val="0"/>
              <w:spacing w:before="0" w:after="20"/>
              <w:jc w:val="left"/>
              <w:rPr>
                <w:rFonts w:ascii="Times New Roman" w:hAnsi="Times New Roman"/>
                <w:b/>
                <w:sz w:val="20"/>
              </w:rPr>
            </w:pPr>
            <w:r>
              <w:rPr>
                <w:rFonts w:ascii="Times New Roman" w:hAnsi="Times New Roman"/>
                <w:b/>
                <w:sz w:val="20"/>
              </w:rPr>
              <w:t>order):</w:t>
            </w:r>
          </w:p>
        </w:tc>
        <w:tc>
          <w:tcPr>
            <w:tcW w:w="120" w:type="dxa"/>
            <w:tcBorders/>
            <w:vAlign w:val="bottom"/>
          </w:tcPr>
          <w:p>
            <w:pPr>
              <w:pStyle w:val="TableContents"/>
              <w:bidi w:val="0"/>
              <w:spacing w:before="0" w:after="283"/>
              <w:jc w:val="left"/>
              <w:rPr/>
            </w:pPr>
            <w:r>
              <w:rPr/>
              <w:t>  </w:t>
            </w:r>
          </w:p>
        </w:tc>
        <w:tc>
          <w:tcPr>
            <w:tcW w:w="6247" w:type="dxa"/>
            <w:tcBorders/>
          </w:tcPr>
          <w:p>
            <w:pPr>
              <w:pStyle w:val="TableContents"/>
              <w:bidi w:val="0"/>
              <w:spacing w:before="0" w:after="283"/>
              <w:jc w:val="left"/>
              <w:rPr/>
            </w:pPr>
            <w:r>
              <w:rPr/>
              <w:t>Samuel A. Ramirez &amp; Co., Inc.</w:t>
            </w:r>
          </w:p>
        </w:tc>
      </w:tr>
      <w:tr>
        <w:trPr/>
        <w:tc>
          <w:tcPr>
            <w:tcW w:w="3838"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247" w:type="dxa"/>
            <w:tcBorders/>
          </w:tcPr>
          <w:p>
            <w:pPr>
              <w:pStyle w:val="TableContents"/>
              <w:bidi w:val="0"/>
              <w:spacing w:before="0" w:after="283"/>
              <w:jc w:val="left"/>
              <w:rPr/>
            </w:pPr>
            <w:r>
              <w:rPr/>
              <w:t>Telsey Advisory Group LLC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Issuers have filed a registration statement (including a prospectus) and a preliminary prospectus supplement with the SEC for the offering to which this communication relates. Before you invest, you should read the prospectus and the preliminary prospectus supplement in that registration statement and other documents the Issuers have filed with the SEC for more complete information about the Issuers and this offering. You may obtain these documents for free by visiting EDGAR on the SEC website at www.sec.gov. Alternatively, the Issuers, any underwriter or any dealer participating in the offering will arrange to send you the prospectus and the prospectus supplement if you request them by calling Barclays Capital Inc., by telephone toll free: (888) 603-5847, BofA Securities, Inc., by telephone toll free: 1-800-294-1322, Citigroup Global Markets Inc. by telephone toll free: 1-800-831-9146, Deutsche Bank Securities Inc. by telephone toll free: 1-800-503-4611, Goldman Sachs &amp; Co. LLC, by telephone toll free: 866-471-2526, J.P. Morgan Securities LLC, by telephone toll free: 1-866-803-9204 and Wells Fargo Securities, LLC, by telephone toll free: 1-800-645-3751.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Any disclaimers or other notices that may appear below are not applicable to this communication and should be disregarded. Such disclaimers were automatically generated as a result of this communication being sent via Bloomberg email or another communication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847</Words>
  <Characters>4597</Characters>
  <CharactersWithSpaces>5425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