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SLTA IV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88"/>
        <w:gridCol w:w="920"/>
        <w:gridCol w:w="791"/>
        <w:gridCol w:w="671"/>
        <w:gridCol w:w="274"/>
        <w:gridCol w:w="996"/>
        <w:gridCol w:w="401"/>
        <w:gridCol w:w="894"/>
        <w:gridCol w:w="1226"/>
        <w:gridCol w:w="942"/>
        <w:gridCol w:w="130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8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8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04/16/2026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198,319</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274,254</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(3)(8)</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04/16/2026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203,583</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262,269</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(4)(8)</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04/16/2026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110,200</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146,962</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(5)(8)</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04/16/2026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2,996</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2,996</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(6)(8)</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04/16/2026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1,351</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1,351</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(7)(8)</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04/16/2026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135,097</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176.5</w:t>
            </w:r>
            <w:r>
              <w:rPr/>
              <w:t xml:space="preserve"> </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139,157</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(3)(8)</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04/16/2026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155,479</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176.5</w:t>
            </w:r>
            <w:r>
              <w:rPr/>
              <w:t xml:space="preserve"> </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106,790</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(4)(8)</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04/16/2026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80,077</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176.5</w:t>
            </w:r>
            <w:r>
              <w:rPr/>
              <w:t xml:space="preserve"> </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66,885</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(5)(8)</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04/16/2026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2,996</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176.5</w:t>
            </w:r>
            <w:r>
              <w:rPr/>
              <w:t xml:space="preserve"> </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(6)(8)</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04/16/2026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1,351</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176.5</w:t>
            </w:r>
            <w:r>
              <w:rPr/>
              <w:t xml:space="preserve"> </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(7)(8)</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04/16/2026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193.58</w:t>
            </w:r>
            <w:r>
              <w:rPr>
                <w:rFonts w:ascii="Times;serif" w:hAnsi="Times;serif"/>
                <w:color w:val="008000"/>
                <w:position w:val="7"/>
                <w:sz w:val="16"/>
                <w:sz w:val="20"/>
                <w:shd w:fill="FFFFFF" w:val="clear"/>
              </w:rPr>
              <w:t>(13)</w:t>
            </w:r>
            <w:r>
              <w:rPr/>
              <w:t xml:space="preserve"> </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46,753</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(14)</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04/16/2026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2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139,157</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(3)(8)</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04/16/2026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2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106,790</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(4)(8)</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04/16/2026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2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66,885</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(5)(8)</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4,891</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Group, L.L.C.</w:t>
            </w:r>
            <w:r>
              <w:rPr>
                <w:rFonts w:ascii="Times;serif" w:hAnsi="Times;serif"/>
                <w:color w:val="008000"/>
                <w:position w:val="7"/>
                <w:sz w:val="16"/>
                <w:sz w:val="20"/>
                <w:shd w:fill="FFFFFF" w:val="clear"/>
              </w:rPr>
              <w:t>(8)(9)</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4,277</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(10)</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129,705</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(11)</w:t>
            </w:r>
            <w:r>
              <w:rPr/>
              <w:t xml:space="preserve"> </w:t>
            </w:r>
          </w:p>
        </w:tc>
      </w:tr>
      <w:tr>
        <w:trPr/>
        <w:tc>
          <w:tcPr>
            <w:tcW w:w="178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1,313,489</w:t>
            </w:r>
          </w:p>
        </w:tc>
        <w:tc>
          <w:tcPr>
            <w:tcW w:w="9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(12)</w:t>
            </w:r>
            <w:r>
              <w:rPr/>
              <w:t xml:space="preserve"> </w:t>
            </w:r>
          </w:p>
        </w:tc>
        <w:tc>
          <w:tcPr>
            <w:tcW w:w="1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79" w:type="dxa"/>
        <w:jc w:val="left"/>
        <w:tblInd w:w="-7" w:type="dxa"/>
        <w:tblLayout w:type="fixed"/>
        <w:tblCellMar>
          <w:top w:w="60" w:type="dxa"/>
          <w:left w:w="60" w:type="dxa"/>
          <w:bottom w:w="60" w:type="dxa"/>
          <w:right w:w="60" w:type="dxa"/>
        </w:tblCellMar>
      </w:tblPr>
      <w:tblGrid>
        <w:gridCol w:w="905"/>
        <w:gridCol w:w="861"/>
        <w:gridCol w:w="891"/>
        <w:gridCol w:w="771"/>
        <w:gridCol w:w="660"/>
        <w:gridCol w:w="231"/>
        <w:gridCol w:w="276"/>
        <w:gridCol w:w="816"/>
        <w:gridCol w:w="906"/>
        <w:gridCol w:w="801"/>
        <w:gridCol w:w="891"/>
        <w:gridCol w:w="921"/>
        <w:gridCol w:w="801"/>
        <w:gridCol w:w="1071"/>
        <w:gridCol w:w="831"/>
        <w:gridCol w:w="1146"/>
      </w:tblGrid>
      <w:tr>
        <w:trPr>
          <w:tblHeader w:val="true"/>
        </w:trPr>
        <w:tc>
          <w:tcPr>
            <w:tcW w:w="127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198,319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198,319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18,351,487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through SL SPV-2, L.P.</w:t>
            </w:r>
            <w:r>
              <w:rPr>
                <w:rFonts w:ascii="Times;serif" w:hAnsi="Times;serif"/>
                <w:color w:val="008000"/>
                <w:position w:val="7"/>
                <w:sz w:val="16"/>
                <w:sz w:val="20"/>
                <w:shd w:fill="FFFFFF" w:val="clear"/>
              </w:rPr>
              <w:t>(3)(8)</w:t>
            </w:r>
            <w:r>
              <w:rPr/>
              <w:t xml:space="preserve"> </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203,583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203,583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18,838,722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through Silver Lake Partners IV, L.P.</w:t>
            </w:r>
            <w:r>
              <w:rPr>
                <w:rFonts w:ascii="Times;serif" w:hAnsi="Times;serif"/>
                <w:color w:val="008000"/>
                <w:position w:val="7"/>
                <w:sz w:val="16"/>
                <w:sz w:val="20"/>
                <w:shd w:fill="FFFFFF" w:val="clear"/>
              </w:rPr>
              <w:t>(4)(8)</w:t>
            </w:r>
            <w:r>
              <w:rPr/>
              <w:t xml:space="preserve"> </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110,200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10,197,377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through Silver Lake Partners V DE (AIV), L.P.</w:t>
            </w:r>
            <w:r>
              <w:rPr>
                <w:rFonts w:ascii="Times;serif" w:hAnsi="Times;serif"/>
                <w:color w:val="008000"/>
                <w:position w:val="7"/>
                <w:sz w:val="16"/>
                <w:sz w:val="20"/>
                <w:shd w:fill="FFFFFF" w:val="clear"/>
              </w:rPr>
              <w:t>(5)(8)</w:t>
            </w:r>
            <w:r>
              <w:rPr/>
              <w:t xml:space="preserve"> </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2,996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277,180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through Silver Lake Technology Investors IV, L.P.</w:t>
            </w:r>
            <w:r>
              <w:rPr>
                <w:rFonts w:ascii="Times;serif" w:hAnsi="Times;serif"/>
                <w:color w:val="008000"/>
                <w:position w:val="7"/>
                <w:sz w:val="16"/>
                <w:sz w:val="20"/>
                <w:shd w:fill="FFFFFF" w:val="clear"/>
              </w:rPr>
              <w:t>(6)(8)</w:t>
            </w:r>
            <w:r>
              <w:rPr/>
              <w:t xml:space="preserve"> </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124,992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through Silver Lake Technology Investors V, L.P.</w:t>
            </w:r>
            <w:r>
              <w:rPr>
                <w:rFonts w:ascii="Times;serif" w:hAnsi="Times;serif"/>
                <w:color w:val="008000"/>
                <w:position w:val="7"/>
                <w:sz w:val="16"/>
                <w:sz w:val="20"/>
                <w:shd w:fill="FFFFFF" w:val="clear"/>
              </w:rPr>
              <w:t>(7)(8)</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SLTA IV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Silver Lake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Silver Lake Technology Associates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Silver Lake Partners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Silver Lake Technology Investors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SLTA SPV-2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SLTA SPV-2,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SL SPV-2,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7">
                    <w:r>
                      <w:rPr>
                        <w:rStyle w:val="InternetLink"/>
                      </w:rPr>
                      <w:t>Durban Egon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SL SPV-2, L.P. ("SPV-2"), Silver Lake Partners IV, L.P. ("SLP IV"), Silver Lake Partners V DE (AIV), L.P. ("SLP V") and certain of their respective affiliates sold certain shares of Class C Common Stock, par value $0.01 per share ("Class C Common Stock") of Dell Technologies Inc. (the "Issuer") on April 15, 2026 and April 16, 2026 and initiated in-kind distributions of shares of Class C Common Stock on April 16, 2026. The receipt of shares of Class C Common Stock by each of the Reporting Persons in connection with such distributions was exempt from reporting pursuant to Rule 16a-13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Class B Common Stock, par value $0.01 per share of the Issuer (the "Class B Common Stock") is convertible into one share of Class C Common Stock at any time, at the election of the holder or automatically upon certain transfers, and has no expiration date. On April 15, 2026 and April 16, 2026, certain of the Reporting Persons converted shares of Class B Common Stock into an equal number of shares of Class C Common Stock in connection with the sales and distributions described in footnote (1)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directly held by SPV-2. The general partner of SPV-2 is SLTA SPV-2, L.P. ("SLTA SPV") and the general partner of SLTA SPV is SLTA SPV-2 (GP), L.L.C. ("SLTA SPV GP").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securities are directly held by SLP IV. The general partner of SLP IV is Silver Lake Technology Associates IV, L.P. ("SLTA IV") and the general partner of SLTA IV is SLTA IV (GP), L.L.C. ("SLTA IV GP").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securities are directly held by SLP V. The general partner of SLP V is Silver Lake Technology Associates V, L.P. ("SLTA V") and the general partner of SLTA V is SLTA V (GP), L.L.C. ("SLTA V GP").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securities are directly held by Silver Lake Technology Investors IV, L.P. The general partner of Silver Lake Technology Investors IV, L.P. is SLTA IV and the general partner of SLTA IV is SLTA IV GP.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securities are directly held by Silver Lake Technology Investors V, L.P. The general partner of Silver Lake Technology Investors V, L.P. is SLTA V and the general partner of SLTA V is SLTA V GP.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Silver Lake Group, L.L.C. ("SLG") is the managing member of SLTA SPV GP, SLTA IV GP and SLTA V GP. Egon Durban, who serves as a director of the Issuer, also serves as a Co-CEO and Managing Member of SLG. Each of the Reporting Persons may be deemed a director by deputization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Reflects shares held by SLG. Shares held includes shares of Class C Common Stock received in connection with the pro rata distributions described herein on April 16, 2026. The receipt of such shares of Class C Common Stock was exempt from reporting pursuant to Rule 16a-13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These shares of Common Stock are held by entities in which Mr. Durban may be deemed to have an indirect pecuniary interest including shares received in connection with the distributions of shares of Class C Common Stock on April 16, 2026. The receipt of such shares of Class C Common Stock indirectly by Mr. Durban was exempt from reporting pursuant to Rule 16a-13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In connection with the distributions described in footnote (1) above, pro rata distributions of certain shares were initiated to certain employees and managing members of SLG or its affiliates, including Mr. Durban. This amount reflects 24,563, 14,785 and 90,357 shares held by SLTA SPV, SLTA V and SLG, respectively, on behalf of such individuals, including shares distributed in the April 16, 2026 distributions. The receipt of such shares of Class C Common Stock was exempt from reporting pursuant to Rule 16a-13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Represents shares of Class C Common Stock held by Mr. Durban immediately following the receipt of shares in connection with the distributions of shares of Class C Common Stock on April 16, 2026. The receipt of such shares of Class C Common Stock was exempt from reporting pursuant to Rule 16a-13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$193.46 to $193.75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Represents shares of Class C Common Stock beneficially owned indirectly by Mr. Durban through a trust for the benefit of certain family members, including shares received in connection with the distributions of shares of Class C Common Stock on April 16, 2026. The receipt of such shares of Class C Common Stock indirectly by Mr. Durban was exempt from reporting pursuant to Rule 16a-13 of the Exchange Act.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Because no more than 10 reporting persons can file any one Form 4 through the Securities and Exchange Commission's EDGAR system, certain affiliates of the Reporting Persons have filed a separate Form 4. Because no more than 30 transactions can be listed on each Table of the Form 4 filing, the Reporting Persons have filed separate Forms 4 reporting additional transactions.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IV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IV (GP), L.L.C., general partner of Silver Lake Technology Associates 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IV (GP), L.L.C., general partner of Silver Lake Technology Associates IV, L.P., general partner of Silver Lake Partners 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V (GP), L.L.C., gen. partner of Silver Lake Technology Associates V, L.P., gen. partner of Silver Lake Technology Investors 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SPV-2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SPV-2 (GP), L.L.C., general partner of SLTA SPV-2,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SPV-2 (GP), L.L.C., general partner of SLTA SPV-2, L.P., general partner of SL SPV-2,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Attorney-in-fact for Egon Durban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2568"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672568" TargetMode="External"/><Relationship Id="rId10" Type="http://schemas.openxmlformats.org/officeDocument/2006/relationships/hyperlink" Target="http://www.sec.gov/cgi-bin/browse-edgar?action=getcompany&amp;CIK=0001418226" TargetMode="External"/><Relationship Id="rId11" Type="http://schemas.openxmlformats.org/officeDocument/2006/relationships/hyperlink" Target="http://www.sec.gov/cgi-bin/browse-edgar?action=getcompany&amp;CIK=0001672566" TargetMode="External"/><Relationship Id="rId12" Type="http://schemas.openxmlformats.org/officeDocument/2006/relationships/hyperlink" Target="http://www.sec.gov/cgi-bin/browse-edgar?action=getcompany&amp;CIK=0001552054" TargetMode="External"/><Relationship Id="rId13" Type="http://schemas.openxmlformats.org/officeDocument/2006/relationships/hyperlink" Target="http://www.sec.gov/cgi-bin/browse-edgar?action=getcompany&amp;CIK=0001672565" TargetMode="External"/><Relationship Id="rId14" Type="http://schemas.openxmlformats.org/officeDocument/2006/relationships/hyperlink" Target="http://www.sec.gov/cgi-bin/browse-edgar?action=getcompany&amp;CIK=0001767116" TargetMode="External"/><Relationship Id="rId15" Type="http://schemas.openxmlformats.org/officeDocument/2006/relationships/hyperlink" Target="http://www.sec.gov/cgi-bin/browse-edgar?action=getcompany&amp;CIK=0001767115" TargetMode="External"/><Relationship Id="rId16" Type="http://schemas.openxmlformats.org/officeDocument/2006/relationships/hyperlink" Target="http://www.sec.gov/cgi-bin/browse-edgar?action=getcompany&amp;CIK=0001767114" TargetMode="External"/><Relationship Id="rId17" Type="http://schemas.openxmlformats.org/officeDocument/2006/relationships/hyperlink" Target="http://www.sec.gov/cgi-bin/browse-edgar?action=getcompany&amp;CIK=0001651403"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2476</Words>
  <Characters>12547</Characters>
  <CharactersWithSpaces>14678</CharactersWithSpaces>
  <Paragraphs>451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