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90"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26, 2025</w:t>
      </w:r>
    </w:p>
    <w:p>
      <w:pPr>
        <w:spacing w:after="0" w:line="3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Dell Technologies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ectPr>
          <w:pgSz w:w="11900" w:h="16838" w:orient="portrait"/>
          <w:cols w:equalWidth="0" w:num="1">
            <w:col w:w="11200"/>
          </w:cols>
          <w:pgMar w:left="320" w:top="1051" w:right="379" w:bottom="1440" w:gutter="0" w:footer="0" w:header="0"/>
        </w:sectPr>
      </w:pPr>
    </w:p>
    <w:p>
      <w:pPr>
        <w:spacing w:after="0" w:line="116"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001-37867</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80-0890963</w:t>
      </w:r>
    </w:p>
    <w:p>
      <w:pPr>
        <w:spacing w:after="0" w:line="12" w:lineRule="exact"/>
        <w:rPr>
          <w:sz w:val="24"/>
          <w:szCs w:val="24"/>
          <w:color w:val="auto"/>
        </w:rPr>
      </w:pPr>
    </w:p>
    <w:p>
      <w:pPr>
        <w:sectPr>
          <w:pgSz w:w="11900" w:h="16838" w:orient="portrait"/>
          <w:cols w:equalWidth="0" w:num="3">
            <w:col w:w="4500" w:space="720"/>
            <w:col w:w="3020" w:space="720"/>
            <w:col w:w="2240"/>
          </w:cols>
          <w:pgMar w:left="320" w:top="1051" w:right="37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920" w:space="720"/>
            <w:col w:w="2360"/>
          </w:cols>
          <w:pgMar w:left="320" w:top="1051" w:right="37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8"/>
          <w:szCs w:val="18"/>
          <w:b w:val="1"/>
          <w:bCs w:val="1"/>
          <w:color w:val="auto"/>
        </w:rPr>
        <w:t>One Dell Way</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Round Rock, Texas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78682</w:t>
      </w:r>
    </w:p>
    <w:p>
      <w:pPr>
        <w:spacing w:after="0" w:line="43" w:lineRule="exact"/>
        <w:rPr>
          <w:sz w:val="24"/>
          <w:szCs w:val="24"/>
          <w:color w:val="auto"/>
        </w:rPr>
      </w:pPr>
    </w:p>
    <w:p>
      <w:pPr>
        <w:sectPr>
          <w:pgSz w:w="11900" w:h="16838" w:orient="portrait"/>
          <w:cols w:equalWidth="0" w:num="2">
            <w:col w:w="7600" w:space="720"/>
            <w:col w:w="2880"/>
          </w:cols>
          <w:pgMar w:left="320" w:top="1051" w:right="37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480" w:space="720"/>
            <w:col w:w="3000"/>
          </w:cols>
          <w:pgMar w:left="320" w:top="1051"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289-3355</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19"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60" w:firstLine="26"/>
        <w:spacing w:after="0" w:line="375"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2980" w:type="dxa"/>
            <w:vAlign w:val="bottom"/>
            <w:gridSpan w:val="2"/>
          </w:tcPr>
          <w:p>
            <w:pPr>
              <w:jc w:val="center"/>
              <w:ind w:right="1680"/>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gridSpan w:val="3"/>
          </w:tcPr>
          <w:p>
            <w:pPr>
              <w:jc w:val="center"/>
              <w:ind w:right="60"/>
              <w:spacing w:after="0" w:line="195" w:lineRule="exact"/>
              <w:rPr>
                <w:sz w:val="20"/>
                <w:szCs w:val="20"/>
                <w:color w:val="auto"/>
              </w:rPr>
            </w:pPr>
            <w:r>
              <w:rPr>
                <w:rFonts w:ascii="Times New Roman" w:cs="Times New Roman" w:eastAsia="Times New Roman" w:hAnsi="Times New Roman"/>
                <w:sz w:val="18"/>
                <w:szCs w:val="18"/>
                <w:color w:val="auto"/>
                <w:w w:val="99"/>
              </w:rPr>
              <w:t>Trading Symbol(s)</w:t>
            </w:r>
          </w:p>
        </w:tc>
        <w:tc>
          <w:tcPr>
            <w:tcW w:w="3620" w:type="dxa"/>
            <w:vAlign w:val="bottom"/>
            <w:gridSpan w:val="2"/>
          </w:tcPr>
          <w:p>
            <w:pPr>
              <w:jc w:val="center"/>
              <w:ind w:left="330"/>
              <w:spacing w:after="0" w:line="195"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Class C Common Stock, par value $0.01 per share</w:t>
            </w:r>
          </w:p>
        </w:tc>
        <w:tc>
          <w:tcPr>
            <w:tcW w:w="380" w:type="dxa"/>
            <w:vAlign w:val="bottom"/>
          </w:tcPr>
          <w:p>
            <w:pPr>
              <w:spacing w:after="0"/>
              <w:rPr>
                <w:sz w:val="21"/>
                <w:szCs w:val="21"/>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DELL</w:t>
            </w:r>
          </w:p>
        </w:tc>
        <w:tc>
          <w:tcPr>
            <w:tcW w:w="42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17" w:lineRule="exact"/>
        <w:rPr>
          <w:sz w:val="24"/>
          <w:szCs w:val="24"/>
          <w:color w:val="auto"/>
        </w:rPr>
      </w:pPr>
    </w:p>
    <w:p>
      <w:pPr>
        <w:ind w:left="40" w:right="44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60"/>
        <w:spacing w:after="0" w:line="207" w:lineRule="exact"/>
        <w:tabs>
          <w:tab w:leader="none" w:pos="11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40" w:right="100"/>
        <w:spacing w:after="0" w:line="20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360" w:firstLine="8"/>
        <w:spacing w:after="0" w:line="250"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26, 2025, Dell Technologies Inc. (the “Company”) held its 2025 annual meeting of stockholders (the “2025 annual meeting”). At the 2025 annual meeting, the Company’s stockholders voted on three proposals. The proposals are described in the Company’s definitive proxy statement on Schedule 14A for the 2025 annual meeting filed with the Securities and Exchange Commission on May 16, 2025 (the “2025 proxy statement”).</w:t>
      </w:r>
    </w:p>
    <w:p>
      <w:pPr>
        <w:spacing w:after="0" w:line="203" w:lineRule="exact"/>
        <w:rPr>
          <w:rFonts w:ascii="Times New Roman" w:cs="Times New Roman" w:eastAsia="Times New Roman" w:hAnsi="Times New Roman"/>
          <w:sz w:val="18"/>
          <w:szCs w:val="18"/>
          <w:b w:val="1"/>
          <w:bCs w:val="1"/>
          <w:color w:val="auto"/>
        </w:rPr>
      </w:pPr>
    </w:p>
    <w:p>
      <w:pPr>
        <w:ind w:right="14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record date for the 2025 annual meeting, an aggregate of 683,477,567 shares of the Company’s common stock were outstanding and entitled to vote at the meeting, of which 276,762,341 are shares of Class A common stock, 62,368,123 are shares of Class B common stock and 344,347,103 are shares of Class C common stock.</w:t>
      </w:r>
    </w:p>
    <w:p>
      <w:pPr>
        <w:spacing w:after="0" w:line="20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Each share of Class A common stock and each share of Class B common stock is entitled to ten votes per share. Each share of Class C common stock is entitled to one vote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with respect to each proposal voted upon at the 2025 annual meeting are set forth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5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holders of the outstanding shares of all outstanding series of the Company’s common stock, voting together as a single class, elected to the Board of Directors of the Company each of the seven nominees for Group I director, and the holders of the Company’s outstanding Class C common stock, voting separately as a series, elected to the Board of Directors of the Company the nominee for Group IV director, each as specified in the 2025 proxy statement, based on the following numbers of votes: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Group I Director Nominee</w:t>
            </w:r>
          </w:p>
        </w:tc>
        <w:tc>
          <w:tcPr>
            <w:tcW w:w="246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4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3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 Dell</w:t>
            </w:r>
          </w:p>
        </w:tc>
        <w:tc>
          <w:tcPr>
            <w:tcW w:w="24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3,544,788,598</w:t>
            </w:r>
          </w:p>
        </w:tc>
        <w:tc>
          <w:tcPr>
            <w:tcW w:w="240" w:type="dxa"/>
            <w:vAlign w:val="bottom"/>
            <w:shd w:val="clear" w:color="auto" w:fill="CCEEFF"/>
          </w:tcPr>
          <w:p>
            <w:pPr>
              <w:spacing w:after="0"/>
              <w:rPr>
                <w:sz w:val="21"/>
                <w:szCs w:val="21"/>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66,364,803</w:t>
            </w:r>
          </w:p>
        </w:tc>
        <w:tc>
          <w:tcPr>
            <w:tcW w:w="24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73,210,054</w:t>
            </w:r>
          </w:p>
        </w:tc>
      </w:tr>
      <w:tr>
        <w:trPr>
          <w:trHeight w:val="257"/>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W. Dorman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3,543,041,550</w:t>
            </w:r>
          </w:p>
        </w:tc>
        <w:tc>
          <w:tcPr>
            <w:tcW w:w="240" w:type="dxa"/>
            <w:vAlign w:val="bottom"/>
          </w:tcPr>
          <w:p>
            <w:pPr>
              <w:spacing w:after="0"/>
              <w:rPr>
                <w:sz w:val="22"/>
                <w:szCs w:val="2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68,111,851</w:t>
            </w:r>
          </w:p>
        </w:tc>
        <w:tc>
          <w:tcPr>
            <w:tcW w:w="24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73,210,054</w:t>
            </w:r>
          </w:p>
        </w:tc>
      </w:tr>
      <w:tr>
        <w:trPr>
          <w:trHeight w:val="257"/>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Egon Durban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3,603,465,577</w:t>
            </w:r>
          </w:p>
        </w:tc>
        <w:tc>
          <w:tcPr>
            <w:tcW w:w="240" w:type="dxa"/>
            <w:vAlign w:val="bottom"/>
            <w:shd w:val="clear" w:color="auto" w:fill="CCEEFF"/>
          </w:tcPr>
          <w:p>
            <w:pPr>
              <w:spacing w:after="0"/>
              <w:rPr>
                <w:sz w:val="22"/>
                <w:szCs w:val="22"/>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7,687,824</w:t>
            </w:r>
          </w:p>
        </w:tc>
        <w:tc>
          <w:tcPr>
            <w:tcW w:w="24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73,210,054</w:t>
            </w:r>
          </w:p>
        </w:tc>
      </w:tr>
      <w:tr>
        <w:trPr>
          <w:trHeight w:val="25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Grain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3,608,557,948</w:t>
            </w:r>
          </w:p>
        </w:tc>
        <w:tc>
          <w:tcPr>
            <w:tcW w:w="240" w:type="dxa"/>
            <w:vAlign w:val="bottom"/>
          </w:tcPr>
          <w:p>
            <w:pPr>
              <w:spacing w:after="0"/>
              <w:rPr>
                <w:sz w:val="22"/>
                <w:szCs w:val="2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2,595,453</w:t>
            </w:r>
          </w:p>
        </w:tc>
        <w:tc>
          <w:tcPr>
            <w:tcW w:w="24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73,210,054</w:t>
            </w:r>
          </w:p>
        </w:tc>
      </w:tr>
      <w:tr>
        <w:trPr>
          <w:trHeight w:val="257"/>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D. Green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3,601,725,828</w:t>
            </w:r>
          </w:p>
        </w:tc>
        <w:tc>
          <w:tcPr>
            <w:tcW w:w="240" w:type="dxa"/>
            <w:vAlign w:val="bottom"/>
            <w:shd w:val="clear" w:color="auto" w:fill="CCEEFF"/>
          </w:tcPr>
          <w:p>
            <w:pPr>
              <w:spacing w:after="0"/>
              <w:rPr>
                <w:sz w:val="22"/>
                <w:szCs w:val="22"/>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9,427,573</w:t>
            </w:r>
          </w:p>
        </w:tc>
        <w:tc>
          <w:tcPr>
            <w:tcW w:w="24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73,210,054</w:t>
            </w:r>
          </w:p>
        </w:tc>
      </w:tr>
      <w:tr>
        <w:trPr>
          <w:trHeight w:val="25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J. Kullman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3,515,894,386</w:t>
            </w:r>
          </w:p>
        </w:tc>
        <w:tc>
          <w:tcPr>
            <w:tcW w:w="240" w:type="dxa"/>
            <w:vAlign w:val="bottom"/>
          </w:tcPr>
          <w:p>
            <w:pPr>
              <w:spacing w:after="0"/>
              <w:rPr>
                <w:sz w:val="22"/>
                <w:szCs w:val="2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95,259,015</w:t>
            </w:r>
          </w:p>
        </w:tc>
        <w:tc>
          <w:tcPr>
            <w:tcW w:w="24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73,210,054</w:t>
            </w:r>
          </w:p>
        </w:tc>
      </w:tr>
      <w:tr>
        <w:trPr>
          <w:trHeight w:val="257"/>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M. Mollenkopf</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3,603,570,745</w:t>
            </w:r>
          </w:p>
        </w:tc>
        <w:tc>
          <w:tcPr>
            <w:tcW w:w="240" w:type="dxa"/>
            <w:vAlign w:val="bottom"/>
            <w:shd w:val="clear" w:color="auto" w:fill="CCEEFF"/>
          </w:tcPr>
          <w:p>
            <w:pPr>
              <w:spacing w:after="0"/>
              <w:rPr>
                <w:sz w:val="22"/>
                <w:szCs w:val="22"/>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7,582,656</w:t>
            </w:r>
          </w:p>
        </w:tc>
        <w:tc>
          <w:tcPr>
            <w:tcW w:w="24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73,210,054</w:t>
            </w:r>
          </w:p>
        </w:tc>
      </w:tr>
      <w:tr>
        <w:trPr>
          <w:trHeight w:val="30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Group IV Director Nominee</w:t>
            </w:r>
          </w:p>
        </w:tc>
        <w:tc>
          <w:tcPr>
            <w:tcW w:w="246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4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406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Lynn Vojvodich Radakovich</w:t>
            </w:r>
          </w:p>
        </w:tc>
        <w:tc>
          <w:tcPr>
            <w:tcW w:w="240" w:type="dxa"/>
            <w:vAlign w:val="bottom"/>
            <w:tcBorders>
              <w:top w:val="single" w:sz="8" w:color="CCEEFF"/>
            </w:tcBorders>
            <w:shd w:val="clear" w:color="auto" w:fill="CCEEFF"/>
          </w:tcPr>
          <w:p>
            <w:pPr>
              <w:spacing w:after="0"/>
              <w:rPr>
                <w:sz w:val="21"/>
                <w:szCs w:val="21"/>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214,850,631</w:t>
            </w:r>
          </w:p>
        </w:tc>
        <w:tc>
          <w:tcPr>
            <w:tcW w:w="240" w:type="dxa"/>
            <w:vAlign w:val="bottom"/>
            <w:tcBorders>
              <w:top w:val="single" w:sz="8" w:color="CCEEFF"/>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5,371,779</w:t>
            </w:r>
          </w:p>
        </w:tc>
        <w:tc>
          <w:tcPr>
            <w:tcW w:w="240" w:type="dxa"/>
            <w:vAlign w:val="bottom"/>
            <w:tcBorders>
              <w:top w:val="single" w:sz="8" w:color="CCEEFF"/>
            </w:tcBorders>
            <w:shd w:val="clear" w:color="auto" w:fill="CCEEFF"/>
          </w:tcPr>
          <w:p>
            <w:pPr>
              <w:spacing w:after="0"/>
              <w:rPr>
                <w:sz w:val="21"/>
                <w:szCs w:val="21"/>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73,210,054</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abstentions with respect to this proposal.</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Each nominee elected to the Board of Directors at the 2025 annual meeting as a Group I director or Group IV director was elected for a term commencing on the date of the 2025 annual meeting and ending on the earlier of the date on which the director’s successor is elected and qualified and the date of the director’s death, resignation, disqualification or removal.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holders of the outstanding shares of all outstanding series of the Company’s common stock, voting together as a single class, ratified the appointment of PricewaterhouseCoopers LLP as the Company’s independent registered public accounting firm for the Company’s fiscal year ending January 30, 2026, based on the following numbers of votes: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w:t>
            </w: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4"/>
        </w:trPr>
        <w:tc>
          <w:tcPr>
            <w:tcW w:w="35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3,665,524,612</w:t>
            </w:r>
          </w:p>
        </w:tc>
        <w:tc>
          <w:tcPr>
            <w:tcW w:w="240" w:type="dxa"/>
            <w:vAlign w:val="bottom"/>
            <w:shd w:val="clear" w:color="auto" w:fill="CCEEFF"/>
          </w:tcPr>
          <w:p>
            <w:pPr>
              <w:spacing w:after="0"/>
              <w:rPr>
                <w:sz w:val="19"/>
                <w:szCs w:val="19"/>
                <w:color w:val="auto"/>
              </w:rPr>
            </w:pPr>
          </w:p>
        </w:tc>
        <w:tc>
          <w:tcPr>
            <w:tcW w:w="3580" w:type="dxa"/>
            <w:vAlign w:val="bottom"/>
            <w:shd w:val="clear" w:color="auto" w:fill="CCEEFF"/>
          </w:tcPr>
          <w:p>
            <w:pPr>
              <w:jc w:val="right"/>
              <w:ind w:right="1319"/>
              <w:spacing w:after="0"/>
              <w:rPr>
                <w:sz w:val="20"/>
                <w:szCs w:val="20"/>
                <w:color w:val="auto"/>
              </w:rPr>
            </w:pPr>
            <w:r>
              <w:rPr>
                <w:rFonts w:ascii="Times New Roman" w:cs="Times New Roman" w:eastAsia="Times New Roman" w:hAnsi="Times New Roman"/>
                <w:sz w:val="18"/>
                <w:szCs w:val="18"/>
                <w:color w:val="auto"/>
              </w:rPr>
              <w:t>18,493,376</w:t>
            </w:r>
          </w:p>
        </w:tc>
        <w:tc>
          <w:tcPr>
            <w:tcW w:w="240" w:type="dxa"/>
            <w:vAlign w:val="bottom"/>
            <w:shd w:val="clear" w:color="auto" w:fill="CCEEFF"/>
          </w:tcPr>
          <w:p>
            <w:pPr>
              <w:spacing w:after="0"/>
              <w:rPr>
                <w:sz w:val="19"/>
                <w:szCs w:val="19"/>
                <w:color w:val="auto"/>
              </w:rPr>
            </w:pPr>
          </w:p>
        </w:tc>
        <w:tc>
          <w:tcPr>
            <w:tcW w:w="356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8"/>
                <w:szCs w:val="18"/>
                <w:color w:val="auto"/>
              </w:rPr>
              <w:t>345,467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broker non-votes with respect to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5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holders of the outstanding shares of all outstanding series of the Company’s common stock, voting together as a single class, approved, by a non-binding, advisory vote, the compensation of the Company’s named executive officers as disclosed in the 2025 proxy statement, based on the following numbers of votes: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23"/>
        </w:trPr>
        <w:tc>
          <w:tcPr>
            <w:tcW w:w="26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3,593,379,725</w:t>
            </w:r>
          </w:p>
        </w:tc>
        <w:tc>
          <w:tcPr>
            <w:tcW w:w="240" w:type="dxa"/>
            <w:vAlign w:val="bottom"/>
            <w:shd w:val="clear" w:color="auto" w:fill="CCEEFF"/>
          </w:tcPr>
          <w:p>
            <w:pPr>
              <w:spacing w:after="0"/>
              <w:rPr>
                <w:sz w:val="19"/>
                <w:szCs w:val="19"/>
                <w:color w:val="auto"/>
              </w:rPr>
            </w:pPr>
          </w:p>
        </w:tc>
        <w:tc>
          <w:tcPr>
            <w:tcW w:w="26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17,280,254</w:t>
            </w:r>
          </w:p>
        </w:tc>
        <w:tc>
          <w:tcPr>
            <w:tcW w:w="260" w:type="dxa"/>
            <w:vAlign w:val="bottom"/>
            <w:shd w:val="clear" w:color="auto" w:fill="CCEEFF"/>
          </w:tcPr>
          <w:p>
            <w:pPr>
              <w:spacing w:after="0"/>
              <w:rPr>
                <w:sz w:val="19"/>
                <w:szCs w:val="19"/>
                <w:color w:val="auto"/>
              </w:rPr>
            </w:pPr>
          </w:p>
        </w:tc>
        <w:tc>
          <w:tcPr>
            <w:tcW w:w="260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493,422</w:t>
            </w:r>
          </w:p>
        </w:tc>
        <w:tc>
          <w:tcPr>
            <w:tcW w:w="240" w:type="dxa"/>
            <w:vAlign w:val="bottom"/>
            <w:shd w:val="clear" w:color="auto" w:fill="CCEEFF"/>
          </w:tcPr>
          <w:p>
            <w:pPr>
              <w:spacing w:after="0"/>
              <w:rPr>
                <w:sz w:val="19"/>
                <w:szCs w:val="19"/>
                <w:color w:val="auto"/>
              </w:rPr>
            </w:pPr>
          </w:p>
        </w:tc>
        <w:tc>
          <w:tcPr>
            <w:tcW w:w="266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73,210,054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87" w:right="37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July 1, 2025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Dell Technologies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17145</wp:posOffset>
            </wp:positionV>
            <wp:extent cx="3291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3">
            <w:col w:w="4900" w:space="720"/>
            <w:col w:w="1720" w:space="400"/>
            <w:col w:w="3460"/>
          </w:cols>
          <w:pgMar w:left="320" w:top="887" w:right="379" w:bottom="1440" w:gutter="0" w:footer="0" w:header="0"/>
          <w:type w:val="continuous"/>
        </w:sectPr>
      </w:pPr>
    </w:p>
    <w:p>
      <w:pPr>
        <w:jc w:val="center"/>
        <w:ind w:left="6040"/>
        <w:spacing w:after="0"/>
        <w:rPr>
          <w:sz w:val="20"/>
          <w:szCs w:val="20"/>
          <w:color w:val="auto"/>
        </w:rPr>
      </w:pPr>
      <w:r>
        <w:rPr>
          <w:rFonts w:ascii="Times New Roman" w:cs="Times New Roman" w:eastAsia="Times New Roman" w:hAnsi="Times New Roman"/>
          <w:sz w:val="18"/>
          <w:szCs w:val="18"/>
          <w:color w:val="auto"/>
        </w:rPr>
        <w:t>Christopher A. Garcia</w:t>
      </w:r>
    </w:p>
    <w:p>
      <w:pPr>
        <w:jc w:val="center"/>
        <w:ind w:left="6040"/>
        <w:spacing w:after="0"/>
        <w:rPr>
          <w:sz w:val="20"/>
          <w:szCs w:val="20"/>
          <w:color w:val="auto"/>
        </w:rPr>
      </w:pPr>
      <w:r>
        <w:rPr>
          <w:rFonts w:ascii="Times New Roman" w:cs="Times New Roman" w:eastAsia="Times New Roman" w:hAnsi="Times New Roman"/>
          <w:sz w:val="17"/>
          <w:szCs w:val="17"/>
          <w:color w:val="auto"/>
        </w:rPr>
        <w:t>Senior Vice President and Assistant Secretary</w:t>
      </w:r>
    </w:p>
    <w:p>
      <w:pPr>
        <w:spacing w:after="0" w:line="2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sectPr>
      <w:pgSz w:w="11900" w:h="16838" w:orient="portrait"/>
      <w:cols w:equalWidth="0" w:num="1">
        <w:col w:w="11200"/>
      </w:cols>
      <w:pgMar w:left="320" w:top="88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2025-07-01T07:09:08Z</dcterms:created>
  <dcterms:modified xsi:type="dcterms:W3CDTF">2025-07-01T07:09:08Z</dcterms:modified>
</cp:coreProperties>
</file>