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333-296691</w:t>
      </w:r>
    </w:p>
    <w:p>
      <w:pPr>
        <w:spacing w:after="0" w:line="290"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180" w:type="dxa"/>
            <w:vAlign w:val="bottom"/>
            <w:vMerge w:val="restart"/>
            <w:textDirection w:val="btLr"/>
          </w:tcPr>
          <w:p>
            <w:pPr>
              <w:ind w:left="77"/>
              <w:spacing w:after="0"/>
              <w:rPr>
                <w:sz w:val="20"/>
                <w:szCs w:val="20"/>
                <w:color w:val="auto"/>
              </w:rPr>
            </w:pPr>
            <w:r>
              <w:rPr>
                <w:rFonts w:ascii="Times New Roman" w:cs="Times New Roman" w:eastAsia="Times New Roman" w:hAnsi="Times New Roman"/>
                <w:sz w:val="9"/>
                <w:szCs w:val="9"/>
                <w:b w:val="1"/>
                <w:bCs w:val="1"/>
                <w:color w:val="FF4338"/>
                <w:w w:val="71"/>
              </w:rPr>
              <w:t>theaccompanying</w:t>
            </w:r>
          </w:p>
        </w:tc>
        <w:tc>
          <w:tcPr>
            <w:tcW w:w="680" w:type="dxa"/>
            <w:vAlign w:val="bottom"/>
            <w:vMerge w:val="restart"/>
            <w:textDirection w:val="btLr"/>
          </w:tcPr>
          <w:p>
            <w:pPr>
              <w:ind w:left="133"/>
              <w:spacing w:after="0"/>
              <w:rPr>
                <w:sz w:val="20"/>
                <w:szCs w:val="20"/>
                <w:color w:val="auto"/>
              </w:rPr>
            </w:pPr>
            <w:r>
              <w:rPr>
                <w:rFonts w:ascii="Times New Roman" w:cs="Times New Roman" w:eastAsia="Times New Roman" w:hAnsi="Times New Roman"/>
                <w:sz w:val="10"/>
                <w:szCs w:val="10"/>
                <w:b w:val="1"/>
                <w:bCs w:val="1"/>
                <w:color w:val="FF4338"/>
                <w:w w:val="73"/>
              </w:rPr>
              <w:t>isnotpermitted.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19"/>
          </w:tcPr>
          <w:p>
            <w:pPr>
              <w:jc w:val="center"/>
              <w:spacing w:after="0"/>
              <w:rPr>
                <w:sz w:val="20"/>
                <w:szCs w:val="20"/>
                <w:color w:val="auto"/>
              </w:rPr>
            </w:pPr>
            <w:r>
              <w:rPr>
                <w:rFonts w:ascii="Times New Roman" w:cs="Times New Roman" w:eastAsia="Times New Roman" w:hAnsi="Times New Roman"/>
                <w:sz w:val="16"/>
                <w:szCs w:val="16"/>
                <w:b w:val="1"/>
                <w:bCs w:val="1"/>
                <w:color w:val="FF4338"/>
              </w:rPr>
              <w:t>Subject to Completion, dated June 11, 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7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76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 Prospectus dated June 11, 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and</w:t>
            </w:r>
          </w:p>
        </w:tc>
        <w:tc>
          <w:tcPr>
            <w:tcW w:w="68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6"/>
              </w:rPr>
              <w:t>sale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40" w:type="dxa"/>
            <w:vAlign w:val="bottom"/>
            <w:gridSpan w:val="32"/>
            <w:vMerge w:val="restart"/>
          </w:tcPr>
          <w:p>
            <w:pPr>
              <w:jc w:val="center"/>
              <w:ind w:left="86"/>
              <w:spacing w:after="0"/>
              <w:rPr>
                <w:sz w:val="20"/>
                <w:szCs w:val="20"/>
                <w:color w:val="auto"/>
              </w:rPr>
            </w:pPr>
            <w:r>
              <w:rPr>
                <w:rFonts w:ascii="Times New Roman" w:cs="Times New Roman" w:eastAsia="Times New Roman" w:hAnsi="Times New Roman"/>
                <w:sz w:val="29"/>
                <w:szCs w:val="29"/>
                <w:b w:val="1"/>
                <w:bCs w:val="1"/>
                <w:color w:val="auto"/>
                <w:w w:val="99"/>
              </w:rPr>
              <w:t>Dell International L.L.C. and EMC Corporation</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0" w:type="dxa"/>
            <w:vAlign w:val="bottom"/>
            <w:vMerge w:val="restart"/>
            <w:textDirection w:val="btLr"/>
          </w:tcPr>
          <w:p>
            <w:pPr>
              <w:ind w:left="88"/>
              <w:spacing w:after="0"/>
              <w:rPr>
                <w:sz w:val="20"/>
                <w:szCs w:val="20"/>
                <w:color w:val="auto"/>
              </w:rPr>
            </w:pPr>
            <w:r>
              <w:rPr>
                <w:rFonts w:ascii="Times New Roman" w:cs="Times New Roman" w:eastAsia="Times New Roman" w:hAnsi="Times New Roman"/>
                <w:sz w:val="8"/>
                <w:szCs w:val="8"/>
                <w:b w:val="1"/>
                <w:bCs w:val="1"/>
                <w:color w:val="FF4338"/>
                <w:w w:val="75"/>
              </w:rPr>
              <w:t>supplement</w:t>
            </w:r>
          </w:p>
        </w:tc>
        <w:tc>
          <w:tcPr>
            <w:tcW w:w="680" w:type="dxa"/>
            <w:vAlign w:val="bottom"/>
            <w:vMerge w:val="restart"/>
            <w:textDirection w:val="btLr"/>
          </w:tcPr>
          <w:p>
            <w:pPr>
              <w:ind w:left="145"/>
              <w:spacing w:after="0"/>
              <w:rPr>
                <w:sz w:val="20"/>
                <w:szCs w:val="20"/>
                <w:color w:val="auto"/>
              </w:rPr>
            </w:pPr>
            <w:r>
              <w:rPr>
                <w:rFonts w:ascii="Times New Roman" w:cs="Times New Roman" w:eastAsia="Times New Roman" w:hAnsi="Times New Roman"/>
                <w:sz w:val="9"/>
                <w:szCs w:val="9"/>
                <w:b w:val="1"/>
                <w:bCs w:val="1"/>
                <w:color w:val="FF4338"/>
                <w:w w:val="76"/>
              </w:rPr>
              <w:t>theofferor</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540" w:type="dxa"/>
            <w:vAlign w:val="bottom"/>
            <w:gridSpan w:val="32"/>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9"/>
            <w:vMerge w:val="restart"/>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as Co-Issuers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9"/>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b w:val="1"/>
                <w:bCs w:val="1"/>
                <w:color w:val="auto"/>
              </w:rPr>
              <w:t xml:space="preserve">$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79"/>
              </w:rPr>
              <w:t> </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180" w:type="dxa"/>
            <w:vAlign w:val="bottom"/>
            <w:gridSpan w:val="1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Senior Notes due 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 </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89"/>
              </w:rPr>
              <w:t> </w:t>
            </w:r>
          </w:p>
        </w:tc>
        <w:tc>
          <w:tcPr>
            <w:tcW w:w="2180" w:type="dxa"/>
            <w:vAlign w:val="bottom"/>
            <w:gridSpan w:val="12"/>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   % Senior Notes due 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80" w:type="dxa"/>
            <w:vAlign w:val="bottom"/>
            <w:vMerge w:val="restart"/>
            <w:textDirection w:val="btLr"/>
          </w:tcPr>
          <w:p>
            <w:pPr>
              <w:ind w:left="134"/>
              <w:spacing w:after="0"/>
              <w:rPr>
                <w:sz w:val="20"/>
                <w:szCs w:val="20"/>
                <w:color w:val="auto"/>
              </w:rPr>
            </w:pPr>
            <w:r>
              <w:rPr>
                <w:rFonts w:ascii="Times New Roman" w:cs="Times New Roman" w:eastAsia="Times New Roman" w:hAnsi="Times New Roman"/>
                <w:sz w:val="4"/>
                <w:szCs w:val="4"/>
                <w:b w:val="1"/>
                <w:bCs w:val="1"/>
                <w:color w:val="FF4338"/>
                <w:w w:val="94"/>
              </w:rPr>
              <w:t>bechanged.Thispreliminaryprospectus</w:t>
            </w:r>
          </w:p>
        </w:tc>
        <w:tc>
          <w:tcPr>
            <w:tcW w:w="680" w:type="dxa"/>
            <w:vAlign w:val="bottom"/>
            <w:vMerge w:val="restart"/>
            <w:textDirection w:val="btLr"/>
          </w:tcPr>
          <w:p>
            <w:pPr>
              <w:ind w:left="202"/>
              <w:spacing w:after="0"/>
              <w:rPr>
                <w:sz w:val="20"/>
                <w:szCs w:val="20"/>
                <w:color w:val="auto"/>
              </w:rPr>
            </w:pPr>
            <w:r>
              <w:rPr>
                <w:rFonts w:ascii="Times New Roman" w:cs="Times New Roman" w:eastAsia="Times New Roman" w:hAnsi="Times New Roman"/>
                <w:sz w:val="4"/>
                <w:szCs w:val="4"/>
                <w:b w:val="1"/>
                <w:bCs w:val="1"/>
                <w:color w:val="FF4338"/>
                <w:w w:val="96"/>
              </w:rPr>
              <w:t>thesesecuritiesinanyjurisdictionwhere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b w:val="1"/>
                <w:bCs w:val="1"/>
                <w:color w:val="auto"/>
              </w:rPr>
              <w:t xml:space="preserve">$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79"/>
              </w:rPr>
              <w:t> </w:t>
            </w: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180" w:type="dxa"/>
            <w:vAlign w:val="bottom"/>
            <w:gridSpan w:val="1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Senior Notes due 20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We may redeem some or all of the 20 </w:t>
            </w:r>
          </w:p>
        </w:tc>
        <w:tc>
          <w:tcPr>
            <w:tcW w:w="64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w w:val="92"/>
              </w:rPr>
              <w:t>(the date that is </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2080" w:type="dxa"/>
            <w:vAlign w:val="bottom"/>
            <w:gridSpan w:val="8"/>
            <w:vMerge w:val="restart"/>
          </w:tcPr>
          <w:p>
            <w:pPr>
              <w:ind w:left="120"/>
              <w:spacing w:after="0"/>
              <w:rPr>
                <w:sz w:val="20"/>
                <w:szCs w:val="20"/>
                <w:color w:val="auto"/>
              </w:rPr>
            </w:pPr>
            <w:r>
              <w:rPr>
                <w:rFonts w:ascii="Times New Roman" w:cs="Times New Roman" w:eastAsia="Times New Roman" w:hAnsi="Times New Roman"/>
                <w:sz w:val="16"/>
                <w:szCs w:val="16"/>
                <w:color w:val="auto"/>
              </w:rPr>
              <w:t>months prior to the maturity</w:t>
            </w:r>
          </w:p>
        </w:tc>
        <w:tc>
          <w:tcPr>
            <w:tcW w:w="0" w:type="dxa"/>
            <w:vAlign w:val="bottom"/>
          </w:tcPr>
          <w:p>
            <w:pPr>
              <w:spacing w:after="0"/>
              <w:rPr>
                <w:sz w:val="1"/>
                <w:szCs w:val="1"/>
                <w:color w:val="auto"/>
              </w:rPr>
            </w:pPr>
          </w:p>
        </w:tc>
      </w:tr>
      <w:tr>
        <w:trPr>
          <w:trHeight w:val="106"/>
        </w:trPr>
        <w:tc>
          <w:tcPr>
            <w:tcW w:w="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700" w:type="dxa"/>
            <w:vAlign w:val="bottom"/>
            <w:gridSpan w:val="12"/>
          </w:tcPr>
          <w:p>
            <w:pPr>
              <w:ind w:left="20"/>
              <w:spacing w:after="0" w:line="106" w:lineRule="exact"/>
              <w:rPr>
                <w:sz w:val="20"/>
                <w:szCs w:val="20"/>
                <w:color w:val="auto"/>
              </w:rPr>
            </w:pPr>
            <w:r>
              <w:rPr>
                <w:rFonts w:ascii="Times New Roman" w:cs="Times New Roman" w:eastAsia="Times New Roman" w:hAnsi="Times New Roman"/>
                <w:sz w:val="12"/>
                <w:szCs w:val="12"/>
                <w:color w:val="auto"/>
              </w:rPr>
              <w:t>notes at any time prior to </w:t>
            </w:r>
          </w:p>
        </w:tc>
        <w:tc>
          <w:tcPr>
            <w:tcW w:w="40" w:type="dxa"/>
            <w:vAlign w:val="bottom"/>
          </w:tcPr>
          <w:p>
            <w:pPr>
              <w:spacing w:after="0"/>
              <w:rPr>
                <w:sz w:val="9"/>
                <w:szCs w:val="9"/>
                <w:color w:val="auto"/>
              </w:rPr>
            </w:pPr>
          </w:p>
        </w:tc>
        <w:tc>
          <w:tcPr>
            <w:tcW w:w="180" w:type="dxa"/>
            <w:vAlign w:val="bottom"/>
          </w:tcPr>
          <w:p>
            <w:pPr>
              <w:jc w:val="right"/>
              <w:ind w:right="17"/>
              <w:spacing w:after="0" w:line="106" w:lineRule="exact"/>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40"/>
              <w:spacing w:after="0" w:line="106" w:lineRule="exact"/>
              <w:rPr>
                <w:sz w:val="20"/>
                <w:szCs w:val="20"/>
                <w:color w:val="auto"/>
              </w:rPr>
            </w:pPr>
            <w:r>
              <w:rPr>
                <w:rFonts w:ascii="Times New Roman" w:cs="Times New Roman" w:eastAsia="Times New Roman" w:hAnsi="Times New Roman"/>
                <w:sz w:val="12"/>
                <w:szCs w:val="12"/>
                <w:color w:val="auto"/>
              </w:rPr>
              <w:t xml:space="preserve">    </w:t>
            </w:r>
          </w:p>
        </w:tc>
        <w:tc>
          <w:tcPr>
            <w:tcW w:w="420" w:type="dxa"/>
            <w:vAlign w:val="bottom"/>
            <w:gridSpan w:val="2"/>
          </w:tcPr>
          <w:p>
            <w:pPr>
              <w:jc w:val="right"/>
              <w:ind w:right="100"/>
              <w:spacing w:after="0" w:line="106" w:lineRule="exact"/>
              <w:rPr>
                <w:sz w:val="20"/>
                <w:szCs w:val="20"/>
                <w:color w:val="auto"/>
              </w:rPr>
            </w:pPr>
            <w:r>
              <w:rPr>
                <w:rFonts w:ascii="Times New Roman" w:cs="Times New Roman" w:eastAsia="Times New Roman" w:hAnsi="Times New Roman"/>
                <w:sz w:val="12"/>
                <w:szCs w:val="12"/>
                <w:color w:val="auto"/>
                <w:w w:val="99"/>
              </w:rPr>
              <w:t>, 20 </w:t>
            </w:r>
          </w:p>
        </w:tc>
        <w:tc>
          <w:tcPr>
            <w:tcW w:w="1100" w:type="dxa"/>
            <w:vAlign w:val="bottom"/>
            <w:gridSpan w:val="6"/>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6"/>
              </w:rPr>
              <w:t>We are offering $  </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22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xml:space="preserve">aggregate principal amount of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16"/>
                <w:szCs w:val="16"/>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5"/>
                <w:szCs w:val="5"/>
                <w:color w:val="auto"/>
                <w:w w:val="79"/>
              </w:rPr>
              <w:t> </w:t>
            </w:r>
          </w:p>
        </w:tc>
        <w:tc>
          <w:tcPr>
            <w:tcW w:w="154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2"/>
              </w:rPr>
              <w:t>% Senior Notes due 20 </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1"/>
              </w:rPr>
              <w:t>(the “20 </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xml:space="preserve">notes”), $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aggregate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principal amount of        </w:t>
            </w:r>
          </w:p>
        </w:tc>
        <w:tc>
          <w:tcPr>
            <w:tcW w:w="20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w w:val="97"/>
              </w:rPr>
              <w:t>   % Senior Notes due 20  </w:t>
            </w: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6"/>
          </w:tcPr>
          <w:p>
            <w:pPr>
              <w:jc w:val="right"/>
              <w:ind w:right="37"/>
              <w:spacing w:after="0"/>
              <w:rPr>
                <w:sz w:val="20"/>
                <w:szCs w:val="20"/>
                <w:color w:val="auto"/>
              </w:rPr>
            </w:pPr>
            <w:r>
              <w:rPr>
                <w:rFonts w:ascii="Times New Roman" w:cs="Times New Roman" w:eastAsia="Times New Roman" w:hAnsi="Times New Roman"/>
                <w:sz w:val="16"/>
                <w:szCs w:val="16"/>
                <w:color w:val="auto"/>
                <w:w w:val="80"/>
              </w:rPr>
              <w:t>   (the “20 </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1200" w:type="dxa"/>
            <w:vAlign w:val="bottom"/>
            <w:gridSpan w:val="6"/>
          </w:tcPr>
          <w:p>
            <w:pPr>
              <w:jc w:val="right"/>
              <w:ind w:right="23"/>
              <w:spacing w:after="0"/>
              <w:rPr>
                <w:sz w:val="20"/>
                <w:szCs w:val="20"/>
                <w:color w:val="auto"/>
              </w:rPr>
            </w:pPr>
            <w:r>
              <w:rPr>
                <w:rFonts w:ascii="Times New Roman" w:cs="Times New Roman" w:eastAsia="Times New Roman" w:hAnsi="Times New Roman"/>
                <w:sz w:val="16"/>
                <w:szCs w:val="16"/>
                <w:color w:val="auto"/>
                <w:w w:val="83"/>
              </w:rPr>
              <w:t>   notes”) and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256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   aggregate principal amount of</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w w:val="91"/>
              </w:rPr>
              <w:t>   % Senior Notes due 20 </w:t>
            </w:r>
          </w:p>
        </w:tc>
        <w:tc>
          <w:tcPr>
            <w:tcW w:w="7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85"/>
              </w:rPr>
              <w:t>(the “20 </w:t>
            </w:r>
          </w:p>
        </w:tc>
        <w:tc>
          <w:tcPr>
            <w:tcW w:w="2260" w:type="dxa"/>
            <w:vAlign w:val="bottom"/>
            <w:gridSpan w:val="15"/>
          </w:tcPr>
          <w:p>
            <w:pPr>
              <w:jc w:val="center"/>
              <w:spacing w:after="0"/>
              <w:rPr>
                <w:sz w:val="20"/>
                <w:szCs w:val="20"/>
                <w:color w:val="auto"/>
              </w:rPr>
            </w:pPr>
            <w:r>
              <w:rPr>
                <w:rFonts w:ascii="Times New Roman" w:cs="Times New Roman" w:eastAsia="Times New Roman" w:hAnsi="Times New Roman"/>
                <w:sz w:val="16"/>
                <w:szCs w:val="16"/>
                <w:color w:val="auto"/>
                <w:w w:val="95"/>
              </w:rPr>
              <w:t>notes” and, together with the 20 </w:t>
            </w: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w w:val="91"/>
              </w:rPr>
              <w:t>notes and the 20 </w:t>
            </w:r>
          </w:p>
        </w:tc>
        <w:tc>
          <w:tcPr>
            <w:tcW w:w="2880" w:type="dxa"/>
            <w:vAlign w:val="bottom"/>
            <w:gridSpan w:val="11"/>
          </w:tcPr>
          <w:p>
            <w:pPr>
              <w:ind w:left="80"/>
              <w:spacing w:after="0"/>
              <w:rPr>
                <w:sz w:val="20"/>
                <w:szCs w:val="20"/>
                <w:color w:val="auto"/>
              </w:rPr>
            </w:pPr>
            <w:r>
              <w:rPr>
                <w:rFonts w:ascii="Times New Roman" w:cs="Times New Roman" w:eastAsia="Times New Roman" w:hAnsi="Times New Roman"/>
                <w:sz w:val="16"/>
                <w:szCs w:val="16"/>
                <w:color w:val="auto"/>
              </w:rPr>
              <w:t>notes, the “notes” and each, a “series” of</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0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notes). We refer to the offering of notes as the “Offering” in this prospectus supplement.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gridSpan w:val="37"/>
          </w:tcPr>
          <w:p>
            <w:pPr>
              <w:ind w:left="20"/>
              <w:spacing w:after="0"/>
              <w:rPr>
                <w:sz w:val="20"/>
                <w:szCs w:val="20"/>
                <w:color w:val="auto"/>
              </w:rPr>
            </w:pPr>
            <w:r>
              <w:rPr>
                <w:rFonts w:ascii="Times New Roman" w:cs="Times New Roman" w:eastAsia="Times New Roman" w:hAnsi="Times New Roman"/>
                <w:sz w:val="16"/>
                <w:szCs w:val="16"/>
                <w:color w:val="auto"/>
              </w:rPr>
              <w:t>We intend to use the net proceeds of the Offering for general corporate purposes, which may include the repayment of debt. See “</w:t>
            </w:r>
            <w:r>
              <w:rPr>
                <w:rFonts w:ascii="Times New Roman" w:cs="Times New Roman" w:eastAsia="Times New Roman" w:hAnsi="Times New Roman"/>
                <w:sz w:val="16"/>
                <w:szCs w:val="16"/>
                <w:i w:val="1"/>
                <w:iCs w:val="1"/>
                <w:color w:val="auto"/>
              </w:rPr>
              <w:t>Use of</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Proceeds</w:t>
            </w: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The 20   notes will mature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80" w:type="dxa"/>
            <w:vAlign w:val="bottom"/>
            <w:gridSpan w:val="17"/>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20 . We will pay interest on the 20 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2420" w:type="dxa"/>
            <w:vAlign w:val="bottom"/>
            <w:gridSpan w:val="9"/>
          </w:tcPr>
          <w:p>
            <w:pPr>
              <w:jc w:val="right"/>
              <w:spacing w:after="0"/>
              <w:rPr>
                <w:sz w:val="20"/>
                <w:szCs w:val="20"/>
                <w:color w:val="auto"/>
              </w:rPr>
            </w:pPr>
            <w:r>
              <w:rPr>
                <w:rFonts w:ascii="Times New Roman" w:cs="Times New Roman" w:eastAsia="Times New Roman" w:hAnsi="Times New Roman"/>
                <w:sz w:val="16"/>
                <w:szCs w:val="16"/>
                <w:color w:val="auto"/>
              </w:rPr>
              <w:t xml:space="preserve">notes semi-annually in arrears on    </w:t>
            </w:r>
          </w:p>
        </w:tc>
        <w:tc>
          <w:tcPr>
            <w:tcW w:w="160" w:type="dxa"/>
            <w:vAlign w:val="bottom"/>
          </w:tcPr>
          <w:p>
            <w:pPr>
              <w:jc w:val="center"/>
              <w:ind w:left="32"/>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 </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w w:val="97"/>
              </w:rPr>
              <w:t>   of each year, commencing on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8"/>
          </w:tcPr>
          <w:p>
            <w:pPr>
              <w:jc w:val="right"/>
              <w:ind w:right="39"/>
              <w:spacing w:after="0"/>
              <w:rPr>
                <w:sz w:val="20"/>
                <w:szCs w:val="20"/>
                <w:color w:val="auto"/>
              </w:rPr>
            </w:pPr>
            <w:r>
              <w:rPr>
                <w:rFonts w:ascii="Times New Roman" w:cs="Times New Roman" w:eastAsia="Times New Roman" w:hAnsi="Times New Roman"/>
                <w:sz w:val="16"/>
                <w:szCs w:val="16"/>
                <w:color w:val="auto"/>
                <w:w w:val="88"/>
              </w:rPr>
              <w:t>, 2026. The 20 </w:t>
            </w:r>
          </w:p>
        </w:tc>
        <w:tc>
          <w:tcPr>
            <w:tcW w:w="148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w w:val="93"/>
              </w:rPr>
              <w:t>notes will mature on  </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 </w:t>
            </w:r>
          </w:p>
        </w:tc>
        <w:tc>
          <w:tcPr>
            <w:tcW w:w="238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 20   . We will pay interest on the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74"/>
              </w:rPr>
              <w:t>20 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w w:val="97"/>
              </w:rPr>
              <w:t>notes semi-annually in arrears on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jc w:val="right"/>
              <w:ind w:right="56"/>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4"/>
              </w:rPr>
              <w:t>and  </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2080" w:type="dxa"/>
            <w:vAlign w:val="bottom"/>
            <w:gridSpan w:val="11"/>
          </w:tcPr>
          <w:p>
            <w:pPr>
              <w:jc w:val="right"/>
              <w:spacing w:after="0"/>
              <w:rPr>
                <w:sz w:val="20"/>
                <w:szCs w:val="20"/>
                <w:color w:val="auto"/>
              </w:rPr>
            </w:pPr>
            <w:r>
              <w:rPr>
                <w:rFonts w:ascii="Times New Roman" w:cs="Times New Roman" w:eastAsia="Times New Roman" w:hAnsi="Times New Roman"/>
                <w:sz w:val="16"/>
                <w:szCs w:val="16"/>
                <w:color w:val="auto"/>
                <w:w w:val="94"/>
              </w:rPr>
              <w:t>of each year, commencing on  </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1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w w:val="91"/>
              </w:rPr>
              <w:t>, 2026. The 20 </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notes will</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4"/>
              </w:rPr>
              <w:t>mature on </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5"/>
              </w:rPr>
              <w:t>         , 20 </w:t>
            </w:r>
          </w:p>
        </w:tc>
        <w:tc>
          <w:tcPr>
            <w:tcW w:w="21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w w:val="95"/>
              </w:rPr>
              <w:t>. We will pay interest on the 20 </w:t>
            </w:r>
          </w:p>
        </w:tc>
        <w:tc>
          <w:tcPr>
            <w:tcW w:w="2380" w:type="dxa"/>
            <w:vAlign w:val="bottom"/>
            <w:gridSpan w:val="13"/>
          </w:tcPr>
          <w:p>
            <w:pPr>
              <w:ind w:left="80"/>
              <w:spacing w:after="0"/>
              <w:rPr>
                <w:sz w:val="20"/>
                <w:szCs w:val="20"/>
                <w:color w:val="auto"/>
              </w:rPr>
            </w:pPr>
            <w:r>
              <w:rPr>
                <w:rFonts w:ascii="Times New Roman" w:cs="Times New Roman" w:eastAsia="Times New Roman" w:hAnsi="Times New Roman"/>
                <w:sz w:val="16"/>
                <w:szCs w:val="16"/>
                <w:color w:val="auto"/>
                <w:w w:val="98"/>
              </w:rPr>
              <w:t>notes semi-annually in arrears on  </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    </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and  </w:t>
            </w: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of each year,</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commencing on          </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 2026.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180" w:type="dxa"/>
            <w:vAlign w:val="bottom"/>
            <w:vMerge w:val="restart"/>
            <w:textDirection w:val="btLr"/>
          </w:tcPr>
          <w:p>
            <w:pPr>
              <w:ind w:left="54"/>
              <w:spacing w:after="0"/>
              <w:rPr>
                <w:sz w:val="20"/>
                <w:szCs w:val="20"/>
                <w:color w:val="auto"/>
              </w:rPr>
            </w:pPr>
            <w:r>
              <w:rPr>
                <w:rFonts w:ascii="Times New Roman" w:cs="Times New Roman" w:eastAsia="Times New Roman" w:hAnsi="Times New Roman"/>
                <w:sz w:val="11"/>
                <w:szCs w:val="11"/>
                <w:b w:val="1"/>
                <w:bCs w:val="1"/>
                <w:color w:val="FF4338"/>
                <w:w w:val="73"/>
              </w:rPr>
              <w:t>notcompleteandmay</w:t>
            </w:r>
          </w:p>
        </w:tc>
        <w:tc>
          <w:tcPr>
            <w:tcW w:w="680" w:type="dxa"/>
            <w:vAlign w:val="bottom"/>
            <w:vMerge w:val="restart"/>
            <w:textDirection w:val="btLr"/>
          </w:tcPr>
          <w:p>
            <w:pPr>
              <w:ind w:left="122"/>
              <w:spacing w:after="0"/>
              <w:rPr>
                <w:sz w:val="20"/>
                <w:szCs w:val="20"/>
                <w:color w:val="auto"/>
              </w:rPr>
            </w:pPr>
            <w:r>
              <w:rPr>
                <w:rFonts w:ascii="Times New Roman" w:cs="Times New Roman" w:eastAsia="Times New Roman" w:hAnsi="Times New Roman"/>
                <w:sz w:val="11"/>
                <w:szCs w:val="11"/>
                <w:b w:val="1"/>
                <w:bCs w:val="1"/>
                <w:color w:val="FF4338"/>
                <w:w w:val="72"/>
              </w:rPr>
              <w:t>solicitingofferstobuy</w:t>
            </w: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0"/>
              </w:rPr>
              <w:t>of the 20   notes), the 20 </w:t>
            </w:r>
          </w:p>
        </w:tc>
        <w:tc>
          <w:tcPr>
            <w:tcW w:w="1800" w:type="dxa"/>
            <w:vAlign w:val="bottom"/>
            <w:gridSpan w:val="6"/>
          </w:tcPr>
          <w:p>
            <w:pPr>
              <w:jc w:val="center"/>
              <w:ind w:left="19"/>
              <w:spacing w:after="0"/>
              <w:rPr>
                <w:sz w:val="20"/>
                <w:szCs w:val="20"/>
                <w:color w:val="auto"/>
              </w:rPr>
            </w:pPr>
            <w:r>
              <w:rPr>
                <w:rFonts w:ascii="Times New Roman" w:cs="Times New Roman" w:eastAsia="Times New Roman" w:hAnsi="Times New Roman"/>
                <w:sz w:val="16"/>
                <w:szCs w:val="16"/>
                <w:color w:val="auto"/>
                <w:w w:val="94"/>
              </w:rPr>
              <w:t>notes at any time prior to  </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1620" w:type="dxa"/>
            <w:vAlign w:val="bottom"/>
            <w:gridSpan w:val="9"/>
          </w:tcPr>
          <w:p>
            <w:pPr>
              <w:jc w:val="right"/>
              <w:ind w:right="40"/>
              <w:spacing w:after="0"/>
              <w:rPr>
                <w:sz w:val="20"/>
                <w:szCs w:val="20"/>
                <w:color w:val="auto"/>
              </w:rPr>
            </w:pPr>
            <w:r>
              <w:rPr>
                <w:rFonts w:ascii="Times New Roman" w:cs="Times New Roman" w:eastAsia="Times New Roman" w:hAnsi="Times New Roman"/>
                <w:sz w:val="16"/>
                <w:szCs w:val="16"/>
                <w:color w:val="auto"/>
                <w:w w:val="93"/>
              </w:rPr>
              <w:t>, 20   (the date that is  </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600" w:type="dxa"/>
            <w:vAlign w:val="bottom"/>
            <w:gridSpan w:val="10"/>
          </w:tcPr>
          <w:p>
            <w:pPr>
              <w:ind w:left="40"/>
              <w:spacing w:after="0"/>
              <w:rPr>
                <w:sz w:val="20"/>
                <w:szCs w:val="20"/>
                <w:color w:val="auto"/>
              </w:rPr>
            </w:pPr>
            <w:r>
              <w:rPr>
                <w:rFonts w:ascii="Times New Roman" w:cs="Times New Roman" w:eastAsia="Times New Roman" w:hAnsi="Times New Roman"/>
                <w:sz w:val="16"/>
                <w:szCs w:val="16"/>
                <w:color w:val="auto"/>
                <w:w w:val="98"/>
              </w:rPr>
              <w:t>months prior to the maturity of the 20 </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notes)</w:t>
            </w: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1"/>
              </w:rPr>
              <w:t>and the 20 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xml:space="preserve">notes at any time prior to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9"/>
              </w:rPr>
              <w:t>, 20 </w:t>
            </w:r>
          </w:p>
        </w:tc>
        <w:tc>
          <w:tcPr>
            <w:tcW w:w="116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w w:val="89"/>
              </w:rPr>
              <w:t>(the date that is  </w:t>
            </w: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4080" w:type="dxa"/>
            <w:vAlign w:val="bottom"/>
            <w:gridSpan w:val="17"/>
          </w:tcPr>
          <w:p>
            <w:pPr>
              <w:ind w:left="80"/>
              <w:spacing w:after="0"/>
              <w:rPr>
                <w:sz w:val="20"/>
                <w:szCs w:val="20"/>
                <w:color w:val="auto"/>
              </w:rPr>
            </w:pPr>
            <w:r>
              <w:rPr>
                <w:rFonts w:ascii="Times New Roman" w:cs="Times New Roman" w:eastAsia="Times New Roman" w:hAnsi="Times New Roman"/>
                <w:sz w:val="16"/>
                <w:szCs w:val="16"/>
                <w:color w:val="auto"/>
              </w:rPr>
              <w:t>months prior to the maturity of the 20   notes), at a price</w:t>
            </w:r>
          </w:p>
        </w:tc>
        <w:tc>
          <w:tcPr>
            <w:tcW w:w="0" w:type="dxa"/>
            <w:vAlign w:val="bottom"/>
          </w:tcPr>
          <w:p>
            <w:pPr>
              <w:spacing w:after="0"/>
              <w:rPr>
                <w:sz w:val="1"/>
                <w:szCs w:val="1"/>
                <w:color w:val="auto"/>
              </w:rPr>
            </w:pPr>
          </w:p>
        </w:tc>
      </w:tr>
      <w:tr>
        <w:trPr>
          <w:trHeight w:val="210"/>
        </w:trPr>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28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equal to 100% of the principal amount of the notes redeemed, plus accrued and unpaid interest to, but not including, the redemption date, plus</w:t>
            </w:r>
          </w:p>
        </w:tc>
        <w:tc>
          <w:tcPr>
            <w:tcW w:w="0" w:type="dxa"/>
            <w:vAlign w:val="bottom"/>
          </w:tcPr>
          <w:p>
            <w:pPr>
              <w:spacing w:after="0"/>
              <w:rPr>
                <w:sz w:val="1"/>
                <w:szCs w:val="1"/>
                <w:color w:val="auto"/>
              </w:rPr>
            </w:pPr>
          </w:p>
        </w:tc>
      </w:tr>
      <w:tr>
        <w:trPr>
          <w:trHeight w:val="10"/>
        </w:trPr>
        <w:tc>
          <w:tcPr>
            <w:tcW w:w="1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9280" w:type="dxa"/>
            <w:vAlign w:val="bottom"/>
            <w:gridSpan w:val="39"/>
          </w:tcPr>
          <w:p>
            <w:pPr>
              <w:spacing w:after="0" w:line="11" w:lineRule="exact"/>
              <w:rPr>
                <w:sz w:val="20"/>
                <w:szCs w:val="20"/>
                <w:color w:val="auto"/>
              </w:rPr>
            </w:pPr>
            <w:r>
              <w:rPr>
                <w:rFonts w:ascii="Times New Roman" w:cs="Times New Roman" w:eastAsia="Times New Roman" w:hAnsi="Times New Roman"/>
                <w:sz w:val="1"/>
                <w:szCs w:val="1"/>
                <w:color w:val="auto"/>
              </w:rPr>
              <w:t>plus accrued and unpaid interest to, but not including, the redemption date. See “</w:t>
            </w:r>
            <w:r>
              <w:rPr>
                <w:rFonts w:ascii="Times New Roman" w:cs="Times New Roman" w:eastAsia="Times New Roman" w:hAnsi="Times New Roman"/>
                <w:sz w:val="1"/>
                <w:szCs w:val="1"/>
                <w:i w:val="1"/>
                <w:iCs w:val="1"/>
                <w:color w:val="auto"/>
              </w:rPr>
              <w:t>Description of Notes—Optional Redemption</w:t>
            </w:r>
            <w:r>
              <w:rPr>
                <w:rFonts w:ascii="Times New Roman" w:cs="Times New Roman" w:eastAsia="Times New Roman" w:hAnsi="Times New Roman"/>
                <w:sz w:val="1"/>
                <w:szCs w:val="1"/>
                <w:color w:val="auto"/>
              </w:rPr>
              <w:t>.” Upon the</w:t>
            </w: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4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 “make-whole” premium, as described in this prospectus supplement.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On or after (i)        </w:t>
            </w:r>
          </w:p>
        </w:tc>
        <w:tc>
          <w:tcPr>
            <w:tcW w:w="18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w w:val="89"/>
              </w:rPr>
              <w:t>   , 20   (the date that is 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8"/>
                <w:szCs w:val="8"/>
                <w:color w:val="auto"/>
                <w:w w:val="74"/>
              </w:rPr>
              <w:t> </w:t>
            </w:r>
          </w:p>
        </w:tc>
        <w:tc>
          <w:tcPr>
            <w:tcW w:w="3620" w:type="dxa"/>
            <w:vAlign w:val="bottom"/>
            <w:gridSpan w:val="18"/>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months prior to the maturity of the 20   notes), (ii)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6"/>
              </w:rPr>
              <w:t>      , 20 </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(the date that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78"/>
              </w:rPr>
              <w:t>is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w w:val="95"/>
              </w:rPr>
              <w:t>months prior to the maturity of the 20 </w:t>
            </w:r>
          </w:p>
        </w:tc>
        <w:tc>
          <w:tcPr>
            <w:tcW w:w="132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w w:val="99"/>
              </w:rPr>
              <w:t>notes), and (iii)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860" w:type="dxa"/>
            <w:vAlign w:val="bottom"/>
            <w:gridSpan w:val="9"/>
          </w:tcPr>
          <w:p>
            <w:pPr>
              <w:jc w:val="right"/>
              <w:ind w:right="39"/>
              <w:spacing w:after="0"/>
              <w:rPr>
                <w:sz w:val="20"/>
                <w:szCs w:val="20"/>
                <w:color w:val="auto"/>
              </w:rPr>
            </w:pPr>
            <w:r>
              <w:rPr>
                <w:rFonts w:ascii="Times New Roman" w:cs="Times New Roman" w:eastAsia="Times New Roman" w:hAnsi="Times New Roman"/>
                <w:sz w:val="16"/>
                <w:szCs w:val="16"/>
                <w:color w:val="auto"/>
                <w:w w:val="90"/>
              </w:rPr>
              <w:t>   , 20   (the date that is  </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08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months prior to the maturity of</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the 20   notes), we may redeem some or all of such notes at a redemption price equal to 100% of the principal amount of the notes redeemed,</w:t>
            </w:r>
          </w:p>
        </w:tc>
        <w:tc>
          <w:tcPr>
            <w:tcW w:w="0" w:type="dxa"/>
            <w:vAlign w:val="bottom"/>
          </w:tcPr>
          <w:p>
            <w:pPr>
              <w:spacing w:after="0"/>
              <w:rPr>
                <w:sz w:val="1"/>
                <w:szCs w:val="1"/>
                <w:color w:val="auto"/>
              </w:rPr>
            </w:pPr>
          </w:p>
        </w:tc>
      </w:tr>
      <w:tr>
        <w:trPr>
          <w:trHeight w:val="395"/>
        </w:trPr>
        <w:tc>
          <w:tcPr>
            <w:tcW w:w="180" w:type="dxa"/>
            <w:vAlign w:val="bottom"/>
            <w:vMerge w:val="restart"/>
            <w:textDirection w:val="btLr"/>
          </w:tcPr>
          <w:p>
            <w:pPr>
              <w:ind w:left="146"/>
              <w:spacing w:after="0"/>
              <w:rPr>
                <w:sz w:val="20"/>
                <w:szCs w:val="20"/>
                <w:color w:val="auto"/>
              </w:rPr>
            </w:pPr>
            <w:r>
              <w:rPr>
                <w:rFonts w:ascii="Times New Roman" w:cs="Times New Roman" w:eastAsia="Times New Roman" w:hAnsi="Times New Roman"/>
                <w:sz w:val="3"/>
                <w:szCs w:val="3"/>
                <w:b w:val="1"/>
                <w:bCs w:val="1"/>
                <w:color w:val="FF4338"/>
                <w:w w:val="76"/>
              </w:rPr>
              <w:t>Theinformationinthispreliminaryprospectussupplementis</w:t>
            </w:r>
          </w:p>
        </w:tc>
        <w:tc>
          <w:tcPr>
            <w:tcW w:w="680" w:type="dxa"/>
            <w:vAlign w:val="bottom"/>
            <w:vMerge w:val="restart"/>
            <w:textDirection w:val="btLr"/>
          </w:tcPr>
          <w:p>
            <w:pPr>
              <w:ind w:left="214"/>
              <w:spacing w:after="0"/>
              <w:rPr>
                <w:sz w:val="20"/>
                <w:szCs w:val="20"/>
                <w:color w:val="auto"/>
              </w:rPr>
            </w:pPr>
            <w:r>
              <w:rPr>
                <w:rFonts w:ascii="Times New Roman" w:cs="Times New Roman" w:eastAsia="Times New Roman" w:hAnsi="Times New Roman"/>
                <w:sz w:val="3"/>
                <w:szCs w:val="3"/>
                <w:b w:val="1"/>
                <w:bCs w:val="1"/>
                <w:color w:val="FF4338"/>
                <w:w w:val="79"/>
              </w:rPr>
              <w:t>prospectusarenotanoffertosellthesesecuritiesnorarethey</w:t>
            </w:r>
          </w:p>
        </w:tc>
        <w:tc>
          <w:tcPr>
            <w:tcW w:w="928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occurrence of a Change of Control Triggering Event (as described herein), we may be required to offer to repurchase all of the notes then</w:t>
            </w:r>
          </w:p>
        </w:tc>
        <w:tc>
          <w:tcPr>
            <w:tcW w:w="0" w:type="dxa"/>
            <w:vAlign w:val="bottom"/>
          </w:tcPr>
          <w:p>
            <w:pPr>
              <w:spacing w:after="0"/>
              <w:rPr>
                <w:sz w:val="1"/>
                <w:szCs w:val="1"/>
                <w:color w:val="auto"/>
              </w:rPr>
            </w:pPr>
          </w:p>
        </w:tc>
      </w:tr>
      <w:tr>
        <w:trPr>
          <w:trHeight w:val="164"/>
        </w:trPr>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80" w:type="dxa"/>
            <w:vAlign w:val="bottom"/>
            <w:gridSpan w:val="39"/>
            <w:vMerge w:val="restart"/>
          </w:tcPr>
          <w:p>
            <w:pPr>
              <w:spacing w:after="0"/>
              <w:rPr>
                <w:sz w:val="20"/>
                <w:szCs w:val="20"/>
                <w:color w:val="auto"/>
              </w:rPr>
            </w:pPr>
            <w:r>
              <w:rPr>
                <w:rFonts w:ascii="Times New Roman" w:cs="Times New Roman" w:eastAsia="Times New Roman" w:hAnsi="Times New Roman"/>
                <w:sz w:val="16"/>
                <w:szCs w:val="16"/>
                <w:color w:val="auto"/>
              </w:rPr>
              <w:t>outstanding at 101% of the principal amount, plus any accrued and unpaid interest to, but not including, the repurchase date. See “</w:t>
            </w:r>
            <w:r>
              <w:rPr>
                <w:rFonts w:ascii="Times New Roman" w:cs="Times New Roman" w:eastAsia="Times New Roman" w:hAnsi="Times New Roman"/>
                <w:sz w:val="16"/>
                <w:szCs w:val="16"/>
                <w:i w:val="1"/>
                <w:iCs w:val="1"/>
                <w:color w:val="auto"/>
              </w:rPr>
              <w:t>Description</w:t>
            </w: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80" w:type="dxa"/>
            <w:vAlign w:val="bottom"/>
            <w:gridSpan w:val="3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gridSpan w:val="9"/>
          </w:tcPr>
          <w:p>
            <w:pPr>
              <w:spacing w:after="0"/>
              <w:rPr>
                <w:sz w:val="20"/>
                <w:szCs w:val="20"/>
                <w:color w:val="auto"/>
              </w:rPr>
            </w:pPr>
            <w:r>
              <w:rPr>
                <w:rFonts w:ascii="Times New Roman" w:cs="Times New Roman" w:eastAsia="Times New Roman" w:hAnsi="Times New Roman"/>
                <w:sz w:val="16"/>
                <w:szCs w:val="16"/>
                <w:i w:val="1"/>
                <w:iCs w:val="1"/>
                <w:color w:val="auto"/>
              </w:rPr>
              <w:t>of Notes—Change of Control Triggering Event</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gridSpan w:val="37"/>
          </w:tcPr>
          <w:p>
            <w:pPr>
              <w:ind w:left="20"/>
              <w:spacing w:after="0"/>
              <w:rPr>
                <w:sz w:val="20"/>
                <w:szCs w:val="20"/>
                <w:color w:val="auto"/>
              </w:rPr>
            </w:pPr>
            <w:r>
              <w:rPr>
                <w:rFonts w:ascii="Times New Roman" w:cs="Times New Roman" w:eastAsia="Times New Roman" w:hAnsi="Times New Roman"/>
                <w:sz w:val="16"/>
                <w:szCs w:val="16"/>
                <w:color w:val="auto"/>
              </w:rPr>
              <w:t>The notes offered hereby will rank equal in right of payment with all of the issuers’ existing and future senior indebtedness. For a more</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detailed discussion, see “</w:t>
            </w:r>
            <w:r>
              <w:rPr>
                <w:rFonts w:ascii="Times New Roman" w:cs="Times New Roman" w:eastAsia="Times New Roman" w:hAnsi="Times New Roman"/>
                <w:sz w:val="16"/>
                <w:szCs w:val="16"/>
                <w:i w:val="1"/>
                <w:iCs w:val="1"/>
                <w:color w:val="auto"/>
              </w:rPr>
              <w:t>Description of Notes.</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gridSpan w:val="37"/>
          </w:tcPr>
          <w:p>
            <w:pPr>
              <w:ind w:left="20"/>
              <w:spacing w:after="0"/>
              <w:rPr>
                <w:sz w:val="20"/>
                <w:szCs w:val="20"/>
                <w:color w:val="auto"/>
              </w:rPr>
            </w:pPr>
            <w:r>
              <w:rPr>
                <w:rFonts w:ascii="Times New Roman" w:cs="Times New Roman" w:eastAsia="Times New Roman" w:hAnsi="Times New Roman"/>
                <w:sz w:val="16"/>
                <w:szCs w:val="16"/>
                <w:color w:val="auto"/>
              </w:rPr>
              <w:t>The notes will be guaranteed on a joint and several basis by Dell Technologies Inc., Denali Intermediate Inc. and Dell Inc. Such note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guarantees will rank equal in right of payment with all existing and future senior indebtedness of such guarantors, including their guarantees of</w:t>
            </w: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8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our obligations under our new revolving credit facility and our existing notes, and senior in right of payment to all future subordinated</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8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indebtedness of such guarantors. The notes will not be guaranteed by any of the issuers’ subsidiaries. See “</w:t>
            </w:r>
            <w:r>
              <w:rPr>
                <w:rFonts w:ascii="Times New Roman" w:cs="Times New Roman" w:eastAsia="Times New Roman" w:hAnsi="Times New Roman"/>
                <w:sz w:val="16"/>
                <w:szCs w:val="16"/>
                <w:i w:val="1"/>
                <w:iCs w:val="1"/>
                <w:color w:val="auto"/>
              </w:rPr>
              <w:t>Description of Notes—Note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Guarantees</w:t>
            </w: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31"/>
          </w:tcPr>
          <w:p>
            <w:pPr>
              <w:ind w:left="20"/>
              <w:spacing w:after="0"/>
              <w:rPr>
                <w:sz w:val="20"/>
                <w:szCs w:val="20"/>
                <w:color w:val="auto"/>
              </w:rPr>
            </w:pPr>
            <w:r>
              <w:rPr>
                <w:rFonts w:ascii="Times New Roman" w:cs="Times New Roman" w:eastAsia="Times New Roman" w:hAnsi="Times New Roman"/>
                <w:sz w:val="16"/>
                <w:szCs w:val="16"/>
                <w:color w:val="auto"/>
              </w:rPr>
              <w:t>The notes will not be listed on any stock exchange, and currently there are no public markets for the notes.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9"/>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76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spacing w:after="0"/>
              <w:rPr>
                <w:sz w:val="20"/>
                <w:szCs w:val="20"/>
                <w:color w:val="auto"/>
              </w:rPr>
            </w:pPr>
          </w:p>
        </w:tc>
        <w:tc>
          <w:tcPr>
            <w:tcW w:w="760" w:type="dxa"/>
            <w:vAlign w:val="bottom"/>
            <w:gridSpan w:val="3"/>
          </w:tcPr>
          <w:p>
            <w:pPr>
              <w:spacing w:after="0"/>
              <w:rPr>
                <w:sz w:val="20"/>
                <w:szCs w:val="20"/>
                <w:color w:val="auto"/>
              </w:rPr>
            </w:pPr>
          </w:p>
        </w:tc>
        <w:tc>
          <w:tcPr>
            <w:tcW w:w="740" w:type="dxa"/>
            <w:vAlign w:val="bottom"/>
            <w:gridSpan w:val="2"/>
          </w:tcPr>
          <w:p>
            <w:pPr>
              <w:spacing w:after="0"/>
              <w:rPr>
                <w:sz w:val="20"/>
                <w:szCs w:val="20"/>
                <w:color w:val="auto"/>
              </w:rPr>
            </w:pPr>
          </w:p>
        </w:tc>
        <w:tc>
          <w:tcPr>
            <w:tcW w:w="11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gridSpan w:val="37"/>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beginning on page S-13 of this prospectus supplement.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47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gridSpan w:val="37"/>
          </w:tcPr>
          <w:p>
            <w:pPr>
              <w:ind w:left="20"/>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20" w:type="dxa"/>
            <w:vAlign w:val="bottom"/>
            <w:gridSpan w:val="35"/>
          </w:tcPr>
          <w:p>
            <w:pPr>
              <w:spacing w:after="0"/>
              <w:rPr>
                <w:sz w:val="20"/>
                <w:szCs w:val="20"/>
                <w:color w:val="auto"/>
              </w:rPr>
            </w:pPr>
            <w:r>
              <w:rPr>
                <w:rFonts w:ascii="Times New Roman" w:cs="Times New Roman" w:eastAsia="Times New Roman" w:hAnsi="Times New Roman"/>
                <w:sz w:val="16"/>
                <w:szCs w:val="16"/>
                <w:b w:val="1"/>
                <w:bCs w:val="1"/>
                <w:color w:val="auto"/>
              </w:rPr>
              <w:t>securities or passed upon the adequacy or accuracy of this prospectus supplement or the accompanying prospectus. Any</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representation to the contrary is a criminal offense.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Proceeds to Us</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10"/>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Public Offering Price(1)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9"/>
              </w:rPr>
              <w:t>Underwriting Discount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(before expenses)</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 Note</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0"/>
              </w:rPr>
              <w:t>Per Note</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159"/>
              <w:spacing w:after="0" w:line="129" w:lineRule="exact"/>
              <w:rPr>
                <w:sz w:val="20"/>
                <w:szCs w:val="20"/>
                <w:color w:val="auto"/>
              </w:rPr>
            </w:pPr>
            <w:r>
              <w:rPr>
                <w:rFonts w:ascii="Times New Roman" w:cs="Times New Roman" w:eastAsia="Times New Roman" w:hAnsi="Times New Roman"/>
                <w:sz w:val="13"/>
                <w:szCs w:val="13"/>
                <w:b w:val="1"/>
                <w:bCs w:val="1"/>
                <w:color w:val="auto"/>
                <w:w w:val="90"/>
              </w:rPr>
              <w:t>Per Note</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20 </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w:t>
            </w:r>
          </w:p>
        </w:tc>
        <w:tc>
          <w:tcPr>
            <w:tcW w:w="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 </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 </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74"/>
              </w:rPr>
              <w:t>20 </w:t>
            </w:r>
          </w:p>
        </w:tc>
        <w:tc>
          <w:tcPr>
            <w:tcW w:w="1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89"/>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20 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89"/>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Combined Total</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102870</wp:posOffset>
            </wp:positionV>
            <wp:extent cx="651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-7766050</wp:posOffset>
            </wp:positionV>
            <wp:extent cx="317182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1825" cy="411480"/>
                    </a:xfrm>
                    <a:prstGeom prst="rect">
                      <a:avLst/>
                    </a:prstGeom>
                    <a:noFill/>
                  </pic:spPr>
                </pic:pic>
              </a:graphicData>
            </a:graphic>
          </wp:anchor>
        </w:drawing>
      </w:r>
    </w:p>
    <w:p>
      <w:pPr>
        <w:spacing w:after="0" w:line="182" w:lineRule="exact"/>
        <w:rPr>
          <w:sz w:val="24"/>
          <w:szCs w:val="24"/>
          <w:color w:val="auto"/>
        </w:rPr>
      </w:pPr>
    </w:p>
    <w:p>
      <w:pPr>
        <w:ind w:left="1340" w:hanging="360"/>
        <w:spacing w:after="0"/>
        <w:tabs>
          <w:tab w:leader="none" w:pos="1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 2026 to the date of delivery.</w:t>
      </w:r>
    </w:p>
    <w:p>
      <w:pPr>
        <w:spacing w:after="0" w:line="127" w:lineRule="exact"/>
        <w:rPr>
          <w:sz w:val="24"/>
          <w:szCs w:val="24"/>
          <w:color w:val="auto"/>
        </w:rPr>
      </w:pPr>
    </w:p>
    <w:p>
      <w:pPr>
        <w:ind w:left="980" w:right="880" w:firstLine="371"/>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notes to investors only in book-entry form through the facilities of The Depository Trust Company for the account of its participants including Euroclear Bank, SA/NV and Clearstream Banking S.A.,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121285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ectPr>
          <w:pgSz w:w="11900" w:h="16838" w:orient="portrait"/>
          <w:cols w:equalWidth="0" w:num="1">
            <w:col w:w="11140"/>
          </w:cols>
          <w:pgMar w:left="320" w:top="225" w:right="439" w:bottom="0" w:gutter="0" w:footer="0" w:header="0"/>
        </w:sectPr>
      </w:pPr>
    </w:p>
    <w:p>
      <w:pPr>
        <w:spacing w:after="0" w:line="392" w:lineRule="exact"/>
        <w:rPr>
          <w:sz w:val="24"/>
          <w:szCs w:val="24"/>
          <w:color w:val="auto"/>
        </w:rPr>
      </w:pPr>
    </w:p>
    <w:p>
      <w:pPr>
        <w:ind w:left="980"/>
        <w:spacing w:after="0"/>
        <w:tabs>
          <w:tab w:leader="none" w:pos="4180" w:val="left"/>
          <w:tab w:leader="none" w:pos="8120" w:val="left"/>
        </w:tabs>
        <w:rPr>
          <w:sz w:val="20"/>
          <w:szCs w:val="20"/>
          <w:color w:val="auto"/>
        </w:rPr>
      </w:pPr>
      <w:r>
        <w:rPr>
          <w:rFonts w:ascii="Times New Roman" w:cs="Times New Roman" w:eastAsia="Times New Roman" w:hAnsi="Times New Roman"/>
          <w:sz w:val="18"/>
          <w:szCs w:val="18"/>
          <w:b w:val="1"/>
          <w:bCs w:val="1"/>
          <w:color w:val="auto"/>
        </w:rPr>
        <w:t>Barclays</w:t>
      </w:r>
      <w:r>
        <w:rPr>
          <w:sz w:val="20"/>
          <w:szCs w:val="20"/>
          <w:color w:val="auto"/>
        </w:rPr>
        <w:tab/>
      </w:r>
      <w:r>
        <w:rPr>
          <w:rFonts w:ascii="Times New Roman" w:cs="Times New Roman" w:eastAsia="Times New Roman" w:hAnsi="Times New Roman"/>
          <w:sz w:val="18"/>
          <w:szCs w:val="18"/>
          <w:b w:val="1"/>
          <w:bCs w:val="1"/>
          <w:color w:val="auto"/>
        </w:rPr>
        <w:t>BofA Securities</w:t>
      </w:r>
      <w:r>
        <w:rPr>
          <w:sz w:val="20"/>
          <w:szCs w:val="20"/>
          <w:color w:val="auto"/>
        </w:rPr>
        <w:tab/>
      </w:r>
      <w:r>
        <w:rPr>
          <w:rFonts w:ascii="Times New Roman" w:cs="Times New Roman" w:eastAsia="Times New Roman" w:hAnsi="Times New Roman"/>
          <w:sz w:val="17"/>
          <w:szCs w:val="17"/>
          <w:b w:val="1"/>
          <w:bCs w:val="1"/>
          <w:color w:val="auto"/>
        </w:rPr>
        <w:t>Goldman Sachs &amp; Co. LLC</w:t>
      </w:r>
    </w:p>
    <w:p>
      <w:pPr>
        <w:sectPr>
          <w:pgSz w:w="11900" w:h="16838" w:orient="portrait"/>
          <w:cols w:equalWidth="0" w:num="1">
            <w:col w:w="11140"/>
          </w:cols>
          <w:pgMar w:left="320" w:top="225" w:right="439" w:bottom="0" w:gutter="0" w:footer="0" w:header="0"/>
          <w:type w:val="continuous"/>
        </w:sectPr>
      </w:pPr>
    </w:p>
    <w:bookmarkStart w:id="1" w:name="page2"/>
    <w:bookmarkEnd w:id="1"/>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HSBC</w:t>
      </w:r>
      <w:r>
        <w:rPr>
          <w:sz w:val="20"/>
          <w:szCs w:val="20"/>
          <w:color w:val="auto"/>
        </w:rPr>
        <w:tab/>
      </w:r>
      <w:r>
        <w:rPr>
          <w:rFonts w:ascii="Times New Roman" w:cs="Times New Roman" w:eastAsia="Times New Roman" w:hAnsi="Times New Roman"/>
          <w:sz w:val="18"/>
          <w:szCs w:val="18"/>
          <w:b w:val="1"/>
          <w:bCs w:val="1"/>
          <w:color w:val="auto"/>
        </w:rPr>
        <w:t>J.P. Morgan</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PNC Capital Markets LLC</w:t>
      </w:r>
    </w:p>
    <w:p>
      <w:pPr>
        <w:sectPr>
          <w:pgSz w:w="11900" w:h="16838" w:orient="portrait"/>
          <w:cols w:equalWidth="0" w:num="2">
            <w:col w:w="6620" w:space="580"/>
            <w:col w:w="2080"/>
          </w:cols>
          <w:pgMar w:left="1300" w:top="38" w:right="1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or make any representations other than those contained or incorporated by reference in this prospectus supplement, the accompanying prospectus or in any free writing prospectus. We and the underwriters have not authorized anyone to provide you with different information. We are not making an offer of these securities in any jurisdiction where the offer is not permitted.</w:t>
      </w:r>
    </w:p>
    <w:p>
      <w:pPr>
        <w:spacing w:after="0" w:line="176"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not assume that the information contained or incorporated by reference in this prospectus supplement, the accompanying prospectus or in any free writing prospectus is accurate as of any date other than the date of the applicable document. Since the respective dates of this prospectus supplement, the accompanying prospectus and the documents incorporated by reference into this prospectus supplement, our business, financial condition, results of operations and prospects may have changed.</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80" w:type="dxa"/>
            <w:vAlign w:val="bottom"/>
          </w:tcPr>
          <w:p>
            <w:pPr>
              <w:spacing w:after="0"/>
              <w:rPr>
                <w:sz w:val="24"/>
                <w:szCs w:val="24"/>
                <w:color w:val="auto"/>
              </w:rPr>
            </w:pPr>
          </w:p>
        </w:tc>
      </w:tr>
      <w:tr>
        <w:trPr>
          <w:trHeight w:val="37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68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25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600" w:type="dxa"/>
            <w:vAlign w:val="bottom"/>
            <w:tcBorders>
              <w:top w:val="single" w:sz="8" w:color="0000EE"/>
            </w:tcBorders>
            <w:gridSpan w:val="5"/>
          </w:tcPr>
          <w:p>
            <w:pPr>
              <w:spacing w:after="0"/>
              <w:rPr>
                <w:sz w:val="17"/>
                <w:szCs w:val="17"/>
                <w:color w:val="auto"/>
              </w:rPr>
            </w:pPr>
          </w:p>
        </w:tc>
        <w:tc>
          <w:tcPr>
            <w:tcW w:w="454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502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Trademarks and Other Intellectual Property Rights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5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Basis of Presentation</w:t>
            </w:r>
          </w:p>
        </w:tc>
        <w:tc>
          <w:tcPr>
            <w:tcW w:w="2100" w:type="dxa"/>
            <w:vAlign w:val="bottom"/>
            <w:tcBorders>
              <w:top w:val="single" w:sz="8" w:color="0000EE"/>
            </w:tcBorders>
            <w:gridSpan w:val="10"/>
          </w:tcPr>
          <w:p>
            <w:pPr>
              <w:spacing w:after="0"/>
              <w:rPr>
                <w:sz w:val="17"/>
                <w:szCs w:val="17"/>
                <w:color w:val="auto"/>
              </w:rPr>
            </w:pPr>
          </w:p>
        </w:tc>
        <w:tc>
          <w:tcPr>
            <w:tcW w:w="504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7980" w:type="dxa"/>
            <w:vAlign w:val="bottom"/>
            <w:gridSpan w:val="2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7520" w:type="dxa"/>
            <w:vAlign w:val="bottom"/>
            <w:gridSpan w:val="1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7180" w:type="dxa"/>
            <w:vAlign w:val="bottom"/>
            <w:gridSpan w:val="1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23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Book Entry; Delivery and Form</w:t>
            </w:r>
          </w:p>
        </w:tc>
        <w:tc>
          <w:tcPr>
            <w:tcW w:w="638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r>
      <w:tr>
        <w:trPr>
          <w:trHeight w:val="196"/>
        </w:trPr>
        <w:tc>
          <w:tcPr>
            <w:tcW w:w="41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United States Federal Income Tax Consequences</w:t>
            </w:r>
          </w:p>
        </w:tc>
        <w:tc>
          <w:tcPr>
            <w:tcW w:w="458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S-40</w:t>
            </w:r>
          </w:p>
        </w:tc>
      </w:tr>
      <w:tr>
        <w:trPr>
          <w:trHeight w:val="196"/>
        </w:trPr>
        <w:tc>
          <w:tcPr>
            <w:tcW w:w="2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646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S-45</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S-53</w:t>
            </w: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680" w:type="dxa"/>
            <w:vAlign w:val="bottom"/>
            <w:gridSpan w:val="2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S-53</w:t>
            </w:r>
          </w:p>
        </w:tc>
      </w:tr>
      <w:tr>
        <w:trPr>
          <w:trHeight w:val="668"/>
        </w:trPr>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80" w:type="dxa"/>
            <w:vAlign w:val="bottom"/>
          </w:tcPr>
          <w:p>
            <w:pPr>
              <w:spacing w:after="0"/>
              <w:rPr>
                <w:sz w:val="24"/>
                <w:szCs w:val="24"/>
                <w:color w:val="auto"/>
              </w:rPr>
            </w:pPr>
          </w:p>
        </w:tc>
      </w:tr>
      <w:tr>
        <w:trPr>
          <w:trHeight w:val="37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5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7100" w:type="dxa"/>
            <w:vAlign w:val="bottom"/>
            <w:gridSpan w:val="14"/>
          </w:tcPr>
          <w:p>
            <w:pPr>
              <w:spacing w:after="0"/>
              <w:rPr>
                <w:sz w:val="16"/>
                <w:szCs w:val="16"/>
                <w:color w:val="auto"/>
              </w:rPr>
            </w:pP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1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454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Trademarks and Other Intellectual Property Rights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Basis of Presentation</w:t>
            </w:r>
          </w:p>
        </w:tc>
        <w:tc>
          <w:tcPr>
            <w:tcW w:w="2100" w:type="dxa"/>
            <w:vAlign w:val="bottom"/>
            <w:tcBorders>
              <w:top w:val="single" w:sz="8" w:color="0000EE"/>
            </w:tcBorders>
            <w:gridSpan w:val="10"/>
          </w:tcPr>
          <w:p>
            <w:pPr>
              <w:spacing w:after="0"/>
              <w:rPr>
                <w:sz w:val="17"/>
                <w:szCs w:val="17"/>
                <w:color w:val="auto"/>
              </w:rPr>
            </w:pPr>
          </w:p>
        </w:tc>
        <w:tc>
          <w:tcPr>
            <w:tcW w:w="504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502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Dell Technologies Inc.</w:t>
            </w:r>
          </w:p>
        </w:tc>
        <w:tc>
          <w:tcPr>
            <w:tcW w:w="704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2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Dell International L.L.C., EMC Corporation and the Additional Registrant Guarantors</w:t>
            </w:r>
          </w:p>
        </w:tc>
        <w:tc>
          <w:tcPr>
            <w:tcW w:w="248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Information</w:t>
            </w:r>
          </w:p>
        </w:tc>
        <w:tc>
          <w:tcPr>
            <w:tcW w:w="706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Recent Developments</w:t>
            </w:r>
          </w:p>
        </w:tc>
        <w:tc>
          <w:tcPr>
            <w:tcW w:w="710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500" w:type="dxa"/>
            <w:vAlign w:val="bottom"/>
            <w:gridSpan w:val="1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160" w:type="dxa"/>
            <w:vAlign w:val="bottom"/>
            <w:gridSpan w:val="1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716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incorporated by reference herein and therein contain “forward-looking statements” within the meaning of Section 27A of the Securities Act of 1933, as amended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I—Item 1A—Risk Factors” in our Annual Report (the “Annual Report”) on Form 10-K for the fiscal year ended January 30, 2026, in this prospectus supplement and the accompanying prospectus and in our other periodic and current reports filed with the Securities and Exchange Commission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85"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conditions and instability in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of our business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product and component vendors;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single-source or limited-source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demands for artificial intelligence (“AI”)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AI solutions and use of AI in our internal functions and operations;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high-quality products, software, and services, or to manage solutions and product and services transitions in an effective manner;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implement our cost efficiency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including cyber-attacks;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and ability to generate substantial non-U.S. net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service, customer, and geographic sales mix and seasonal sales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sales channel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acquisitions and dispositions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capital markets by us or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changing customer mix, and additional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default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impairments to our goodwill or intangible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reduction of services or rates under, any services contracts with our customers, including government contracts, and our ability to perform such contracts at our estimated costs;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proprietary intellectual property or obtain licenses to intellectual property developed by others on commercially reasonable and competitive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disruptions, including disruptions to our information technology and manufacturing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hedge our exposure to fluctuations in foreign currency exchange rates and interest rates;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legislative or regulatory tax changes, expiration of tax holidays or favorable tax rate structures, or unfavorable outcomes in tax audits and other tax compliance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fair value or impairment of portfolio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of legal proceedings;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and varied stakeholder expectations and regulatory requirements with respect to sustainability and environmental, social, and governance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climate-related risks and legal, regulatory, or market measures related to climate;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changing environmental and safety laws;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anti-corruption laws, economic sanctions and other trade laws, human rights laws and other laws regulating our international operations;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services of our Chief Executive Officer and our loss of, or inability to continue to attract, retain and motivate, executive talent and other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included in or incorporated by reference into this prospectus supplement and the accompanying prospectus.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supplement, except as may be required under applicable federal securities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This document has two parts. The first part consists of this prospectus supplement, which describes the specific terms of this Offering and the notes offered. The second part is the accompanying prospectus dated June 11, 2026. If the description of the Offering varies between this prospectus supplement and the accompanying prospectus, you should rely on the information in this prospectus supplement.</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Before purchasing any notes, you should carefully read both this prospectus supplement and the accompanying prospectus, together with the additional information described under the heading “Incorporation of Certain Information by Reference” below.</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filings with the SEC, including the filings that are incorporated by reference into this prospectus supplement or the accompanying prospectus,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Investors also may consult our website for more information. Our website is</w:t>
      </w:r>
      <w:r>
        <w:rPr>
          <w:rFonts w:ascii="Times New Roman" w:cs="Times New Roman" w:eastAsia="Times New Roman" w:hAnsi="Times New Roman"/>
          <w:sz w:val="18"/>
          <w:szCs w:val="18"/>
          <w:i w:val="1"/>
          <w:iCs w:val="1"/>
          <w:color w:val="auto"/>
        </w:rPr>
        <w:t xml:space="preserve"> www.dell.com </w:t>
      </w:r>
      <w:r>
        <w:rPr>
          <w:rFonts w:ascii="Times New Roman" w:cs="Times New Roman" w:eastAsia="Times New Roman" w:hAnsi="Times New Roman"/>
          <w:sz w:val="18"/>
          <w:szCs w:val="18"/>
          <w:color w:val="auto"/>
        </w:rPr>
        <w:t>and the Investors page of our website is</w:t>
      </w:r>
      <w:r>
        <w:rPr>
          <w:rFonts w:ascii="Times New Roman" w:cs="Times New Roman" w:eastAsia="Times New Roman" w:hAnsi="Times New Roman"/>
          <w:sz w:val="18"/>
          <w:szCs w:val="18"/>
          <w:i w:val="1"/>
          <w:iCs w:val="1"/>
          <w:color w:val="auto"/>
        </w:rPr>
        <w:t xml:space="preserve"> https://investors.delltechnologies.com</w:t>
      </w:r>
      <w:r>
        <w:rPr>
          <w:rFonts w:ascii="Times New Roman" w:cs="Times New Roman" w:eastAsia="Times New Roman" w:hAnsi="Times New Roman"/>
          <w:sz w:val="18"/>
          <w:szCs w:val="18"/>
          <w:color w:val="auto"/>
        </w:rPr>
        <w:t>. The information contained in, or that may be accessed through, our website is not incorporated by reference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supplement or the accompanying prospectus.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supplement and the accompanying prospectus, and later information that we file with the SEC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w:t>
      </w:r>
    </w:p>
    <w:p>
      <w:pPr>
        <w:spacing w:after="0" w:line="8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January 30,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May 1, 2026;</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our </w:t>
      </w:r>
      <w:hyperlink r:id="rId18">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our 2026 Annual Meeting of Stockholders filed on May 15, 2026 that are incorporated by reference into Dell Technologies’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January 30, 2026;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Current Reports on Form 8-K filed with the SEC on </w:t>
      </w:r>
      <w:hyperlink r:id="rId19">
        <w:r>
          <w:rPr>
            <w:rFonts w:ascii="Times New Roman" w:cs="Times New Roman" w:eastAsia="Times New Roman" w:hAnsi="Times New Roman"/>
            <w:sz w:val="18"/>
            <w:szCs w:val="18"/>
            <w:u w:val="single" w:color="auto"/>
            <w:color w:val="0000EE"/>
          </w:rPr>
          <w:t>April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June 10,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all documents that we subsequently file with the SEC pursuant to Section 13(a), 13(c), 14 or 15(d) of the Exchange Act on or after the date of this prospectus supplement and prior to the termination of the Offering of the notes hereunder. Nothing in this prospectus supplement or the accompanying prospectus shall be deemed to incorporate information furnished but not filed with the SEC, unless specifically noted otherwise.</w:t>
      </w:r>
    </w:p>
    <w:p>
      <w:pPr>
        <w:spacing w:after="0" w:line="180" w:lineRule="exact"/>
        <w:rPr>
          <w:rFonts w:ascii="Times New Roman" w:cs="Times New Roman" w:eastAsia="Times New Roman" w:hAnsi="Times New Roman"/>
          <w:sz w:val="18"/>
          <w:szCs w:val="18"/>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the accompanying prospectus or in a document incorporated by reference into this prospectus supplement or the accompanying prospectus will be deemed to be modified or superseded for purposes of this prospectus supplement to the extent that a statement contained in this prospectus supplement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One Dell Way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Telephone: (512) 728-7800</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you may access the documents incorporated by reference herein free of charge on the SEC’s website.</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includes and incorporates by reference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 date of this prospectus supplement.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Neither we nor the underwriters can guarantee the accuracy or completeness of any such information contained or incorporated by reference in this prospectus supplement. Such information also involves risks and uncertainties and is subject to change based on various factors, including those discussed under the heading “Cautionary Note Regarding Forward-Looking Statements.”</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 AND OTHER INTELLECTUAL PROPERTY RIGHTS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supplement or the accompanying prospectus (or in documents we have incorporated by reference) belongs to its owner.</w:t>
      </w:r>
    </w:p>
    <w:p>
      <w:pPr>
        <w:spacing w:after="0" w:line="187"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Solely for convenience, trademarks, service marks and trade names referred to in this prospectus supplement or the accompanying prospectus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or SM symbols, but such references are not intended to indicate, in any way, that we will not assert, to the fullest extent under applicable law, our rights or the rights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include and incorporate by reference the historical financial statements and other financial data of Dell Technologies, a guarantor of the notes offered hereby. Each of the Issuers is a direct wholly-owned subsidiary of Dell Inc., a guarantor of the notes offered hereby, and an indirect wholly-owned subsidiary of Dell Technologies. No separate financial information has been provided in this prospectus supplement for Dell International or EMC.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as the context otherwise requires, a reference in this prospectus supplement or the accompanying prospectus to:</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 refers to the Internal Revenue Code of 1986, as amended;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“Dell Technologies,” “we,” “our” or “us” refers to Dell Technologies Inc., a Delaware corporation, or, as the context requires, to Dell Technologies Inc. and its consolidated subsidiaries;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refers to Dell Inc., a Delaware corporation and wholly-owned subsidiary of Dell Technologies, or, as the context requires, to Dell Inc. and its consolidated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International” refers to Dell International L.L.C., a Delaware limited liability company and wholly-owned subsidiary of Dell Technologies, or, as the context requires, to Dell International L.L.C. and its consolidated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“Denali Intermediate” refers to Denali Intermediate Inc., a Delaware corporation and wholly-owned subsidiary of Dell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refers to Dell Financial Services L.L.C. and its affiliates;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debt” primarily refers to debt issued from time to time, which is non-recourse to the Company and represents borrowings under securitization programs and structured financing programs, for which the Company’s risk of loss is limited to transferred loan and lease payments and associated equipment. As of May 1, 2026, approximately $9.3 billion of DFS debt was outstanding;</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“EMC” refers to EMC Corporation, a Massachusetts corporation and wholly-owned subsidiary of Dell Technologies, or, as the context requires, to EMC Corporation and its consolidated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notes” refers to the Senior Notes and the Legacy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refers to the Company, Dell and Denali Intermediate;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refers to Dell International and EMC and not to any of their subsidiaries;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Notes” refers, collectively, to the 7.10% Senior Debentures due 2028, 6.50% Senior Notes due 2038 and 5.40% Senior Notes due 2040 issued by Dell, which are not guaranteed by any subsidiary or parent entity of Dell;</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revolving credit facility” refers to our $6.0 billion unsecured revolving credit facility described under “Summary—Recent Developments”;</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Notes” refers, collectively, to the 4.900% Senior Notes due 2026, the 6.100% Senior Notes due 2027, the 5.250% Senior Notes due 2028, the 4.750% Senior Notes due 2028, the 4.150% Senior Notes due 2029, the 5.300% Senior Notes due 2029, the 6.200% Senior Notes due 2030, the 4.350% Senior Notes due 2030, the 5.000% Senior Notes due 2030, the 4.500% Senior Notes due 2031, the 4.750% Senior Notes due 2032, the 5.300% Senior Notes due 2032, the 5.750% Senior Notes due 2033, the 5.400% Senior Notes due 2034, the 4.850% Senior Notes due 2035, the 5.500% Senior Notes due 2035, the 5.100% Senior Notes due 2036, the 8.100% Senior Notes due 2036, the 3.375% Senior Notes due 2041, the 8.350% Senior Notes due 2046 and the 3.450% Senior Notes due 2051 co-issued by Dell International and EMC, which are guaranteed by Dell Technologies, Denali Intermediate, and Dell Inc. Following our achievement of an investment grade rating, all of the collateral previously securing the Senior Notes outstanding as of that date was released and, as a result, the Senior Notes are currently unsecured; and</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refers to the firms the marketing names of which are listed on the cover of this prospectus supplement.</w:t>
      </w:r>
    </w:p>
    <w:p>
      <w:pPr>
        <w:spacing w:after="0" w:line="225"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Dell Technologies’ fiscal year is the 52- or 53-week period ending on the Friday nearest January 31. As used throughout this prospectus supplement and the accompanying prospectus:</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2026” refers to Dell Technologies’ fiscal year ended January 30, 2026.</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Numerical figures included in or incorporated by reference into this prospectus supplement and the accompanying prospectus have been subject to rounding adjustments. Accordingly, numerical figures shown as totals in various tables may not represent arithmetic aggregations of the figures that precede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This summary highlights selected information about the Offering and our business. It does not contain all of the information that you should consider before investing in the notes. You should carefully read this entire prospectus supplement, including the section entitled “Risk Factors,” the accompanying prospectus and the documents incorporated herein by reference, before making an investment decision.</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Overview of Dell Technologies</w:t>
      </w:r>
    </w:p>
    <w:p>
      <w:pPr>
        <w:spacing w:after="0" w:line="22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spacing w:after="0" w:line="187"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187"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76"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w:t>
      </w:r>
    </w:p>
    <w:p>
      <w:pPr>
        <w:spacing w:after="0" w:line="176"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76"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and our way of doing business provide a foundation to foster growth, drive efficiencies, and capitalize on each successive wave of innovation in a dynamic industry.</w:t>
      </w: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Overview of Dell International, EMC, Denali Intermediate and Dell</w:t>
      </w:r>
    </w:p>
    <w:p>
      <w:pPr>
        <w:spacing w:after="0" w:line="229"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Each of Dell International and EMC is a direct wholly-owned subsidiary of Dell and an indirect wholly- owned consolidated subsidiary of Dell Technologies. With respect to the additional guarantors, Denali Intermediate is a direct wholly-owned consolidated subsidiary of Dell Technologies, and Dell is a direct wholly-owned subsidiary of Denali Intermediate and an indirect wholly-owned consolidated subsidiary of Dell Technologies. Dell International, EMC, Denali Intermediate and Dell are holding companies that directly or indirectly hold all of the operating subsidiaries of Dell Technologies.</w:t>
      </w: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 xml:space="preserve">Dell Technologies (under the name Denali Holding Inc.) was incorporated in the State of Delaware in 2013 in connection with the going-private transaction in October 2013 pursuant to which the public stockholders of Dell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cs="Times New Roman" w:eastAsia="Times New Roman" w:hAnsi="Times New Roman"/>
          <w:sz w:val="18"/>
          <w:szCs w:val="18"/>
          <w:i w:val="1"/>
          <w:iCs w:val="1"/>
          <w:color w:val="auto"/>
        </w:rPr>
        <w:t>www.dell.com</w:t>
      </w:r>
      <w:r>
        <w:rPr>
          <w:rFonts w:ascii="Times New Roman" w:cs="Times New Roman" w:eastAsia="Times New Roman" w:hAnsi="Times New Roman"/>
          <w:sz w:val="18"/>
          <w:szCs w:val="18"/>
          <w:color w:val="auto"/>
        </w:rPr>
        <w:t xml:space="preserve"> and the Investors page of our website is </w:t>
      </w:r>
      <w:r>
        <w:rPr>
          <w:rFonts w:ascii="Times New Roman" w:cs="Times New Roman" w:eastAsia="Times New Roman" w:hAnsi="Times New Roman"/>
          <w:sz w:val="18"/>
          <w:szCs w:val="18"/>
          <w:i w:val="1"/>
          <w:iCs w:val="1"/>
          <w:color w:val="auto"/>
        </w:rPr>
        <w:t>https://investors.delltechnologies.com</w:t>
      </w:r>
      <w:r>
        <w:rPr>
          <w:rFonts w:ascii="Times New Roman" w:cs="Times New Roman" w:eastAsia="Times New Roman" w:hAnsi="Times New Roman"/>
          <w:sz w:val="18"/>
          <w:szCs w:val="18"/>
          <w:color w:val="auto"/>
        </w:rPr>
        <w:t>. Information contained or linked on our website is not incorporated by reference into this prospectus supplement and the accompanying prospectus and is not a part of this prospectus supplement and accompanying prospectus.</w:t>
      </w:r>
    </w:p>
    <w:p>
      <w:pPr>
        <w:spacing w:after="0" w:line="189"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Dell International (under the name New Dell International LLC) was incorporated in the State of Delaware in 2016 in connection with Dell Technologies’ acquisition of EMC. New Dell International LLC changed its name to Dell International L.L.C. on September 8, 2016. Dell and Denali Intermediate were incorporated in the State of Delaware in 1987 and 2013, respectively. The principal address of Dell International, Denali Intermediate and Dell is One Dell Way, Round Rock, Texas 78682.</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EMC was incorporated in Massachusetts in 1979. EMC’s corporate headquarters are located at 176 South Street, Hopkinton, Massachusetts 01748. EMC’s telephone number is (508) 435-1000.</w:t>
      </w: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Redomestication</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On May 3, 2026, Dell Technologies’ board of directors unanimously approved changing the jurisdiction of Dell Technologies’ state of incorporation from Delaware to Texas, subject to the approval of its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its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93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998970" cy="3938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hanging="2"/>
        <w:spacing w:after="0" w:line="261" w:lineRule="auto"/>
        <w:tabs>
          <w:tab w:leader="none" w:pos="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New Revolving Credit Facility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June 10, 2026, Dell Technologies, Denali Intermediate, Dell, Dell International, as a borrower, and EMC, as a borrower, entered into a credit agreement with JPMorgan Chase Bank, N.A., as administrative agent, and each of the lenders and other parties from time to time party thereto (the “new credit agreement”), which provides for a senior unsecured revolving credit facility. Also on June 10, 2026, and in connection with the entry into the new credit agreement, Dell International and EMC repaid in full and terminated all of their obligations and commitments under the prior credit agreement.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new credit agreement, which matures on June 10, 2031, unless extended, provides Dell International and EMC with revolving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commitments in an aggregate principal amount of $6,000,000,000 and with a letter of credit sub-facility of up to $500,000,000. The new credit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also allows Dell International and EMC to request incremental commitments on one or more occasions in a minimum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$10,000,000, provided that the Consolidated Interest Coverage Ratio (as defined in the new credit agreement), calculated on a pro forma basis,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after giving effect to the incurrence of such commitment increase (assuming that the full amount of such commitment increase is drawn)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 thereof, shall not be less than 3.00:1.00 for the most recently completed four consecutive fiscal quarters of Dell Technologies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financial statements have been delivered. The proceeds of the Loans (as defined in the new credit agreement) will be used by Dell and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for general corporate purposes.</w:t>
      </w:r>
    </w:p>
    <w:p>
      <w:pPr>
        <w:spacing w:after="0" w:line="207"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Borrowings under the new credit agreement bear interest at a rate per annum equal to an applicable margin plus, at the borrowers’ option, either (a) the specified Secured Overnight Financing Rate (“SOFR”) or (b) a base rate. The margin applicable to SOFR and base rate borrowings varies based upon Dell Technologies’ existing credit ratings. The base rate is calculated based upon the greatest of the specified prime rate, the specified federal reserve bank rate plus 0.5%, and the specified term SOFR plus 1%. Borrowings under the new credit agreement may be voluntarily repaid at any time without premium or penalty, other than customary breakage costs.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right="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Notes” section of this prospectus supplement contains a more detailed description of the terms and conditions of the notes.</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 of the Notes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38"/>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Issuers</w:t>
            </w:r>
          </w:p>
        </w:tc>
        <w:tc>
          <w:tcPr>
            <w:tcW w:w="702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w w:val="99"/>
              </w:rPr>
              <w:t>The notes will be co-issued by Dell International L.L.C. and EMC Corporation.</w:t>
            </w:r>
          </w:p>
        </w:tc>
      </w:tr>
      <w:tr>
        <w:trPr>
          <w:trHeight w:val="473"/>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Securities Offered</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r>
        <w:trPr>
          <w:trHeight w:val="473"/>
        </w:trPr>
        <w:tc>
          <w:tcPr>
            <w:tcW w:w="274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r>
        <w:trPr>
          <w:trHeight w:val="459"/>
        </w:trPr>
        <w:tc>
          <w:tcPr>
            <w:tcW w:w="274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bl>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Maturity Date</w:t>
            </w:r>
          </w:p>
        </w:tc>
        <w:tc>
          <w:tcPr>
            <w:tcW w:w="3940" w:type="dxa"/>
            <w:vAlign w:val="bottom"/>
            <w:gridSpan w:val="5"/>
          </w:tcPr>
          <w:p>
            <w:pPr>
              <w:ind w:left="15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 20   .</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73"/>
        </w:trPr>
        <w:tc>
          <w:tcPr>
            <w:tcW w:w="2520" w:type="dxa"/>
            <w:vAlign w:val="bottom"/>
          </w:tcPr>
          <w:p>
            <w:pPr>
              <w:spacing w:after="0"/>
              <w:rPr>
                <w:sz w:val="24"/>
                <w:szCs w:val="24"/>
                <w:color w:val="auto"/>
              </w:rPr>
            </w:pPr>
          </w:p>
        </w:tc>
        <w:tc>
          <w:tcPr>
            <w:tcW w:w="3940" w:type="dxa"/>
            <w:vAlign w:val="bottom"/>
            <w:gridSpan w:val="5"/>
          </w:tcPr>
          <w:p>
            <w:pPr>
              <w:ind w:left="15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 20   .</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2520" w:type="dxa"/>
            <w:vAlign w:val="bottom"/>
          </w:tcPr>
          <w:p>
            <w:pPr>
              <w:spacing w:after="0"/>
              <w:rPr>
                <w:sz w:val="24"/>
                <w:szCs w:val="24"/>
                <w:color w:val="auto"/>
              </w:rPr>
            </w:pPr>
          </w:p>
        </w:tc>
        <w:tc>
          <w:tcPr>
            <w:tcW w:w="3940" w:type="dxa"/>
            <w:vAlign w:val="bottom"/>
            <w:gridSpan w:val="5"/>
          </w:tcPr>
          <w:p>
            <w:pPr>
              <w:ind w:left="15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 20   .</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1"/>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Rate</w:t>
            </w:r>
          </w:p>
        </w:tc>
        <w:tc>
          <w:tcPr>
            <w:tcW w:w="5160" w:type="dxa"/>
            <w:vAlign w:val="bottom"/>
            <w:gridSpan w:val="9"/>
          </w:tcPr>
          <w:p>
            <w:pPr>
              <w:ind w:left="1520"/>
              <w:spacing w:after="0"/>
              <w:rPr>
                <w:sz w:val="20"/>
                <w:szCs w:val="20"/>
                <w:color w:val="auto"/>
              </w:rPr>
            </w:pPr>
            <w:r>
              <w:rPr>
                <w:rFonts w:ascii="Times New Roman" w:cs="Times New Roman" w:eastAsia="Times New Roman" w:hAnsi="Times New Roman"/>
                <w:sz w:val="18"/>
                <w:szCs w:val="18"/>
                <w:color w:val="auto"/>
                <w:w w:val="96"/>
              </w:rPr>
              <w:t>Interest on the 20   notes will accrue at a rate of </w:t>
            </w:r>
          </w:p>
        </w:tc>
        <w:tc>
          <w:tcPr>
            <w:tcW w:w="290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         % per annum and will be</w:t>
            </w:r>
          </w:p>
        </w:tc>
      </w:tr>
      <w:tr>
        <w:trPr>
          <w:trHeight w:val="216"/>
        </w:trPr>
        <w:tc>
          <w:tcPr>
            <w:tcW w:w="2520" w:type="dxa"/>
            <w:vAlign w:val="bottom"/>
          </w:tcPr>
          <w:p>
            <w:pPr>
              <w:spacing w:after="0"/>
              <w:rPr>
                <w:sz w:val="18"/>
                <w:szCs w:val="18"/>
                <w:color w:val="auto"/>
              </w:rPr>
            </w:pPr>
          </w:p>
        </w:tc>
        <w:tc>
          <w:tcPr>
            <w:tcW w:w="3940" w:type="dxa"/>
            <w:vAlign w:val="bottom"/>
            <w:gridSpan w:val="5"/>
          </w:tcPr>
          <w:p>
            <w:pPr>
              <w:ind w:left="1520"/>
              <w:spacing w:after="0"/>
              <w:rPr>
                <w:sz w:val="20"/>
                <w:szCs w:val="20"/>
                <w:color w:val="auto"/>
              </w:rPr>
            </w:pPr>
            <w:r>
              <w:rPr>
                <w:rFonts w:ascii="Times New Roman" w:cs="Times New Roman" w:eastAsia="Times New Roman" w:hAnsi="Times New Roman"/>
                <w:sz w:val="18"/>
                <w:szCs w:val="18"/>
                <w:color w:val="auto"/>
              </w:rPr>
              <w:t xml:space="preserve">payable in cash in arrears on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and        </w:t>
            </w:r>
          </w:p>
        </w:tc>
        <w:tc>
          <w:tcPr>
            <w:tcW w:w="29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color w:val="auto"/>
                <w:w w:val="99"/>
              </w:rPr>
              <w:t>   of each year, commencing on</w:t>
            </w:r>
          </w:p>
        </w:tc>
      </w:tr>
      <w:tr>
        <w:trPr>
          <w:trHeight w:val="234"/>
        </w:trPr>
        <w:tc>
          <w:tcPr>
            <w:tcW w:w="2520" w:type="dxa"/>
            <w:vAlign w:val="bottom"/>
          </w:tcPr>
          <w:p>
            <w:pPr>
              <w:spacing w:after="0"/>
              <w:rPr>
                <w:sz w:val="20"/>
                <w:szCs w:val="20"/>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 2026.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1"/>
        </w:trPr>
        <w:tc>
          <w:tcPr>
            <w:tcW w:w="2520" w:type="dxa"/>
            <w:vAlign w:val="bottom"/>
          </w:tcPr>
          <w:p>
            <w:pPr>
              <w:spacing w:after="0"/>
              <w:rPr>
                <w:sz w:val="24"/>
                <w:szCs w:val="24"/>
                <w:color w:val="auto"/>
              </w:rPr>
            </w:pPr>
          </w:p>
        </w:tc>
        <w:tc>
          <w:tcPr>
            <w:tcW w:w="5160" w:type="dxa"/>
            <w:vAlign w:val="bottom"/>
            <w:gridSpan w:val="9"/>
          </w:tcPr>
          <w:p>
            <w:pPr>
              <w:ind w:left="1520"/>
              <w:spacing w:after="0"/>
              <w:rPr>
                <w:sz w:val="20"/>
                <w:szCs w:val="20"/>
                <w:color w:val="auto"/>
              </w:rPr>
            </w:pPr>
            <w:r>
              <w:rPr>
                <w:rFonts w:ascii="Times New Roman" w:cs="Times New Roman" w:eastAsia="Times New Roman" w:hAnsi="Times New Roman"/>
                <w:sz w:val="18"/>
                <w:szCs w:val="18"/>
                <w:color w:val="auto"/>
                <w:w w:val="95"/>
              </w:rPr>
              <w:t>Interest on the 20   notes will accrue at a rate of  </w:t>
            </w:r>
          </w:p>
        </w:tc>
        <w:tc>
          <w:tcPr>
            <w:tcW w:w="29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 per annum and will be payable in</w:t>
            </w:r>
          </w:p>
        </w:tc>
      </w:tr>
      <w:tr>
        <w:trPr>
          <w:trHeight w:val="234"/>
        </w:trPr>
        <w:tc>
          <w:tcPr>
            <w:tcW w:w="2520" w:type="dxa"/>
            <w:vAlign w:val="bottom"/>
          </w:tcPr>
          <w:p>
            <w:pPr>
              <w:spacing w:after="0"/>
              <w:rPr>
                <w:sz w:val="20"/>
                <w:szCs w:val="20"/>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3"/>
              </w:rPr>
              <w:t>cash in arrears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0"/>
              </w:rPr>
              <w:t>and  </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4"/>
              </w:rPr>
              <w:t>   of each year, commencing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r>
        <w:trPr>
          <w:trHeight w:val="441"/>
        </w:trPr>
        <w:tc>
          <w:tcPr>
            <w:tcW w:w="2520" w:type="dxa"/>
            <w:vAlign w:val="bottom"/>
          </w:tcPr>
          <w:p>
            <w:pPr>
              <w:spacing w:after="0"/>
              <w:rPr>
                <w:sz w:val="24"/>
                <w:szCs w:val="24"/>
                <w:color w:val="auto"/>
              </w:rPr>
            </w:pPr>
          </w:p>
        </w:tc>
        <w:tc>
          <w:tcPr>
            <w:tcW w:w="5160" w:type="dxa"/>
            <w:vAlign w:val="bottom"/>
            <w:gridSpan w:val="9"/>
          </w:tcPr>
          <w:p>
            <w:pPr>
              <w:ind w:left="1520"/>
              <w:spacing w:after="0"/>
              <w:rPr>
                <w:sz w:val="20"/>
                <w:szCs w:val="20"/>
                <w:color w:val="auto"/>
              </w:rPr>
            </w:pPr>
            <w:r>
              <w:rPr>
                <w:rFonts w:ascii="Times New Roman" w:cs="Times New Roman" w:eastAsia="Times New Roman" w:hAnsi="Times New Roman"/>
                <w:sz w:val="18"/>
                <w:szCs w:val="18"/>
                <w:color w:val="auto"/>
                <w:w w:val="95"/>
              </w:rPr>
              <w:t>Interest on the 20   notes will accrue at a rate of  </w:t>
            </w:r>
          </w:p>
        </w:tc>
        <w:tc>
          <w:tcPr>
            <w:tcW w:w="29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 per annum and will be payable in</w:t>
            </w:r>
          </w:p>
        </w:tc>
      </w:tr>
      <w:tr>
        <w:trPr>
          <w:trHeight w:val="234"/>
        </w:trPr>
        <w:tc>
          <w:tcPr>
            <w:tcW w:w="2520" w:type="dxa"/>
            <w:vAlign w:val="bottom"/>
          </w:tcPr>
          <w:p>
            <w:pPr>
              <w:spacing w:after="0"/>
              <w:rPr>
                <w:sz w:val="20"/>
                <w:szCs w:val="20"/>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3"/>
              </w:rPr>
              <w:t>cash in arrears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0"/>
              </w:rPr>
              <w:t>and  </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4"/>
              </w:rPr>
              <w:t>   of each year, commencing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r>
        <w:trPr>
          <w:trHeight w:val="459"/>
        </w:trPr>
        <w:tc>
          <w:tcPr>
            <w:tcW w:w="2520" w:type="dxa"/>
            <w:vAlign w:val="bottom"/>
          </w:tcPr>
          <w:p>
            <w:pPr>
              <w:spacing w:after="0"/>
              <w:rPr>
                <w:sz w:val="24"/>
                <w:szCs w:val="24"/>
                <w:color w:val="auto"/>
              </w:rPr>
            </w:pPr>
          </w:p>
        </w:tc>
        <w:tc>
          <w:tcPr>
            <w:tcW w:w="6940" w:type="dxa"/>
            <w:vAlign w:val="bottom"/>
            <w:gridSpan w:val="10"/>
          </w:tcPr>
          <w:p>
            <w:pPr>
              <w:ind w:left="1520"/>
              <w:spacing w:after="0"/>
              <w:rPr>
                <w:sz w:val="20"/>
                <w:szCs w:val="20"/>
                <w:color w:val="auto"/>
              </w:rPr>
            </w:pPr>
            <w:r>
              <w:rPr>
                <w:rFonts w:ascii="Times New Roman" w:cs="Times New Roman" w:eastAsia="Times New Roman" w:hAnsi="Times New Roman"/>
                <w:sz w:val="18"/>
                <w:szCs w:val="18"/>
                <w:color w:val="auto"/>
              </w:rPr>
              <w:t>Interest will accrue from the issue date of the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1"/>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Guarantees</w:t>
            </w:r>
          </w:p>
        </w:tc>
        <w:tc>
          <w:tcPr>
            <w:tcW w:w="8060" w:type="dxa"/>
            <w:vAlign w:val="bottom"/>
            <w:gridSpan w:val="14"/>
          </w:tcPr>
          <w:p>
            <w:pPr>
              <w:ind w:left="1520"/>
              <w:spacing w:after="0"/>
              <w:rPr>
                <w:sz w:val="20"/>
                <w:szCs w:val="20"/>
                <w:color w:val="auto"/>
              </w:rPr>
            </w:pPr>
            <w:r>
              <w:rPr>
                <w:rFonts w:ascii="Times New Roman" w:cs="Times New Roman" w:eastAsia="Times New Roman" w:hAnsi="Times New Roman"/>
                <w:sz w:val="18"/>
                <w:szCs w:val="18"/>
                <w:color w:val="auto"/>
              </w:rPr>
              <w:t>The notes will be guaranteed on a joint and several basis by Dell Technologies, Denali</w:t>
            </w:r>
          </w:p>
        </w:tc>
      </w:tr>
      <w:tr>
        <w:trPr>
          <w:trHeight w:val="234"/>
        </w:trPr>
        <w:tc>
          <w:tcPr>
            <w:tcW w:w="2520" w:type="dxa"/>
            <w:vAlign w:val="bottom"/>
          </w:tcPr>
          <w:p>
            <w:pPr>
              <w:spacing w:after="0"/>
              <w:rPr>
                <w:sz w:val="20"/>
                <w:szCs w:val="20"/>
                <w:color w:val="auto"/>
              </w:rPr>
            </w:pPr>
          </w:p>
        </w:tc>
        <w:tc>
          <w:tcPr>
            <w:tcW w:w="8060" w:type="dxa"/>
            <w:vAlign w:val="bottom"/>
            <w:gridSpan w:val="14"/>
          </w:tcPr>
          <w:p>
            <w:pPr>
              <w:ind w:left="1520"/>
              <w:spacing w:after="0"/>
              <w:rPr>
                <w:sz w:val="20"/>
                <w:szCs w:val="20"/>
                <w:color w:val="auto"/>
              </w:rPr>
            </w:pPr>
            <w:r>
              <w:rPr>
                <w:rFonts w:ascii="Times New Roman" w:cs="Times New Roman" w:eastAsia="Times New Roman" w:hAnsi="Times New Roman"/>
                <w:sz w:val="18"/>
                <w:szCs w:val="18"/>
                <w:color w:val="auto"/>
                <w:w w:val="99"/>
              </w:rPr>
              <w:t>Intermediate and Dell. The notes will not be guaranteed by any of the issuers’ subsidiaries.</w:t>
            </w:r>
          </w:p>
        </w:tc>
      </w:tr>
      <w:tr>
        <w:trPr>
          <w:trHeight w:val="459"/>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Ranking</w:t>
            </w:r>
          </w:p>
        </w:tc>
        <w:tc>
          <w:tcPr>
            <w:tcW w:w="5160" w:type="dxa"/>
            <w:vAlign w:val="bottom"/>
            <w:gridSpan w:val="9"/>
          </w:tcPr>
          <w:p>
            <w:pPr>
              <w:ind w:left="1520"/>
              <w:spacing w:after="0"/>
              <w:rPr>
                <w:sz w:val="20"/>
                <w:szCs w:val="20"/>
                <w:color w:val="auto"/>
              </w:rPr>
            </w:pPr>
            <w:r>
              <w:rPr>
                <w:rFonts w:ascii="Times New Roman" w:cs="Times New Roman" w:eastAsia="Times New Roman" w:hAnsi="Times New Roman"/>
                <w:sz w:val="18"/>
                <w:szCs w:val="18"/>
                <w:color w:val="auto"/>
              </w:rPr>
              <w:t>The notes and the note guarantees will be:</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1"/>
        </w:trPr>
        <w:tc>
          <w:tcPr>
            <w:tcW w:w="2520" w:type="dxa"/>
            <w:vAlign w:val="bottom"/>
          </w:tcPr>
          <w:p>
            <w:pPr>
              <w:spacing w:after="0"/>
              <w:rPr>
                <w:sz w:val="24"/>
                <w:szCs w:val="24"/>
                <w:color w:val="auto"/>
              </w:rPr>
            </w:pPr>
          </w:p>
        </w:tc>
        <w:tc>
          <w:tcPr>
            <w:tcW w:w="6940" w:type="dxa"/>
            <w:vAlign w:val="bottom"/>
            <w:gridSpan w:val="10"/>
          </w:tcPr>
          <w:p>
            <w:pPr>
              <w:ind w:left="1740"/>
              <w:spacing w:after="0"/>
              <w:rPr>
                <w:sz w:val="20"/>
                <w:szCs w:val="20"/>
                <w:color w:val="auto"/>
              </w:rPr>
            </w:pPr>
            <w:r>
              <w:rPr>
                <w:rFonts w:ascii="Times New Roman" w:cs="Times New Roman" w:eastAsia="Times New Roman" w:hAnsi="Times New Roman"/>
                <w:sz w:val="18"/>
                <w:szCs w:val="18"/>
                <w:color w:val="auto"/>
              </w:rPr>
              <w:t>•   senior unsecured obligations of the issuers and the guarantors;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3" w:lineRule="exact"/>
        <w:rPr>
          <w:sz w:val="20"/>
          <w:szCs w:val="20"/>
          <w:color w:val="auto"/>
        </w:rPr>
      </w:pPr>
    </w:p>
    <w:p>
      <w:pPr>
        <w:ind w:left="4840" w:hanging="279"/>
        <w:spacing w:after="0" w:line="282" w:lineRule="auto"/>
        <w:tabs>
          <w:tab w:leader="none" w:pos="4820" w:val="left"/>
        </w:tabs>
        <w:rPr>
          <w:sz w:val="20"/>
          <w:szCs w:val="20"/>
          <w:color w:val="auto"/>
        </w:rPr>
      </w:pPr>
      <w:r>
        <w:rPr>
          <w:rFonts w:ascii="Times New Roman" w:cs="Times New Roman" w:eastAsia="Times New Roman" w:hAnsi="Times New Roman"/>
          <w:sz w:val="18"/>
          <w:szCs w:val="18"/>
          <w:color w:val="auto"/>
        </w:rPr>
        <w:t>•</w:t>
        <w:tab/>
        <w:t>senior in right of payment to any future subordinated indebtedness of the issuers and the guarantors;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40" w:hanging="289"/>
        <w:spacing w:after="0" w:line="266" w:lineRule="auto"/>
        <w:tabs>
          <w:tab w:leader="none" w:pos="4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 right of payment with all existing and future senior indebtedness of the issuers and the guarantors, including the new revolving credit facility and the existing notes;</w:t>
      </w:r>
    </w:p>
    <w:p>
      <w:pPr>
        <w:spacing w:after="0" w:line="81" w:lineRule="exact"/>
        <w:rPr>
          <w:rFonts w:ascii="Times New Roman" w:cs="Times New Roman" w:eastAsia="Times New Roman" w:hAnsi="Times New Roman"/>
          <w:sz w:val="18"/>
          <w:szCs w:val="18"/>
          <w:color w:val="auto"/>
        </w:rPr>
      </w:pPr>
    </w:p>
    <w:p>
      <w:pPr>
        <w:ind w:left="4840" w:right="60" w:hanging="289"/>
        <w:spacing w:after="0" w:line="282" w:lineRule="auto"/>
        <w:tabs>
          <w:tab w:leader="none" w:pos="4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the Legacy Notes that are issued by Dell, a parent entity of the issuers, and which are not guaranteed by the issuers; and</w:t>
      </w:r>
    </w:p>
    <w:p>
      <w:pPr>
        <w:spacing w:after="0" w:line="67" w:lineRule="exact"/>
        <w:rPr>
          <w:rFonts w:ascii="Times New Roman" w:cs="Times New Roman" w:eastAsia="Times New Roman" w:hAnsi="Times New Roman"/>
          <w:sz w:val="18"/>
          <w:szCs w:val="18"/>
          <w:color w:val="auto"/>
        </w:rPr>
      </w:pPr>
    </w:p>
    <w:p>
      <w:pPr>
        <w:ind w:left="4840" w:right="80" w:hanging="289"/>
        <w:spacing w:after="0" w:line="266" w:lineRule="auto"/>
        <w:tabs>
          <w:tab w:leader="none" w:pos="4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liabilities of subsidiaries of the issuers, consisting mainly of DFS debt, other than indebtedness and liabilities owed to one of the issuers or guarantors.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3760" w:type="dxa"/>
            <w:vAlign w:val="bottom"/>
            <w:gridSpan w:val="10"/>
          </w:tcPr>
          <w:p>
            <w:pPr>
              <w:ind w:left="720"/>
              <w:spacing w:after="0"/>
              <w:rPr>
                <w:sz w:val="20"/>
                <w:szCs w:val="20"/>
                <w:color w:val="auto"/>
              </w:rPr>
            </w:pPr>
            <w:r>
              <w:rPr>
                <w:rFonts w:ascii="Times New Roman" w:cs="Times New Roman" w:eastAsia="Times New Roman" w:hAnsi="Times New Roman"/>
                <w:sz w:val="18"/>
                <w:szCs w:val="18"/>
                <w:color w:val="auto"/>
                <w:w w:val="97"/>
              </w:rPr>
              <w:t>We may redeem some or all of (i) the 20 </w:t>
            </w: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xml:space="preserve">notes at any time prior to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 20 </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3320" w:type="dxa"/>
            <w:vAlign w:val="bottom"/>
          </w:tcPr>
          <w:p>
            <w:pPr>
              <w:spacing w:after="0"/>
              <w:rPr>
                <w:sz w:val="18"/>
                <w:szCs w:val="18"/>
                <w:color w:val="auto"/>
              </w:rPr>
            </w:pPr>
          </w:p>
        </w:tc>
        <w:tc>
          <w:tcPr>
            <w:tcW w:w="16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w w:val="87"/>
              </w:rPr>
              <w:t>date that is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98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color w:val="auto"/>
                <w:w w:val="95"/>
              </w:rPr>
              <w:t>months prior to the maturity of the 20 </w:t>
            </w: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4"/>
              </w:rPr>
              <w:t>notes), (ii) the 20 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notes at</w:t>
            </w:r>
          </w:p>
        </w:tc>
      </w:tr>
      <w:tr>
        <w:trPr>
          <w:trHeight w:val="216"/>
        </w:trPr>
        <w:tc>
          <w:tcPr>
            <w:tcW w:w="3320" w:type="dxa"/>
            <w:vAlign w:val="bottom"/>
          </w:tcPr>
          <w:p>
            <w:pPr>
              <w:spacing w:after="0"/>
              <w:rPr>
                <w:sz w:val="18"/>
                <w:szCs w:val="18"/>
                <w:color w:val="auto"/>
              </w:rPr>
            </w:pPr>
          </w:p>
        </w:tc>
        <w:tc>
          <w:tcPr>
            <w:tcW w:w="214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w w:val="97"/>
              </w:rPr>
              <w:t>any time prior to  </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8"/>
              </w:rPr>
              <w:t>         , 20 </w:t>
            </w:r>
          </w:p>
        </w:tc>
        <w:tc>
          <w:tcPr>
            <w:tcW w:w="12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1"/>
              </w:rPr>
              <w:t>(the date that is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7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9"/>
              </w:rPr>
              <w:t>      months prior to the maturity of</w:t>
            </w:r>
          </w:p>
        </w:tc>
      </w:tr>
      <w:tr>
        <w:trPr>
          <w:trHeight w:val="216"/>
        </w:trPr>
        <w:tc>
          <w:tcPr>
            <w:tcW w:w="3320" w:type="dxa"/>
            <w:vAlign w:val="bottom"/>
          </w:tcPr>
          <w:p>
            <w:pPr>
              <w:spacing w:after="0"/>
              <w:rPr>
                <w:sz w:val="18"/>
                <w:szCs w:val="18"/>
                <w:color w:val="auto"/>
              </w:rPr>
            </w:pPr>
          </w:p>
        </w:tc>
        <w:tc>
          <w:tcPr>
            <w:tcW w:w="3140" w:type="dxa"/>
            <w:vAlign w:val="bottom"/>
            <w:gridSpan w:val="7"/>
          </w:tcPr>
          <w:p>
            <w:pPr>
              <w:ind w:left="720"/>
              <w:spacing w:after="0"/>
              <w:rPr>
                <w:sz w:val="20"/>
                <w:szCs w:val="20"/>
                <w:color w:val="auto"/>
              </w:rPr>
            </w:pPr>
            <w:r>
              <w:rPr>
                <w:rFonts w:ascii="Times New Roman" w:cs="Times New Roman" w:eastAsia="Times New Roman" w:hAnsi="Times New Roman"/>
                <w:sz w:val="18"/>
                <w:szCs w:val="18"/>
                <w:color w:val="auto"/>
                <w:w w:val="98"/>
              </w:rPr>
              <w:t>the 20   notes) and (iii) the 20 </w:t>
            </w:r>
          </w:p>
        </w:tc>
        <w:tc>
          <w:tcPr>
            <w:tcW w:w="1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5"/>
              </w:rPr>
              <w:t>notes at any time prior to  </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w w:val="90"/>
              </w:rPr>
              <w:t>         , 20 </w:t>
            </w:r>
          </w:p>
        </w:tc>
        <w:tc>
          <w:tcPr>
            <w:tcW w:w="1220" w:type="dxa"/>
            <w:vAlign w:val="bottom"/>
            <w:gridSpan w:val="4"/>
          </w:tcPr>
          <w:p>
            <w:pPr>
              <w:jc w:val="right"/>
              <w:ind w:right="87"/>
              <w:spacing w:after="0"/>
              <w:rPr>
                <w:sz w:val="20"/>
                <w:szCs w:val="20"/>
                <w:color w:val="auto"/>
              </w:rPr>
            </w:pPr>
            <w:r>
              <w:rPr>
                <w:rFonts w:ascii="Times New Roman" w:cs="Times New Roman" w:eastAsia="Times New Roman" w:hAnsi="Times New Roman"/>
                <w:sz w:val="18"/>
                <w:szCs w:val="18"/>
                <w:color w:val="auto"/>
              </w:rPr>
              <w:t>(the date that</w:t>
            </w:r>
          </w:p>
        </w:tc>
      </w:tr>
      <w:tr>
        <w:trPr>
          <w:trHeight w:val="216"/>
        </w:trPr>
        <w:tc>
          <w:tcPr>
            <w:tcW w:w="332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5"/>
              </w:rPr>
              <w:t>is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28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w w:val="95"/>
              </w:rPr>
              <w:t>months prior to the maturity of the 20 </w:t>
            </w:r>
          </w:p>
        </w:tc>
        <w:tc>
          <w:tcPr>
            <w:tcW w:w="140" w:type="dxa"/>
            <w:vAlign w:val="bottom"/>
          </w:tcPr>
          <w:p>
            <w:pPr>
              <w:spacing w:after="0"/>
              <w:rPr>
                <w:sz w:val="18"/>
                <w:szCs w:val="18"/>
                <w:color w:val="auto"/>
              </w:rPr>
            </w:pPr>
          </w:p>
        </w:tc>
        <w:tc>
          <w:tcPr>
            <w:tcW w:w="2760" w:type="dxa"/>
            <w:vAlign w:val="bottom"/>
            <w:gridSpan w:val="7"/>
          </w:tcPr>
          <w:p>
            <w:pPr>
              <w:jc w:val="right"/>
              <w:ind w:right="87"/>
              <w:spacing w:after="0"/>
              <w:rPr>
                <w:sz w:val="20"/>
                <w:szCs w:val="20"/>
                <w:color w:val="auto"/>
              </w:rPr>
            </w:pPr>
            <w:r>
              <w:rPr>
                <w:rFonts w:ascii="Times New Roman" w:cs="Times New Roman" w:eastAsia="Times New Roman" w:hAnsi="Times New Roman"/>
                <w:sz w:val="18"/>
                <w:szCs w:val="18"/>
                <w:color w:val="auto"/>
                <w:w w:val="99"/>
              </w:rPr>
              <w:t>notes), in each case, at a price equal</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w w:val="99"/>
              </w:rPr>
              <w:t>to 100% of the principal amount of the notes redeemed, plus accrued and unpaid interest to,</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but not including, the redemption date, plus a “make- whole” premium, as described in this</w:t>
            </w:r>
          </w:p>
        </w:tc>
      </w:tr>
      <w:tr>
        <w:trPr>
          <w:trHeight w:val="234"/>
        </w:trPr>
        <w:tc>
          <w:tcPr>
            <w:tcW w:w="3320" w:type="dxa"/>
            <w:vAlign w:val="bottom"/>
          </w:tcPr>
          <w:p>
            <w:pPr>
              <w:spacing w:after="0"/>
              <w:rPr>
                <w:sz w:val="20"/>
                <w:szCs w:val="20"/>
                <w:color w:val="auto"/>
              </w:rPr>
            </w:pPr>
          </w:p>
        </w:tc>
        <w:tc>
          <w:tcPr>
            <w:tcW w:w="3140" w:type="dxa"/>
            <w:vAlign w:val="bottom"/>
            <w:gridSpan w:val="7"/>
          </w:tcPr>
          <w:p>
            <w:pPr>
              <w:ind w:left="720"/>
              <w:spacing w:after="0"/>
              <w:rPr>
                <w:sz w:val="20"/>
                <w:szCs w:val="20"/>
                <w:color w:val="auto"/>
              </w:rPr>
            </w:pPr>
            <w:r>
              <w:rPr>
                <w:rFonts w:ascii="Times New Roman" w:cs="Times New Roman" w:eastAsia="Times New Roman" w:hAnsi="Times New Roman"/>
                <w:sz w:val="18"/>
                <w:szCs w:val="18"/>
                <w:color w:val="auto"/>
              </w:rPr>
              <w:t>prospectus supplement.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1"/>
        </w:trPr>
        <w:tc>
          <w:tcPr>
            <w:tcW w:w="3320" w:type="dxa"/>
            <w:vAlign w:val="bottom"/>
          </w:tcPr>
          <w:p>
            <w:pPr>
              <w:spacing w:after="0"/>
              <w:rPr>
                <w:sz w:val="24"/>
                <w:szCs w:val="24"/>
                <w:color w:val="auto"/>
              </w:rPr>
            </w:pPr>
          </w:p>
        </w:tc>
        <w:tc>
          <w:tcPr>
            <w:tcW w:w="336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w w:val="97"/>
              </w:rPr>
              <w:t>On or after (i) in the case of the 20 </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76"/>
              </w:rPr>
              <w:t>notes,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4"/>
                <w:szCs w:val="4"/>
                <w:color w:val="auto"/>
                <w:w w:val="98"/>
              </w:rPr>
              <w:t> </w:t>
            </w: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0"/>
              </w:rPr>
              <w:t>, 20   (the date that is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540" w:type="dxa"/>
            <w:vAlign w:val="bottom"/>
          </w:tcPr>
          <w:p>
            <w:pPr>
              <w:jc w:val="right"/>
              <w:ind w:right="387"/>
              <w:spacing w:after="0"/>
              <w:rPr>
                <w:sz w:val="20"/>
                <w:szCs w:val="20"/>
                <w:color w:val="auto"/>
              </w:rPr>
            </w:pPr>
            <w:r>
              <w:rPr>
                <w:rFonts w:ascii="Times New Roman" w:cs="Times New Roman" w:eastAsia="Times New Roman" w:hAnsi="Times New Roman"/>
                <w:sz w:val="8"/>
                <w:szCs w:val="8"/>
                <w:color w:val="auto"/>
                <w:w w:val="74"/>
              </w:rPr>
              <w:t> </w:t>
            </w:r>
          </w:p>
        </w:tc>
      </w:tr>
      <w:tr>
        <w:trPr>
          <w:trHeight w:val="216"/>
        </w:trPr>
        <w:tc>
          <w:tcPr>
            <w:tcW w:w="3320" w:type="dxa"/>
            <w:vAlign w:val="bottom"/>
          </w:tcPr>
          <w:p>
            <w:pPr>
              <w:spacing w:after="0"/>
              <w:rPr>
                <w:sz w:val="18"/>
                <w:szCs w:val="18"/>
                <w:color w:val="auto"/>
              </w:rPr>
            </w:pPr>
          </w:p>
        </w:tc>
        <w:tc>
          <w:tcPr>
            <w:tcW w:w="3560" w:type="dxa"/>
            <w:vAlign w:val="bottom"/>
            <w:gridSpan w:val="9"/>
          </w:tcPr>
          <w:p>
            <w:pPr>
              <w:ind w:left="720"/>
              <w:spacing w:after="0"/>
              <w:rPr>
                <w:sz w:val="20"/>
                <w:szCs w:val="20"/>
                <w:color w:val="auto"/>
              </w:rPr>
            </w:pPr>
            <w:r>
              <w:rPr>
                <w:rFonts w:ascii="Times New Roman" w:cs="Times New Roman" w:eastAsia="Times New Roman" w:hAnsi="Times New Roman"/>
                <w:sz w:val="18"/>
                <w:szCs w:val="18"/>
                <w:color w:val="auto"/>
                <w:w w:val="97"/>
              </w:rPr>
              <w:t>months prior to the maturity of the 20 </w:t>
            </w:r>
          </w:p>
        </w:tc>
        <w:tc>
          <w:tcPr>
            <w:tcW w:w="24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5"/>
              </w:rPr>
              <w:t>notes), (ii) in the case of the 20 </w:t>
            </w:r>
          </w:p>
        </w:tc>
        <w:tc>
          <w:tcPr>
            <w:tcW w:w="12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79"/>
              </w:rPr>
              <w:t>, 20 </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0"/>
              </w:rPr>
              <w:t>(the date that is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4"/>
              </w:rPr>
              <w:t>months prior to the maturity of the 20 </w:t>
            </w:r>
          </w:p>
        </w:tc>
        <w:tc>
          <w:tcPr>
            <w:tcW w:w="180" w:type="dxa"/>
            <w:vAlign w:val="bottom"/>
          </w:tcPr>
          <w:p>
            <w:pPr>
              <w:spacing w:after="0"/>
              <w:rPr>
                <w:sz w:val="18"/>
                <w:szCs w:val="18"/>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8"/>
                <w:szCs w:val="18"/>
                <w:color w:val="auto"/>
                <w:w w:val="95"/>
              </w:rPr>
              <w:t>notes)</w:t>
            </w:r>
          </w:p>
        </w:tc>
      </w:tr>
      <w:tr>
        <w:trPr>
          <w:trHeight w:val="216"/>
        </w:trPr>
        <w:tc>
          <w:tcPr>
            <w:tcW w:w="3320" w:type="dxa"/>
            <w:vAlign w:val="bottom"/>
          </w:tcPr>
          <w:p>
            <w:pPr>
              <w:spacing w:after="0"/>
              <w:rPr>
                <w:sz w:val="18"/>
                <w:szCs w:val="18"/>
                <w:color w:val="auto"/>
              </w:rPr>
            </w:pPr>
          </w:p>
        </w:tc>
        <w:tc>
          <w:tcPr>
            <w:tcW w:w="3560" w:type="dxa"/>
            <w:vAlign w:val="bottom"/>
            <w:gridSpan w:val="9"/>
          </w:tcPr>
          <w:p>
            <w:pPr>
              <w:ind w:left="720"/>
              <w:spacing w:after="0"/>
              <w:rPr>
                <w:sz w:val="20"/>
                <w:szCs w:val="20"/>
                <w:color w:val="auto"/>
              </w:rPr>
            </w:pPr>
            <w:r>
              <w:rPr>
                <w:rFonts w:ascii="Times New Roman" w:cs="Times New Roman" w:eastAsia="Times New Roman" w:hAnsi="Times New Roman"/>
                <w:sz w:val="18"/>
                <w:szCs w:val="18"/>
                <w:color w:val="auto"/>
                <w:w w:val="94"/>
              </w:rPr>
              <w:t>and (iii) in the case of the 20   notes,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w w:val="71"/>
              </w:rPr>
              <w:t>, 20 </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(the date that is  </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prior to the maturity of the 20   notes), we may redeem some or all of such notes at a</w:t>
            </w:r>
          </w:p>
        </w:tc>
      </w:tr>
      <w:tr>
        <w:trPr>
          <w:trHeight w:val="216"/>
        </w:trPr>
        <w:tc>
          <w:tcPr>
            <w:tcW w:w="3320" w:type="dxa"/>
            <w:vAlign w:val="bottom"/>
          </w:tcPr>
          <w:p>
            <w:pPr>
              <w:spacing w:after="0"/>
              <w:rPr>
                <w:sz w:val="18"/>
                <w:szCs w:val="18"/>
                <w:color w:val="auto"/>
              </w:rPr>
            </w:pPr>
          </w:p>
        </w:tc>
        <w:tc>
          <w:tcPr>
            <w:tcW w:w="6780" w:type="dxa"/>
            <w:vAlign w:val="bottom"/>
            <w:gridSpan w:val="20"/>
          </w:tcPr>
          <w:p>
            <w:pPr>
              <w:ind w:left="720"/>
              <w:spacing w:after="0"/>
              <w:rPr>
                <w:sz w:val="20"/>
                <w:szCs w:val="20"/>
                <w:color w:val="auto"/>
              </w:rPr>
            </w:pPr>
            <w:r>
              <w:rPr>
                <w:rFonts w:ascii="Times New Roman" w:cs="Times New Roman" w:eastAsia="Times New Roman" w:hAnsi="Times New Roman"/>
                <w:sz w:val="18"/>
                <w:szCs w:val="18"/>
                <w:color w:val="auto"/>
                <w:w w:val="99"/>
              </w:rPr>
              <w:t>redemption price equal to 100% of the principal amount of the notes redeemed, plus</w:t>
            </w:r>
          </w:p>
        </w:tc>
        <w:tc>
          <w:tcPr>
            <w:tcW w:w="5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accrued and unpaid interest to, but not including, the redemption date. See “Description of</w:t>
            </w:r>
          </w:p>
        </w:tc>
      </w:tr>
      <w:tr>
        <w:trPr>
          <w:trHeight w:val="234"/>
        </w:trPr>
        <w:tc>
          <w:tcPr>
            <w:tcW w:w="3320" w:type="dxa"/>
            <w:vAlign w:val="bottom"/>
          </w:tcPr>
          <w:p>
            <w:pPr>
              <w:spacing w:after="0"/>
              <w:rPr>
                <w:sz w:val="20"/>
                <w:szCs w:val="20"/>
                <w:color w:val="auto"/>
              </w:rPr>
            </w:pPr>
          </w:p>
        </w:tc>
        <w:tc>
          <w:tcPr>
            <w:tcW w:w="3140" w:type="dxa"/>
            <w:vAlign w:val="bottom"/>
            <w:gridSpan w:val="7"/>
          </w:tcPr>
          <w:p>
            <w:pPr>
              <w:ind w:left="720"/>
              <w:spacing w:after="0"/>
              <w:rPr>
                <w:sz w:val="20"/>
                <w:szCs w:val="20"/>
                <w:color w:val="auto"/>
              </w:rPr>
            </w:pPr>
            <w:r>
              <w:rPr>
                <w:rFonts w:ascii="Times New Roman" w:cs="Times New Roman" w:eastAsia="Times New Roman" w:hAnsi="Times New Roman"/>
                <w:sz w:val="18"/>
                <w:szCs w:val="18"/>
                <w:color w:val="auto"/>
              </w:rPr>
              <w:t>Notes—Optional Redemption.”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57"/>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of Control Triggering Event</w:t>
            </w: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If a Change of Control Triggering Event (as defined in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occurs with</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respect to the notes, we must offer to repurchase such series of notes at a redemption price</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equal to 101% of the principal amount thereof (or such higher amount as the issuers may</w:t>
            </w:r>
          </w:p>
        </w:tc>
      </w:tr>
      <w:tr>
        <w:trPr>
          <w:trHeight w:val="214"/>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determine) plus any accrued and unpaid interest to, but not including, the repurchase date.</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Notes—Change of Control Triggering Event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Risk Factors—</w:t>
            </w:r>
          </w:p>
        </w:tc>
      </w:tr>
      <w:tr>
        <w:trPr>
          <w:trHeight w:val="216"/>
        </w:trPr>
        <w:tc>
          <w:tcPr>
            <w:tcW w:w="3320" w:type="dxa"/>
            <w:vAlign w:val="bottom"/>
          </w:tcPr>
          <w:p>
            <w:pPr>
              <w:spacing w:after="0"/>
              <w:rPr>
                <w:sz w:val="18"/>
                <w:szCs w:val="18"/>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the Notes and the Offering—We may not be able to finance a change of</w:t>
            </w:r>
          </w:p>
        </w:tc>
      </w:tr>
      <w:tr>
        <w:trPr>
          <w:trHeight w:val="236"/>
        </w:trPr>
        <w:tc>
          <w:tcPr>
            <w:tcW w:w="3320" w:type="dxa"/>
            <w:vAlign w:val="bottom"/>
          </w:tcPr>
          <w:p>
            <w:pPr>
              <w:spacing w:after="0"/>
              <w:rPr>
                <w:sz w:val="20"/>
                <w:szCs w:val="20"/>
                <w:color w:val="auto"/>
              </w:rPr>
            </w:pPr>
          </w:p>
        </w:tc>
        <w:tc>
          <w:tcPr>
            <w:tcW w:w="6780" w:type="dxa"/>
            <w:vAlign w:val="bottom"/>
            <w:gridSpan w:val="20"/>
          </w:tcPr>
          <w:p>
            <w:pPr>
              <w:ind w:left="720"/>
              <w:spacing w:after="0"/>
              <w:rPr>
                <w:sz w:val="20"/>
                <w:szCs w:val="20"/>
                <w:color w:val="auto"/>
              </w:rPr>
            </w:pPr>
            <w:r>
              <w:rPr>
                <w:rFonts w:ascii="Times New Roman" w:cs="Times New Roman" w:eastAsia="Times New Roman" w:hAnsi="Times New Roman"/>
                <w:sz w:val="18"/>
                <w:szCs w:val="18"/>
                <w:i w:val="1"/>
                <w:iCs w:val="1"/>
                <w:color w:val="auto"/>
                <w:w w:val="99"/>
              </w:rPr>
              <w:t>control offer as required by the Indenture that will govern the notes offered hereby</w:t>
            </w: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657"/>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The Indenture (as defined in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that will govern the notes will contain</w:t>
            </w:r>
          </w:p>
        </w:tc>
      </w:tr>
      <w:tr>
        <w:trPr>
          <w:trHeight w:val="234"/>
        </w:trPr>
        <w:tc>
          <w:tcPr>
            <w:tcW w:w="3320" w:type="dxa"/>
            <w:vAlign w:val="bottom"/>
          </w:tcPr>
          <w:p>
            <w:pPr>
              <w:spacing w:after="0"/>
              <w:rPr>
                <w:sz w:val="20"/>
                <w:szCs w:val="20"/>
                <w:color w:val="auto"/>
              </w:rPr>
            </w:pPr>
          </w:p>
        </w:tc>
        <w:tc>
          <w:tcPr>
            <w:tcW w:w="7320" w:type="dxa"/>
            <w:vAlign w:val="bottom"/>
            <w:gridSpan w:val="21"/>
          </w:tcPr>
          <w:p>
            <w:pPr>
              <w:ind w:left="720"/>
              <w:spacing w:after="0"/>
              <w:rPr>
                <w:sz w:val="20"/>
                <w:szCs w:val="20"/>
                <w:color w:val="auto"/>
              </w:rPr>
            </w:pPr>
            <w:r>
              <w:rPr>
                <w:rFonts w:ascii="Times New Roman" w:cs="Times New Roman" w:eastAsia="Times New Roman" w:hAnsi="Times New Roman"/>
                <w:sz w:val="18"/>
                <w:szCs w:val="18"/>
                <w:color w:val="auto"/>
              </w:rPr>
              <w:t>covenants that limit the ability of the issuers and their respective restricted subsidiaries to:</w:t>
            </w:r>
          </w:p>
        </w:tc>
      </w:tr>
    </w:tbl>
    <w:p>
      <w:pPr>
        <w:spacing w:after="0" w:line="103" w:lineRule="exact"/>
        <w:rPr>
          <w:sz w:val="20"/>
          <w:szCs w:val="20"/>
          <w:color w:val="auto"/>
        </w:rPr>
      </w:pPr>
    </w:p>
    <w:p>
      <w:pPr>
        <w:ind w:left="5460" w:right="2960" w:hanging="909"/>
        <w:spacing w:after="0" w:line="673" w:lineRule="auto"/>
        <w:tabs>
          <w:tab w:leader="none" w:pos="48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 S-11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   consolidate, merge, sell or otherwise dispose of all or substantially all of their</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respective assets; and</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   enter into sale and leaseback transactions.</w:t>
            </w:r>
          </w:p>
        </w:tc>
      </w:tr>
      <w:tr>
        <w:trPr>
          <w:trHeight w:val="439"/>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These covenants are subject to important exceptions and qualifications as described under</w:t>
            </w:r>
          </w:p>
        </w:tc>
      </w:tr>
      <w:tr>
        <w:trPr>
          <w:trHeight w:val="236"/>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Notes—Certain Covenants</w:t>
            </w:r>
            <w:r>
              <w:rPr>
                <w:rFonts w:ascii="Times New Roman" w:cs="Times New Roman" w:eastAsia="Times New Roman" w:hAnsi="Times New Roman"/>
                <w:sz w:val="18"/>
                <w:szCs w:val="18"/>
                <w:color w:val="auto"/>
              </w:rPr>
              <w:t>.”</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Minimum Denominations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notes will be issued and may be transferred only in minimum denominations of $2,000</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and multiples of $1,000 in excess thereof.</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Trading</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markets. We do not intend</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to apply for listing of the notes on any securities exchange. Although the underwriters have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informed us that they intend to make a market in the notes of each series, they are not</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obligated to do so, and they may discontinue market-making activities at any time without</w:t>
            </w:r>
          </w:p>
        </w:tc>
      </w:tr>
      <w:tr>
        <w:trPr>
          <w:trHeight w:val="214"/>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notice. Accordingly, we cannot assure you that liquid markets for the notes will develop or,</w:t>
            </w:r>
          </w:p>
        </w:tc>
      </w:tr>
      <w:tr>
        <w:trPr>
          <w:trHeight w:val="236"/>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if such markets develop, that they will be maintained.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r>
      <w:tr>
        <w:trPr>
          <w:trHeight w:val="439"/>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Use of Proceeds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We intend to use the net proceeds of the Offering for general corporate purposes, which</w:t>
            </w:r>
          </w:p>
        </w:tc>
      </w:tr>
      <w:tr>
        <w:trPr>
          <w:trHeight w:val="236"/>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may include the repayment of debt.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459"/>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452"/>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Risk Factors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You should consider carefully the risks, uncertainties and assumptions discussed under</w:t>
            </w:r>
          </w:p>
        </w:tc>
      </w:tr>
      <w:tr>
        <w:trPr>
          <w:trHeight w:val="218"/>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in Dell Technologies’ Annual Report, along with the other</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information contained in or incorporated by reference into this prospectus supplement and</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accompanying prospectus before deciding to invest in the notes.</w:t>
            </w:r>
          </w:p>
        </w:tc>
      </w:tr>
      <w:tr>
        <w:trPr>
          <w:trHeight w:val="172"/>
        </w:trPr>
        <w:tc>
          <w:tcPr>
            <w:tcW w:w="3120" w:type="dxa"/>
            <w:vAlign w:val="bottom"/>
            <w:tcBorders>
              <w:left w:val="single" w:sz="8" w:color="auto"/>
              <w:bottom w:val="single" w:sz="8" w:color="auto"/>
            </w:tcBorders>
          </w:tcPr>
          <w:p>
            <w:pPr>
              <w:spacing w:after="0"/>
              <w:rPr>
                <w:sz w:val="14"/>
                <w:szCs w:val="14"/>
                <w:color w:val="auto"/>
              </w:rPr>
            </w:pPr>
          </w:p>
        </w:tc>
        <w:tc>
          <w:tcPr>
            <w:tcW w:w="7900" w:type="dxa"/>
            <w:vAlign w:val="bottom"/>
            <w:tcBorders>
              <w:bottom w:val="single" w:sz="8" w:color="auto"/>
              <w:right w:val="single" w:sz="8" w:color="auto"/>
            </w:tcBorders>
          </w:tcPr>
          <w:p>
            <w:pPr>
              <w:spacing w:after="0"/>
              <w:rPr>
                <w:sz w:val="14"/>
                <w:szCs w:val="14"/>
                <w:color w:val="auto"/>
              </w:rPr>
            </w:pPr>
          </w:p>
        </w:tc>
      </w:tr>
      <w:tr>
        <w:trPr>
          <w:trHeight w:val="361"/>
        </w:trPr>
        <w:tc>
          <w:tcPr>
            <w:tcW w:w="3120" w:type="dxa"/>
            <w:vAlign w:val="bottom"/>
          </w:tcPr>
          <w:p>
            <w:pPr>
              <w:spacing w:after="0"/>
              <w:rPr>
                <w:sz w:val="24"/>
                <w:szCs w:val="24"/>
                <w:color w:val="auto"/>
              </w:rPr>
            </w:pPr>
          </w:p>
        </w:tc>
        <w:tc>
          <w:tcPr>
            <w:tcW w:w="79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S-12</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prospectus supplement and the accompanying prospectus, including those discussed in Dell Technologies’ Annual Report and in other documents that Dell Technologies files with the SEC that update, supplement or supersede such information, all of which are incorporated by reference into this prospectus supplement and the accompanying prospectus, before purchasing the notes. This prospectus supplement and the accompanying prospectus contain forward-looking statements that involve risks and uncertainties. If any of the events or developments described in the risk factors below actually occur, our business, financial condition or results of operations could be materially and adversely impacted. Additional risks and uncertainties not currently known to us or those we currently view to be immaterial may also materially and adversely affect our business, financial condition or results of operations. In such a case, you may lose all or part of your original investment.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 and the Offering</w:t>
      </w:r>
    </w:p>
    <w:p>
      <w:pPr>
        <w:spacing w:after="0" w:line="117"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notes will be structurally subordinated to the debt and other liabilities of subsidiaries of the issuers, who will not guarantee the notes, and your right to receive payments on the notes could be adversely affected if any of such subsidiaries declares bankruptcy, liquidates or reorganizes.</w:t>
      </w:r>
    </w:p>
    <w:p>
      <w:pPr>
        <w:spacing w:after="0" w:line="13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obligations under the notes are structurally subordinated to the debt and other liabilities of subsidiaries of the issuers, who will not guarantee the notes. Holders of the notes will not have any claim as a creditor against such subsidiaries. In the event that any of such subsidiaries becomes insolvent, liquidates, reorganizes, dissolves or otherwise winds up, holders of their debt and their trade creditors will generally be entitled to payment on their claims from the assets of those subsidiaries before any of those assets are made available to us. Consequently, your claims in respect of the notes or note guarantees will be structurally subordinated to all of the liabilities of such subsidiaries. As of May 1, 2026, our non-guarantor subsidiaries (excluding the issuers) had $91.8 billion of total liabilities (excluding intercompany liabilities), all of which were structurally senior to the notes and the note guarantees.</w:t>
      </w:r>
    </w:p>
    <w:p>
      <w:pPr>
        <w:spacing w:after="0" w:line="29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Indenture that will govern the notes provide only limited protection against significant corporate events that could adversely impact your investment in the notes.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the Indenture that will govern the notes will contain terms intended to provide protection to noteholders upon the occurrence of certain events involving significant corporate transactions and our creditworthiness, these terms are limited and may not be sufficient to protect your investment in the notes. For example, certain important corporate events, such as leveraged recapitalizations, may not, under the Indenture that will govern the notes, constitute a “change of control” that would require us to repurchase the notes, even though those corporate events could increase the level of our indebtedness or otherwise adversely affect our capital structure, credit ratings or the value of the notes. See “</w:t>
      </w:r>
      <w:r>
        <w:rPr>
          <w:rFonts w:ascii="Times New Roman" w:cs="Times New Roman" w:eastAsia="Times New Roman" w:hAnsi="Times New Roman"/>
          <w:sz w:val="18"/>
          <w:szCs w:val="18"/>
          <w:i w:val="1"/>
          <w:iCs w:val="1"/>
          <w:color w:val="auto"/>
        </w:rPr>
        <w:t>Description of Notes—Change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Triggering Event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Indenture for the notes does not:</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unsecured indebtedness;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pay dividends or make other payments in respect of our common stock or other securities ranking junior to the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sell, merge or consolidate any of our subsidiaries.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that will govern the notes do not restrict our ability to engage in, or to otherwise be a party to, a variety of corporate transactions, circumstances and events that could have an adverse impact on your investment in the notes.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flows from operating activities to service our indebtedness and meet our other cash needs and may be forced to take other actions to satisfy our obligations under our indebtedness, which may not be successful.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will depend on our ability to generate cash in the future. Our ability to generate cash will be subject to general economic, financial, competitive, legislative, regulatory and other factors, some of which are beyond our control. Our future cash flow, cash on hand and available borrowings may not be sufficient to meet our obligations and commitments. If we are unable to generate sufficient cash flow from operations in the future to service our indebtedness and to meet our other commitments, we will be required to adopt one or more alternatives, such as refinancing or restructuring our indebtedness (including the notes), selling material assets or operations or seeking to raise additional debt or equity capital. These actions may not be effected on a timely basis or on satisfactory terms or at all, or these actions may not enable us to continue to satisfy our capital requirements. Our failure to comply with these covenants could result in an event of default which, if not cured or waived, could result in the acceleration of all our debts. See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conduct substantially all of our operations through our subsidiaries, none of which (other than the issuers and the guarantors) will be obligors under the notes. Accordingly, repayment of our indebtedness, including the notes, will be dependent in part on the generation of cash flow by our subsidiaries and their ability to make such cash available to the issuers or the guarantors by dividend, debt repayment or otherwise. Unless they are guarantors of the notes or our other indebtedness, the subsidiaries will not have any obligation to pay amounts due on the notes or our other indebtedness, as applicable, or to make funds available for that purpose. Our subsidiaries may not be able to, or may not be permitted to, make distributions to enable us or the issuers to make payments in respect of our indebtedness, including the notes. Each subsidiary is a distinct legal entity, and under certain circumstances legal and contractual restrictions may limit our ability to obtain cash from our subsidiaries. In the event that we, the issuers or the guarantors do not receive distributions from our subsidiaries, we may be unable to make the required principal and interest payments on our indebtedness, including the notes.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as a result, holders of the notes and certain of our other indebtedness could declare all outstanding principal and interest to be due and payable, the lenders under the new revolving credit facility could terminate their commitments to loan money and we could be forced into bankruptcy or liquidation, which, in each case, could result in your losing all or a portion of your investment in the notes.</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not restricted from incurring significant additional debt, including significant secured debt and including in connection with significant transactions that would not constitute a change of control requiring us to repurchase the notes, but that could adversely affect our risk profile.</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including significant additional secured indebtedness, in the future. The Indenture that will govern the notes, and the new credit agreement that governs the new revolving credit facility, do not restrict our ability to incur additional unsecured debt, except that the new credit agreement contains a quarterly covenant to maintain a consolidated interest coverage ratio of at least 3.00 to 1.00. In addition, while the new credit agreement restricts liens on the assets of Dell and its restricted subsidiaries to secure indebtedness (subject to certain exceptions described therein), the Indenture that will govern the notes will allow us to grant liens on our assets (other than Principal Properties, as described in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without ratably securing the notes. Under certain circumstances, the amount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secured and unsecured indebtedness that we may incur while remaining in compliance with these restrictions could be substantial.</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Such additional indebtedness may be incurred in connection with certain transactions, including certain recapitalizations, that would not result in a change of control requiring us to repurchase the notes, but would increase the amount of indebtedness outstanding at such time or otherwise affect our capital structure or credit ratings.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finance a change of control offer as required by the Indenture that will govern the notes offered hereby.</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Under the Indenture that will govern the notes offered hereby, upon the occurrence of a Change of Control Triggering Event, we will be required to offer to repurchase all of the notes then outstanding at 101% of the principal amount of the notes (or such higher amount as the issuers may determine), plus any accrued and unpaid interest, if any, to, but not including, the repurchase date. We may not be able to repurchase the notes upon a Change of Control Triggering Event because we may not have sufficient financial resources to purchase all of the notes that would be tendered upon a Change of Control Triggering Event. Our failure to repurchase the notes upon a Change of Control Triggering Event would cause an event of default under the Indenture that will govern the notes offered hereby and a cross-default under the new revolving credit facility. The new credit agreement governing the new revolving credit facility also provides that a change of control triggering event (as described therein) is an event of default that permits lenders to, among other things, terminate their commitments and accelerate the maturity of borrowings thereunder. Any of our future debt arrangements may contain similar provisions. We cannot assure you that we will have the financial resources available or that we will be permitted by our debt instruments to fulfill these obligations upon the occurrence of a Change of Control Triggering Event in the future. We may require additional financing from third parties to fund any such purchases, and we may be unable to obtain financing on satisfactory terms or at all. Further, our ability to repurchase the notes may be limited by law.</w:t>
      </w:r>
    </w:p>
    <w:p>
      <w:pPr>
        <w:spacing w:after="0" w:line="29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notes may not be able to determine when a change of control giving rise to their right to have the notes repurchased has occurred following a sale of “substantially all” of our assets.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One of the circumstances under which a change of control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another person may be uncertain.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Ratings of the notes and other factors may affect the market prices and marketability of the notes.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currently expect that, upon issuance, the notes will be rated by Moody’s, S&amp;P, and Fitch. Such ratings will be limited in scope and will not address all material risks relating to an investment in the notes, but rather will reflect only the view of each rating agency at the time it issues the rating.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Offering or in connection with future events, such as future acquisitions. Holders of the notes will have no recourse against us or any other parties in the event of a change in or suspension or withdrawal of such ratings. Any lowering, suspension or withdrawal of such ratings may have an adverse effect on the market prices or marketability of the notes. In addition, the condition of the financial markets, prevailing interest rates and other factors have fluctuated in the past and are likely to fluctuate in the future, which may adversely affect the market prices or marketability of the notes.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an active trading market will develop for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constitute new issues of securities for which there are no existing trading markets. We do not currently plan to list the notes on any national securities exchange. We have been advised by the underwriters for this offering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The liquidity of any market for the notes will depend upon the number of holders of those notes, our performance, the market for similar securities, the interest of securities dealers in making a market in those notes and other factors. Liquid trading markets may not develop for the notes. As a result, the market prices of the notes could be adversely affected.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60" w:firstLine="395"/>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of the Offering (after underwriting discounts and before offering expenses) will be approximately $       million. We intend to use the net proceeds of the Offering for general corporate purposes, which may include the repayment of debt.</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620"/>
          </w:cols>
          <w:pgMar w:left="320" w:top="455" w:right="9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May 1, 2026:</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after giving effect to (i) this Offering and (ii) our entry into the new revolving credit facility on June 10, 2026 and the related termination of our prior revolving credit facility.</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table should be read in conjunction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included elsewhere in this prospectus supplement and the accompanying prospectus. You should also read the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Analysis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as well as the financial statements included in Dell Technologies’ Annual Report for Fiscal 2026 and Quarterly Report for the quarterly period ended May 1, 2026, in each case incorporated by reference into this prospectus supplement and the accompanying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May 1,</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this</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revolving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New revolving credit facility(1)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Existing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22,025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DFS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offered hereby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debt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Unamortized discounts, net of unamortized premium</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7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See “Summary—Recent Developments.”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Notes (as defined below) offered by this prospectus supplement are “debt securities” as described in the accompanying prospectus. This description supplements the description of the debt securities found in the accompanying prospectus.</w:t>
      </w:r>
    </w:p>
    <w:p>
      <w:pPr>
        <w:spacing w:after="0" w:line="16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Issuers will issue $        aggregate principal amount of         % Senior Notes due 20  (the “20  Notes”), $        aggregate principal amount of     % Senior Notes due 20  (the “20  Notes”) and $        aggregate principal amount of     % Senior Notes due 20  (the “20  Notes” and, together with the 20  Notes and the 20  Notes, the “Notes” and each, a “series” of Notes), pursuant to an indenture, dated as of</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January 24, 2023 (the “Base Indenture”), among the Issuers, the Guarantors and The Bank of New York Mellon Trust Company, N.A., as trustee (the “Trustee”). The Base Indenture will be supplemented by a supplemental indenture, to be dated as of the Issue Date, for each series of Notes. Each supplemental indenture will set forth certain specific terms applicable only to the particular series of Notes governed thereby and references to the “Indenture” herein mean the Base Indenture as amended and supplemented by any supplemental indenture. The terms of the Notes will include the terms stated in the Indenture and the terms made part of the Indenture by reference to the Trust Indenture Act of 1939, as amended (the “Trust Indenture Act”).</w:t>
      </w:r>
    </w:p>
    <w:p>
      <w:pPr>
        <w:spacing w:after="0" w:line="19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Base Indenture does not limit the amount of debt securities that the Issuers may issue thereunder. To the extent permitted by the Indenture, the Issuers may issue debt securities under the Base Indenture up to an aggregate principal amount as they may authorize from time to time.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is only a summary of certain provisions of the Indenture and the Notes, does not purport to be complete and is subject to, and is qualified in its entirety by reference to, all the provisions of the Indenture and the Notes, including the definitions therein of certain terms used below. We urge you to read each of these documents because they, not this description, define your rights as Holders. You may request copies of these agreements at the address of Parent set forth under the heading “Summary.”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Certain terms used in this description are defined under the heading “Certain Definitions.” In this section of the prospectus supplement, references to the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 are to Dell International and EMC, the co-issuers of the Notes offered hereby, and not any of their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Brief Description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future subordinated indebtedness of the Issuers;</w:t>
      </w:r>
    </w:p>
    <w:p>
      <w:pPr>
        <w:spacing w:after="0" w:line="128"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of the Issuers, including the new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existing notes;</w:t>
      </w:r>
    </w:p>
    <w:p>
      <w:pPr>
        <w:spacing w:after="0" w:line="6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the Legacy Notes that are issued by Dell, a Parent Entity of the Issuers, and which are not guaranteed by the Issuers;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the Issue Date,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Notes and the Indenture, whether for payment of principal of, premium, if any, or interest on the Notes, expenses, indemnification or otherwise, on the terms set forth in the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Guarantors on the Issue Date will be Parent, Denali Intermediate and Dell. The Notes will not be guaranteed by any Subsidiaries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Issuers. The Note Guarantee of each Guarantor will be:</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unsecured obligation of such Guarantor;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subordinated indebtedness of such Guarantor;</w:t>
      </w:r>
    </w:p>
    <w:p>
      <w:pPr>
        <w:spacing w:after="0" w:line="12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of such Guarantor, including guarantees of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new revolving credit facility and the existing notes;</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the Legacy Notes;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Release of Note Guarantees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Each Note Guarantee of a series of Notes by a Guarantor shall provide by its terms that its Obligations under the Indenture with respect to such series and such Note Guarantee shall be automatically and unconditionally released and discharged upon the Issuers exercising the legal defeasance option or covenant defeasance option with respect to such series as described under “Legal Defeasance and Covenant Defeasance” or the Issuers’ obligations under the Indenture with respect to such series being discharged in accordance with the terms of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will maintain one or more paying agents for the Notes. The initial paying agent for the Notes will be the Trustee.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Issuers will also maintain a registrar. The initial registrar will be the Trustee. The registrar will maintain a register reflecting ownership of the Notes outstanding from time to time and will make payments on and facilitate transfer of Notes on behalf of the Issuers.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Issuers may change the paying agents or the registrars without prior notice to the Holders. Parent or any of its Subsidiaries may act as a paying agent or registrar.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and fees required by law and due on transfer. The Issuers are not required to transfer or exchange any Note selected for redemption or tendered (and not withdrawn) for repurchase in connection with a Change of Control Offer, an Alternate Offer or other tender offer. Also, the Issuers are not required to transfer or exchange any Note for a period of 15 days before a selection of Notes to be redeemed.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will be treated as the owner of the Note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Maturity</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Issuers will issue the 20  Notes initially with an aggregate principal amount of $        , the 20  Notes initially with an aggregate principal amount of $        and the 20  Notes initially with an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40"/>
          </w:cols>
          <w:pgMar w:left="320" w:top="455" w:right="5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529"/>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aggregate principal amount of $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The 20   Notes will mature on             , 20   , the 20   Notes will mature on             , 20             and</w:t>
            </w:r>
          </w:p>
        </w:tc>
      </w:tr>
      <w:tr>
        <w:trPr>
          <w:trHeight w:val="234"/>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 The Issuers may issue additional Notes of a series from time to time after this offering under the</w:t>
            </w:r>
          </w:p>
        </w:tc>
      </w:tr>
    </w:tbl>
    <w:p>
      <w:pPr>
        <w:ind w:lef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xml:space="preserve">”). The Notes of a series offered hereby and any Additional Notes of such series subsequently issued under the Indenture will be treated as a single class for all purposes under the Indenture, including waivers, amendments,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of a series are not fungible with the Notes of such series for U.S. federal income tax purposes, such Additional Notes of such series will have a separate CUSIP number and ISIN from the Notes of such series. Unless the context requires otherwise, references to “Notes” of a series for all purposes of the Indenture, the Note Guarantees and this “Description of Notes” include any Additional Notes of such series that are actually issued.</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06"/>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4"/>
              </w:rPr>
              <w:t>Interest on the 20   Notes will accrue at the rate of  </w:t>
            </w:r>
          </w:p>
        </w:tc>
        <w:tc>
          <w:tcPr>
            <w:tcW w:w="10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6"/>
              </w:rPr>
              <w:t>   % per annum and will be payable in cash semi-annually in arrears on  </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and</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058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rPr>
              <w:t>   of each year commencing on             , 2026, to the Holders of record as of the close of business (if applicable) on the immediately</w:t>
            </w:r>
          </w:p>
        </w:tc>
      </w:tr>
      <w:tr>
        <w:trPr>
          <w:trHeight w:val="216"/>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preceding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w w:val="98"/>
              </w:rPr>
              <w:t>and             (whether or not a Business Day). Interest on the 20   Notes will accrue at the rate of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per annum and will</w:t>
            </w: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be payable in cash semi-annually in arrears on and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of each year commencing on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72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w w:val="99"/>
              </w:rPr>
              <w:t>, 2026, to the Holders of record as of the close of</w:t>
            </w: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business (if applicable) on the immediately preceding  </w:t>
            </w:r>
          </w:p>
        </w:tc>
        <w:tc>
          <w:tcPr>
            <w:tcW w:w="2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9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and             (whether or not a Business Day). Interest on the 20 </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Notes will accrue</w:t>
            </w:r>
          </w:p>
        </w:tc>
      </w:tr>
      <w:tr>
        <w:trPr>
          <w:trHeight w:val="216"/>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2"/>
              </w:rPr>
              <w:t>at the rate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3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   % per annum and will be payable in cash semi-annually in arrears on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and           </w:t>
            </w:r>
          </w:p>
        </w:tc>
        <w:tc>
          <w:tcPr>
            <w:tcW w:w="26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of each year commencing on</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79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w w:val="98"/>
              </w:rPr>
              <w:t>   , 2026, to the Holders of record as of the close of business (if applicable) on the immediately preceding  </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8"/>
              </w:rPr>
              <w:t>and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(whether or</w:t>
            </w:r>
          </w:p>
        </w:tc>
      </w:tr>
    </w:tbl>
    <w:p>
      <w:pPr>
        <w:ind w:left="120"/>
        <w:spacing w:after="0"/>
        <w:rPr>
          <w:sz w:val="20"/>
          <w:szCs w:val="20"/>
          <w:color w:val="auto"/>
        </w:rPr>
      </w:pPr>
      <w:r>
        <w:rPr>
          <w:rFonts w:ascii="Times New Roman" w:cs="Times New Roman" w:eastAsia="Times New Roman" w:hAnsi="Times New Roman"/>
          <w:sz w:val="18"/>
          <w:szCs w:val="18"/>
          <w:color w:val="auto"/>
        </w:rPr>
        <w:t>not a Business Day). Interest on the Notes will be computed on the basis of a 360-day year comprised of twelve 30-day months.</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Principal of, premium, if any, and interest on the Notes will be payable at the office or agency of the Paying Agent maintained for such purpose as described under “Paying Agent and Registrar for the Notes” or, at the option of the Issuers, payment of interest may be made by check mailed to the Holders at their respective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payments of principal, premium, if any, and interest with respect to the Notes represented by one or more global notes registered in the name of or held by DTC or its nominee will be made in accordance with DTC’s applicable procedures. Until otherwise designated by the Issuers, the Issuers’ office or agency will be the office of the Trustee maintained for such purpose. If any interest payment date, the maturity date or any earlier required repurchase or redemption date falls on a day that is a Legal Holiday, the required payment will be made on the next succeeding Business Day and no interest on such payment will accrue in respect of the delay.</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the 20  Notes, the 20  Notes and the 20  Notes will constitute a separate series of notes for purposes of the Indenture. The Notes will be issued in minimum denominations of $2,000 and any integral multiple of $1,000 in excess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Prior to         , 20  , in the case of the 20  Notes (  months prior to the maturity date of the 20  Notes) (the “20  Notes par call date”),         , 20  , in the case of the 20  Notes (        months prior to the maturity date of the 20  Notes) (the “20  Notes par call date”), and         , 20  , in the case of the 20 Notes (        months prior to the maturity date of the 20  Notes) (the “20  Notes par call date” and, together with the 20  Notes par call date and the 20  Notes par call date, each a “par call date”), the Issuers may redeem the Notes at their option, in</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080" w:right="1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applicable par call date) on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46"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61" w:lineRule="auto"/>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 Treasury Rate plus        basis points (in the case of the 20  Notes),  basis points (in the case of the 20  Notes) and         basis points (in the case of the 20  Notes) less</w:t>
      </w:r>
    </w:p>
    <w:p>
      <w:pPr>
        <w:ind w:left="1360" w:hanging="259"/>
        <w:spacing w:after="0"/>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date of redemption, and</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the Issuers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“Treasury Rate” means, with respect to any redemption date, the yield determined by the Issuers in accordance with the following two paragraphs.</w:t>
      </w:r>
    </w:p>
    <w:p>
      <w:pPr>
        <w:spacing w:after="0" w:line="23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 The Trustee shall have no obligation to determine the redemption price or to verify the calculation of the redemption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 Offers to Purchase; Open Market Purchases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Issuers are not required to make any mandatory redemption or sinking fund payments with respect to the Notes. In addition, other than as required under “Change of Control Triggering Event,” the Issuers will not be required to offer to repurchase or redeem or otherwise modify the terms of any of the Notes upon a change in control of, or other events involving, Parent or any of its Subsidiaries which may adversely affect the creditworthiness of the Notes. The Issuers and their Affiliates may at any time and from time to time acquire the Notes by means other than a redemption, whether pursuant to a tender offer, purchases in the open market, in privately negotiated transactions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will provide that if a Change of Control Triggering Event occurs with respect to a series of Notes, unless, prior to or concurrently with the time the Issuers are required to make a Change of Control Offer, the Issuers have mailed or delivered, or otherwise sent through electronic transmission, a redemption notice with respect to all the outstanding Notes of such series as described under “Optional Redemption” or “Satisfaction and Discharge,” the Issuers will make an offer to purchase all of the Notes of such series pursuant to the offer described below (the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at a price in cash equal to 101% of the aggregate principal amount thereof (or such higher amount as the Issuers may determine (any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Offer at a higher amount,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(such price,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plus accrued and unpaid interest, if any, to, but excluding the date of purchase, subject to the right of Holders of record on the relevant record date to receive interest due on the relevant interest payment date. Within 30 days following any Change of Control Triggering Event with respect to a series of Notes, the Issuers will send notice of such Change of Control Offer by first-class mail, with a copy to the Trustee, to each Holder of Notes of such series to the address of such Holder appearing in the security register or otherwise in accordance with the procedures of DTC, with the following information:</w:t>
      </w:r>
    </w:p>
    <w:p>
      <w:pPr>
        <w:spacing w:after="0" w:line="100" w:lineRule="exact"/>
        <w:rPr>
          <w:sz w:val="20"/>
          <w:szCs w:val="20"/>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Change of Control Offer is being made pursuant to the covenant entitled “Change of Control Triggering Event,” and that all Notes of such series properly tendered pursuant to such Change of Control Offer will be accepted for payment by the Issuers;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7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and the purchase date, which will be no earlier than 20 Business Days and no later than 60 days from the date such notice is sent (the “C</w:t>
      </w:r>
      <w:r>
        <w:rPr>
          <w:rFonts w:ascii="Times New Roman" w:cs="Times New Roman" w:eastAsia="Times New Roman" w:hAnsi="Times New Roman"/>
          <w:sz w:val="17"/>
          <w:szCs w:val="17"/>
          <w:i w:val="1"/>
          <w:iCs w:val="1"/>
          <w:color w:val="auto"/>
        </w:rPr>
        <w:t>hange of Control Payment Date</w:t>
      </w:r>
      <w:r>
        <w:rPr>
          <w:rFonts w:ascii="Times New Roman" w:cs="Times New Roman" w:eastAsia="Times New Roman" w:hAnsi="Times New Roman"/>
          <w:sz w:val="17"/>
          <w:szCs w:val="17"/>
          <w:color w:val="auto"/>
        </w:rPr>
        <w:t>”); provided, that the Change of Control Payment Date may be delayed, in the Issuers’ discretion, until such time (including more than 60 days after the date such notice is sent) as any or all such conditions referred to in clause</w:t>
      </w:r>
    </w:p>
    <w:p>
      <w:pPr>
        <w:spacing w:after="0" w:line="1"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 below shall be satisfied or waived;</w:t>
      </w:r>
    </w:p>
    <w:p>
      <w:pPr>
        <w:spacing w:after="0" w:line="11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of such series not properly tendered will remain outstanding and continue to accrue interest;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Issuers default in the payment of the Change of Control Payment plus accrued and unpaid interest on all properly tendered Notes of such series, all Notes of such series accepted for payment pursuant to the Change of Control Offer will cease to accrue interest on the Change of Control Payment Date;</w:t>
      </w:r>
    </w:p>
    <w:p>
      <w:pPr>
        <w:spacing w:after="0" w:line="81" w:lineRule="exact"/>
        <w:rPr>
          <w:rFonts w:ascii="Times New Roman" w:cs="Times New Roman" w:eastAsia="Times New Roman" w:hAnsi="Times New Roman"/>
          <w:sz w:val="18"/>
          <w:szCs w:val="18"/>
          <w:color w:val="auto"/>
        </w:rPr>
      </w:pPr>
    </w:p>
    <w:p>
      <w:pPr>
        <w:jc w:val="both"/>
        <w:ind w:left="1080" w:right="14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of such series purchased pursuant to a Change of Control Offer will be required to surrender such Notes of such series,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less than all of such Holder’s Notes of such series are tendered for purchase, such Holder will be issued new Notes of such series (or, in the case of global notes, such Notes shall be reduced by such amount of Notes of such series that the Holder has tendered) and such new Notes will be equal in aggregate principal amount to the unpurchased portion of the Notes of such series surrendered (the unpurchased portion of the Notes of such series must be equal to $2,000 or an integral multiple of $1,000 in excess thereof);</w:t>
      </w:r>
    </w:p>
    <w:p>
      <w:pPr>
        <w:spacing w:after="0" w:line="85" w:lineRule="exact"/>
        <w:rPr>
          <w:rFonts w:ascii="Times New Roman" w:cs="Times New Roman" w:eastAsia="Times New Roman" w:hAnsi="Times New Roman"/>
          <w:sz w:val="18"/>
          <w:szCs w:val="18"/>
          <w:color w:val="auto"/>
        </w:rPr>
      </w:pPr>
    </w:p>
    <w:p>
      <w:pPr>
        <w:ind w:left="1080" w:right="140" w:hanging="532"/>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instructions, as determined by the Issuers, consistent with this covenant, that a Holder must follow.</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While the Notes of a series are in global form and the Issuers make an offer to purchase all of the Notes of such series pursuant to the Change of Control Offer, a Holder of such series of Notes may exercise its option to elect for the purchase of the Notes of such series through the facilities of DTC, subject to its rules and regulations.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Issuers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Issuers will comply with the applicable securities laws and regulations and shall not be deemed to have breached its obligations described in the Indenture by virtue thereof.</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the Issuers will, to the extent permitted by law,</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issued by them or portions thereof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Change of Control Payment in respect of all Notes or portions thereof so tendered, plus accrued and unpaid interest thereon,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new revolving credit facility provides, and any future credit agreements or other agreements relating to indebtedness to which the Issuers (or any of their Affiliates) become parties may provide, that certain change of control events with respect to Parent would constitute an event of default thereunder. If Parent experiences a change of control that triggers an event of default under the new revolving credit facility and/or any indebtedness governed by such other agreements, we could seek a waiver of such event of default or seek to refinance the new revolving credit facility and/or such other agreements. In the event we do not obtain such a waiver or refinance the new revolving credit facility and/or such other agreements, such event of default could result in amounts outstanding under the new revolving credit facility and/or such other agreements being declared due and payable.</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ability to pay cash to the Holders of Notes following the occurrence of a Change of Control Triggering Event may be limited by our then-existing financial resources. Therefore, sufficient funds may not be available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when necessary to make any required repurchases. See “</w:t>
      </w:r>
      <w:r>
        <w:rPr>
          <w:rFonts w:ascii="Times New Roman" w:cs="Times New Roman" w:eastAsia="Times New Roman" w:hAnsi="Times New Roman"/>
          <w:sz w:val="18"/>
          <w:szCs w:val="18"/>
          <w:i w:val="1"/>
          <w:iCs w:val="1"/>
          <w:color w:val="auto"/>
        </w:rPr>
        <w:t>Risk Factors—Risks Related to the Notes and the Offering—We may not be able to finance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of control offer as required by the Indenture that will govern the notes offered hereby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Change of Control Triggering Event purchase feature of the Notes may in certain circumstances make it more difficult or discourage a sale or takeover of Parent, and, thus, the removal of incumbent management. The Change of Control Triggering Event purchase feature is a result of negotiations between the underwriters and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Issuers will not be required to make a Change of Control Offer if a third party makes the Change of Control Offer (including, for the avoidance of doubt, an Alternate Offer) in the manner, at the times and otherwise in compliance with the requirements set forth in the Indenture applicable to a Change of Control Offer made by the Issuers and purchases all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With respect to the Notes of any series, if Holders of not less than 90% in aggregate principal amount of the outstanding Notes of such series validly tender and do not withdraw such Notes in a Change of Control Offer and the Issuers, or any third party making a Change of Control Offer in lieu of the Issuers as described above, purchases all of the Notes validly tendered and not withdrawn by such Holders, the Issuers or such third party will have the right, upon not less than 10 nor more than 60 days’ prior notice, given not more than 30 days following such purchase pursuant to the Change of Control Offer described above, to redeem all Notes of such series that remain outstanding following such purchase on a date (the “</w:t>
      </w:r>
      <w:r>
        <w:rPr>
          <w:rFonts w:ascii="Times New Roman" w:cs="Times New Roman" w:eastAsia="Times New Roman" w:hAnsi="Times New Roman"/>
          <w:sz w:val="18"/>
          <w:szCs w:val="18"/>
          <w:i w:val="1"/>
          <w:iCs w:val="1"/>
          <w:color w:val="auto"/>
        </w:rPr>
        <w:t>Second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Payment Date</w:t>
      </w:r>
      <w:r>
        <w:rPr>
          <w:rFonts w:ascii="Times New Roman" w:cs="Times New Roman" w:eastAsia="Times New Roman" w:hAnsi="Times New Roman"/>
          <w:sz w:val="18"/>
          <w:szCs w:val="18"/>
          <w:color w:val="auto"/>
        </w:rPr>
        <w:t>”) at a price in cash equal to the Change of Control Payment (excluding any early tender premium or similar premium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of such series on the relevant record date to receive interest due on the relevant interest payment date falling on or prior to the Second Change of Control Payment Date.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disposition of all or substantially all of the assets of Parent and its Subsidiaries, taken as a whole, to any Person other than any Permitted Holders.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Parent and its Subsidiaries, taken as a whole. As a result, it may be unclear as to whether a Change of Control has occurred and whether a Holder of Notes may require the Issuers to make an offer to repurchase the Notes as described above. See “</w:t>
      </w:r>
      <w:r>
        <w:rPr>
          <w:rFonts w:ascii="Times New Roman" w:cs="Times New Roman" w:eastAsia="Times New Roman" w:hAnsi="Times New Roman"/>
          <w:sz w:val="18"/>
          <w:szCs w:val="18"/>
          <w:i w:val="1"/>
          <w:iCs w:val="1"/>
          <w:color w:val="auto"/>
        </w:rPr>
        <w:t>Risk Factors—Risks Related to the Notes and the Offering—Holders of the notes may not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determine when a change of control giving rise to their right to have the notes repurchased has occurred following a sale of “substantially all” of our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Indenture relating to the Issuers’ obligation to make a Change of Control Offer with respect to the Notes of any series upon a Change of Control Triggering Event may be waived or modified at any time with the written consent of the Holders of a majority in aggregate principal amount of the Notes of such series then outstanding. A Change of Control Offer (including, for the avoidance of doubt, an Alternate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may be made at the same time as consents are solicited with respect to an amendment, supplement or waiver of the Indenture, the Notes and/or the Note Guarantees so long as the tender of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the case of a partial redemption or purchase, selection of the Notes of a series for redemption or purchase will be made by lot. No Notes of a principal amount of $2,000 or less will be redeemed or purchased in part. If any Note of a series is to be redeemed or purchased in part only, the notice of redemption or purchase that relates to the Note will state the portion of the principal amount of the Note to be redeemed or purchased. A new Note of such series in a principal amount equal to the unredeemed or unpurchased portion of the Note will be issued in the name of the Holder of the Note upon surrender for cancellation of the original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new Note will be only issued in denominations of $2,000 and any integral multiple of $1,000 in excess thereof. For so long as the Notes are held by DTC (or another depositary), the redemption or purchase of the Notes shall be done in accordance with the policies and procedures of the depositary.</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Notices of redemption or offer to purchase shall be delivered electronically or mailed by first-class mail, postage prepaid, at least 10 days, but except as set forth in the immediately succeeding paragraph, not more than 60 days before the redemption date or purchase date to each Holder at such Holder’s registered address or otherwise in accordance with the procedures of DTC, except that notices of redemption may be delivered or mailed more than 60 days prior to a redemption date if the notice is issued in connection with a defeasance of any series of Notes or a satisfaction and discharge of the Indenture with respect to any series of Notes.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Notice of any redemption of, or any offer to purchase, the Notes may, at the Issuers’ discretion, be given in connection with another transaction (or series of related transactions) and prior to the completion or the occurrence thereof, and any such redemption or purchase may, at the Issuers’ discretion, be subject to one or more conditions precedent, including, but not limited to, completion or occurrence of the related transaction or event, as the case may be. In addition, if such redemption or purchase is subject to satisfaction of one or more conditions precedent,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Issuers’ discretion if the Issuers reasonably believe that any or all of such conditions will not be satisfied. In addition, the Issuers may provide in such notice or offer that payment of the redemption or purchase price and performance of the Issuers’ obligations with respect to such redemption or offer to purchase may be performed by another Person.</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Notes called for redemption or purchase become due on the date fixed for redemption or purchase, unless such redemption or purchase is conditioned on the happening of a future event. On and after the redemption or purchase date, unless the Issuers default in payment of the redemption or purchase price, interest shall cease to accrue on Notes or portions of them called for redemption or purchase, unless such redemption or purchase remains conditioned on the occurrence of a future event.</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Issuers may redeem Notes pursuant to one or more of the relevant provisions in the Indenture, and a single notice of redemption may be delivered with respect to redemptions made pursuant to different provisions.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Issuers will not, and will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Notes are equally and ratably secured with (or, at an Issuer’s option, on a senior basis to) the indebtedness so secured.</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immediately preceding paragraph, the Issuers and their Restricted Subsidiaries may, without equally and ratably securing the Notes, create, incur or assume any Lien which would otherwise be prohibited by the foregoing paragraph if, after giving effect thereto and at the time of determination, Aggregate Debt of the Issuers and their Restricted Subsidiaries secured by Liens on any of their respective Principal Properties does not exceed at any one time outstanding the greater of (x) $4,300 million and (y) 15% of Consolidated Net Tangible Assets.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Lien created for the benefit of the Holders of any series of Notes pursuant to the second paragraph under this “Limitation on Liens” covenant shall provide by its terms that such Lien shall be automatically and unconditionally released and discharged upon the release and discharge of the Lien that gave rise to the obligation to secure the Notes of such series.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Issuers will not, and will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Notes pursuant to the first paragraph under “—Limitation on Liens,” or (b) the Issuers shall apply an amount equal to the net proceeds of the Attributable Indebtedness with respect to such Sale and Lease-Back Transaction within 365 days after such Sale and Lease-Back Transaction to the defeasance or retirement of any series of Notes or other indebtedness of the Issuers or a Restricted Subsidiary or to the purchase, construction or development of other assets or property.</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Issuers and their Restricted Subsidiaries may enter into any Sale and Lease-Back Transaction which would otherwise be prohibited by the foregoing paragraph if, after giving effect thereto and at the time of determination, Aggregate Debt does not exceed at any one time outstanding the greater of (x) $4,300 million and (y) 15% of Consolidated Net Tangible Assets.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certain defined terms to be used in the Indenture. For purposes of the Indenture, unless otherwise specifically indicated, the term “consolidated” with respect to any Person refers to such Person on a consolidated basis in accordance with GAAP.</w:t>
      </w:r>
    </w:p>
    <w:p>
      <w:pPr>
        <w:spacing w:after="0" w:line="160"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7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Aggregate Debt</w:t>
      </w:r>
      <w:r>
        <w:rPr>
          <w:rFonts w:ascii="Times New Roman" w:cs="Times New Roman" w:eastAsia="Times New Roman" w:hAnsi="Times New Roman"/>
          <w:sz w:val="18"/>
          <w:szCs w:val="18"/>
          <w:color w:val="auto"/>
        </w:rPr>
        <w:t>” means, as of the date of determination, the sum of (1) the aggregate principal amount of Indebtedness of the Issuers and their Restricted Subsidiaries secured by Liens (other than Permitted Liens) that is not permitted by the first paragraph under “Certain Covenants—Limitation on Liens” and (2) the Attributable Indebtedness of the Issuers and their Restricted Subsidiaries in respect of Sale and Lease-Back Transactions entered into pursuant to the second paragraph of “Certain Covenants—Limitation on Sale and Lease-Back Transactions.”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Notes of each series outstanding pursuant to the Indenture compounded semi-annually, or (c) if the obligation with respect to the Sale and Lease-Back 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18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with respect to a Person means the board of directors (or similar body, including any sole or managing member, as applicable) of such Person or any committee thereof duly authorized to act on behalf of such board of directors (or similar body, including any sole or managing member, as applicable).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day which is not a Legal Holiday.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60"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one or more of the following events after the Issue Date: (1) the sale, lease or transfer, in one or a series of related transactions, of all or substantially all of the assets of Parent and its Subsidiaries, taken as a whole, to any Person other than any Permitted Holders;</w:t>
      </w:r>
    </w:p>
    <w:p>
      <w:pPr>
        <w:spacing w:after="0" w:line="81" w:lineRule="exact"/>
        <w:rPr>
          <w:sz w:val="20"/>
          <w:szCs w:val="20"/>
          <w:color w:val="auto"/>
        </w:rPr>
      </w:pPr>
    </w:p>
    <w:p>
      <w:pPr>
        <w:ind w:left="1080" w:right="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becomes aware of (by way of a report or any other filing pursuant to Section 13(d) of the Exchange Act, proxy, vote, written notice or otherwise) the acquisition by any Person or group (within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w:t>
      </w:r>
    </w:p>
    <w:p>
      <w:pPr>
        <w:spacing w:after="0" w:line="94" w:lineRule="exact"/>
        <w:rPr>
          <w:sz w:val="20"/>
          <w:szCs w:val="20"/>
          <w:color w:val="auto"/>
        </w:rPr>
      </w:pPr>
    </w:p>
    <w:p>
      <w:pPr>
        <w:ind w:left="1080" w:right="120" w:hanging="532"/>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of the Issuers shall cease to be a direct or indirect Subsidiary of Parent;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Parent of a plan providing for its liquidation or dissolution.</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w:t>
      </w:r>
    </w:p>
    <w:p>
      <w:pPr>
        <w:spacing w:after="0" w:line="192"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any series of Notes, the occurrence of both a Change of Control and a Rating Decline with respect to such series of Notes.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cs="Times New Roman" w:eastAsia="Times New Roman" w:hAnsi="Times New Roman"/>
          <w:sz w:val="18"/>
          <w:szCs w:val="18"/>
          <w:i w:val="1"/>
          <w:iCs w:val="1"/>
          <w:color w:val="auto"/>
        </w:rPr>
        <w:t>Adjusted Current Liabilities</w:t>
      </w:r>
      <w:r>
        <w:rPr>
          <w:rFonts w:ascii="Times New Roman" w:cs="Times New Roman" w:eastAsia="Times New Roman" w:hAnsi="Times New Roman"/>
          <w:sz w:val="18"/>
          <w:szCs w:val="18"/>
          <w:color w:val="auto"/>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testing the covenants under the Indenture in connection with any transaction, (i) the assets and Intangible Assets of Parent and its Subsidiaries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w:t>
      </w:r>
    </w:p>
    <w:p>
      <w:pPr>
        <w:spacing w:after="0" w:line="1" w:lineRule="exact"/>
        <w:rPr>
          <w:sz w:val="20"/>
          <w:szCs w:val="20"/>
          <w:color w:val="auto"/>
        </w:rPr>
      </w:pPr>
    </w:p>
    <w:p>
      <w:pPr>
        <w:jc w:val="both"/>
        <w:ind w:left="120" w:hanging="4"/>
        <w:spacing w:after="0" w:line="255"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Dell</w:t>
      </w:r>
      <w:r>
        <w:rPr>
          <w:rFonts w:ascii="Times New Roman" w:cs="Times New Roman" w:eastAsia="Times New Roman" w:hAnsi="Times New Roman"/>
          <w:sz w:val="18"/>
          <w:szCs w:val="18"/>
          <w:color w:val="auto"/>
        </w:rPr>
        <w:t>” means Dell Inc., a Delaware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Dell International</w:t>
      </w:r>
      <w:r>
        <w:rPr>
          <w:rFonts w:ascii="Times New Roman" w:cs="Times New Roman" w:eastAsia="Times New Roman" w:hAnsi="Times New Roman"/>
          <w:sz w:val="18"/>
          <w:szCs w:val="18"/>
          <w:color w:val="auto"/>
        </w:rPr>
        <w:t>” means Dell International L.L.C., a Delaware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Denali Intermediate</w:t>
      </w:r>
      <w:r>
        <w:rPr>
          <w:rFonts w:ascii="Times New Roman" w:cs="Times New Roman" w:eastAsia="Times New Roman" w:hAnsi="Times New Roman"/>
          <w:sz w:val="18"/>
          <w:szCs w:val="18"/>
          <w:color w:val="auto"/>
        </w:rPr>
        <w:t>” means Denali Intermediate Inc., a Delaware corporation.</w:t>
      </w:r>
    </w:p>
    <w:p>
      <w:pPr>
        <w:spacing w:after="0" w:line="22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Subsidiary (other than a Foreign Subsidiary) that is organized or existing under the laws of the United States, any state or territory thereof or the District of Columbia.</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EMC</w:t>
      </w:r>
      <w:r>
        <w:rPr>
          <w:rFonts w:ascii="Times New Roman" w:cs="Times New Roman" w:eastAsia="Times New Roman" w:hAnsi="Times New Roman"/>
          <w:sz w:val="18"/>
          <w:szCs w:val="18"/>
          <w:color w:val="auto"/>
        </w:rPr>
        <w:t>” means EMC Corporation, a Massachusetts corporation.</w:t>
      </w:r>
    </w:p>
    <w:p>
      <w:pPr>
        <w:spacing w:after="0" w:line="225"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Lease Obligation</w:t>
      </w:r>
      <w:r>
        <w:rPr>
          <w:rFonts w:ascii="Times New Roman" w:cs="Times New Roman" w:eastAsia="Times New Roman" w:hAnsi="Times New Roman"/>
          <w:sz w:val="18"/>
          <w:szCs w:val="18"/>
          <w:color w:val="auto"/>
        </w:rPr>
        <w:t>”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any successor to its rating agency business.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that is not organized under the laws of the United States of America or any state or territory thereof or the District of Columbia and any Subsidiary of such Foreign Subsidiary.</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w:t>
      </w:r>
    </w:p>
    <w:p>
      <w:pPr>
        <w:spacing w:after="0" w:line="158"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73"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with respect to each series of Notes, Parent, Denali Intermediate and Dell until, in each case, such Person is released from its Note Guarantee with respect to such series of Notes in accordance with the terms of the Indenture.</w:t>
      </w:r>
    </w:p>
    <w:p>
      <w:pPr>
        <w:spacing w:after="0" w:line="158" w:lineRule="exact"/>
        <w:rPr>
          <w:sz w:val="20"/>
          <w:szCs w:val="20"/>
          <w:color w:val="auto"/>
        </w:rPr>
      </w:pPr>
    </w:p>
    <w:p>
      <w:pPr>
        <w:jc w:val="both"/>
        <w:ind w:left="120"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i w:val="1"/>
          <w:i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BBB- (or the equivalent) by S&amp;P and BBB- (or the equivalent) by Fitch, or the equivalent investment grade credit rating from any other Rating Agency substituted for Moody’s, S&amp;P or Fitch pursuant to clause (b) of the definition of “Rating Agency.”</w:t>
      </w:r>
    </w:p>
    <w:p>
      <w:pPr>
        <w:spacing w:after="0" w:line="17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Silver Lake Partners V DE (AIV), L.P., SL SPV-2, L.P., Silver Lake Group, L.L.C. and their Affiliates and any funds, partnerships or other co-investment vehicles managed, advised or controlled by the foregoing or their respective Affiliates, excluding, in each case, Denali Intermediate Inc. and its Subsidiaries and any portfolio companies of any of the foregoing.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commercial banking institutions are not required to be open in the State of New</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20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xml:space="preserve">” means, with respect to any asset, (1) any mortgage, deed of trust, lien, pledge, hypothecation, encumbrance, charge or security interest in, on or of such asset and (2) the interest of a vendor or a lessor under any conditional sale agreement, Financing Lease Obligation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 Non-Financing Lease Obligation be deemed to constitute a Lien.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120" w:right="3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Obligation</w:t>
      </w:r>
      <w:r>
        <w:rPr>
          <w:rFonts w:ascii="Times New Roman" w:cs="Times New Roman" w:eastAsia="Times New Roman" w:hAnsi="Times New Roman"/>
          <w:sz w:val="18"/>
          <w:szCs w:val="18"/>
          <w:color w:val="auto"/>
        </w:rPr>
        <w:t>”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the guarantee by any Guarantor of the Issuers’ Obligations under the Indenture and the Notes.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of the foregoing (other than principal and interest) shall no longer constitute “Obligations” after payment in full of such principal and interest.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has the meaning set forth on the cover of the prospectus supplement.</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of the Board, any Manager or Director, the Chief Executive Officer, the Chief Financial Officer, the Chief Operating Officer, the President, any Executive Vice President, Senior Vice President or Vice President, the Treasurer, the Controller or the Secretary or any other officer designated by any such individuals of Parent or any other Person, as the case may be.</w:t>
      </w:r>
    </w:p>
    <w:p>
      <w:pPr>
        <w:spacing w:after="0" w:line="173"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Parent or an Issuer by an Officer of Parent or an Issuer or on behalf of any other Person, as the case may be, that meets the requirements set forth in the Indenture.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Dell Technologies Inc., a Delaware corporation, and any successor entity, as permitted by the Indenture.</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Entity</w:t>
      </w:r>
      <w:r>
        <w:rPr>
          <w:rFonts w:ascii="Times New Roman" w:cs="Times New Roman" w:eastAsia="Times New Roman" w:hAnsi="Times New Roman"/>
          <w:sz w:val="18"/>
          <w:szCs w:val="18"/>
          <w:color w:val="auto"/>
        </w:rPr>
        <w:t>” means any Person that, with respect to another Person, owns more than 50% of the total voting power of the Voting Stock entitled to vote for the election of directors of such other Person having a majority of the aggregate votes on the Board of such other Person.</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Holders</w:t>
      </w:r>
      <w:r>
        <w:rPr>
          <w:rFonts w:ascii="Times New Roman" w:cs="Times New Roman" w:eastAsia="Times New Roman" w:hAnsi="Times New Roman"/>
          <w:sz w:val="17"/>
          <w:szCs w:val="17"/>
          <w:color w:val="auto"/>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w:t>
      </w:r>
    </w:p>
    <w:p>
      <w:pPr>
        <w:spacing w:after="0" w:line="4" w:lineRule="exact"/>
        <w:rPr>
          <w:sz w:val="20"/>
          <w:szCs w:val="20"/>
          <w:color w:val="auto"/>
        </w:rPr>
      </w:pPr>
    </w:p>
    <w:p>
      <w:pPr>
        <w:ind w:left="120" w:right="20" w:hanging="4"/>
        <w:spacing w:after="0" w:line="255"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effect as of the Issue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Notes outstanding on the Issue Date;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w:t>
      </w:r>
    </w:p>
    <w:p>
      <w:pPr>
        <w:spacing w:after="0" w:line="92"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w:t>
      </w:r>
    </w:p>
    <w:p>
      <w:pPr>
        <w:spacing w:after="0" w:line="85"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financing statements, including precautionary financing statements, or any similar filings made in respect of Non-Financing Leases or consignments entered into by Parent or any of its Subsidiaries;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used to defease or to irrevocably satisfy and discharge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a project financed with, and created to secure, a Nonrecourse Obligation;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future escrow arrangements securing Indebtedness;</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Parent or any of its Subsidiaries in connection with any letter of intent or purchase agreement;</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individual financings of equipment provided by one lender may be cross collateralized to other financings of equipment provided by such lender;</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Parent or any of its Subsidiaries or the Trustee; and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definition, the term “indebtedness” shall be deemed to include interest on such indebtedness.</w:t>
      </w:r>
    </w:p>
    <w:p>
      <w:pPr>
        <w:spacing w:after="0" w:line="223" w:lineRule="exact"/>
        <w:rPr>
          <w:sz w:val="20"/>
          <w:szCs w:val="20"/>
          <w:color w:val="auto"/>
        </w:rPr>
      </w:pPr>
    </w:p>
    <w:p>
      <w:pPr>
        <w:ind w:left="120" w:right="8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Parent</w:t>
      </w:r>
      <w:r>
        <w:rPr>
          <w:rFonts w:ascii="Times New Roman" w:cs="Times New Roman" w:eastAsia="Times New Roman" w:hAnsi="Times New Roman"/>
          <w:sz w:val="17"/>
          <w:szCs w:val="17"/>
          <w:color w:val="auto"/>
        </w:rPr>
        <w:t>” means any Parent Entity that at the time it became a Parent Entity of Parent was a Permitted Holder pursuant to clause (1) of the definition thereof and was not formed in connection with, or in contemplation of, a transaction that would otherwise constitute a Change of Control.</w:t>
      </w:r>
    </w:p>
    <w:p>
      <w:pPr>
        <w:spacing w:after="0" w:line="13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Plan</w:t>
      </w:r>
      <w:r>
        <w:rPr>
          <w:rFonts w:ascii="Times New Roman" w:cs="Times New Roman" w:eastAsia="Times New Roman" w:hAnsi="Times New Roman"/>
          <w:sz w:val="18"/>
          <w:szCs w:val="18"/>
          <w:color w:val="auto"/>
        </w:rPr>
        <w:t>” means any employee benefits plan of Parent or its Affiliates and any Person acting in its capacity as trustee, agent or other fiduciary or administrator of any such plan.</w:t>
      </w:r>
    </w:p>
    <w:p>
      <w:pPr>
        <w:spacing w:after="0" w:line="158" w:lineRule="exact"/>
        <w:rPr>
          <w:sz w:val="20"/>
          <w:szCs w:val="20"/>
          <w:color w:val="auto"/>
        </w:rPr>
      </w:pPr>
    </w:p>
    <w:p>
      <w:pPr>
        <w:ind w:left="120"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58"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Property</w:t>
      </w:r>
      <w:r>
        <w:rPr>
          <w:rFonts w:ascii="Times New Roman" w:cs="Times New Roman" w:eastAsia="Times New Roman" w:hAnsi="Times New Roman"/>
          <w:sz w:val="17"/>
          <w:szCs w:val="17"/>
          <w:color w:val="auto"/>
        </w:rPr>
        <w:t>”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w:t>
      </w:r>
    </w:p>
    <w:p>
      <w:pPr>
        <w:spacing w:after="0" w:line="1" w:lineRule="exact"/>
        <w:rPr>
          <w:sz w:val="20"/>
          <w:szCs w:val="20"/>
          <w:color w:val="auto"/>
        </w:rPr>
      </w:pPr>
    </w:p>
    <w:p>
      <w:pPr>
        <w:ind w:left="120" w:right="500" w:hanging="4"/>
        <w:spacing w:after="0" w:line="255" w:lineRule="auto"/>
        <w:tabs>
          <w:tab w:leader="none" w:pos="3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net book value on the date as of which the determination is being made in excess of 1.0 % of Consolidated Net Tangible Assets as most recently determined on or prior to such date (including, for purposes of such calculation, the land, land improvements, buildings and such fixtures comprising such office, plant or facilities, as the case may be).</w:t>
      </w:r>
    </w:p>
    <w:p>
      <w:pPr>
        <w:spacing w:after="0" w:line="18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(1) S&amp;P, Moody’s and Fitch or (2) if S&amp;P, Moody’s or Fitch or each of them shall not make a corporate rating with respect to the Issuers (or any Guarantor) or a rating on any series of the Notes publicly available, a nationally recognized statistical rating agency or agencies, as the case may be, selected by Parent, which shall be substituted for any or all of S&amp;P, Moody’s or Fitch, as the case may be, with respect to such corporate rating or the rating of such series of Notes, as the case may be.</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xml:space="preserve">” means, with respect to any series of Notes, the occurrence of a decrease in the rating of the Notes of such series by one or more gradations by any two of three Rating Agencies (including gradations within the rating categories, as well as between categories), within 60 days after the earliest of (x) a Change of Control, (y) the date of public notice of the occurrence of a Change of Control and (z) public notice of the intention of Parent to effect a Change of Control (which 60-day period shall be extended so long as the rating of such series of Notes is under publicly announced ratings review for possible downgrade by either of such two Rating Agencies, it being understood that a change in ratings outlook shall not extend such 60-day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the foregoing, a Ratings Decline shall not be deemed to have occurred so long as such series of Notes has an Investment Grade Rating from at least two of three Rating Agencies.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(1) any Subsidiary of an Issuer that (a) is a Wholly-Owned Subsidiary, (b) is a Domestic Subsidiary and (c) directly owns or directly leases any Principal Property and (2) any other Subsidiary that the Board of any Issuer may designate as a Restricted Subsidiary; provided, that “Restricted Subsidiary” shall not include Dell Financial Services L.L.C. or any other Subsidiary that is principally engaged in financing receivables, securitization transactions, factoring or other similar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Inc. and any successor to its rating agency business.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1080" w:hanging="532"/>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any entity that is owned at a 50% or less level (as described above) shall not be a “Subsidiary” for any purpose under the Indenture, regardless of whether such entity is consolidated on Parent’s or any of its Subsidiaries’ financial statements.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Bank of New York Mellon Trust Company, N.A. until a successor replaces it and, thereafter, means the successor.</w:t>
      </w:r>
    </w:p>
    <w:p>
      <w:pPr>
        <w:spacing w:after="0" w:line="225"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such Person.</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Wholly-Owned Subsidiary</w:t>
      </w:r>
      <w:r>
        <w:rPr>
          <w:rFonts w:ascii="Times New Roman" w:cs="Times New Roman" w:eastAsia="Times New Roman" w:hAnsi="Times New Roman"/>
          <w:sz w:val="18"/>
          <w:szCs w:val="18"/>
          <w:color w:val="auto"/>
        </w:rPr>
        <w:t>” of any Person means a Subsidiary of such Person, 100% of the outstanding Equity Interests of which (other than directors’ qualifying shares) shall at the time be owned by such Person or by one or more Wholly-Owned Subsidiaries of such Person.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initially be represented by one or more fully registered global notes (“Global Notes”). Each such global note will be deposited with, or on behalf of, The Depository Trust Company (“DTC”) or any successor thereto and registered in the name of Cede &amp; Co. (DTC’s nominee). Except as set forth below, the notes will be issued in registered, global form in minimum denominations of $2,000 and integral multiples of $1,000 in excess of $2,000. Notes will be issued at the closing of the Offering only against payment in immediately available funds.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Investors may hold interests in a Global Note through DTC in the United States if they are participants in DTC or indirectly hold such interests through organizations that are participants in DTC. Clearstream Banking S.A. (“Clearstream, Luxembourg”) and Euroclear Bank S.A./N.V., as operator of the Euroclear System (“Euroclear”), will hold interests on behalf of their participants through customers’ securities accounts in Clearstream, Luxembourg’s and Euroclear’s name on the books of their respective depositaries, which in turn will hold such interests in customers’ securities accounts in the depositaries’ names on the books of DTC.</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w:t>
      </w:r>
      <w:r>
        <w:rPr>
          <w:rFonts w:ascii="Times New Roman" w:cs="Times New Roman" w:eastAsia="Times New Roman" w:hAnsi="Times New Roman"/>
          <w:sz w:val="18"/>
          <w:szCs w:val="18"/>
          <w:i w:val="1"/>
          <w:iCs w:val="1"/>
          <w:color w:val="auto"/>
        </w:rPr>
        <w:t>Exchange of Global</w:t>
      </w:r>
      <w:r>
        <w:rPr>
          <w:rFonts w:ascii="Times New Roman" w:cs="Times New Roman" w:eastAsia="Times New Roman" w:hAnsi="Times New Roman"/>
          <w:sz w:val="18"/>
          <w:szCs w:val="18"/>
          <w:color w:val="auto"/>
        </w:rPr>
        <w:t xml:space="preserve"> Notes </w:t>
      </w:r>
      <w:r>
        <w:rPr>
          <w:rFonts w:ascii="Times New Roman" w:cs="Times New Roman" w:eastAsia="Times New Roman" w:hAnsi="Times New Roman"/>
          <w:sz w:val="18"/>
          <w:szCs w:val="18"/>
          <w:i w:val="1"/>
          <w:iCs w:val="1"/>
          <w:color w:val="auto"/>
        </w:rPr>
        <w:t>for Certificated Notes</w:t>
      </w:r>
      <w:r>
        <w:rPr>
          <w:rFonts w:ascii="Times New Roman" w:cs="Times New Roman" w:eastAsia="Times New Roman" w:hAnsi="Times New Roman"/>
          <w:sz w:val="18"/>
          <w:szCs w:val="18"/>
          <w:color w:val="auto"/>
        </w:rPr>
        <w:t>.” Except in the limited circumstances described below, owners of beneficial interests in the Global Notes will not be entitled to receive physical delivery of notes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following description of the operations and procedures of DTC, Euroclear and Clearstream, Luxembourg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also advised us that, pursuant to procedures established by it:</w:t>
      </w:r>
    </w:p>
    <w:p>
      <w:pPr>
        <w:spacing w:after="0" w:line="131" w:lineRule="exact"/>
        <w:rPr>
          <w:sz w:val="20"/>
          <w:szCs w:val="20"/>
          <w:color w:val="auto"/>
        </w:rPr>
      </w:pPr>
    </w:p>
    <w:p>
      <w:pPr>
        <w:ind w:left="1080" w:right="4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the Participants designated by the underwriters with portions of the principal amount of the Global Notes;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Luxembourg) that are Participants. Citibank, N.A. acts as depositary for Clearstream, Luxembourg, and JPMorgan Chase Bank acts as depositary for Euroclear. All interests in a Global Note, including those held through Euroclear or Clearstream, Luxembourg, may be subject to the procedures and requirements of DTC. Those interests held through Euroclear or Clearstream, Luxembourg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that will govern the notes for any purpose.</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 Under the terms of the Indenture, we and the trustee thereunder will treat the persons in whose names the notes, including the Global Notes, are registered as the owners of the notes for the purpose of receiving payments and for all other purposes. Consequently, neither we nor any agent of ours or either trustee has or will have any responsibility or liability for:</w:t>
      </w:r>
    </w:p>
    <w:p>
      <w:pPr>
        <w:spacing w:after="0" w:line="85" w:lineRule="exact"/>
        <w:rPr>
          <w:sz w:val="20"/>
          <w:szCs w:val="20"/>
          <w:color w:val="auto"/>
        </w:rPr>
      </w:pPr>
    </w:p>
    <w:p>
      <w:pPr>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our responsibility or the responsibility of DTC or either trustee. Neither we nor the trustee will be liable for any delay by DTC or any of the Participants or the Indirect Participants in identifying the beneficial owners of the notes, and we and the trustee may conclusively rely on and will be protected in relying on instructions from DTC or its nominee for all purposes.</w:t>
      </w:r>
    </w:p>
    <w:p>
      <w:pPr>
        <w:spacing w:after="0" w:line="19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Transfers between the Participants will be effected in accordance with DTC’s procedures and will be settled in same-day funds, and transfers between participants in Euroclear and Clearstream, Luxembourg will be effected in accordance with their respective rules and operating procedures.</w:t>
      </w:r>
    </w:p>
    <w:p>
      <w:pPr>
        <w:spacing w:after="0" w:line="14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the Participants, on the one hand, and Euroclear or Clearstream, Luxembourg participants, on the other hand, will be effected through DTC in accordance with DTC’s rules on behalf of Euroclear or Clearstream, Luxembourg, as the case may be, by its respective depositary. However, such cross-market transactions will require delivery of instructions to Euroclear or Clearstream, Luxembourg, as the case may be, by the counterparty in such system in accordance with the rules and procedures and within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established deadlines (Brussels time) of such system. Euroclear or Clearstream, Luxembourg,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Luxembourg participants may not deliver instructions directly to the depositories for Euroclear or Clearstream, Luxembourg.</w:t>
      </w:r>
    </w:p>
    <w:p>
      <w:pPr>
        <w:spacing w:after="0" w:line="183"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any of the notes, DTC reserves the right to exchange the Global Notes in respect of such notes for legended notes in certificated form and to distribute such notes to its Participants.</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Luxembourg have agreed to the foregoing procedures to facilitate transfers of interests in the Global Notes among participants in DTC, Euroclear, and Clearstream, Luxembourg, they are under no obligation to perform or to continue to perform such procedures, and may discontinue such procedures at any time. Neither we nor the trustee nor any of our or its agents will have any responsibility for the performance by DTC, Euroclear, or Clearstream, Luxembourg or their respective participants or indirect participants of their respective obligations under the rules and procedures governing their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Note is exchangeable for Certificated Notes if:</w:t>
      </w:r>
    </w:p>
    <w:p>
      <w:pPr>
        <w:spacing w:after="0" w:line="131" w:lineRule="exact"/>
        <w:rPr>
          <w:sz w:val="20"/>
          <w:szCs w:val="20"/>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(1) notifies us that it is unwilling or unable to continue as depositary for the Global Notes or (2) has ceased to be a clearing agency registered under the Exchange Act and, in either case, we fail to appoint a successor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with respect to such notes.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will make payments in respect of the notes represented by the Global Notes (including principal, premium, if any, and interest) by wire transfer of immediately available funds to the accounts specified by DTC or its nominee.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interests in the Global Notes received in Clearstream, Luxembourg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Luxembourg or Euroclear participants on such business day. Cash received in Clearstream, Luxembourg or Euroclear as a result of sales of interests in the Global Notes by or through a Clearstream, Luxembourg participant or a Euroclear Participant to a DTC Participant will be received with value on the DTC settlement date but will be available in the relevant Clearstream, Luxembourg or Euroclear cash account only as of the business day following settlement in DTC.</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purchase, ownership and disposition of the notes as of the date hereof. This summary deals only with notes that are held as capital assets (within the meaning of Section 1221 of the Internal Revenue Code of 1986, as amended (the “Code”)) by persons who purchase the notes for cash upon original issuance at their “issue price” (the first price at which a substantial amount of notes of the applicable series is sold for money to investors, excluding sales to bond houses, brokers or similar persons or organizations acting in the capacity of an underwriter, placement agent or wholesaler).</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applicable to you if you are a person subject to special tax treatment under the United States federal income tax laws, including if you are:</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holds notes through a non-U.S. broker or other non-U.S. intermediary;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(or an investor in such entity) for United States federal income tax purposes;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this summary does not represent a detailed description of the United States federal income tax consequences applicable to you if you are a holder of our 2026 Notes.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United States Treasury regulations, administrative rulings and judicial decisions thereunder as of the date hereof. Those authorities may be changed, perhaps retroactively, so as to result in United States federal income tax consequences different from those discussed below. In addition, we have not sought any rulings from the Internal Revenue Service (“IRS”) regarding the matters discussed below, and there can be no assurance that the IRS will not take positions concerning the tax consequences of the purchase, ownership or disposition of the notes that are different from those discussed below.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tax advisors.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to you in light of your particular circumstances and does not address the effects of any other United States federal tax laws (such as the Medicare contribution tax on net investment income) or any state, local or non-United States tax laws. It is not intended to be, and should not be construed to be, legal or tax advice to any particular purchaser of notes.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notes, you should consult your own tax advisors concerning the particular United States federal income tax consequences to you of the purchase, ownership and disposition of the notes, as well as any consequences to you arising under other United States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that will apply to you if you are a U.S. 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“U.S. Holder” means a beneficial owner of a note that is, for United States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United States persons have the authority to control all substantial decisions of the trust or (b) has a valid election in effect under applicable United States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generally be taxable to you as ordinary income at the time it is paid or accrued, in accordance with your method of accounting for United States federal income tax purposes. We expect, and this summary assumes, that the notes will not be issued with more than a de minimis amount of original issue discount for United States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you will generally recognize gain or loss in an amount equal to the difference, if any, between the amount realized upon the sale, exchange, retirement, redemption or other taxable disposition (less any amount attributable to any accrued but unpaid stated interest, which will be taxable as ordinary income for United States federal income tax purposes to the extent not previously included in income) and the adjusted tax basis of the note. Your adjusted tax basis in a note will, in general, be your cost for that note. Any gain or loss will be capital gain or loss and will generally be long-term capital gain or loss if you have held the note for more than one year. Long-term capital gains of non-corporate U.S. Holders are eligible for reduced rates of taxation. The deductibility of capital losses is subject to limitations.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will apply to payments of interest and to the proceeds of a sale or other taxable disposition (including a retirement or redemption) of a note paid to you (unless you are an exempt recipient). Backup withholding may apply to payments described in the preceding sentence if you fail to provide a correct taxpayer identification number or a certification that you are not subject to backup withholding, or if you fail to report in full dividend and interest income.</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that will apply to you if you are a Non-U.S. Holder.</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“Non-U.S. Holder” means a beneficial owner of a note, other than an entity treated as a partnership for United States federal income tax purposes, that is not a U.S. Holder (as defined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Withholding Tax</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concerning backup withholding and FATCA, United States federal withholding tax will not apply to any payment of interest on a note under the “portfolio interest” rule, provided that:</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stock possessing 10% or more of the total combined voting power of all classes of the voting stock (within the meaning of the Code and applicable United States Treasury regulations) of Dell Inc. or EMC Corporation;</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actually or constructively related to Dell Inc. or EMC Corporation through stock ownership;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a note is described in Section 881(c)(3)(A) of the Code;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your name and address on an applicable IRS Form W-8 (or other applicable form), and certify, under penalties of perjury, that you are not a United States person as defined under the Code or (b) you hold the note through certain foreign intermediaries and satisfy the certification requirements of applicable United States Treasury regulations. Special certification rules apply to Non-U.S. Holders that are pass-through entities rather than corporations or individuals.</w:t>
      </w:r>
    </w:p>
    <w:p>
      <w:pPr>
        <w:spacing w:after="0" w:line="180"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If you cannot satisfy the requirements of the “portfolio interest” exception described above, payments of interest made to you will be subject to a 30% United States federal withholding tax, unless you provide the applicable withholding agent with a properly executed (a) IRS Form W-8BEN or W-8BEN-E (or other applicable form) claiming an exemption from or reduction in withholding under the benefit of an applicable income tax treaty or</w:t>
      </w:r>
    </w:p>
    <w:p>
      <w:pPr>
        <w:spacing w:after="0" w:line="1" w:lineRule="exact"/>
        <w:rPr>
          <w:sz w:val="20"/>
          <w:szCs w:val="20"/>
          <w:color w:val="auto"/>
        </w:rPr>
      </w:pPr>
    </w:p>
    <w:p>
      <w:pPr>
        <w:ind w:left="120" w:hanging="4"/>
        <w:spacing w:after="0" w:line="253"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stating that interest paid on the note is not subject to withholding tax because it is effectively connected with your conduct of a trade or business in the United States (as discussed below under “—United States Federal Income Tax”). Alternative documentation may be applicable in certain situations. The 30% United States federal withholding tax generally will not apply to any payment of principal or gain that you recognize on the sale, exchange, retirement, redemption or other disposition of a note.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interest on the notes is effectively connected with your conduct of a trade or business in the United States (and, if required by an applicable income tax treaty, is attributable to a United States permanent establishment), you generally will be subject to United States federal income tax on such interest on a net income basis in generally the same manner as if you were a United States person as defined under the Code. In addition, if you are a corporation, you may be subject to a branch profits tax equal to 30% (or a lower rate under an applicable income tax treaty) of your effectively connected earnings and profits attributable to such interest, subject to adjustments. Interest received in respect of the notes that is effectively connected with a U.S. trade or business (whether or not an income tax treaty applies) will be exempt from the 30% United States federal withholding tax, provided the certification requirements discussed above in “—United States Federal Withholding Tax” are satisfied.</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recognized on the sale, exchange, retirement, redemption or other taxable disposition of a note generally will not be subject to United States federal income tax unless:</w:t>
      </w:r>
    </w:p>
    <w:p>
      <w:pPr>
        <w:spacing w:after="0" w:line="67" w:lineRule="exact"/>
        <w:rPr>
          <w:sz w:val="20"/>
          <w:szCs w:val="20"/>
          <w:color w:val="auto"/>
        </w:rPr>
      </w:pPr>
    </w:p>
    <w:p>
      <w:pPr>
        <w:ind w:left="10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if required by an applicable income tax treaty, is attributable to a United States permanent establishment), in which case such gain generally will be subject to United States federal income tax (and possibly branch profits tax) in generally the same manner as effectively connected interest income is taxed as described above; or</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such disposition, and certain other conditions are met, in which case you will be subject to a 30% United States federal income tax on any gain recognized (except as otherwise provided by an applicable income tax treaty), which may be offset by certain United States-source capital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Information reporting to the IRS will generally apply to payments of interest made to you and the amount of tax, if any, withheld with respect to such payments. Copies of the information returns reporting such interest payments and any withholding may also be made available to the tax authorities in the country in which you reside under the provisions of an applicable income tax treaty.</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general, you will not be subject to backup withholding with respect to payments of interest on the notes provided that the applicable withholding agent has received from you the required certification that you are a Non-U.S. Holder described above in the fifth bullet point under “— Consequences to Non-U.S. Holders—United States Federal Withholding Tax,” or you otherwise establish an exemption.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under penalties of perjury that you are a Non-U.S. Holder (and the payor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interest income paid on the notes to (i) a “foreign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financial institution” (as specifically defined in the Code) that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that avoids withholding, or (ii) a “non-financial foreign entity” (as specifically defined in the Code) that does not provide sufficient documentation, typically on IRS Form W-8BEN-E, evidencing either (x) an exemption from FATCA, or (y) adequate information regarding certain substantial United States beneficial owners of such entity (if any). These rules generally apply regardless of whether the foreign financial institution or non-financial foreign entity is the beneficial owner of the notes or an intermediary. If an interest payment is both subject to withholding under FATCA and subject to the withholding tax discussed above under “—Consequences to Non-U.S. Holders —United States Federal Withholding Tax,” the withholding under FATCA may be credited against, and therefore reduce, such other withholding tax.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You should consult your own tax advisors regarding these rules and whether they may be relevant to your ownership and disposition of the notes.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7" w:lineRule="exact"/>
        <w:rPr>
          <w:sz w:val="20"/>
          <w:szCs w:val="20"/>
          <w:color w:val="auto"/>
        </w:rPr>
      </w:pPr>
    </w:p>
    <w:p>
      <w:pPr>
        <w:ind w:left="120" w:right="4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is a summary of certain considerations associated with the purchase of the notes by (i) “employee benefit plans” within the meaning of Section 3(3) of the U.S. Employee Retirement Income Security Act of 1974, as amended (“ERISA”) that are subject to Title I of ERISA,</w:t>
      </w:r>
    </w:p>
    <w:p>
      <w:pPr>
        <w:spacing w:after="0" w:line="1" w:lineRule="exact"/>
        <w:rPr>
          <w:sz w:val="20"/>
          <w:szCs w:val="20"/>
          <w:color w:val="auto"/>
        </w:rPr>
      </w:pPr>
    </w:p>
    <w:p>
      <w:pPr>
        <w:ind w:left="120" w:hanging="4"/>
        <w:spacing w:after="0" w:line="253" w:lineRule="auto"/>
        <w:tabs>
          <w:tab w:leader="none" w:pos="38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plans, individual retirement accounts and other arrangements that are subject to Section 4975 of the Code or provisions under any federal, state, local, non-U.S. or other laws or regulations that are similar to the fiduciary responsibility and/or prohibited transaction provisions of Title I of ERISA or Section 4975 of the Code (collectively, “Similar Laws”), and (iii) entities whose underlying assets are considered to include the assets of any of the foregoing described in clauses (i) or (ii) pursuant to ERISA or other applicable law (each of the foregoing described in clauses (i), (ii) and (iii) referred to as a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any authority or control over the management or disposition of the assets of a Covered Plan, or who renders investment advice for a fee or other compensation to such a Covered Plan, is generally considered to be a fiduciary of the Covered Plan.</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Each Plan should consider the fact that none of the issuers, the guarantors, the underwriters nor any of their respective affiliates will act as a fiduciary to any Plan with respect to any decisions with respect to the notes, including any decision whether to acquire notes and is not undertaking to provide impartial investment advice, or to give advice in a fiduciary capacity, with respect to taking or not taking action in connection with the notes.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Plans that are “governmental plans” (as defined in Section 3(32) of ERISA or Section 414(d) of the Code), certain “church plans” (as defined in Section 3(33) of ERISA or Section 414(e) of the Code), and non-U.S. plans (as described in Section 4(b)(4) of ERISA) are not subject to the fiduciary responsibility requirements of ERISA or the prohibited transaction provisions of ERISA or Section 4975 of the Code but may be subject to similar prohibitions under other applicable Similar Laws. The acquisition and/or holding of the notes by a Covered Plan with respect to which any of the issuers, the guarantors, the underwriters or any of their respective affiliates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 exemptions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4975(d)(20) of the Code provide relief from the prohibited transaction provisions of ERISA and Section 4975 of the Code for certain transactions between a Covered Plan and a person or entity that is a party in interest or disqualified person with respect to the Covered Plan solely by reason of providing services to the Covered Plan or a relationship with such a service provider, provided that neither the person transacting with the Covered Plan nor any of its affiliates has or exercises any discretionary authority or control or renders any investment advice with respect to the assets of the Covered Plan involved in the transaction and provided further that the Covered Plan receives no less than and pays no more than “adequate consideration” (within the meaning of Section 408(b)(17) of ERISA and Section 4975(f)(10) of the Code) in connection with the transaction. Each of the above noted exemptions contains certain conditions and limitations on its application. Fiduciaries of Plans considering acquiring and/or holding the notes in reliance on any of these or any other exemption should carefully review the exemption to ensure it is applicable. There can be no assurance that all of the conditions of any such exemptions will be satisfied.</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Because of the foregoing, the notes should not be purchased or held by any person investing “plan assets” of any Plan, unless such purchase and holding will not constitute or result in a non-exempt prohibited transaction under ERISA or the Code or a similar violation of any applicable Similar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Accordingly, by acceptance of the notes (or any interest therein), each purchaser and subsequent transferee of the notes (or any interest therein) will be deemed to have represented and warranted that either (i) no portion of the assets used by or on behalf of such purchaser or transferee to acquire or hold the notes (or any interest therein) constitutes assets of any Plan or (ii)(a) the acquisition and holding of the notes (or any interest therein) by such purchaser or transferee will not constitute or result in a non-exempt prohibited transaction under Section 406 of ERISA or Section 4975 of the Code or a similar violation under any applicable Similar Laws, and (b) none of the issuers, the guarantors, the underwriters nor any of their respective affiliates is its fiduciary with respect to all decisions with respect to the notes, including whether to invest in and/or hold the notes.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 inclusive and should not be construed as legal advice.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Each purchaser or subsequent transferee has exclusive responsibility for ensuring that their purchase and holding of the notes (or any interest therein) does not violate the fiduciary responsibility rules of ERISA or the prohibited transaction rules of ERISA or the Code or the provisions of applicable Similar Laws. The sale of any notes to a Plan is in no respect a representation by us, the underwriters or any of our or their affiliates or representatives that such an investment meets all relevant legal requirements with respect to investments by Plans generally or any particular Plan or that such investment is appropriate for Plans generally or any particular Plan.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BofA Securities, Inc., Goldman Sachs &amp; Co. LLC, HSBC Securities (USA) Inc., J.P. Morgan Securities LLC and PNC Capital Markets LLC are acting as joint book-running managers and representatives of each of the underwriters named below. Subject to the terms and conditions set forth in the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30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5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52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520" w:type="dxa"/>
            <w:vAlign w:val="bottom"/>
          </w:tcPr>
          <w:p>
            <w:pPr>
              <w:spacing w:after="0"/>
              <w:rPr>
                <w:sz w:val="15"/>
                <w:szCs w:val="15"/>
                <w:color w:val="auto"/>
              </w:rPr>
            </w:pPr>
          </w:p>
        </w:tc>
        <w:tc>
          <w:tcPr>
            <w:tcW w:w="2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520" w:type="dxa"/>
            <w:vAlign w:val="bottom"/>
          </w:tcPr>
          <w:p>
            <w:pPr>
              <w:spacing w:after="0"/>
              <w:rPr>
                <w:sz w:val="15"/>
                <w:szCs w:val="15"/>
                <w:color w:val="auto"/>
              </w:rPr>
            </w:pPr>
          </w:p>
        </w:tc>
        <w:tc>
          <w:tcPr>
            <w:tcW w:w="2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5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jc w:val="right"/>
              <w:ind w:right="99"/>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jc w:val="right"/>
              <w:ind w:right="99"/>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jc w:val="right"/>
              <w:ind w:right="99"/>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subject to approval of legal matters by counsel and to other conditions. The underwriters must purchase all of the notes if they purchase any of the notes. The offering of the notes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prices set forth on the cover of this prospectus supplement. After the initial offering, the public offering prices, concessions or any other term of the offering may be changed.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0" w:type="dxa"/>
            <w:vAlign w:val="bottom"/>
            <w:tcBorders>
              <w:bottom w:val="single" w:sz="8" w:color="CCEEFF"/>
            </w:tcBorders>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200" w:type="dxa"/>
            <w:vAlign w:val="bottom"/>
            <w:tcBorders>
              <w:bottom w:val="single" w:sz="8" w:color="CCEEFF"/>
            </w:tcBorders>
          </w:tcPr>
          <w:p>
            <w:pPr>
              <w:spacing w:after="0"/>
              <w:rPr>
                <w:sz w:val="15"/>
                <w:szCs w:val="15"/>
                <w:color w:val="auto"/>
              </w:rPr>
            </w:pPr>
          </w:p>
        </w:tc>
      </w:tr>
      <w:tr>
        <w:trPr>
          <w:trHeight w:val="21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4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issuers and the guarantors have agreed to indemnify the several underwriters against liabilities that could arise including liabilities under the Securities Act or to contribute to payments that the underwriters may be required to make because of any of those liabilities.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new securities for which there are currently no markets. The notes will not be listed on any securities exchange or automated quotation system. Although the underwriters have informed us that they intend to make a market in the notes of each series, they are not obligated to do so, and they may discontinue market-making activities at any time without notice. Accordingly, we cannot assure you that liquid markets for the notes will develop or, if such markets develop, that they will be maintained.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040"/>
          </w:cols>
          <w:pgMar w:left="320" w:top="455"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 2026, which is the      business day following the date of pricing of the notes (this settlement cycle being referred to as “T+  ”). Since trades in the secondary market generally settle in one business day, purchasers who wish to trade their notes on any date prior to the first business day before delivery will be required, by virtue of the fact that the notes initially will settle in T+  , to specify an alternative settlement cycle at the time of any such trade to prevent a failed settlement. Purchasers of the notes who wish to trade the notes on any date prior to the first business day before delivery should consult their own advisors.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80" w:right="4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underwriters, in covering short positions or making a stabilizing purchase, repurchase notes originally sold by that syndicate member to cover positions.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These over-allotments, stabilizing transactions, covering transactions and penalty bids may cause the prices of the notes to be higher than they would otherwise be in the absence of these transactions. These transactions, if commenced, may be discontinued at any time. The underwriters may conduct these transactions in the over-the-counter market or otherwise. If the underwriters commence any of these transactions, they may discontinue them at any time.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provided and/or may provide in the future, investment banking, commercial banking and other financial services for us and our affiliates in the ordinary course of business, for which they have received and will receive customary compensation. Affiliates of certain of the underwriters act as agents and/or lenders under the new revolving credit facility, and have received fees in connection with such roles. Certain of the underwriters or their affiliates also act as lenders and/or agents under certain of our structured financing debt and/or are holders of our other debt and in the event the net proceeds of this Offering are applied to repay debt, such underwriters or their affiliates may receive a portion of the net proceeds of this Offering. In addition, a member of the Dell Technologies board of directors is also a director of Goldman Sachs Group Inc., an affiliate of one of the underwriters.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and such investment and securities activities may involve our securities and/or instruments. If the underwriters or their affiliates have a lending relationship with us, certain of those underwriters or their affiliates routinely hedge, certain of the underwriters or their affiliates are likely to hedge or otherwise reduce, and certain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other of these underwriters or their affiliates may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and/or their respective affiliates may also communicate independent investment recommendations, market color or trading ideas and/or publish or express independent research views in respect of such assets, securities or instruments and may at any time hold for their own account and for the accounts of their customers, or recommend to clients that they acquire long and/or short positions in such securities and instruments.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an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600/2014 as it forms part of domestic law by virtue of the European Union (Withdrawal) Act 2018 (“EUWA”); nor (ii) a qualified investor as defined in paragraph 15 of Schedule 1 to the Public Offers and Admissions to Trading Regulations 2024 (the “POATRs”). For the purpose of this provision, the expression “an offer” includes the communication in any form and by any means of sufficient information on the terms of the offer and the notes to be offered so as to enable an investor to decide to purchase or subscribe for the notes”. Consequently, no disclosure document required by the UK Financial Conduct Authority (“FCA”) Product Disclosure sourcebook (“DISC”) for offering, selling or distributing consumer composite investments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of notes to the public under the POATRs. Neither this prospectus supplement nor the accompanying prospectus is a prospectus for the purposes of the POATRs or the FCA Prospectus Rules: Admission to Trading on a Regulated Market sourcebook.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UK, this prospectus supplement and any other material in relation to the notes described herein is only being distributed to, and is only directed at, (i) persons having professional experience in matters relating to investments falling within Article 19(5) of the Financial Services and Markets Act 2000 (Financial Promotion) Order 2005 (as amended, the “Financial Promotion Order”), (ii) persons falling within Article 49(2)(a) to (d) (“high net worth companies, unincorporated associations etc.”) of the Financial Promotion Order, (iii) persons outside the UK or (iv)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its contents.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sold or advertised, directly or indirectly, in, into or from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In particular, this prospectus supplement and the accompanying prospectus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this prospectus supplement or the accompanying prospectus.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Each underwriter represents, warrants and agrees that (i) it has not offered or sold and will not offer or sell in Hong Kong, by means of any document, any notes other than (a) to “professional investors” as defined in the Securities and Futures Ordinance (Cap. 571) of Hong Kong (the “SFO”) and any rules made under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The underwriters have agreed that they have not, directly or indirectly, offered or sold and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each underwriter has represented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notes, whether directly or indirectly, to any person in Singapore other than:</w:t>
      </w:r>
    </w:p>
    <w:p>
      <w:pPr>
        <w:spacing w:after="0" w:line="93" w:lineRule="exact"/>
        <w:rPr>
          <w:sz w:val="20"/>
          <w:szCs w:val="20"/>
          <w:color w:val="auto"/>
        </w:rPr>
      </w:pPr>
    </w:p>
    <w:p>
      <w:pPr>
        <w:ind w:left="10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540" w:right="820" w:hanging="439"/>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300" w:hanging="439"/>
        <w:spacing w:after="0" w:line="282"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its obligations pursuant to sections 309B(1)(a) and 309B(1)(c) of the SFA, the issuers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w:t>
      </w:r>
    </w:p>
    <w:p>
      <w:pPr>
        <w:spacing w:after="0" w:line="15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 Certain legal matters in connection with the Offering will be passed upon for the underwriters by Cravath, Swaine &amp; Moore LLP, New York, New York.</w:t>
      </w: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173990</wp:posOffset>
            </wp:positionV>
            <wp:extent cx="3206115"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2061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Dell International L.L.C.</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EMC Corporation</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Dell International L.L.C. (“Dell International”) and EMC Corporation (“EMC” and, together with Dell International, the “Issuers”) may, from time to time, offer and sell debt securities. Debt securities issued by the Issuers may be guaranteed by Dell Technologies (as defined below) and any of the additional Registrant Guarantors named in the Table of Additional Registrant Guarantors (the “additional Registrant Guarantors”). Any debt securities issued will be the senior unsecured obligations of the Issuers, Dell Technologies and, as applicable, one or more of the additional Registrant Guarantors.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Issuers may offer and sell these debt securities separately or together, in one or more series and in amounts, at prices and on terms described in one or more offerings. When the Issuers decide to sell a particular series of these debt securities, the terms of the debt securities, including the initial offering price and the aggregate amount of the offering, will be provided in one or more supplements to this prospectus. A prospectus supplement may also add, update or change information contained in this prospectus.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61" w:lineRule="exact"/>
        <w:rPr>
          <w:sz w:val="20"/>
          <w:szCs w:val="20"/>
          <w:color w:val="auto"/>
        </w:rPr>
      </w:pPr>
    </w:p>
    <w:p>
      <w:pPr>
        <w:jc w:val="both"/>
        <w:ind w:left="120" w:right="20" w:firstLine="440"/>
        <w:spacing w:after="0" w:line="247" w:lineRule="auto"/>
        <w:rPr>
          <w:sz w:val="20"/>
          <w:szCs w:val="20"/>
          <w:color w:val="auto"/>
        </w:rPr>
      </w:pPr>
      <w:r>
        <w:rPr>
          <w:rFonts w:ascii="Times New Roman" w:cs="Times New Roman" w:eastAsia="Times New Roman" w:hAnsi="Times New Roman"/>
          <w:sz w:val="22"/>
          <w:szCs w:val="22"/>
          <w:b w:val="1"/>
          <w:bCs w:val="1"/>
          <w:color w:val="auto"/>
        </w:rPr>
        <w:t>Investing in securities registered hereby involves risks.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and any similar section contained in the applicable prospectus supplement concerning factors you should consider before investing in any securities.</w:t>
      </w:r>
    </w:p>
    <w:p>
      <w:pPr>
        <w:spacing w:after="0" w:line="17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Neither the United States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date of this prospectus is June 11, 2026.</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58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80" w:type="dxa"/>
            <w:vAlign w:val="bottom"/>
            <w:gridSpan w:val="9"/>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1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4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Trademarks and Other Intellectual Property Rights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Basis of Presentation</w:t>
            </w:r>
          </w:p>
        </w:tc>
        <w:tc>
          <w:tcPr>
            <w:tcW w:w="2100" w:type="dxa"/>
            <w:vAlign w:val="bottom"/>
            <w:tcBorders>
              <w:top w:val="single" w:sz="8" w:color="0000EE"/>
            </w:tcBorders>
            <w:gridSpan w:val="7"/>
          </w:tcPr>
          <w:p>
            <w:pPr>
              <w:spacing w:after="0"/>
              <w:rPr>
                <w:sz w:val="17"/>
                <w:szCs w:val="17"/>
                <w:color w:val="auto"/>
              </w:rPr>
            </w:pPr>
          </w:p>
        </w:tc>
        <w:tc>
          <w:tcPr>
            <w:tcW w:w="492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6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Dell Technologies Inc.</w:t>
            </w:r>
          </w:p>
        </w:tc>
        <w:tc>
          <w:tcPr>
            <w:tcW w:w="2000" w:type="dxa"/>
            <w:vAlign w:val="bottom"/>
            <w:tcBorders>
              <w:top w:val="single" w:sz="8" w:color="0000EE"/>
            </w:tcBorders>
            <w:gridSpan w:val="4"/>
          </w:tcPr>
          <w:p>
            <w:pPr>
              <w:spacing w:after="0"/>
              <w:rPr>
                <w:sz w:val="17"/>
                <w:szCs w:val="17"/>
                <w:color w:val="auto"/>
              </w:rPr>
            </w:pPr>
          </w:p>
        </w:tc>
        <w:tc>
          <w:tcPr>
            <w:tcW w:w="492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2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Dell International L.L.C., EMC Corporation and the Additional Registrant Guarantors</w:t>
            </w:r>
          </w:p>
        </w:tc>
        <w:tc>
          <w:tcPr>
            <w:tcW w:w="236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Information</w:t>
            </w:r>
          </w:p>
        </w:tc>
        <w:tc>
          <w:tcPr>
            <w:tcW w:w="69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Recent Developments</w:t>
            </w:r>
          </w:p>
        </w:tc>
        <w:tc>
          <w:tcPr>
            <w:tcW w:w="698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38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70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make any representations other than those contained in this prospectus, the related registration statement, in any applicable prospectus supplement, free writing prospectus or in the materials that we have incorporated by reference into this prospectus and any applicable prospectus supplement. We have not authorized anyone to provide you with different information. The Issuers are not making an offer of these securities in any jurisdiction where the offer is not permitted. You should not assume that the information in this prospectus, any applicable prospectus supplement, any such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the Issuers, Dell Technologies and the additional Registrant Guarantors filed with the SEC, as Dell Technologies is a “well-known seasoned issuer” as defined in Rule 405 under the Securities Act of 1933, as amended (the “Securities Act”). This prospectus provides you with a general description of the securities the Issuers, Dell Technologies and the additional Registrant Guarantors may offer. Each time this prospectus is used to offer securities, a prospectus supplement will be provided and, if applicable, a pricing supplement. The prospectus supplement and any applicable pricing supplement will describe the specific amounts, prices and other material terms of the securities being offered at that time. The prospectus supplement and any applicable pricing supplement may also add, update or change the information in this prospectus. You should read this prospectus, the applicable prospectus supplement and any applicable pricing supplement, together with the information contained in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If there is any inconsistency between information in this prospectus and any prospectus supplement or free writing prospectus, you should rely on the information in the applicable prospectus supplement or free writing prospectus.</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(the “Annual Report”) on Form 10-K for the fiscal year ended January 30, 2026, in this prospectus and in our other periodic and current reports filed with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19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8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conditions and instability in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of our business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product and component vendors;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single-source or limited-source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demands for artificial intelligence (“AI”)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AI solutions and use of AI in our internal functions and operations;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high-quality products, software, and services, or to manage solutions and product and services transitions in an effective manner;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implement our cost efficiency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including cyber-attacks;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and ability to generate substantial non-U.S. net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service, customer, and geographic sales mix and seasonal sales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sales channel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acquisitions and dispositions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capital markets by us or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changing customer mix, and additional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default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impairments to our goodwill or intangible assets;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reduction of services or rates under, any contracts with our customers, including government contracts, and our ability to perform such contracts at our estimated costs;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proprietary intellectual property or obtain licenses to intellectual property developed by others on commercially reasonable and competitive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disruptions, including disruptions to our information technology and manufacturing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hedge our exposure to fluctuations in foreign currency exchange rates and interest rates;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legislative or regulatory tax changes, expiration of tax holidays or favorable tax rate structures, or unfavorable outcomes in tax audits and other tax compliance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fair value or impairment of portfolio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of 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and varied stakeholder expectations and regulatory requirements with respect to sustainability and environmental, social, and governance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climate-related risks and legal, regulatory, or market measures related to climate;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changing environmental and safety laws;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anti-corruption laws, economic sanctions and other trade laws, human rights laws and other laws regulating our international operations;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services of our Chief Executive Officer and our loss of, or inability to continue to attract, retain and motivate, executive talent and other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included in or incorporated by reference into this prospectus.</w:t>
      </w:r>
    </w:p>
    <w:p>
      <w:pPr>
        <w:spacing w:after="0" w:line="22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except as may be required under applicable federal securities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their respective dates.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We cannot guarantee the accuracy or completeness of any such information contained or incorporated by reference in this prospectus. Such information also involves risks and uncertainties and is subject to change based on various factors, including those discussed under the heading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AND OTHER INTELLECTUAL PROPERTY RIGHTS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or any accompanying prospectus supplement (or in documents we have incorporated by reference) belongs to its owner.</w:t>
      </w:r>
    </w:p>
    <w:p>
      <w:pPr>
        <w:spacing w:after="0" w:line="187" w:lineRule="exact"/>
        <w:rPr>
          <w:sz w:val="20"/>
          <w:szCs w:val="20"/>
          <w:color w:val="auto"/>
        </w:rPr>
      </w:pPr>
    </w:p>
    <w:p>
      <w:pPr>
        <w:jc w:val="both"/>
        <w:ind w:left="1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Solely for convenience, trademarks, service marks, and trade names referred to in this prospectus or any accompanying prospectus supplement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includes and incorporates by reference the historical consolidated financial statements and other financial data of Dell Technologies, which may guarantee any debt securities offered pursuant to the registration statement of which this prospectus forms a part. Each of the Issuers is a direct wholly-owned subsidiary of Dell Inc., an additional Registrant Guarantor, and an indirect wholly-owned subsidiary of Dell Technologies. No separate financial information has been provided in this prospectus for Dell International or EMC.</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when used in this prospectus, the terms “Dell Technologies,” “we,” “our,” or “us” refer to Dell Technologies Inc., a Delaware corporation, or, as the context requires, to Dell Technologies Inc. and its consolidated subsidiaries.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filings with the SEC, including the filings that are incorporated by reference into this prospectus,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Investors also may consult our website for more information. Our website is </w:t>
      </w:r>
      <w:r>
        <w:rPr>
          <w:rFonts w:ascii="Times New Roman" w:cs="Times New Roman" w:eastAsia="Times New Roman" w:hAnsi="Times New Roman"/>
          <w:sz w:val="18"/>
          <w:szCs w:val="18"/>
          <w:i w:val="1"/>
          <w:iCs w:val="1"/>
          <w:color w:val="auto"/>
        </w:rPr>
        <w:t>www.dell.com</w:t>
      </w:r>
      <w:r>
        <w:rPr>
          <w:rFonts w:ascii="Times New Roman" w:cs="Times New Roman" w:eastAsia="Times New Roman" w:hAnsi="Times New Roman"/>
          <w:sz w:val="18"/>
          <w:szCs w:val="18"/>
          <w:color w:val="auto"/>
        </w:rPr>
        <w:t xml:space="preserve"> and the Investors page of our website is </w:t>
      </w:r>
      <w:r>
        <w:rPr>
          <w:rFonts w:ascii="Times New Roman" w:cs="Times New Roman" w:eastAsia="Times New Roman" w:hAnsi="Times New Roman"/>
          <w:sz w:val="18"/>
          <w:szCs w:val="18"/>
          <w:i w:val="1"/>
          <w:iCs w:val="1"/>
          <w:color w:val="auto"/>
        </w:rPr>
        <w:t>https://investors.delltechnologies.com</w:t>
      </w:r>
      <w:r>
        <w:rPr>
          <w:rFonts w:ascii="Times New Roman" w:cs="Times New Roman" w:eastAsia="Times New Roman" w:hAnsi="Times New Roman"/>
          <w:sz w:val="18"/>
          <w:szCs w:val="18"/>
          <w:color w:val="auto"/>
        </w:rPr>
        <w:t>. The information contained in, or that may be accessed through, our website is not incorporated by reference into this prospectus or any prospectus supplement.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contract or other document of Dell Technologies or its subsidiaries, the reference may not be complete and you should refer to the exhibits that are a part of the registration statement for a copy of the contract or document.</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(including any prospectus supplement)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Annual Report on </w:t>
      </w:r>
      <w:hyperlink r:id="rId8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January 30, 2026 (including information specifically incorporated by reference into such Annual Report on Form 10-K from our </w:t>
      </w:r>
      <w:hyperlink r:id="rId18">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2026 Annual Meeting of Stockholders filed on May 15, 2026);</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Quarterly Report on </w:t>
      </w:r>
      <w:hyperlink r:id="rId8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May 1,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Dell Technologies’ Current Reports on Form 8-K filed with the SEC on </w:t>
      </w:r>
      <w:hyperlink r:id="rId86">
        <w:r>
          <w:rPr>
            <w:rFonts w:ascii="Times New Roman" w:cs="Times New Roman" w:eastAsia="Times New Roman" w:hAnsi="Times New Roman"/>
            <w:sz w:val="18"/>
            <w:szCs w:val="18"/>
            <w:u w:val="single" w:color="auto"/>
            <w:color w:val="0000EE"/>
          </w:rPr>
          <w:t>April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7">
        <w:r>
          <w:rPr>
            <w:rFonts w:ascii="Times New Roman" w:cs="Times New Roman" w:eastAsia="Times New Roman" w:hAnsi="Times New Roman"/>
            <w:sz w:val="18"/>
            <w:szCs w:val="18"/>
            <w:u w:val="single" w:color="auto"/>
            <w:color w:val="0000EE"/>
          </w:rPr>
          <w:t>June 10,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documents that we subsequently file with the SEC pursuant to Section 13(a), 13(c), 14 or 15(d) of the Exchange Act on or after the date of this prospectus and prior to the termination of the offering of the securities hereunder. Nothing in this prospectus shall be deemed to incorporate information furnished but not filed with the SEC, unless specifically noted otherwise.</w:t>
      </w:r>
    </w:p>
    <w:p>
      <w:pPr>
        <w:spacing w:after="0" w:line="176" w:lineRule="exact"/>
        <w:rPr>
          <w:rFonts w:ascii="Times New Roman" w:cs="Times New Roman" w:eastAsia="Times New Roman" w:hAnsi="Times New Roman"/>
          <w:sz w:val="18"/>
          <w:szCs w:val="18"/>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One Dell Way</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(512) 728-7800</w:t>
      </w:r>
    </w:p>
    <w:p>
      <w:pPr>
        <w:spacing w:after="0" w:line="205" w:lineRule="exact"/>
        <w:rPr>
          <w:rFonts w:ascii="Times New Roman" w:cs="Times New Roman" w:eastAsia="Times New Roman" w:hAnsi="Times New Roman"/>
          <w:sz w:val="18"/>
          <w:szCs w:val="18"/>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In addition, you may access the documents incorporated by reference herein free of charge on the SEC’s website. See also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 and our way of doing business provide a foundation to foster growth, drive efficiencies, and capitalize on each successive wave of innovation in a dynamic industry.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DELL INTERNATIONAL L.L.C., EMC CORPORATION AND THE ADDITIONAL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 GUARANTORS</w:t>
      </w:r>
    </w:p>
    <w:p>
      <w:pPr>
        <w:spacing w:after="0" w:line="20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of Dell International and EMC is a direct wholly-owned subsidiary of Dell Inc. and an indirect wholly-owned consolidated subsidiary of Dell Technologies. With respect to the additional Registrant Guarantors, Denali Intermediate Inc. is a direct wholly-owned consolidated subsidiary of Dell Technologies, and Dell Inc. is a direct wholly-owned subsidiary of Denali Intermediate Inc. and an indirect wholly-owned consolidated subsidiary of Dell Technologies. Dell International, EMC, Denali Intermediate Inc. and Dell Inc. are holding companies that directly or indirectly hold all of the operating subsidiaries of Dell Technologies.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Dell Technologies (under the name Denali Holding Inc.) was incorporated in the State of Delaware in 2013 in connection with the going-private transaction in October 2013 pursuant to which the public stockholders of Dell Inc.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cs="Times New Roman" w:eastAsia="Times New Roman" w:hAnsi="Times New Roman"/>
          <w:sz w:val="18"/>
          <w:szCs w:val="18"/>
          <w:i w:val="1"/>
          <w:iCs w:val="1"/>
          <w:color w:val="auto"/>
        </w:rPr>
        <w:t>www.dell.com</w:t>
      </w:r>
      <w:r>
        <w:rPr>
          <w:rFonts w:ascii="Times New Roman" w:cs="Times New Roman" w:eastAsia="Times New Roman" w:hAnsi="Times New Roman"/>
          <w:sz w:val="18"/>
          <w:szCs w:val="18"/>
          <w:color w:val="auto"/>
        </w:rPr>
        <w:t xml:space="preserve"> and the Investors page of our website is </w:t>
      </w:r>
      <w:r>
        <w:rPr>
          <w:rFonts w:ascii="Times New Roman" w:cs="Times New Roman" w:eastAsia="Times New Roman" w:hAnsi="Times New Roman"/>
          <w:sz w:val="18"/>
          <w:szCs w:val="18"/>
          <w:i w:val="1"/>
          <w:iCs w:val="1"/>
          <w:color w:val="auto"/>
        </w:rPr>
        <w:t>https://investors.delltechnologies.com</w:t>
      </w:r>
      <w:r>
        <w:rPr>
          <w:rFonts w:ascii="Times New Roman" w:cs="Times New Roman" w:eastAsia="Times New Roman" w:hAnsi="Times New Roman"/>
          <w:sz w:val="18"/>
          <w:szCs w:val="18"/>
          <w:color w:val="auto"/>
        </w:rPr>
        <w:t>. Information contained or linked on our website is not part of, and is not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Dell International (under the name New Dell International LLC) was incorporated in the State of Delaware in 2016 in connection with Dell Technologies’ acquisition of EMC. New Dell International LLC changed its name to Dell International L.L.C. on September 8, 2016. Dell Inc. and Denali Intermediate Inc. were incorporated in the State of Delaware in 1987 and 2013, respectively. The principal address of Dell International, Denali Intermediate Inc. and Dell Inc. is One Dell Way, Round Rock, Texas 78682.</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EMC was incorporated in Massachusetts in 1979. EMC’s corporate headquarters are located at 176 South Street, Hopkinton, Massachusetts 01748. EMC’s telephone number is (508) 435-1000.</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3, 2026, Dell Technologies’ board of directors unanimously approved changing the jurisdiction of Dell Technologies’ state of incorporation from Delaware to Texas, subject to the approval of our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our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 (ii) 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any securities offered pursuant to the registration statement of which this prospectus forms a part involves risks. Before making a decision to invest in any securities, you should carefully consider the risk factors discussed in the Annual Report and in other documents that Dell Technologies files with the SEC that update, supplement or supersede such information, all of which are incorporated by reference into this prospectus, as well as the other information contained or incorporated by reference into this prospectus and in any accompanying prospectus supplement.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Issuers intend to use the net proceeds from the sales of securities as set forth in the applicable prospectus supplement and/or free writing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the debt securities. The debt securities covered by this prospectus will be the Issuers’ and, as applicable, Dell Technologies’ and the additional Registrant Guarantors’ senior unsecured obligations. The debt securities will be issued under one or more base indentures, together with related officer’s certificates or supplemental indentures between the Issuers, the guarantors party thereto and The Bank of New York Mellon Trust Company, N.A., as trustee (the “Trustee”), including under the indenture, dated as of January 24, 2023, among the Issuers, the guarantors party thereto (the “Guarantors”) and the Trustee (together with any related supplemental indentures or officer’s certificates, the “Existing Indenture”). We refer herein to each of the Existing Indenture and any other indenture under which debt securities will be issued pursuant to this prospectus as the “Indenture.” The terms of the Indenture and any debt securities issued thereunder will be set forth in the prospectus supplement relating to such debt securities. The prospectus supplement will also indicate whether the general terms and provisions described in this prospectus apply to a particular series of debt securities.</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summarized some terms of the Existing Indenture below. We expect that the terms of the Indenture, if other than the Existing Indenture (any such other Indentures, a “New Indenture”), will be substantially similar to the Existing Indenture; however, we will describe the specific terms of the debt securities to be issued under any such New Indenture in a supplement to this prospectus. The below summary of the Existing Indenture is not complete. The Existing Indenture is incorporated by reference as an exhibit to the registration statement of which this prospectus is a part. You should read the Existing Indenture for a complete statement of the provisions summarized in this prospectus and for provisions that may be important to you. The Existing Indenture is subject to the provisions of the Trust Indenture Act of 1939, as amended (the “Trust Indenture Act”), that are required to be a part of the Existing Indenture and which are deemed to be incorporated into the Existing Indenture and shall, to the extent applicable, be governed by those provisions.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this section of the prospectus, references to the “Issuers” are to Dell International and EMC and not any of their Subsidiaries. When we refer to specific sections contained in the Existing Indenture or terms defined in the Existing Indenture, including important terms, which we capitalize here, we use them in this prospectus in the same way we use them in the Existing Indenture, and you should refer to the Existing Indenture itself for detailed, specific, legal descriptions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the Existing Indenture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Existing Indenture does not limit the amount of debt securities that the Issuers may issue thereunder. To the extent permitted by the Existing Indenture, the Issuers may issue debt securities under the Existing Indenture up to an aggregate principal amount as they may authorize from time to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relating to the offering of a series of debt securities will include specific terms relating to that series of debt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terms will include some or all of the following:</w:t>
      </w:r>
    </w:p>
    <w:p>
      <w:pPr>
        <w:spacing w:after="0" w:line="112"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the series;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the series that may be authenticated and delivered under the Existing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Issuers will sell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the debt securities of the series shall be payable, if other than the Person in whose name such debt security (or one or more predecessor debt securities) is registered at the close of business on the applicable record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are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and the method for calculating the interest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 and the related record dates;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and interest on the debt securities of the series will be payable, where the debt securities of such series may be surrendered for registration of transfer or exchange and where notices and demands to or upon the Issuers in respect of the debt securities of such series and the Existing Indenture may be served, and the method of such payment;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the debt securities of the series may be redeemed at the option of the Issuers;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 or analogous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debt securities of the series may be exchanged for other securities issued by the Issuers;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the series will be issuable, if other than denominations of $2,000 and integral multiples of $1,000 in excess thereof;</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payment of principal of and any premium and interest on the debt securities of the series shall be payable if other than United States dollars;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index, formula or other method used to determine the amount of payments of principal of and any premium and interest on the debt securities;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the debt securities of the series will not be determinable as of any one or more dates prior to the stated maturity, the amount that will be deemed to be the principal amount as of any date for any purpose;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and any addition to or change in, the covenants or definitions specified in the Existing Indenture as then in effect or in the terms specified in the Existing Indenture as then in effect relating to permitted consolidations, mergers or sales of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deletions or changes to the provisions of the Existing Indenture relating to covenant defeasance and legal defeasance;</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of such series are to be issuable in temporary or permanent global form or both, and, if so, the depositary for the global securities and the terms and conditions, if any, relating to the exchange of interests in the global securities for the individual securities represented thereby in definitive registered form;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any authenticating or paying agents, transfer agents or registrars;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debt securities of the series and any change in the right of the Trustee or the holders of the debt securities of the series to declare the principal, premium and interest with respect to the debt securities of such series due and payable; and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the series and the related Security Guarantees, if any (whether or not such other terms are consistent or inconsistent with the provisions of the Existing Indenture and any deletions from or modifications or additions to the Existing Indenture in respect of such debt securities of the series or such Security Guarantees, if any).</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Debt securities may be issued as original issue discount securities to be sold at a discount from their principal amount. Furthermore, we may from time to time, without notice to or the consent of the holders of any series of debt securities, create and issue further debt securities of any such series ranking equally with, and having the same terms and conditions as, the debt securities of such series in all respects (or in all respects other than the payment of interest accruing prior to the issue date of such further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debt securities are not fungible with the initial debt securities of such series for U.S. federal income tax</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purposes, such additional debt securities will have a separate CUSIP number. United States federal income tax consequences and other special considerations applicable to any future debt securities will be described in the prospectus supplement relating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future subordinated indebtedness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 right of payment with all existing and future senior indebtedness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all existing and future indebtedness and other liabilities of any Person that is a direct or indirect parent of the Issuers;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Guarantees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the terms of a particular series of debt securities provide otherwise,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any series of debt securities and the Existing Indenture, whether for payment of principal of, premium, if any, or interest on the debt securities of such series, expenses, indemnification or otherwise, on the terms set forth in the Existing Indenture.</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Guarantors under the Existing Indenture are Dell Technologies, Denali Intermediate Inc. and Dell Inc. The Security Guarantee of each Guarantor will be:</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unsecured obligation of such Guarantor;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subordinated indebtedness of such Guarantor;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 right of payment with all existing and future senior indebtedness of such Guarantor;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Release of Security Guarantees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the terms of a particular series of debt securities provide otherwise, each Security Guarantee of a series of debt securities by a Guarantor shall provide by its terms that its obligations under the Existing Indenture with respect to such series and such Security Guarantee shall be automatically and unconditionally released and discharged upon the Issuers exercising the legal defeasance option or covenant defeasance option with respect to such series as described under “</w:t>
      </w:r>
      <w:r>
        <w:rPr>
          <w:rFonts w:ascii="Times New Roman" w:cs="Times New Roman" w:eastAsia="Times New Roman" w:hAnsi="Times New Roman"/>
          <w:sz w:val="18"/>
          <w:szCs w:val="18"/>
          <w:i w:val="1"/>
          <w:iCs w:val="1"/>
          <w:color w:val="auto"/>
        </w:rPr>
        <w:t>Legal Defeasance and Covenant Defeasance</w:t>
      </w:r>
      <w:r>
        <w:rPr>
          <w:rFonts w:ascii="Times New Roman" w:cs="Times New Roman" w:eastAsia="Times New Roman" w:hAnsi="Times New Roman"/>
          <w:sz w:val="18"/>
          <w:szCs w:val="18"/>
          <w:color w:val="auto"/>
        </w:rPr>
        <w:t>” or the Issuers’ obligations under the Existing Indenture with respect to such series being discharged in accordance with the terms of the Existing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Amalgamation or Sale of All or Substantially All Assets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Issuers and the Guarantors will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Dell Technologies and its Subsidiaries, taken as a whole, in one or more related transactions, to any Person unless:</w:t>
      </w:r>
    </w:p>
    <w:p>
      <w:pPr>
        <w:spacing w:after="0" w:line="131" w:lineRule="exact"/>
        <w:rPr>
          <w:sz w:val="20"/>
          <w:szCs w:val="20"/>
          <w:color w:val="auto"/>
        </w:rPr>
      </w:pPr>
    </w:p>
    <w:p>
      <w:pPr>
        <w:jc w:val="both"/>
        <w:ind w:left="1080" w:hanging="532"/>
        <w:spacing w:after="0" w:line="25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(in each of clauses (x) and (y), such Issuer, such Guarantor or such Person, as the case may be, being herein called the “Successor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where the Successor Company of an Issuer is not a corporation, a co-issuer of the debt securities is a corporation;</w:t>
      </w:r>
    </w:p>
    <w:p>
      <w:pPr>
        <w:spacing w:after="0" w:line="9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if other than an Issuer or a Guarantor, expressly assumes, in the case of a Guarantor, all the obligations of such Guarantor under the Existing Indenture and its Security Guarantee and, in the case of an Issuer, all of the obligations of such Issuer under the Existing Indenture and the debt securities, in each case, pursuant to supplemental indentures or other documents or instruments in form reasonably satisfactory to the Trustee;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Successor Company will succeed to, and be substituted for, an Issuer or a Guarantor, as the case may be, under the Existing Indenture, the Security Guarantees and the debt securities, as applicable, and such Issuer or Guarantor, as applicable, will automatically be released and discharged from its obligations under the Existing Indenture, the Security Guarantees and the debt securities, as applicable. Notwithstanding the foregoing,</w:t>
      </w:r>
    </w:p>
    <w:p>
      <w:pPr>
        <w:spacing w:after="0" w:line="81" w:lineRule="exact"/>
        <w:rPr>
          <w:sz w:val="20"/>
          <w:szCs w:val="20"/>
          <w:color w:val="auto"/>
        </w:rPr>
      </w:pPr>
    </w:p>
    <w:p>
      <w:pPr>
        <w:ind w:left="1080" w:right="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Dell Technologies may merge, consolidate or amalgamate with or into or sell, assign, transfer, lease, convey or otherwise dispose of all or part of its properties and assets to Dell Technologies and any of its Subsidiaries (including the Issuers);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Issuer or a Guarantor may merge, consolidate or amalgamate with or into with an Affiliate of such Issuer or such Guarantor, as the case may be, solely for the purpose of reincorporating such Issuer or such Guarantor in the United States, any state thereof, the District of Columbia or any territory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and Other Information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debt securities are outstanding, Dell Technologies shall deliver to the Trustee any reports, information and documents that Dell Technologies is required to file with the SEC pursuant to Section 13 or 15(d) of the Exchange Act within 30 days after such report, information or document is required to be filed with the SEC. All such reports, information or documents that Dell Technologies files with the SEC via the SEC’s EDGAR system shall be deemed to be filed with the Trustee and transmitted to holders of debt securities at the time such reports, information or documents are filed via the EDGAR system (or any successor system).</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under the Existing Indenture (as to which the Trustee is entitled to rely exclusively on officer’s certificates).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of the following events is defined in the Existing Indenture as an “Event of Default” (whatever the reason therefor and whether or not it will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voluntary or involuntary or be effected by operation of law or pursuant to any judgment, decree or order of any court or any order, rule or regulation of any administrative or governmental body) with respect to the debt securities of any series:</w:t>
      </w:r>
    </w:p>
    <w:p>
      <w:pPr>
        <w:spacing w:after="0" w:line="67"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pay the principal of (or premium, if any, on) such series of debt securities when due and payable;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pay any interest installment or Additional Amounts on such series of debt securities when due and payable, which failure continues for 30 days;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the Issuers to comply for 90 days after written notice given by the Trustee or the holders of not less than 30% in aggregate principal amount of the outstanding debt securities of such series with its covenants or other agreements (other than those described in clause (1) or (2) above) contained in the Existing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failure to comply with the provisions described under “— </w:t>
      </w:r>
      <w:r>
        <w:rPr>
          <w:rFonts w:ascii="Times New Roman" w:cs="Times New Roman" w:eastAsia="Times New Roman" w:hAnsi="Times New Roman"/>
          <w:sz w:val="18"/>
          <w:szCs w:val="18"/>
          <w:i w:val="1"/>
          <w:iCs w:val="1"/>
          <w:color w:val="auto"/>
        </w:rPr>
        <w:t>Reports and Other Information</w:t>
      </w:r>
      <w:r>
        <w:rPr>
          <w:rFonts w:ascii="Times New Roman" w:cs="Times New Roman" w:eastAsia="Times New Roman" w:hAnsi="Times New Roman"/>
          <w:sz w:val="18"/>
          <w:szCs w:val="18"/>
          <w:color w:val="auto"/>
        </w:rPr>
        <w:t xml:space="preserve">,” such period of continuance of such default or breach shall be 180 days after written notice described in this clause (3) has been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notice may be given with respect to any action taken, and reported publicly or to the holders of debt securities, more than two years prior to such notice; and</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an Issuer (the “bankruptcy provisions”).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specified in the applicable prospectus supplement, if an Event of Default enumerated above with respect to the debt securities of any series at the time outstanding shall occur and be continuing, then either the Trustee or the holders of at least 30% in aggregate principal amount of the outstanding debt securities of such series may declare the principal, premium, if any, interest and any other monetary obligations on all the debt securities of such series to be due and payable immediately by a notice in writing to the Issuers (and to the Trustee if given by the holders of such debt securities). At any time after such a declaration of acceleration has been made, but before a judgment or decree for payment of the money due has been obtained by the Trustee, the holders of a majority in aggregate principal amount of the outstanding debt securities of such series, by written notice to the Issuers and the Trustee, may, in certain circumstances, rescind and annul such acceleration. If an Event of Default relating to the bankruptcy provisions occurs and is continuing, the principal of and interest on all the debt securities will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holders of debt securities.</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restrictions, no holder of any debt securities of any series shall have any right to institute any proceeding with respect to the Existing Indenture or the debt securities of such series or for any remedy thereunder, unless such holder previously shall have given to the Trustee written notice of a continuing Event of Default with respect to the debt securities of such series and unless also the holders of not less than 30% in aggregate principal amount of the outstanding debt securities of such series shall have made written request upon the Trustee, and have offered to the Trustee indemnity satisfactory to the Trustee against the costs, expenses and liabilities to be incurred in compliance with the request, and the Trustee, for 60 days after receipt of such notice, request and offer of indemnity, shall have failed to institute such proceeding and, during such 60-day period, the Trustee shall not have received direction inconsistent with such request in writing by the holders of a majority in aggregate principal amount of the outstanding debt securities of such series. These limitations do not apply, however, to a suit instituted by a holder of a debt security for the enforcement of payment of the principal of, premium, if any, or interest on such note on or after the respective due date expressed in such debt security.</w:t>
      </w:r>
    </w:p>
    <w:p>
      <w:pPr>
        <w:spacing w:after="0" w:line="18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aggregate principal amount of the outstanding debt securities of a series will have the right to direct the time, method and place of conducting any proceeding for exercising any remedy available to the Trustee or of exercising any trust or power conferred on the Trustee with respect to such series, and the Trustee may act at the direction of holders of debt securities without liability. The Trustee, however, may refuse to follow any direction that conflicts with law or the Existing Indenture or that the Trustee determines is unduly prejudicial to the rights of any other holder of a debt security of such series or that would involve the Trustee in personal liability.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 Default with respect to any series of debt securities occurs and is continuing and the Trustee has received written notice thereof, the Trustee must mail (or otherwise transmit in accordance with the procedures of The Depository Trust Company) to each holder of such series of debt securities notice of the Default within 90 days of having received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except in the case of a Default in the payment of principal or premium, if any, or interest on any debt security, the Trustee may withhold from the holders of such series of debt securities notice of any continuing Default if and so long as a committee of the Trustee’s responsible officers in good faith determines that withholding the notice is in the interests of the holders of such series of debt securities. The Issuers will be required to deliver to the Trustee, within 120 days after the end of each fiscal year of Dell Technologies, an officer’s certificate indicating whether the signer of the certificate knows of any failure by the Issuers or the Guarantors to comply with all conditions and covenants of the Existing Indenture during such fiscal year.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Existing Indenture and subject to the following paragraphs, without the consent of any holders of debt securities, the Issuers, the Guarantors and the Trustee may from time to time amend, supplement or modify the Existing Indenture, including to provide for the issuance of additional debt securities under the Existing Indenture (including Additional Securities of such series, if any).</w:t>
      </w:r>
    </w:p>
    <w:p>
      <w:pPr>
        <w:spacing w:after="0" w:line="176"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Subject to certain exceptions, modifications and amendments of the Existing Indenture, the debt securities of one or more series and the Security Guarantees may be made by the Issuers, any Guarantor (with respect to its Security Guarantee) and the Trustee with the consent of the holders of not less than a majority in aggregate principal amount of the outstanding debt securities of such series (including Additional Securities of such series, if any) then outstanding voting as a single class (including consents obtained in connection with a purchase of, or a tender offer or exchange offer for, the debt securities of such series), and any past Default or Event of Default with respect to such series of debt securities or compliance in respect of a series of debt securities with any provision of the Existing Indenture, the Security Guarantees or such series of debt securities may be waived with the consent of the holders of not less than a majority in aggregate principal amount of the then outstanding debt securities of such series (including Additional Securities of such series, if any) voting as a single class (including consents obtained in connection with a tender offer or exchange offer for, or purchase of, the debt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no such modification or amendment may, without the consent of the holder of each outstanding debt security affected thereby:</w:t>
      </w:r>
    </w:p>
    <w:p>
      <w:pPr>
        <w:spacing w:after="0" w:line="100"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such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of interest on, any such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if any, or redemption price payable upon the redemption of any such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 original discount debt security that would be due and payable upon a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coin or currency in which, the principal of, premium, if any, or interest on any such debt security is payable;</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contractual right expressly set forth in the Existing Indenture or any debt security of any holder to institute suit for the enforcement of any payment of principal of, premium, if any, or interest (or Additional Amounts, if any) on such debt security on or after the stated maturity or redemption date of any such debt security;</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the outstanding debt securities of any series, the consent of whose holders is required to approve any such modification or amendment or for any waiver of compliance with certain provisions of the Existing Indenture or of certain Defaults;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in the Existing Indenture regarding the waiver of past Defaults and the waiver of certain covenants by the holders of each such debt security affected thereby, except to increase any percentage vote required or to provide that certain other provisions of the Existing Indenture may not be modified or waived without the consent of the holder of each debt security affected thereby;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Issuers, the Guarantors (only with respect to its Security Guarantee, and for the avoidance of doubt excluding any amendment or supplement the sole purpose of which is to add an additional Guarantor) and the Trustee may amend or supplement the Existing Indenture or the debt securities of one or more series and any related Security Guarantee without the consent of any holder:</w:t>
      </w:r>
    </w:p>
    <w:p>
      <w:pPr>
        <w:spacing w:after="0" w:line="8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omission or correct any defect or inconsistency;</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property to or with the Trustee, or to make such other provisions in regard to matters or questions arising under the Existing Indenture, in each case as shall not adversely affect the interests of any holders of the debt securities of such series in any material respect;</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an Issuer or any Guarantor and the assumption by any such successor of the covenants, agreements and obligations of such Issuer or Guarantor, as the case may be, under the debt securities, the Security Guarantees or the Existing Indenture, as described above under “</w:t>
      </w:r>
      <w:r>
        <w:rPr>
          <w:rFonts w:ascii="Times New Roman" w:cs="Times New Roman" w:eastAsia="Times New Roman" w:hAnsi="Times New Roman"/>
          <w:sz w:val="18"/>
          <w:szCs w:val="18"/>
          <w:i w:val="1"/>
          <w:iCs w:val="1"/>
          <w:color w:val="auto"/>
        </w:rPr>
        <w:t>Merger, Consolidation, Amalgamation or Sale of All or Substantially All Assets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right or power conferred upon the Issuers with respect to such series or to add further covenants, restrictions, conditions or provisions relating to the Issuers or the Guarantors for the protection of the holders of any series of debt securities, and to add any additional defaults or Events of Default for the Issuers’ or any Guarantor’s failure to comply with any such further covenants, restrictions, conditions or provisions;</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the Existing Indenture (including any supplemental indenture) to make changes as are required for the Existing Indenture to comply with the Trust Indenture Act;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Security Guarantees with respect to any or all of the debt securities of such series or to release any Guarantor or Security Guarantee if at the time of such release such Guarantor is not otherwise required to be a Guarantor;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with respect to any or all of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Securities in accordance with the terms of the Existing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 of such series;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or separate Trustee with respect to the debt securities of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Existing Indenture, the debt securities, any related Security Guarantee or any security documents to the description of such debt securities contained in this prospectus, any prospectus supplement or any similar document with respect to the offering of the debt securities of such series to the extent such descriptions were intended to be a verbatim recitation of a provision in the Existing Indenture, such debt securities, such Security Guarantee or such security documents;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08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the Existing Indenture relating to the transfer and legending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 compliance with the Existing Indenture as so amended would not result in such debt securities being transferred in violation of the Securities Act or any other applicable securities law and (b) such amendment does not adversely affect the rights of holders to transfer such debt securities; or</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forms or terms of debt securities of any series as permitted by the provisions of the Existing Indenture.</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consent of the holders of debt securities is not necessary to approve the particular form of any proposed amendment. It is sufficient if such consent approves the substance of the proposed amendment.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Existing Indenture provides that, when (1) the Issuers deliver to the Trustee all outstanding debt securities of a series under the Existing Indenture for cancellation or (2) all outstanding debt securities of a series under the Existing Indenture not previously delivered to the Trustee for cancellation have become due and payable, whether at maturity or on a redemption date as a result of the mailing of notice of redemption, will become due and payable within one year, or are to be called for redemption within one year under arrangements reasonably satisfactory to the Trustee for the giving of notice of redemption by the Trustee in the name, and at the expense, of the Issuers, and, in the case of clause (2), the Issuers irrevocably deposit with the Trustee U.S. dollars, or U.S. government obligations, or both, sufficient to pay at maturity or upon redemption all such outstanding debt securities of such series, including interest thereon to maturity or such redemption date, and if in either case the Issuers pay all other sums payable by the Issuers under the Existing Indenture with respect to such series of debt securities and satisfy certain other conditions, then the Existing Indenture will, subject to certain exceptions, cease to be of further effect with respect to such series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upon any redemption that occurs prior to a par call date, the amount deposited shall be sufficient for purposes of the Existing Indenture to the extent that an amount is deposited with the Trustee equal to the redemption price calculated as of the date of the notice of redemption, with any deficit as of the date of redemption (any such amount, the “Redemption Price Deficit”) only required to be deposited with the Trustee on or prior to the date of redemption. Any Redemption Price Deficit shall be set forth in an officer’s certificate delivered to the Trustee simultaneously with the deposit of such Redemption Price Deficit that confirms that such Redemption Price Deficit shall be applied toward such redemption.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Existing Indenture provides that the Issuers may elect with respect to any series of debt securities either (1) to defease and be discharged from any and all obligations with respect to such debt securities (except for, among other things, certain obligations to register the transfer or exchange of the debt securities, to replace temporary or mutilated, destroyed, lost or stolen debt securities, to maintain an office or agency with respect to debt securities and to hold moneys for payment in trust) (“legal defeasance”) or (2) to be released from their obligations to comply with the restrictive covenants under the Existing Indenture, and any omission to comply with such obligations will not constitute a Default or an Event of Default with respect to such debt securities, and clause (3) under “Events of Default” will no longer be applied (“covenant defeasance”). If the Issuers exercise their legal defeasance option or their covenant defeasance option with respect to a series of debt securities, each Guarantor will be released from all of its obligations with respect to its Security Guarantee with respect to such series of debt securities. Legal defeasance or covenant defeasance, as the case may be, will be conditioned upon, among other things, the irrevocable deposit by the Issuers with the Trustee, in trust, of an amount in U.S. dollars, or U.S. government obligations (that through the scheduled payment of principal and interest in accordance with their terms will provide money in an amount), or both, sufficient in the opinion of a nationally recognized public accounting firm to pay the principal or premium, if any, and interest on the applicable debt securities on the scheduled due dates therefor.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Issuers effect covenant defeasance with respect to any series of debt securities and such debt securities are declared due and payable because of the occurrence of any Event of Default other than under clause (3) under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amount in U.S. dollars, or U.S. government obligations, or both, on deposit with the Trustee will be sufficient, in the opinion of a nationally recognized firm of independent public accountants, to pay amounts due on such debt securities at the time of the stated maturity but may not be sufficient to pay amounts due on such debt securities at the time of the acceleration resulting from such Event of Default. However, the Issuers would remain liable to make payment of such amounts due at the time of acceleration.</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effect legal defeasance or covenant defeasance, the Issuers will be required to deliver to the Trustee an opinion of counsel that the deposit and related defeasance will not cause the holders of the applicable debt securities to recognize income, gain or loss for U.S. federal income tax purposes. If the Issuers elect legal defeasance, that opinion of counsel must be based upon a ruling from the U.S. Internal Revenue Service or a change in law to that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may exercise their legal defeasance option notwithstanding their prior exercise of their covenant defeasance option.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Debt Securities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Definitive securities name you or your nominee as the owner of the security, and in order to transfer or exchange these securities or to receive payments other than interest or other interim payments, you or your nominee must physically deliver the securities to the office or agency designated by the Issuers. Global securities name a depositary or its nominee as the owner of the debt securities represented by the global securities.</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Existing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Existing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Existing Indenture. We understand that under existing industry practices, if we request any action of holders or if an owner of a beneficial interest in a global security desires to give or take any action that a holder is entitled to give or take under the Existing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Principal (or premium, if any) and interest payments on debt securities represented by a global security registered in the name of a depositary or its nominee will be made to the depositary or its nominee, as the case may be, as the registered owner of the global security.</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and will be the responsibility of those participants.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at any time and in our sole discretion decide not to have any of the securities represented by one or more global securities. If we make that decision, we will issue securities in definitive form in exchange for the global security or securities representing those securities. Any securities issued in definitive form in exchange for a global security will be registered in the name or names that the depositary gives to the Trustee or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is The Bank of New York Mellon Trust Company, N.A., which maintains its corporate trust offices at 601 Travis Street, 16th Floor, Houston, Texas 77002. The Trustee provides certain corporate trust services to us in the ordinary course of business and may provide such services in the future. The Trustee is the trustee under indentures covering certain of our outstanding notes and debentures.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Existing Indenture contains certain limitations on the rights of the Trustee, should it become a creditor of an Issuer or a Guarantor, to obtain payment of claims in certain cases, or to realize on certain property received in respect of any such claim as security or otherwise. The Trustee is permitted to engage in other transactions; however, if it acquires any conflicting interest it must eliminate such conflict within 90 days, apply to the SEC for permission to continue or resign as Trustee.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Existing Indenture provides that in case an Event of Default shall occur (which shall not be cured), the Trustee will be required, in the exercise of its power, to use the degree of care of a prudent person under the circumstances in the conduct of his own affairs. The Trustee is under no obligation to exercise any of its rights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powers under the Existing Indenture at the request of any holders of debt securities, unless such holder shall have offered to the Trustee security and indemnity satisfactory to it against any loss, liability or expense.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Existing Indenture is governed by, and construed in accordance with, the laws of the State of New York. The Existing Indenture is subject to the provisions of the Trust Indenture Act that are required to be part of the Existing Indenture and is, to the extent applicable, governed by such provisions.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Compliance Determinations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The Existing Indenture provides that, if a Guarantor is either (1) a direct or indirect parent company of Dell Technologies and does not hold any material assets other than the Equity Interests of Dell Technologies or (2) a direct or indirect wholly-owned subsidiary of Dell Technologies and does not hold any material assets other than the Equity Interests of the Issuers and their direct or indirect parent companies (in each case, as determined in good faith by the board of directors (or similar governing body) or senior management of such Guarantor), any calculations or measures that are stated to be determined with reference to Dell Technologies’ financial statements may be determined with reference to such Guarantor’s financial statements instead.</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may sell the offered securities from time to time in one or more transactions: (a) through agents; (b) through underwriters or dealers;</w:t>
      </w:r>
    </w:p>
    <w:p>
      <w:pPr>
        <w:spacing w:after="0" w:line="27" w:lineRule="exact"/>
        <w:rPr>
          <w:sz w:val="20"/>
          <w:szCs w:val="20"/>
          <w:color w:val="auto"/>
        </w:rPr>
      </w:pPr>
    </w:p>
    <w:p>
      <w:pPr>
        <w:jc w:val="both"/>
        <w:ind w:left="120" w:hanging="4"/>
        <w:spacing w:after="0" w:line="255" w:lineRule="auto"/>
        <w:tabs>
          <w:tab w:leader="none" w:pos="3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(d) in privately negotiated transactions; (e) directly to one or more purchasers; or (f) through a combination of any of these methods of sale. We will identify the specific plan of distribution, including any underwriters, dealers, agents or direct purchasers and their compensation, in a prospectus supplement.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and enforceability of the securities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344170</wp:posOffset>
            </wp:positionV>
            <wp:extent cx="2348865"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23488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720" w:type="dxa"/>
        <w:tblCellMar>
          <w:top w:w="0" w:type="dxa"/>
          <w:left w:w="0" w:type="dxa"/>
          <w:bottom w:w="0" w:type="dxa"/>
          <w:right w:w="0" w:type="dxa"/>
        </w:tblCellMar>
      </w:tblPr>
      <w:tr>
        <w:trPr>
          <w:trHeight w:val="383"/>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29"/>
                <w:szCs w:val="29"/>
                <w:b w:val="1"/>
                <w:bCs w:val="1"/>
                <w:color w:val="auto"/>
                <w:w w:val="94"/>
              </w:rPr>
              <w:t>   % Senior Notes due 20</w:t>
            </w:r>
          </w:p>
        </w:tc>
      </w:tr>
      <w:tr>
        <w:trPr>
          <w:trHeight w:val="446"/>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90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auto"/>
                <w:w w:val="98"/>
              </w:rPr>
              <w:t>% Senior Notes due 20</w:t>
            </w:r>
          </w:p>
        </w:tc>
      </w:tr>
      <w:tr>
        <w:trPr>
          <w:trHeight w:val="445"/>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90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auto"/>
                <w:w w:val="98"/>
              </w:rPr>
              <w:t>% Senior Notes due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1649730</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HSBC</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447040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506730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lowerRoman"/>
      <w:start w:val="2"/>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lvl w:ilvl="1">
      <w:lvlJc w:val="left"/>
      <w:lvlText w:val="(%2)"/>
      <w:numFmt w:val="lowerLetter"/>
      <w:start w:val="2"/>
    </w:lvl>
  </w:abstractNum>
  <w:abstractNum w:abstractNumId="16">
    <w:nsid w:val="77465F01"/>
    <w:multiLevelType w:val="hybridMultilevel"/>
    <w:lvl w:ilvl="0">
      <w:lvlJc w:val="left"/>
      <w:lvlText w:val="(%1)"/>
      <w:numFmt w:val="decimal"/>
      <w:start w:val="2"/>
    </w:lvl>
    <w:lvl w:ilvl="1">
      <w:lvlJc w:val="left"/>
      <w:lvlText w:val="%2"/>
      <w:numFmt w:val="lowerLetter"/>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6"/>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2"/>
    </w:lvl>
  </w:abstractNum>
  <w:abstractNum w:abstractNumId="23">
    <w:nsid w:val="580BD78F"/>
    <w:multiLevelType w:val="hybridMultilevel"/>
    <w:lvl w:ilvl="0">
      <w:lvlJc w:val="left"/>
      <w:lvlText w:val="(%1)"/>
      <w:numFmt w:val="lowerRoman"/>
      <w:start w:val="2"/>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4"/>
    </w:lvl>
  </w:abstractNum>
  <w:abstractNum w:abstractNumId="27">
    <w:nsid w:val="6A2342EC"/>
    <w:multiLevelType w:val="hybridMultilevel"/>
    <w:lvl w:ilvl="0">
      <w:lvlJc w:val="left"/>
      <w:lvlText w:val="(%1)"/>
      <w:numFmt w:val="lowerLetter"/>
      <w:start w:val="3"/>
    </w:lvl>
  </w:abstractNum>
  <w:abstractNum w:abstractNumId="28">
    <w:nsid w:val="2A487CB0"/>
    <w:multiLevelType w:val="hybridMultilevel"/>
    <w:lvl w:ilvl="0">
      <w:lvlJc w:val="left"/>
      <w:lvlText w:val="(%1)"/>
      <w:numFmt w:val="decimal"/>
      <w:start w:val="1"/>
    </w:lvl>
    <w:lvl w:ilvl="1">
      <w:lvlJc w:val="left"/>
      <w:lvlText w:val="(%2)"/>
      <w:numFmt w:val="lowerLetter"/>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2"/>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Roman"/>
      <w:start w:val="2"/>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jpe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jpe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6" Type="http://schemas.openxmlformats.org/officeDocument/2006/relationships/hyperlink" Target="http://www.sec.gov/ix?doc=/Archives/edgar/data/0001571996/000157199626000008/dell-20260130.htm" TargetMode="External"/><Relationship Id="rId17" Type="http://schemas.openxmlformats.org/officeDocument/2006/relationships/hyperlink" Target="http://www.sec.gov/ix?doc=/Archives/edgar/data/0001571996/000157199626000030/dell-20260501.htm" TargetMode="External"/><Relationship Id="rId18" Type="http://schemas.openxmlformats.org/officeDocument/2006/relationships/hyperlink" Target="http://www.sec.gov/ix?doc=/Archives/edgar/data/1571996/000119312526226734/d132444ddef14a.htm" TargetMode="External"/><Relationship Id="rId19" Type="http://schemas.openxmlformats.org/officeDocument/2006/relationships/hyperlink" Target="http://www.sec.gov/ix?doc=/Archives/edgar/data/0001571996/000157199626000013/dell-20260415.htm" TargetMode="External"/><Relationship Id="rId20" Type="http://schemas.openxmlformats.org/officeDocument/2006/relationships/hyperlink" Target="http://www.sec.gov/ix?doc=/Archives/edgar/data/0001571996/000119312526265877/d98058d8k.htm" TargetMode="External"/><Relationship Id="rId84" Type="http://schemas.openxmlformats.org/officeDocument/2006/relationships/hyperlink" Target="http://www.sec.gov/ix?doc=/Archives/edgar/data/1571996/000157199626000008/dell-20260130.htm" TargetMode="External"/><Relationship Id="rId85" Type="http://schemas.openxmlformats.org/officeDocument/2006/relationships/hyperlink" Target="http://www.sec.gov/ix?doc=/Archives/edgar/data/1571996/000157199626000030/dell-20260501.htm" TargetMode="External"/><Relationship Id="rId86" Type="http://schemas.openxmlformats.org/officeDocument/2006/relationships/hyperlink" Target="http://www.sec.gov/ix?doc=/Archives/edgar/data/1571996/000157199626000013/dell-20260415.htm" TargetMode="External"/><Relationship Id="rId87" Type="http://schemas.openxmlformats.org/officeDocument/2006/relationships/hyperlink" Target="http://www.sec.gov/ix?doc=/Archives/edgar/data/1571996/000119312526265877/d9805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2026-06-11T08:45:11Z</dcterms:created>
  <dcterms:modified xsi:type="dcterms:W3CDTF">2026-06-11T08:45:11Z</dcterms:modified>
</cp:coreProperties>
</file>