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As filed with the Securities and Exchange Commission on August 15, 2023</w:t>
      </w:r>
    </w:p>
    <w:p>
      <w:pPr>
        <w:spacing w:after="0" w:line="26"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S-4</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i w:val="1"/>
          <w:iCs w:val="1"/>
          <w:color w:val="auto"/>
        </w:rPr>
        <w:t>UNDER</w:t>
      </w:r>
    </w:p>
    <w:p>
      <w:pPr>
        <w:jc w:val="center"/>
        <w:ind w:right="-13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DELL INTERNATIONAL L.L.C.</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EMC CORPORATION</w:t>
      </w:r>
    </w:p>
    <w:p>
      <w:pPr>
        <w:jc w:val="center"/>
        <w:ind w:right="-139"/>
        <w:spacing w:after="0"/>
        <w:rPr>
          <w:sz w:val="20"/>
          <w:szCs w:val="20"/>
          <w:color w:val="auto"/>
        </w:rPr>
      </w:pPr>
      <w:r>
        <w:rPr>
          <w:rFonts w:ascii="Arial" w:cs="Arial" w:eastAsia="Arial" w:hAnsi="Arial"/>
          <w:sz w:val="16"/>
          <w:szCs w:val="16"/>
          <w:b w:val="1"/>
          <w:bCs w:val="1"/>
          <w:color w:val="auto"/>
        </w:rPr>
        <w:t>(Exact name of registrant issuer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SEE TABLE OF REGISTRANT GUARANTORS</w:t>
      </w:r>
    </w:p>
    <w:p>
      <w:pPr>
        <w:spacing w:after="0" w:line="109" w:lineRule="exact"/>
        <w:rPr>
          <w:sz w:val="24"/>
          <w:szCs w:val="24"/>
          <w:color w:val="auto"/>
        </w:rPr>
      </w:pPr>
    </w:p>
    <w:p>
      <w:pPr>
        <w:ind w:left="1700"/>
        <w:spacing w:after="0"/>
        <w:tabs>
          <w:tab w:leader="none" w:pos="5580" w:val="left"/>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3571</w:t>
      </w:r>
      <w:r>
        <w:rPr>
          <w:sz w:val="20"/>
          <w:szCs w:val="20"/>
          <w:color w:val="auto"/>
        </w:rPr>
        <w:tab/>
      </w:r>
      <w:r>
        <w:rPr>
          <w:rFonts w:ascii="Arial" w:cs="Arial" w:eastAsia="Arial" w:hAnsi="Arial"/>
          <w:sz w:val="13"/>
          <w:szCs w:val="13"/>
          <w:b w:val="1"/>
          <w:bCs w:val="1"/>
          <w:color w:val="auto"/>
        </w:rPr>
        <w:t>81-3562797</w:t>
      </w:r>
    </w:p>
    <w:p>
      <w:pPr>
        <w:spacing w:after="0" w:line="4" w:lineRule="exact"/>
        <w:rPr>
          <w:sz w:val="24"/>
          <w:szCs w:val="24"/>
          <w:color w:val="auto"/>
        </w:rPr>
      </w:pPr>
    </w:p>
    <w:p>
      <w:pPr>
        <w:ind w:left="1540"/>
        <w:spacing w:after="0"/>
        <w:tabs>
          <w:tab w:leader="none" w:pos="5580" w:val="left"/>
          <w:tab w:leader="none" w:pos="9000" w:val="left"/>
        </w:tabs>
        <w:rPr>
          <w:sz w:val="20"/>
          <w:szCs w:val="20"/>
          <w:color w:val="auto"/>
        </w:rPr>
      </w:pPr>
      <w:r>
        <w:rPr>
          <w:rFonts w:ascii="Arial" w:cs="Arial" w:eastAsia="Arial" w:hAnsi="Arial"/>
          <w:sz w:val="14"/>
          <w:szCs w:val="14"/>
          <w:b w:val="1"/>
          <w:bCs w:val="1"/>
          <w:color w:val="auto"/>
        </w:rPr>
        <w:t>Massachusetts</w:t>
      </w:r>
      <w:r>
        <w:rPr>
          <w:sz w:val="20"/>
          <w:szCs w:val="20"/>
          <w:color w:val="auto"/>
        </w:rPr>
        <w:tab/>
      </w:r>
      <w:r>
        <w:rPr>
          <w:rFonts w:ascii="Arial" w:cs="Arial" w:eastAsia="Arial" w:hAnsi="Arial"/>
          <w:sz w:val="14"/>
          <w:szCs w:val="14"/>
          <w:b w:val="1"/>
          <w:bCs w:val="1"/>
          <w:color w:val="auto"/>
        </w:rPr>
        <w:t>3571</w:t>
      </w:r>
      <w:r>
        <w:rPr>
          <w:sz w:val="20"/>
          <w:szCs w:val="20"/>
          <w:color w:val="auto"/>
        </w:rPr>
        <w:tab/>
      </w:r>
      <w:r>
        <w:rPr>
          <w:rFonts w:ascii="Arial" w:cs="Arial" w:eastAsia="Arial" w:hAnsi="Arial"/>
          <w:sz w:val="13"/>
          <w:szCs w:val="13"/>
          <w:b w:val="1"/>
          <w:bCs w:val="1"/>
          <w:color w:val="auto"/>
        </w:rPr>
        <w:t>04-2680009</w:t>
      </w:r>
    </w:p>
    <w:p>
      <w:pPr>
        <w:ind w:left="1200"/>
        <w:spacing w:after="0"/>
        <w:tabs>
          <w:tab w:leader="none" w:pos="4920" w:val="left"/>
          <w:tab w:leader="none" w:pos="8900" w:val="left"/>
        </w:tabs>
        <w:rPr>
          <w:sz w:val="20"/>
          <w:szCs w:val="20"/>
          <w:color w:val="auto"/>
        </w:rPr>
      </w:pPr>
      <w:r>
        <w:rPr>
          <w:rFonts w:ascii="Arial" w:cs="Arial" w:eastAsia="Arial" w:hAnsi="Arial"/>
          <w:sz w:val="13"/>
          <w:szCs w:val="13"/>
          <w:b w:val="1"/>
          <w:bCs w:val="1"/>
          <w:color w:val="auto"/>
        </w:rPr>
        <w:t>(State or other jurisdiction of</w:t>
      </w:r>
      <w:r>
        <w:rPr>
          <w:sz w:val="20"/>
          <w:szCs w:val="20"/>
          <w:color w:val="auto"/>
        </w:rPr>
        <w:tab/>
      </w:r>
      <w:r>
        <w:rPr>
          <w:rFonts w:ascii="Arial" w:cs="Arial" w:eastAsia="Arial" w:hAnsi="Arial"/>
          <w:sz w:val="13"/>
          <w:szCs w:val="13"/>
          <w:b w:val="1"/>
          <w:bCs w:val="1"/>
          <w:color w:val="auto"/>
        </w:rPr>
        <w:t>(Primary Standard Industrial</w:t>
      </w:r>
      <w:r>
        <w:rPr>
          <w:sz w:val="20"/>
          <w:szCs w:val="20"/>
          <w:color w:val="auto"/>
        </w:rPr>
        <w:tab/>
      </w:r>
      <w:r>
        <w:rPr>
          <w:rFonts w:ascii="Arial" w:cs="Arial" w:eastAsia="Arial" w:hAnsi="Arial"/>
          <w:sz w:val="10"/>
          <w:szCs w:val="10"/>
          <w:b w:val="1"/>
          <w:bCs w:val="1"/>
          <w:color w:val="auto"/>
        </w:rPr>
        <w:t>(I.R.S. Employer</w:t>
      </w:r>
    </w:p>
    <w:p>
      <w:pPr>
        <w:ind w:left="1160"/>
        <w:spacing w:after="0"/>
        <w:tabs>
          <w:tab w:leader="none" w:pos="4940" w:val="left"/>
          <w:tab w:leader="none" w:pos="8720" w:val="left"/>
        </w:tabs>
        <w:rPr>
          <w:sz w:val="20"/>
          <w:szCs w:val="20"/>
          <w:color w:val="auto"/>
        </w:rPr>
      </w:pPr>
      <w:r>
        <w:rPr>
          <w:rFonts w:ascii="Arial" w:cs="Arial" w:eastAsia="Arial" w:hAnsi="Arial"/>
          <w:sz w:val="13"/>
          <w:szCs w:val="13"/>
          <w:b w:val="1"/>
          <w:bCs w:val="1"/>
          <w:color w:val="auto"/>
        </w:rPr>
        <w:t>incorporation or organization)</w:t>
      </w:r>
      <w:r>
        <w:rPr>
          <w:sz w:val="20"/>
          <w:szCs w:val="20"/>
          <w:color w:val="auto"/>
        </w:rPr>
        <w:tab/>
      </w:r>
      <w:r>
        <w:rPr>
          <w:rFonts w:ascii="Arial" w:cs="Arial" w:eastAsia="Arial" w:hAnsi="Arial"/>
          <w:sz w:val="13"/>
          <w:szCs w:val="13"/>
          <w:b w:val="1"/>
          <w:bCs w:val="1"/>
          <w:color w:val="auto"/>
        </w:rPr>
        <w:t>Classification Code Number)</w:t>
      </w:r>
      <w:r>
        <w:rPr>
          <w:sz w:val="20"/>
          <w:szCs w:val="20"/>
          <w:color w:val="auto"/>
        </w:rPr>
        <w:tab/>
      </w:r>
      <w:r>
        <w:rPr>
          <w:rFonts w:ascii="Arial" w:cs="Arial" w:eastAsia="Arial" w:hAnsi="Arial"/>
          <w:sz w:val="10"/>
          <w:szCs w:val="10"/>
          <w:b w:val="1"/>
          <w:bCs w:val="1"/>
          <w:color w:val="auto"/>
        </w:rPr>
        <w:t>Identification Number)</w:t>
      </w:r>
    </w:p>
    <w:p>
      <w:pPr>
        <w:spacing w:after="0" w:line="8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One Dell Way</w:t>
      </w:r>
    </w:p>
    <w:p>
      <w:pPr>
        <w:jc w:val="center"/>
        <w:ind w:right="-139"/>
        <w:spacing w:after="0" w:line="226" w:lineRule="auto"/>
        <w:rPr>
          <w:sz w:val="20"/>
          <w:szCs w:val="20"/>
          <w:color w:val="auto"/>
        </w:rPr>
      </w:pPr>
      <w:r>
        <w:rPr>
          <w:rFonts w:ascii="Arial" w:cs="Arial" w:eastAsia="Arial" w:hAnsi="Arial"/>
          <w:sz w:val="14"/>
          <w:szCs w:val="14"/>
          <w:b w:val="1"/>
          <w:bCs w:val="1"/>
          <w:color w:val="auto"/>
        </w:rPr>
        <w:t>Round Rock, Texas 78682</w:t>
      </w:r>
    </w:p>
    <w:p>
      <w:pPr>
        <w:jc w:val="center"/>
        <w:ind w:right="-139"/>
        <w:spacing w:after="0"/>
        <w:rPr>
          <w:sz w:val="20"/>
          <w:szCs w:val="20"/>
          <w:color w:val="auto"/>
        </w:rPr>
      </w:pPr>
      <w:r>
        <w:rPr>
          <w:rFonts w:ascii="Arial" w:cs="Arial" w:eastAsia="Arial" w:hAnsi="Arial"/>
          <w:sz w:val="14"/>
          <w:szCs w:val="14"/>
          <w:b w:val="1"/>
          <w:bCs w:val="1"/>
          <w:color w:val="auto"/>
        </w:rPr>
        <w:t>(800) 289-3355</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176 South Street</w:t>
      </w:r>
    </w:p>
    <w:p>
      <w:pPr>
        <w:jc w:val="center"/>
        <w:ind w:right="-139"/>
        <w:spacing w:after="0" w:line="226" w:lineRule="auto"/>
        <w:rPr>
          <w:sz w:val="20"/>
          <w:szCs w:val="20"/>
          <w:color w:val="auto"/>
        </w:rPr>
      </w:pPr>
      <w:r>
        <w:rPr>
          <w:rFonts w:ascii="Arial" w:cs="Arial" w:eastAsia="Arial" w:hAnsi="Arial"/>
          <w:sz w:val="14"/>
          <w:szCs w:val="14"/>
          <w:b w:val="1"/>
          <w:bCs w:val="1"/>
          <w:color w:val="auto"/>
        </w:rPr>
        <w:t>Hopkinton, Massachusetts 01748</w:t>
      </w:r>
    </w:p>
    <w:p>
      <w:pPr>
        <w:jc w:val="center"/>
        <w:ind w:right="-139"/>
        <w:spacing w:after="0" w:line="225" w:lineRule="auto"/>
        <w:rPr>
          <w:sz w:val="20"/>
          <w:szCs w:val="20"/>
          <w:color w:val="auto"/>
        </w:rPr>
      </w:pPr>
      <w:r>
        <w:rPr>
          <w:rFonts w:ascii="Arial" w:cs="Arial" w:eastAsia="Arial" w:hAnsi="Arial"/>
          <w:sz w:val="14"/>
          <w:szCs w:val="14"/>
          <w:b w:val="1"/>
          <w:bCs w:val="1"/>
          <w:color w:val="auto"/>
        </w:rPr>
        <w:t>(508) 435-1000</w:t>
      </w:r>
    </w:p>
    <w:p>
      <w:pPr>
        <w:jc w:val="center"/>
        <w:ind w:right="-1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Richard J. Rothberg, Esq.</w:t>
      </w:r>
    </w:p>
    <w:p>
      <w:pPr>
        <w:jc w:val="center"/>
        <w:ind w:right="-139"/>
        <w:spacing w:after="0" w:line="226" w:lineRule="auto"/>
        <w:rPr>
          <w:sz w:val="20"/>
          <w:szCs w:val="20"/>
          <w:color w:val="auto"/>
        </w:rPr>
      </w:pPr>
      <w:r>
        <w:rPr>
          <w:rFonts w:ascii="Arial" w:cs="Arial" w:eastAsia="Arial" w:hAnsi="Arial"/>
          <w:sz w:val="14"/>
          <w:szCs w:val="14"/>
          <w:b w:val="1"/>
          <w:bCs w:val="1"/>
          <w:color w:val="auto"/>
        </w:rPr>
        <w:t>General Counsel and Secretary</w:t>
      </w:r>
    </w:p>
    <w:p>
      <w:pPr>
        <w:jc w:val="center"/>
        <w:ind w:right="-139"/>
        <w:spacing w:after="0" w:line="221" w:lineRule="auto"/>
        <w:rPr>
          <w:sz w:val="20"/>
          <w:szCs w:val="20"/>
          <w:color w:val="auto"/>
        </w:rPr>
      </w:pPr>
      <w:r>
        <w:rPr>
          <w:rFonts w:ascii="Arial" w:cs="Arial" w:eastAsia="Arial" w:hAnsi="Arial"/>
          <w:sz w:val="14"/>
          <w:szCs w:val="14"/>
          <w:b w:val="1"/>
          <w:bCs w:val="1"/>
          <w:color w:val="auto"/>
        </w:rPr>
        <w:t>Dell Technologies Inc.</w:t>
      </w:r>
    </w:p>
    <w:p>
      <w:pPr>
        <w:jc w:val="center"/>
        <w:ind w:right="-139"/>
        <w:spacing w:after="0" w:line="222" w:lineRule="auto"/>
        <w:rPr>
          <w:sz w:val="20"/>
          <w:szCs w:val="20"/>
          <w:color w:val="auto"/>
        </w:rPr>
      </w:pPr>
      <w:r>
        <w:rPr>
          <w:rFonts w:ascii="Arial" w:cs="Arial" w:eastAsia="Arial" w:hAnsi="Arial"/>
          <w:sz w:val="14"/>
          <w:szCs w:val="14"/>
          <w:b w:val="1"/>
          <w:bCs w:val="1"/>
          <w:color w:val="auto"/>
        </w:rPr>
        <w:t>One Dell Way</w:t>
      </w:r>
    </w:p>
    <w:p>
      <w:pPr>
        <w:jc w:val="center"/>
        <w:ind w:right="-139"/>
        <w:spacing w:after="0" w:line="221" w:lineRule="auto"/>
        <w:rPr>
          <w:sz w:val="20"/>
          <w:szCs w:val="20"/>
          <w:color w:val="auto"/>
        </w:rPr>
      </w:pPr>
      <w:r>
        <w:rPr>
          <w:rFonts w:ascii="Arial" w:cs="Arial" w:eastAsia="Arial" w:hAnsi="Arial"/>
          <w:sz w:val="14"/>
          <w:szCs w:val="14"/>
          <w:b w:val="1"/>
          <w:bCs w:val="1"/>
          <w:color w:val="auto"/>
        </w:rPr>
        <w:t>Round Rock, Texas 78682</w:t>
      </w:r>
    </w:p>
    <w:p>
      <w:pPr>
        <w:jc w:val="center"/>
        <w:ind w:right="-139"/>
        <w:spacing w:after="0" w:line="225" w:lineRule="auto"/>
        <w:rPr>
          <w:sz w:val="20"/>
          <w:szCs w:val="20"/>
          <w:color w:val="auto"/>
        </w:rPr>
      </w:pPr>
      <w:r>
        <w:rPr>
          <w:rFonts w:ascii="Arial" w:cs="Arial" w:eastAsia="Arial" w:hAnsi="Arial"/>
          <w:sz w:val="14"/>
          <w:szCs w:val="14"/>
          <w:b w:val="1"/>
          <w:bCs w:val="1"/>
          <w:color w:val="auto"/>
        </w:rPr>
        <w:t>(800) 289-3355</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i w:val="1"/>
          <w:iCs w:val="1"/>
          <w:color w:val="auto"/>
        </w:rPr>
        <w:t>With copies to:</w:t>
      </w:r>
    </w:p>
    <w:p>
      <w:pPr>
        <w:spacing w:after="0" w:line="9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Hui Lin</w:t>
      </w:r>
    </w:p>
    <w:p>
      <w:pPr>
        <w:jc w:val="center"/>
        <w:ind w:right="-139"/>
        <w:spacing w:after="0" w:line="226" w:lineRule="auto"/>
        <w:rPr>
          <w:sz w:val="20"/>
          <w:szCs w:val="20"/>
          <w:color w:val="auto"/>
        </w:rPr>
      </w:pPr>
      <w:r>
        <w:rPr>
          <w:rFonts w:ascii="Arial" w:cs="Arial" w:eastAsia="Arial" w:hAnsi="Arial"/>
          <w:sz w:val="14"/>
          <w:szCs w:val="14"/>
          <w:b w:val="1"/>
          <w:bCs w:val="1"/>
          <w:color w:val="auto"/>
        </w:rPr>
        <w:t>Jessica Asrat</w:t>
      </w:r>
    </w:p>
    <w:p>
      <w:pPr>
        <w:jc w:val="center"/>
        <w:ind w:right="-139"/>
        <w:spacing w:after="0" w:line="221" w:lineRule="auto"/>
        <w:rPr>
          <w:sz w:val="20"/>
          <w:szCs w:val="20"/>
          <w:color w:val="auto"/>
        </w:rPr>
      </w:pPr>
      <w:r>
        <w:rPr>
          <w:rFonts w:ascii="Arial" w:cs="Arial" w:eastAsia="Arial" w:hAnsi="Arial"/>
          <w:sz w:val="14"/>
          <w:szCs w:val="14"/>
          <w:b w:val="1"/>
          <w:bCs w:val="1"/>
          <w:color w:val="auto"/>
        </w:rPr>
        <w:t>Simpson Thacher &amp; Bartlett LLP</w:t>
      </w:r>
    </w:p>
    <w:p>
      <w:pPr>
        <w:jc w:val="center"/>
        <w:ind w:right="-139"/>
        <w:spacing w:after="0" w:line="222" w:lineRule="auto"/>
        <w:rPr>
          <w:sz w:val="20"/>
          <w:szCs w:val="20"/>
          <w:color w:val="auto"/>
        </w:rPr>
      </w:pPr>
      <w:r>
        <w:rPr>
          <w:rFonts w:ascii="Arial" w:cs="Arial" w:eastAsia="Arial" w:hAnsi="Arial"/>
          <w:sz w:val="14"/>
          <w:szCs w:val="14"/>
          <w:b w:val="1"/>
          <w:bCs w:val="1"/>
          <w:color w:val="auto"/>
        </w:rPr>
        <w:t>425 Lexington Avenue</w:t>
      </w:r>
    </w:p>
    <w:p>
      <w:pPr>
        <w:jc w:val="center"/>
        <w:ind w:right="-139"/>
        <w:spacing w:after="0" w:line="221" w:lineRule="auto"/>
        <w:rPr>
          <w:sz w:val="20"/>
          <w:szCs w:val="20"/>
          <w:color w:val="auto"/>
        </w:rPr>
      </w:pPr>
      <w:r>
        <w:rPr>
          <w:rFonts w:ascii="Arial" w:cs="Arial" w:eastAsia="Arial" w:hAnsi="Arial"/>
          <w:sz w:val="14"/>
          <w:szCs w:val="14"/>
          <w:b w:val="1"/>
          <w:bCs w:val="1"/>
          <w:color w:val="auto"/>
        </w:rPr>
        <w:t>New York, New York 10017</w:t>
      </w:r>
    </w:p>
    <w:p>
      <w:pPr>
        <w:jc w:val="center"/>
        <w:ind w:right="-139"/>
        <w:spacing w:after="0"/>
        <w:rPr>
          <w:sz w:val="20"/>
          <w:szCs w:val="20"/>
          <w:color w:val="auto"/>
        </w:rPr>
      </w:pPr>
      <w:r>
        <w:rPr>
          <w:rFonts w:ascii="Arial" w:cs="Arial" w:eastAsia="Arial" w:hAnsi="Arial"/>
          <w:sz w:val="14"/>
          <w:szCs w:val="14"/>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exchange offer: </w:t>
      </w:r>
      <w:r>
        <w:rPr>
          <w:rFonts w:ascii="Arial" w:cs="Arial" w:eastAsia="Arial" w:hAnsi="Arial"/>
          <w:sz w:val="14"/>
          <w:szCs w:val="14"/>
          <w:color w:val="auto"/>
        </w:rPr>
        <w:t>As soon as practicable after this Registration Statement is declared effective.</w:t>
      </w:r>
    </w:p>
    <w:p>
      <w:pPr>
        <w:spacing w:after="0" w:line="100" w:lineRule="exact"/>
        <w:rPr>
          <w:sz w:val="24"/>
          <w:szCs w:val="24"/>
          <w:color w:val="auto"/>
        </w:rPr>
      </w:pPr>
    </w:p>
    <w:p>
      <w:pPr>
        <w:ind w:left="120" w:right="120" w:firstLine="440"/>
        <w:spacing w:after="0" w:line="184"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64" w:lineRule="exact"/>
        <w:rPr>
          <w:sz w:val="24"/>
          <w:szCs w:val="24"/>
          <w:color w:val="auto"/>
        </w:rPr>
      </w:pPr>
    </w:p>
    <w:p>
      <w:pPr>
        <w:ind w:left="120" w:right="260" w:firstLine="440"/>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4" w:lineRule="exact"/>
        <w:rPr>
          <w:sz w:val="24"/>
          <w:szCs w:val="24"/>
          <w:color w:val="auto"/>
        </w:rPr>
      </w:pPr>
    </w:p>
    <w:p>
      <w:pPr>
        <w:ind w:left="120" w:right="100" w:firstLine="44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4" w:lineRule="exact"/>
        <w:rPr>
          <w:sz w:val="24"/>
          <w:szCs w:val="24"/>
          <w:color w:val="auto"/>
        </w:rPr>
      </w:pPr>
    </w:p>
    <w:p>
      <w:pPr>
        <w:ind w:left="1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30" w:right="459" w:bottom="735" w:gutter="0" w:footer="0" w:header="0"/>
        </w:sectPr>
      </w:pPr>
    </w:p>
    <w:p>
      <w:pPr>
        <w:spacing w:after="0" w:line="57"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70"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9" w:lineRule="exact"/>
        <w:rPr>
          <w:sz w:val="24"/>
          <w:szCs w:val="24"/>
          <w:color w:val="auto"/>
        </w:rPr>
      </w:pPr>
    </w:p>
    <w:p>
      <w:pPr>
        <w:ind w:left="9140"/>
        <w:spacing w:after="0"/>
        <w:rPr>
          <w:sz w:val="20"/>
          <w:szCs w:val="20"/>
          <w:color w:val="auto"/>
        </w:rPr>
      </w:pPr>
      <w:r>
        <w:rPr>
          <w:rFonts w:ascii="Arial" w:cs="Arial" w:eastAsia="Arial" w:hAnsi="Arial"/>
          <w:sz w:val="13"/>
          <w:szCs w:val="13"/>
          <w:color w:val="auto"/>
        </w:rPr>
        <w:t>Emerging growth company</w:t>
      </w:r>
    </w:p>
    <w:p>
      <w:pPr>
        <w:spacing w:after="0" w:line="103" w:lineRule="exact"/>
        <w:rPr>
          <w:sz w:val="24"/>
          <w:szCs w:val="24"/>
          <w:color w:val="auto"/>
        </w:rPr>
      </w:pPr>
    </w:p>
    <w:p>
      <w:pPr>
        <w:ind w:left="120" w:right="140" w:firstLine="44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w:t>
      </w:r>
      <w:r>
        <w:rPr>
          <w:rFonts w:ascii="MS PGothic" w:cs="MS PGothic" w:eastAsia="MS PGothic" w:hAnsi="MS PGothic"/>
          <w:sz w:val="14"/>
          <w:szCs w:val="14"/>
          <w:color w:val="auto"/>
        </w:rPr>
        <w:t>☐</w:t>
      </w:r>
    </w:p>
    <w:p>
      <w:pPr>
        <w:spacing w:after="0" w:line="64"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74"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13e-4(i) (Cross Border Issuer Tender Offer) </w:t>
      </w:r>
      <w:r>
        <w:rPr>
          <w:rFonts w:ascii="MS PGothic" w:cs="MS PGothic" w:eastAsia="MS PGothic" w:hAnsi="MS PGothic"/>
          <w:sz w:val="14"/>
          <w:szCs w:val="14"/>
          <w:color w:val="auto"/>
        </w:rPr>
        <w:t>☐</w:t>
      </w:r>
    </w:p>
    <w:p>
      <w:pPr>
        <w:spacing w:after="0" w:line="123"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14d-1(d) (Cross Border Third 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54" w:lineRule="exact"/>
        <w:rPr>
          <w:sz w:val="24"/>
          <w:szCs w:val="24"/>
          <w:color w:val="auto"/>
        </w:rPr>
      </w:pPr>
    </w:p>
    <w:p>
      <w:pPr>
        <w:sectPr>
          <w:pgSz w:w="11900" w:h="16838" w:orient="portrait"/>
          <w:cols w:equalWidth="0" w:num="2">
            <w:col w:w="10700" w:space="300"/>
            <w:col w:w="120"/>
          </w:cols>
          <w:pgMar w:left="320" w:top="230" w:right="459" w:bottom="735" w:gutter="0" w:footer="0" w:header="0"/>
          <w:type w:val="continuous"/>
        </w:sectPr>
      </w:pPr>
    </w:p>
    <w:p>
      <w:pPr>
        <w:spacing w:after="0" w:line="183" w:lineRule="exact"/>
        <w:rPr>
          <w:sz w:val="24"/>
          <w:szCs w:val="24"/>
          <w:color w:val="auto"/>
        </w:rPr>
      </w:pPr>
    </w:p>
    <w:p>
      <w:pPr>
        <w:ind w:left="120" w:right="60" w:firstLine="440"/>
        <w:spacing w:after="0" w:line="300" w:lineRule="auto"/>
        <w:rPr>
          <w:sz w:val="20"/>
          <w:szCs w:val="20"/>
          <w:color w:val="auto"/>
        </w:rPr>
      </w:pPr>
      <w:r>
        <w:rPr>
          <w:rFonts w:ascii="Arial" w:cs="Arial" w:eastAsia="Arial" w:hAnsi="Arial"/>
          <w:sz w:val="12"/>
          <w:szCs w:val="12"/>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30" w:right="459" w:bottom="735"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TABLE OF REGISTRANT GUARANTORS</w:t>
      </w: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20"/>
                <w:szCs w:val="20"/>
                <w:color w:val="auto"/>
              </w:rPr>
            </w:pPr>
            <w:r>
              <w:rPr>
                <w:rFonts w:ascii="Arial" w:cs="Arial" w:eastAsia="Arial" w:hAnsi="Arial"/>
                <w:sz w:val="14"/>
                <w:szCs w:val="14"/>
                <w:b w:val="1"/>
                <w:bCs w:val="1"/>
                <w:color w:val="auto"/>
              </w:rPr>
              <w:t>Exact Name of</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line="158" w:lineRule="exact"/>
              <w:rPr>
                <w:sz w:val="20"/>
                <w:szCs w:val="20"/>
                <w:color w:val="auto"/>
              </w:rPr>
            </w:pPr>
            <w:r>
              <w:rPr>
                <w:rFonts w:ascii="Arial" w:cs="Arial" w:eastAsia="Arial" w:hAnsi="Arial"/>
                <w:sz w:val="14"/>
                <w:szCs w:val="14"/>
                <w:b w:val="1"/>
                <w:bCs w:val="1"/>
                <w:color w:val="auto"/>
              </w:rPr>
              <w:t>Registrant Guarantor</w:t>
            </w:r>
          </w:p>
        </w:tc>
        <w:tc>
          <w:tcPr>
            <w:tcW w:w="220" w:type="dxa"/>
            <w:vAlign w:val="bottom"/>
          </w:tcPr>
          <w:p>
            <w:pPr>
              <w:spacing w:after="0"/>
              <w:rPr>
                <w:sz w:val="13"/>
                <w:szCs w:val="13"/>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State or Other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I.R.S.</w:t>
            </w:r>
          </w:p>
        </w:tc>
        <w:tc>
          <w:tcPr>
            <w:tcW w:w="20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Primary</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as Specified in its</w:t>
            </w:r>
          </w:p>
        </w:tc>
        <w:tc>
          <w:tcPr>
            <w:tcW w:w="2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Standard</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Charter (or Other</w:t>
            </w:r>
          </w:p>
        </w:tc>
        <w:tc>
          <w:tcPr>
            <w:tcW w:w="22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Employer</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Industrial</w:t>
            </w: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Organizational</w:t>
            </w:r>
          </w:p>
        </w:tc>
        <w:tc>
          <w:tcPr>
            <w:tcW w:w="220" w:type="dxa"/>
            <w:vAlign w:val="bottom"/>
          </w:tcPr>
          <w:p>
            <w:pPr>
              <w:spacing w:after="0"/>
              <w:rPr>
                <w:sz w:val="12"/>
                <w:szCs w:val="12"/>
                <w:color w:val="auto"/>
              </w:rPr>
            </w:pPr>
          </w:p>
        </w:tc>
        <w:tc>
          <w:tcPr>
            <w:tcW w:w="1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Identification</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Classification</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20"/>
                <w:szCs w:val="20"/>
                <w:color w:val="auto"/>
              </w:rPr>
            </w:pPr>
            <w:r>
              <w:rPr>
                <w:rFonts w:ascii="Arial" w:cs="Arial" w:eastAsia="Arial" w:hAnsi="Arial"/>
                <w:sz w:val="14"/>
                <w:szCs w:val="14"/>
                <w:b w:val="1"/>
                <w:bCs w:val="1"/>
                <w:color w:val="auto"/>
              </w:rPr>
              <w:t>Document)</w:t>
            </w:r>
          </w:p>
        </w:tc>
        <w:tc>
          <w:tcPr>
            <w:tcW w:w="220" w:type="dxa"/>
            <w:vAlign w:val="bottom"/>
          </w:tcPr>
          <w:p>
            <w:pPr>
              <w:spacing w:after="0"/>
              <w:rPr>
                <w:sz w:val="15"/>
                <w:szCs w:val="15"/>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Organization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Code Number</w:t>
            </w:r>
          </w:p>
        </w:tc>
        <w:tc>
          <w:tcPr>
            <w:tcW w:w="0" w:type="dxa"/>
            <w:vAlign w:val="bottom"/>
          </w:tcPr>
          <w:p>
            <w:pPr>
              <w:spacing w:after="0"/>
              <w:rPr>
                <w:sz w:val="1"/>
                <w:szCs w:val="1"/>
                <w:color w:val="auto"/>
              </w:rPr>
            </w:pPr>
          </w:p>
        </w:tc>
      </w:tr>
      <w:tr>
        <w:trPr>
          <w:trHeight w:val="224"/>
        </w:trPr>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Dell Inc.</w:t>
            </w:r>
          </w:p>
        </w:tc>
        <w:tc>
          <w:tcPr>
            <w:tcW w:w="2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74-2487834</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ind w:right="445"/>
              <w:spacing w:after="0"/>
              <w:rPr>
                <w:sz w:val="20"/>
                <w:szCs w:val="20"/>
                <w:color w:val="auto"/>
              </w:rPr>
            </w:pPr>
            <w:r>
              <w:rPr>
                <w:rFonts w:ascii="Arial" w:cs="Arial" w:eastAsia="Arial" w:hAnsi="Arial"/>
                <w:sz w:val="18"/>
                <w:szCs w:val="18"/>
                <w:color w:val="auto"/>
                <w:w w:val="84"/>
              </w:rPr>
              <w:t>3571</w:t>
            </w:r>
          </w:p>
        </w:tc>
        <w:tc>
          <w:tcPr>
            <w:tcW w:w="0" w:type="dxa"/>
            <w:vAlign w:val="bottom"/>
          </w:tcPr>
          <w:p>
            <w:pPr>
              <w:spacing w:after="0"/>
              <w:rPr>
                <w:sz w:val="1"/>
                <w:szCs w:val="1"/>
                <w:color w:val="auto"/>
              </w:rPr>
            </w:pPr>
          </w:p>
        </w:tc>
      </w:tr>
      <w:tr>
        <w:trPr>
          <w:trHeight w:val="647"/>
        </w:trPr>
        <w:tc>
          <w:tcPr>
            <w:tcW w:w="3680" w:type="dxa"/>
            <w:vAlign w:val="bottom"/>
          </w:tcPr>
          <w:p>
            <w:pPr>
              <w:spacing w:after="0"/>
              <w:rPr>
                <w:sz w:val="20"/>
                <w:szCs w:val="20"/>
                <w:color w:val="auto"/>
              </w:rPr>
            </w:pPr>
            <w:r>
              <w:rPr>
                <w:rFonts w:ascii="Arial" w:cs="Arial" w:eastAsia="Arial" w:hAnsi="Arial"/>
                <w:sz w:val="18"/>
                <w:szCs w:val="18"/>
                <w:color w:val="auto"/>
              </w:rPr>
              <w:t>Dell Technologies Inc.</w:t>
            </w:r>
          </w:p>
        </w:tc>
        <w:tc>
          <w:tcPr>
            <w:tcW w:w="218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80-0890963</w:t>
            </w:r>
          </w:p>
        </w:tc>
        <w:tc>
          <w:tcPr>
            <w:tcW w:w="1080" w:type="dxa"/>
            <w:vAlign w:val="bottom"/>
            <w:gridSpan w:val="2"/>
          </w:tcPr>
          <w:p>
            <w:pPr>
              <w:jc w:val="right"/>
              <w:ind w:right="445"/>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662"/>
        </w:trPr>
        <w:tc>
          <w:tcPr>
            <w:tcW w:w="3680" w:type="dxa"/>
            <w:vAlign w:val="bottom"/>
          </w:tcPr>
          <w:p>
            <w:pPr>
              <w:spacing w:after="0"/>
              <w:rPr>
                <w:sz w:val="20"/>
                <w:szCs w:val="20"/>
                <w:color w:val="auto"/>
              </w:rPr>
            </w:pPr>
            <w:r>
              <w:rPr>
                <w:rFonts w:ascii="Arial" w:cs="Arial" w:eastAsia="Arial" w:hAnsi="Arial"/>
                <w:sz w:val="18"/>
                <w:szCs w:val="18"/>
                <w:color w:val="auto"/>
              </w:rPr>
              <w:t>Denali Intermediate Inc.</w:t>
            </w:r>
          </w:p>
        </w:tc>
        <w:tc>
          <w:tcPr>
            <w:tcW w:w="218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38-3897772</w:t>
            </w:r>
          </w:p>
        </w:tc>
        <w:tc>
          <w:tcPr>
            <w:tcW w:w="1080" w:type="dxa"/>
            <w:vAlign w:val="bottom"/>
            <w:gridSpan w:val="2"/>
          </w:tcPr>
          <w:p>
            <w:pPr>
              <w:jc w:val="right"/>
              <w:ind w:right="445"/>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Address, Including Zip</w:t>
      </w:r>
    </w:p>
    <w:p>
      <w:pPr>
        <w:spacing w:after="0" w:line="3" w:lineRule="exact"/>
        <w:rPr>
          <w:sz w:val="20"/>
          <w:szCs w:val="20"/>
          <w:color w:val="auto"/>
        </w:rPr>
      </w:pPr>
    </w:p>
    <w:p>
      <w:pPr>
        <w:jc w:val="center"/>
        <w:ind w:right="-739"/>
        <w:spacing w:after="0"/>
        <w:rPr>
          <w:sz w:val="20"/>
          <w:szCs w:val="20"/>
          <w:color w:val="auto"/>
        </w:rPr>
      </w:pPr>
      <w:r>
        <w:rPr>
          <w:rFonts w:ascii="Arial" w:cs="Arial" w:eastAsia="Arial" w:hAnsi="Arial"/>
          <w:sz w:val="14"/>
          <w:szCs w:val="14"/>
          <w:b w:val="1"/>
          <w:bCs w:val="1"/>
          <w:color w:val="auto"/>
        </w:rPr>
        <w:t>Code,</w:t>
      </w:r>
    </w:p>
    <w:p>
      <w:pPr>
        <w:jc w:val="center"/>
        <w:ind w:right="-739"/>
        <w:spacing w:after="0"/>
        <w:rPr>
          <w:sz w:val="20"/>
          <w:szCs w:val="20"/>
          <w:color w:val="auto"/>
        </w:rPr>
      </w:pPr>
      <w:r>
        <w:rPr>
          <w:rFonts w:ascii="Arial" w:cs="Arial" w:eastAsia="Arial" w:hAnsi="Arial"/>
          <w:sz w:val="12"/>
          <w:szCs w:val="12"/>
          <w:b w:val="1"/>
          <w:bCs w:val="1"/>
          <w:color w:val="auto"/>
        </w:rPr>
        <w:t>and Telephone Number,</w:t>
      </w:r>
    </w:p>
    <w:p>
      <w:pPr>
        <w:spacing w:after="0" w:line="1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Including Area Code, of</w:t>
      </w:r>
    </w:p>
    <w:p>
      <w:pPr>
        <w:jc w:val="center"/>
        <w:ind w:right="-739"/>
        <w:spacing w:after="0"/>
        <w:rPr>
          <w:sz w:val="20"/>
          <w:szCs w:val="20"/>
          <w:color w:val="auto"/>
        </w:rPr>
      </w:pPr>
      <w:r>
        <w:rPr>
          <w:rFonts w:ascii="Arial" w:cs="Arial" w:eastAsia="Arial" w:hAnsi="Arial"/>
          <w:sz w:val="13"/>
          <w:szCs w:val="13"/>
          <w:b w:val="1"/>
          <w:bCs w:val="1"/>
          <w:color w:val="auto"/>
        </w:rPr>
        <w:t>Registrant Guarantor’s</w:t>
      </w:r>
    </w:p>
    <w:p>
      <w:pPr>
        <w:jc w:val="center"/>
        <w:ind w:right="-739"/>
        <w:spacing w:after="0" w:line="221" w:lineRule="auto"/>
        <w:rPr>
          <w:sz w:val="20"/>
          <w:szCs w:val="20"/>
          <w:color w:val="auto"/>
        </w:rPr>
      </w:pPr>
      <w:r>
        <w:rPr>
          <w:rFonts w:ascii="Arial" w:cs="Arial" w:eastAsia="Arial" w:hAnsi="Arial"/>
          <w:sz w:val="14"/>
          <w:szCs w:val="14"/>
          <w:b w:val="1"/>
          <w:bCs w:val="1"/>
          <w:color w:val="auto"/>
        </w:rPr>
        <w:t>Principal Executive</w:t>
      </w:r>
    </w:p>
    <w:p>
      <w:pPr>
        <w:jc w:val="center"/>
        <w:ind w:right="-739"/>
        <w:spacing w:after="0"/>
        <w:rPr>
          <w:sz w:val="20"/>
          <w:szCs w:val="20"/>
          <w:color w:val="auto"/>
        </w:rPr>
      </w:pPr>
      <w:r>
        <w:rPr>
          <w:rFonts w:ascii="Arial" w:cs="Arial" w:eastAsia="Arial" w:hAnsi="Arial"/>
          <w:sz w:val="14"/>
          <w:szCs w:val="14"/>
          <w:b w:val="1"/>
          <w:bCs w:val="1"/>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One Dell Way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1-800-289-3355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1-800-289-3355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1-800-289-3355</w:t>
      </w:r>
    </w:p>
    <w:p>
      <w:pPr>
        <w:sectPr>
          <w:pgSz w:w="11900" w:h="16838" w:orient="portrait"/>
          <w:cols w:equalWidth="0" w:num="2">
            <w:col w:w="7940" w:space="220"/>
            <w:col w:w="2220"/>
          </w:cols>
          <w:pgMar w:left="320" w:top="459" w:right="1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issue the exchange notes in the exchange offer until the registration statement filed with the Securities and Exchange Commission is effective. This prospectus is not an offer to sell these securities and it is not soliciting an offer to buy these securities in any state or jurisdiction where such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AUGUST 15,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94615</wp:posOffset>
            </wp:positionV>
            <wp:extent cx="320611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40"/>
          <w:szCs w:val="40"/>
          <w:b w:val="1"/>
          <w:bCs w:val="1"/>
          <w:color w:val="auto"/>
        </w:rPr>
        <w:t>DELL INTERNATIONAL L.L.C.</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40"/>
          <w:szCs w:val="40"/>
          <w:b w:val="1"/>
          <w:bCs w:val="1"/>
          <w:color w:val="auto"/>
        </w:rPr>
        <w:t>EMC CORPORATION</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Exchange Offer for</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Up to $962,390,000 of 3.375% Senior Notes due 2041</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Up to $1,094,877,000 of 3.450% Senior Notes due 2051</w:t>
      </w:r>
    </w:p>
    <w:p>
      <w:pPr>
        <w:spacing w:after="0" w:line="209" w:lineRule="exact"/>
        <w:rPr>
          <w:sz w:val="20"/>
          <w:szCs w:val="20"/>
          <w:color w:val="auto"/>
        </w:rPr>
      </w:pPr>
    </w:p>
    <w:p>
      <w:pPr>
        <w:ind w:left="120" w:firstLine="440"/>
        <w:spacing w:after="0" w:line="229" w:lineRule="auto"/>
        <w:rPr>
          <w:sz w:val="20"/>
          <w:szCs w:val="20"/>
          <w:color w:val="auto"/>
        </w:rPr>
      </w:pPr>
      <w:r>
        <w:rPr>
          <w:rFonts w:ascii="Arial" w:cs="Arial" w:eastAsia="Arial" w:hAnsi="Arial"/>
          <w:sz w:val="14"/>
          <w:szCs w:val="14"/>
          <w:color w:val="auto"/>
        </w:rPr>
        <w:t>Offer for (i) outstanding unregistered 3.375% Senior Notes due 2041 (144A CUSIP No. 24703D BE0 and Regulation S CUSIP No. U24724 AQ6) (the “old 2041 notes”) of the Issuers in the aggregate principal amount of $962,390,000 in exchange for up to $962,390,000 of 3.375% Senior Notes due 2041 (the “2041 exchange notes”), which have been registered under the Securities Act and (ii) outstanding unregistered 3.450% Senior Notes due 2051 (144A CUSIP No. 24703D BG5 and Regulation S CUSIP No. U24724 AR4) (the “old 2051 notes” and, together with the old 2041 notes, the “outstanding notes”) of the Issuers in the aggregate principal amount of $1,094,877,000 in exchange for up to $1,094,877,000 of 3.450% Senior Notes due 2051 (the “2051 exchange notes” and, together with the 2041 exchange notes, the “exchange notes” and, the exchange notes together with the outstanding notes, the “notes”), which have been registered under the Securities Act.</w:t>
      </w:r>
    </w:p>
    <w:p>
      <w:pPr>
        <w:spacing w:after="0" w:line="185" w:lineRule="exact"/>
        <w:rPr>
          <w:sz w:val="20"/>
          <w:szCs w:val="20"/>
          <w:color w:val="auto"/>
        </w:rPr>
      </w:pPr>
    </w:p>
    <w:p>
      <w:pPr>
        <w:ind w:left="120" w:right="40" w:firstLine="440"/>
        <w:spacing w:after="0" w:line="231" w:lineRule="auto"/>
        <w:rPr>
          <w:sz w:val="20"/>
          <w:szCs w:val="20"/>
          <w:color w:val="auto"/>
        </w:rPr>
      </w:pPr>
      <w:r>
        <w:rPr>
          <w:rFonts w:ascii="Arial" w:cs="Arial" w:eastAsia="Arial" w:hAnsi="Arial"/>
          <w:sz w:val="14"/>
          <w:szCs w:val="14"/>
          <w:color w:val="auto"/>
        </w:rPr>
        <w:t xml:space="preserve">The exchange notes will be the senior unsecured obligation of the Issuers and will be guaranteed on a full and unconditional, joint and several basis by Dell Technologies Inc., Denali Intermediate Inc. and Dell Inc. Such guarantees will rank equal in right of payment with all existing and future senior indebtedness of such guarantors, including our revolving credit facility and our existing notes, and senior in right of payment to all future subordinated indebtedness of such guarantors. The exchange notes will not be guaranteed by any of the Issuers’ subsidiaries and the exchange notes and related guarantees thereof will be structurally subordinated to all of the existing and future indebtedness and other liabilities of any existing and future subsidiaries of the Issuers. See </w:t>
      </w:r>
      <w:r>
        <w:rPr>
          <w:rFonts w:ascii="Arial" w:cs="Arial" w:eastAsia="Arial" w:hAnsi="Arial"/>
          <w:sz w:val="14"/>
          <w:szCs w:val="14"/>
          <w:i w:val="1"/>
          <w:iCs w:val="1"/>
          <w:color w:val="auto"/>
        </w:rPr>
        <w:t>“Description of the Exchange Notes—Note Guarantees.”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4"/>
          <w:szCs w:val="14"/>
          <w:b w:val="1"/>
          <w:bCs w:val="1"/>
          <w:color w:val="auto"/>
        </w:rPr>
        <w:t>We are conducting the exchange offer in order to provide you with an opportunity to exchange your unregistered outstanding notes for freely tradable exchange notes that have been registered under the Securities Act.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The Exchange Offer</w:t>
      </w:r>
    </w:p>
    <w:p>
      <w:pPr>
        <w:spacing w:after="0" w:line="113" w:lineRule="exact"/>
        <w:rPr>
          <w:sz w:val="20"/>
          <w:szCs w:val="20"/>
          <w:color w:val="auto"/>
        </w:rPr>
      </w:pPr>
    </w:p>
    <w:p>
      <w:pPr>
        <w:ind w:left="880" w:hanging="332"/>
        <w:spacing w:after="0"/>
        <w:tabs>
          <w:tab w:leader="none" w:pos="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will exchange all outstanding notes that are validly tendered and not validly withdrawn for an equal principal amount of exchange notes that are freely tradable.</w:t>
      </w:r>
    </w:p>
    <w:p>
      <w:pPr>
        <w:spacing w:after="0" w:line="109" w:lineRule="exact"/>
        <w:rPr>
          <w:rFonts w:ascii="Arial" w:cs="Arial" w:eastAsia="Arial" w:hAnsi="Arial"/>
          <w:sz w:val="14"/>
          <w:szCs w:val="14"/>
          <w:color w:val="auto"/>
        </w:rPr>
      </w:pPr>
    </w:p>
    <w:p>
      <w:pPr>
        <w:ind w:left="880" w:hanging="332"/>
        <w:spacing w:after="0"/>
        <w:tabs>
          <w:tab w:leader="none" w:pos="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You may withdraw tenders of outstanding notes at any time prior to the expiration date of the exchange offer.</w:t>
      </w:r>
    </w:p>
    <w:p>
      <w:pPr>
        <w:sectPr>
          <w:pgSz w:w="11900" w:h="16838" w:orient="portrait"/>
          <w:cols w:equalWidth="0" w:num="1">
            <w:col w:w="11120"/>
          </w:cols>
          <w:pgMar w:left="320" w:top="459" w:right="459" w:bottom="1440" w:gutter="0" w:footer="0" w:header="0"/>
        </w:sectPr>
      </w:pP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exchange offer expires at 5:00 p.m., New York City time, on currently intend to extend the expiration date.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 2023, which is the 21st business day after the date of this prospectus, unless extended. We do not</w:t>
      </w:r>
    </w:p>
    <w:p>
      <w:pPr>
        <w:spacing w:after="0" w:line="280" w:lineRule="exact"/>
        <w:rPr>
          <w:sz w:val="20"/>
          <w:szCs w:val="20"/>
          <w:color w:val="auto"/>
        </w:rPr>
      </w:pPr>
    </w:p>
    <w:p>
      <w:pPr>
        <w:sectPr>
          <w:pgSz w:w="11900" w:h="16838" w:orient="portrait"/>
          <w:cols w:equalWidth="0" w:num="3">
            <w:col w:w="600" w:space="280"/>
            <w:col w:w="3740" w:space="600"/>
            <w:col w:w="5900"/>
          </w:cols>
          <w:pgMar w:left="320" w:top="459" w:right="459" w:bottom="1440" w:gutter="0" w:footer="0" w:header="0"/>
          <w:type w:val="continuous"/>
        </w:sectPr>
      </w:pPr>
    </w:p>
    <w:p>
      <w:pPr>
        <w:ind w:left="880" w:hanging="332"/>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exchange of the outstanding notes for the exchange notes in the exchange offer will not constitute a taxable event for U.S. federal income tax purposes.</w:t>
      </w:r>
    </w:p>
    <w:p>
      <w:pPr>
        <w:spacing w:after="0" w:line="109" w:lineRule="exact"/>
        <w:rPr>
          <w:rFonts w:ascii="Arial" w:cs="Arial" w:eastAsia="Arial" w:hAnsi="Arial"/>
          <w:sz w:val="14"/>
          <w:szCs w:val="14"/>
          <w:color w:val="auto"/>
        </w:rPr>
      </w:pPr>
    </w:p>
    <w:p>
      <w:pPr>
        <w:ind w:left="880" w:hanging="332"/>
        <w:spacing w:after="0"/>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terms of the exchange notes to be issued in the exchange offer are substantially identical to the outstanding notes, except that the exchange notes will be freely tradable.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Results of the Exchange Offer</w:t>
      </w:r>
    </w:p>
    <w:p>
      <w:pPr>
        <w:spacing w:after="0" w:line="113" w:lineRule="exact"/>
        <w:rPr>
          <w:sz w:val="20"/>
          <w:szCs w:val="20"/>
          <w:color w:val="auto"/>
        </w:rPr>
      </w:pPr>
    </w:p>
    <w:p>
      <w:pPr>
        <w:ind w:left="880" w:right="140" w:hanging="332"/>
        <w:spacing w:after="0" w:line="253" w:lineRule="auto"/>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exchange notes may be sold in the over-the-counter market, in negotiated transactions or through a combination of such methods. We do not plan to list the exchange notes on a national market.</w:t>
      </w:r>
    </w:p>
    <w:p>
      <w:pPr>
        <w:spacing w:after="0" w:line="66" w:lineRule="exact"/>
        <w:rPr>
          <w:sz w:val="20"/>
          <w:szCs w:val="20"/>
          <w:color w:val="auto"/>
        </w:rPr>
      </w:pPr>
    </w:p>
    <w:p>
      <w:pPr>
        <w:ind w:left="120" w:right="80" w:firstLine="440"/>
        <w:spacing w:after="0" w:line="264" w:lineRule="auto"/>
        <w:rPr>
          <w:sz w:val="20"/>
          <w:szCs w:val="20"/>
          <w:color w:val="auto"/>
        </w:rPr>
      </w:pPr>
      <w:r>
        <w:rPr>
          <w:rFonts w:ascii="Arial" w:cs="Arial" w:eastAsia="Arial" w:hAnsi="Arial"/>
          <w:sz w:val="13"/>
          <w:szCs w:val="13"/>
          <w:color w:val="auto"/>
        </w:rPr>
        <w:t>All untendered outstanding notes will continue to be subject to the restrictions on transfer set forth in the outstanding notes and in the indenture. In general, the outstanding notes may not be offered or sold, unless registered under the Securities Act, except pursuant to an exemption from, or in a transaction not subject to, the Securities Act and applicable state securities laws. Other than in connection with the exchange offer, we do not currently anticipate that we will register the outstanding notes under the Securities Act.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You should carefully consider the “</w:t>
      </w:r>
      <w:r>
        <w:rPr>
          <w:rFonts w:ascii="Arial" w:cs="Arial" w:eastAsia="Arial" w:hAnsi="Arial"/>
          <w:sz w:val="17"/>
          <w:szCs w:val="17"/>
          <w:b w:val="1"/>
          <w:bCs w:val="1"/>
          <w:i w:val="1"/>
          <w:iCs w:val="1"/>
          <w:u w:val="single" w:color="auto"/>
          <w:color w:val="0000EE"/>
        </w:rPr>
        <w:t>Risk Factors</w:t>
      </w:r>
      <w:r>
        <w:rPr>
          <w:rFonts w:ascii="Arial" w:cs="Arial" w:eastAsia="Arial" w:hAnsi="Arial"/>
          <w:sz w:val="17"/>
          <w:szCs w:val="17"/>
          <w:b w:val="1"/>
          <w:bCs w:val="1"/>
          <w:i w:val="1"/>
          <w:iCs w:val="1"/>
          <w:color w:val="auto"/>
        </w:rPr>
        <w:t>” beginning on page 15 of this prospectus before participating in the exchange offer.</w:t>
      </w:r>
    </w:p>
    <w:p>
      <w:pPr>
        <w:spacing w:after="0" w:line="12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4"/>
          <w:szCs w:val="14"/>
          <w:color w:val="auto"/>
        </w:rPr>
        <w:t>Each broker 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 dealer in connection with resales of exchange notes received in exchange for outstanding notes where such outstanding notes were acquired as a result of market making activities or other trading activities.</w:t>
      </w:r>
    </w:p>
    <w:p>
      <w:pPr>
        <w:spacing w:after="0" w:line="7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4"/>
          <w:szCs w:val="14"/>
          <w:color w:val="auto"/>
        </w:rPr>
        <w:t>Neither the Securities and Exchange Commission (the “SEC”) nor any other regulatory body has approved or disapproved of the exchange notes to be distributed in the exchange offer or passed upon the accuracy or adequacy of this prospectus. Any representation to the contrary is a criminal offense.</w:t>
      </w:r>
    </w:p>
    <w:p>
      <w:pPr>
        <w:spacing w:after="0" w:line="170" w:lineRule="exact"/>
        <w:rPr>
          <w:sz w:val="20"/>
          <w:szCs w:val="20"/>
          <w:color w:val="auto"/>
        </w:rPr>
      </w:pPr>
    </w:p>
    <w:tbl>
      <w:tblPr>
        <w:tblLayout w:type="fixed"/>
        <w:tblInd w:w="4220" w:type="dxa"/>
        <w:tblCellMar>
          <w:top w:w="0" w:type="dxa"/>
          <w:left w:w="0" w:type="dxa"/>
          <w:bottom w:w="0" w:type="dxa"/>
          <w:right w:w="0" w:type="dxa"/>
        </w:tblCellMar>
      </w:tblPr>
      <w:tr>
        <w:trPr>
          <w:trHeight w:val="186"/>
        </w:trPr>
        <w:tc>
          <w:tcPr>
            <w:tcW w:w="2100" w:type="dxa"/>
            <w:vAlign w:val="bottom"/>
          </w:tcPr>
          <w:p>
            <w:pPr>
              <w:spacing w:after="0"/>
              <w:rPr>
                <w:sz w:val="20"/>
                <w:szCs w:val="20"/>
                <w:color w:val="auto"/>
              </w:rPr>
            </w:pPr>
            <w:r>
              <w:rPr>
                <w:rFonts w:ascii="Arial" w:cs="Arial" w:eastAsia="Arial" w:hAnsi="Arial"/>
                <w:sz w:val="14"/>
                <w:szCs w:val="14"/>
                <w:b w:val="1"/>
                <w:bCs w:val="1"/>
                <w:color w:val="auto"/>
              </w:rPr>
              <w:t>The date of this prospectus is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2023.</w:t>
            </w:r>
          </w:p>
        </w:tc>
      </w:tr>
    </w:tbl>
    <w:p>
      <w:pPr>
        <w:spacing w:after="0" w:line="70" w:lineRule="exact"/>
        <w:rPr>
          <w:sz w:val="20"/>
          <w:szCs w:val="20"/>
          <w:color w:val="auto"/>
        </w:rPr>
      </w:pPr>
    </w:p>
    <w:p>
      <w:pPr>
        <w:jc w:val="both"/>
        <w:ind w:left="120" w:right="220" w:firstLine="440"/>
        <w:spacing w:after="0" w:line="267" w:lineRule="auto"/>
        <w:rPr>
          <w:sz w:val="20"/>
          <w:szCs w:val="20"/>
          <w:color w:val="auto"/>
        </w:rPr>
      </w:pPr>
      <w:r>
        <w:rPr>
          <w:rFonts w:ascii="Arial" w:cs="Arial" w:eastAsia="Arial" w:hAnsi="Arial"/>
          <w:sz w:val="13"/>
          <w:szCs w:val="13"/>
          <w:b w:val="1"/>
          <w:bCs w:val="1"/>
          <w:color w:val="auto"/>
        </w:rPr>
        <w:t>We have not authorized anyone to provide you with information different from that contained in or incorporated by reference in this prospectus. This prospectus may be used only for the purposes for which it has been published and we do not take any responsibility for, or can provide any assurance as to the reliability of, any information other than the information in or incorporated by reference in this prospectus. We are not making an offer of these securities in any state where the offer is not permitted.</w:t>
      </w:r>
    </w:p>
    <w:p>
      <w:pPr>
        <w:spacing w:after="0" w:line="163" w:lineRule="exact"/>
        <w:rPr>
          <w:sz w:val="20"/>
          <w:szCs w:val="20"/>
          <w:color w:val="auto"/>
        </w:rPr>
      </w:pPr>
    </w:p>
    <w:p>
      <w:pPr>
        <w:ind w:left="120" w:right="100" w:firstLine="440"/>
        <w:spacing w:after="0" w:line="265" w:lineRule="auto"/>
        <w:rPr>
          <w:sz w:val="20"/>
          <w:szCs w:val="20"/>
          <w:color w:val="auto"/>
        </w:rPr>
      </w:pPr>
      <w:r>
        <w:rPr>
          <w:rFonts w:ascii="Arial" w:cs="Arial" w:eastAsia="Arial" w:hAnsi="Arial"/>
          <w:sz w:val="12"/>
          <w:szCs w:val="12"/>
          <w:b w:val="1"/>
          <w:bCs w:val="1"/>
          <w:color w:val="auto"/>
        </w:rPr>
        <w:t>This prospectus incorporates by reference important business and financial information about us from documents filed with the SEC that have not been included herein or delivered herewith. Information incorporated by reference is available without charge at the website that the SEC maintains at http:// www.sec.gov, as well as from other sources. See “</w:t>
      </w:r>
      <w:r>
        <w:rPr>
          <w:rFonts w:ascii="Arial" w:cs="Arial" w:eastAsia="Arial" w:hAnsi="Arial"/>
          <w:sz w:val="12"/>
          <w:szCs w:val="12"/>
          <w:b w:val="1"/>
          <w:bCs w:val="1"/>
          <w:i w:val="1"/>
          <w:iCs w:val="1"/>
          <w:color w:val="auto"/>
        </w:rPr>
        <w:t>Where You Can Find More Information</w:t>
      </w:r>
      <w:r>
        <w:rPr>
          <w:rFonts w:ascii="Arial" w:cs="Arial" w:eastAsia="Arial" w:hAnsi="Arial"/>
          <w:sz w:val="12"/>
          <w:szCs w:val="12"/>
          <w:b w:val="1"/>
          <w:bCs w:val="1"/>
          <w:color w:val="auto"/>
        </w:rPr>
        <w:t>.” In addition, you may request a copy of such document, at no cost, by writing or calling us at the following address or telephone number: Dell Technologies Inc., One Dell Way, Round Rock, Texas 78682, Attn: Investor Relations, Tel: (512) 728-7800. In order to receive timely delivery of those materials, you</w:t>
      </w:r>
    </w:p>
    <w:p>
      <w:pPr>
        <w:spacing w:after="0" w:line="1" w:lineRule="exact"/>
        <w:rPr>
          <w:sz w:val="20"/>
          <w:szCs w:val="20"/>
          <w:color w:val="auto"/>
        </w:rPr>
      </w:pPr>
    </w:p>
    <w:p>
      <w:pPr>
        <w:ind w:left="120"/>
        <w:spacing w:after="0"/>
        <w:tabs>
          <w:tab w:leader="none" w:pos="7480" w:val="left"/>
        </w:tabs>
        <w:rPr>
          <w:sz w:val="20"/>
          <w:szCs w:val="20"/>
          <w:color w:val="auto"/>
        </w:rPr>
      </w:pPr>
      <w:r>
        <w:rPr>
          <w:rFonts w:ascii="Arial" w:cs="Arial" w:eastAsia="Arial" w:hAnsi="Arial"/>
          <w:sz w:val="14"/>
          <w:szCs w:val="14"/>
          <w:b w:val="1"/>
          <w:bCs w:val="1"/>
          <w:color w:val="auto"/>
        </w:rPr>
        <w:t>must make your requests no later than five business days before expiration of the applicable exchange offer, or</w:t>
      </w:r>
      <w:r>
        <w:rPr>
          <w:sz w:val="20"/>
          <w:szCs w:val="20"/>
          <w:color w:val="auto"/>
        </w:rPr>
        <w:tab/>
      </w:r>
      <w:r>
        <w:rPr>
          <w:rFonts w:ascii="Arial" w:cs="Arial" w:eastAsia="Arial" w:hAnsi="Arial"/>
          <w:sz w:val="12"/>
          <w:szCs w:val="12"/>
          <w:b w:val="1"/>
          <w:bCs w:val="1"/>
          <w:color w:val="auto"/>
        </w:rPr>
        <w:t>, 2023, the present expiration of the exchange offer.</w:t>
      </w:r>
    </w:p>
    <w:p>
      <w:pPr>
        <w:sectPr>
          <w:pgSz w:w="11900" w:h="16838" w:orient="portrait"/>
          <w:cols w:equalWidth="0" w:num="1">
            <w:col w:w="11120"/>
          </w:cols>
          <w:pgMar w:left="320" w:top="459" w:right="4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40" w:type="dxa"/>
            <w:vAlign w:val="bottom"/>
            <w:gridSpan w:val="17"/>
          </w:tcPr>
          <w:p>
            <w:pPr>
              <w:spacing w:after="0"/>
              <w:rPr>
                <w:sz w:val="20"/>
                <w:szCs w:val="20"/>
                <w:color w:val="auto"/>
              </w:rPr>
            </w:pPr>
            <w:r>
              <w:rPr>
                <w:rFonts w:ascii="Arial" w:cs="Arial" w:eastAsia="Arial" w:hAnsi="Arial"/>
                <w:sz w:val="18"/>
                <w:szCs w:val="18"/>
                <w:b w:val="1"/>
                <w:bCs w:val="1"/>
                <w:color w:val="0000EE"/>
              </w:rPr>
              <w:t>Table of Contents</w:t>
            </w:r>
          </w:p>
        </w:tc>
        <w:tc>
          <w:tcPr>
            <w:tcW w:w="69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6"/>
          </w:tcPr>
          <w:p>
            <w:pPr>
              <w:spacing w:after="0"/>
              <w:rPr>
                <w:sz w:val="20"/>
                <w:szCs w:val="20"/>
                <w:color w:val="auto"/>
              </w:rPr>
            </w:pPr>
            <w:r>
              <w:rPr>
                <w:rFonts w:ascii="Arial" w:cs="Arial" w:eastAsia="Arial" w:hAnsi="Arial"/>
                <w:sz w:val="18"/>
                <w:szCs w:val="18"/>
                <w:color w:val="0000EE"/>
              </w:rPr>
              <w:t>Forward-Looking Statements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6"/>
          </w:tcPr>
          <w:p>
            <w:pPr>
              <w:spacing w:after="0" w:line="196" w:lineRule="exact"/>
              <w:rPr>
                <w:sz w:val="20"/>
                <w:szCs w:val="20"/>
                <w:color w:val="auto"/>
              </w:rPr>
            </w:pPr>
            <w:r>
              <w:rPr>
                <w:rFonts w:ascii="Arial" w:cs="Arial" w:eastAsia="Arial" w:hAnsi="Arial"/>
                <w:sz w:val="18"/>
                <w:szCs w:val="18"/>
                <w:color w:val="0000EE"/>
              </w:rPr>
              <w:t>Trademarks and Service Marks</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120" w:type="dxa"/>
            <w:vAlign w:val="bottom"/>
          </w:tcPr>
          <w:p>
            <w:pPr>
              <w:spacing w:after="0"/>
              <w:rPr>
                <w:sz w:val="17"/>
                <w:szCs w:val="17"/>
                <w:color w:val="auto"/>
              </w:rPr>
            </w:pPr>
          </w:p>
        </w:tc>
        <w:tc>
          <w:tcPr>
            <w:tcW w:w="22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Industry and Market Data</w:t>
            </w:r>
          </w:p>
        </w:tc>
        <w:tc>
          <w:tcPr>
            <w:tcW w:w="1780" w:type="dxa"/>
            <w:vAlign w:val="bottom"/>
            <w:gridSpan w:val="4"/>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1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Basis of Presentation</w:t>
            </w:r>
          </w:p>
        </w:tc>
        <w:tc>
          <w:tcPr>
            <w:tcW w:w="320" w:type="dxa"/>
            <w:vAlign w:val="bottom"/>
            <w:tcBorders>
              <w:top w:val="single" w:sz="8" w:color="0000EE"/>
            </w:tcBorders>
          </w:tcPr>
          <w:p>
            <w:pPr>
              <w:spacing w:after="0"/>
              <w:rPr>
                <w:sz w:val="17"/>
                <w:szCs w:val="17"/>
                <w:color w:val="auto"/>
              </w:rPr>
            </w:pPr>
          </w:p>
        </w:tc>
        <w:tc>
          <w:tcPr>
            <w:tcW w:w="2180" w:type="dxa"/>
            <w:vAlign w:val="bottom"/>
            <w:gridSpan w:val="7"/>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120" w:type="dxa"/>
            <w:vAlign w:val="bottom"/>
          </w:tcPr>
          <w:p>
            <w:pPr>
              <w:spacing w:after="0"/>
              <w:rPr>
                <w:sz w:val="17"/>
                <w:szCs w:val="17"/>
                <w:color w:val="auto"/>
              </w:rPr>
            </w:pPr>
          </w:p>
        </w:tc>
        <w:tc>
          <w:tcPr>
            <w:tcW w:w="4020" w:type="dxa"/>
            <w:vAlign w:val="bottom"/>
            <w:gridSpan w:val="16"/>
          </w:tcPr>
          <w:p>
            <w:pPr>
              <w:spacing w:after="0" w:line="196" w:lineRule="exact"/>
              <w:rPr>
                <w:sz w:val="20"/>
                <w:szCs w:val="20"/>
                <w:color w:val="auto"/>
              </w:rPr>
            </w:pPr>
            <w:r>
              <w:rPr>
                <w:rFonts w:ascii="Arial" w:cs="Arial" w:eastAsia="Arial" w:hAnsi="Arial"/>
                <w:sz w:val="18"/>
                <w:szCs w:val="18"/>
                <w:color w:val="0000EE"/>
              </w:rPr>
              <w:t>Prospectus Summary</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5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Risk Factors</w:t>
            </w:r>
          </w:p>
        </w:tc>
        <w:tc>
          <w:tcPr>
            <w:tcW w:w="2500" w:type="dxa"/>
            <w:vAlign w:val="bottom"/>
            <w:gridSpan w:val="8"/>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6"/>
          </w:tcPr>
          <w:p>
            <w:pPr>
              <w:spacing w:after="0" w:line="196" w:lineRule="exact"/>
              <w:rPr>
                <w:sz w:val="20"/>
                <w:szCs w:val="20"/>
                <w:color w:val="auto"/>
              </w:rPr>
            </w:pPr>
            <w:r>
              <w:rPr>
                <w:rFonts w:ascii="Arial" w:cs="Arial" w:eastAsia="Arial" w:hAnsi="Arial"/>
                <w:sz w:val="18"/>
                <w:szCs w:val="18"/>
                <w:color w:val="0000EE"/>
              </w:rPr>
              <w:t>Use of Proceeds</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Capitalization</w:t>
            </w:r>
          </w:p>
        </w:tc>
        <w:tc>
          <w:tcPr>
            <w:tcW w:w="140" w:type="dxa"/>
            <w:vAlign w:val="bottom"/>
            <w:tcBorders>
              <w:top w:val="single" w:sz="8" w:color="0000EE"/>
            </w:tcBorders>
          </w:tcPr>
          <w:p>
            <w:pPr>
              <w:spacing w:after="0"/>
              <w:rPr>
                <w:sz w:val="17"/>
                <w:szCs w:val="17"/>
                <w:color w:val="auto"/>
              </w:rPr>
            </w:pPr>
          </w:p>
        </w:tc>
        <w:tc>
          <w:tcPr>
            <w:tcW w:w="2860" w:type="dxa"/>
            <w:vAlign w:val="bottom"/>
            <w:gridSpan w:val="11"/>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Description of the Exchange Notes</w:t>
            </w:r>
          </w:p>
        </w:tc>
        <w:tc>
          <w:tcPr>
            <w:tcW w:w="1500" w:type="dxa"/>
            <w:vAlign w:val="bottom"/>
            <w:gridSpan w:val="3"/>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4020" w:type="dxa"/>
            <w:vAlign w:val="bottom"/>
            <w:gridSpan w:val="16"/>
          </w:tcPr>
          <w:p>
            <w:pPr>
              <w:spacing w:after="0" w:line="196" w:lineRule="exact"/>
              <w:rPr>
                <w:sz w:val="20"/>
                <w:szCs w:val="20"/>
                <w:color w:val="auto"/>
              </w:rPr>
            </w:pPr>
            <w:r>
              <w:rPr>
                <w:rFonts w:ascii="Arial" w:cs="Arial" w:eastAsia="Arial" w:hAnsi="Arial"/>
                <w:sz w:val="18"/>
                <w:szCs w:val="18"/>
                <w:color w:val="0000EE"/>
              </w:rPr>
              <w:t>The Exchange Offer</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Certain U.S. Federal Income Tax Considerations</w:t>
            </w:r>
          </w:p>
        </w:tc>
        <w:tc>
          <w:tcPr>
            <w:tcW w:w="520" w:type="dxa"/>
            <w:vAlign w:val="bottom"/>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Certain ERISA Considerations</w:t>
            </w:r>
          </w:p>
        </w:tc>
        <w:tc>
          <w:tcPr>
            <w:tcW w:w="1800" w:type="dxa"/>
            <w:vAlign w:val="bottom"/>
            <w:gridSpan w:val="5"/>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0" w:type="dxa"/>
            <w:vAlign w:val="bottom"/>
          </w:tcPr>
          <w:p>
            <w:pPr>
              <w:spacing w:after="0"/>
              <w:rPr>
                <w:sz w:val="17"/>
                <w:szCs w:val="17"/>
                <w:color w:val="auto"/>
              </w:rPr>
            </w:pPr>
          </w:p>
        </w:tc>
        <w:tc>
          <w:tcPr>
            <w:tcW w:w="4020" w:type="dxa"/>
            <w:vAlign w:val="bottom"/>
            <w:gridSpan w:val="16"/>
          </w:tcPr>
          <w:p>
            <w:pPr>
              <w:spacing w:after="0" w:line="196" w:lineRule="exact"/>
              <w:rPr>
                <w:sz w:val="20"/>
                <w:szCs w:val="20"/>
                <w:color w:val="auto"/>
              </w:rPr>
            </w:pPr>
            <w:r>
              <w:rPr>
                <w:rFonts w:ascii="Arial" w:cs="Arial" w:eastAsia="Arial" w:hAnsi="Arial"/>
                <w:sz w:val="18"/>
                <w:szCs w:val="18"/>
                <w:color w:val="0000EE"/>
              </w:rPr>
              <w:t>Plan of Distribution</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Legal Matters</w:t>
            </w:r>
          </w:p>
        </w:tc>
        <w:tc>
          <w:tcPr>
            <w:tcW w:w="2560" w:type="dxa"/>
            <w:vAlign w:val="bottom"/>
            <w:gridSpan w:val="9"/>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3020" w:type="dxa"/>
            <w:vAlign w:val="bottom"/>
            <w:gridSpan w:val="13"/>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1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6"/>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Section 27A of the Securities Act and Section 21E of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I—Item 1A—Risk Factors” in our Annual Report (the “Annual Report”) on Form 10-K for the fiscal year ended February 3, 2023 and Quarterly Report (the “Quarterly Report”) on Form 10-Q for the fiscal quarter ended May 5, 2023, in this prospectus and in our other periodic and current reports filed with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18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w:t>
      </w:r>
    </w:p>
    <w:p>
      <w:pPr>
        <w:spacing w:after="0" w:line="92" w:lineRule="exact"/>
        <w:rPr>
          <w:sz w:val="20"/>
          <w:szCs w:val="20"/>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global economic conditions and instability in financial markets, including due to the ongoing conflict in Ukraine and public health issues such as to the outbreak of COVID-19;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pressures;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reliance on third-party suppliers for products and components, including reliance on single-source or limited-resource suppliers;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favorable pricing from our vendors;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the intended benefits of our continuing strategic relationship with VMware, Inc. (individually and together with its consolidated subsidiaries, “VMware”);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execution of our growth, business and acquisition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solutions and products and services transitions in an effective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deliver high-quality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disruptions, cyber-attacks or other data security breaches;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strategic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foreign operations and ability to generate substantial non-U.S. net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service, customer, and geographic sales mix and seasonal sales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sales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the capital markets by us or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impairments to our goodwill or tangible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 economic conditions and additional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counterparty default risks;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any services contracts with our customers, including government contracts, and our ability to perform such contracts at our estimated costs;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protect our proprietary intellectual property or obtain licenses to intellectual property developed by others on commercially reasonable and competitive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our information technology and manufacturing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hedge effectively our exposure to fluctuations in foreign currency exchange rates and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expiration of tax holidays or favorable tax rate structures, or unfavorable outcomes in tax audits and other tax compliance matters;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fair value or impairment of portfolio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results of 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environmental, social and governance considerations and expectations;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requirements of changing environmental and safety laws, human rights laws and other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natural disasters, terrorism, armed hostilities and public health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level of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global climate change and legal, regulatory, or market measures to address climate 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under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included in or incorporated by reference into this prospectus.</w:t>
      </w:r>
    </w:p>
    <w:p>
      <w:pPr>
        <w:spacing w:after="0" w:line="22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Because of these risks, contingencies and other uncertainties, you are cautioned not to place undue reliance on these forward-looking statements, which speak only as of the date of this prospectus.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except as may be required under applicable federal securities law.</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right="540" w:firstLine="440"/>
        <w:spacing w:after="0" w:line="275" w:lineRule="auto"/>
        <w:rPr>
          <w:sz w:val="20"/>
          <w:szCs w:val="20"/>
          <w:color w:val="auto"/>
        </w:rPr>
      </w:pPr>
      <w:r>
        <w:rPr>
          <w:rFonts w:ascii="Arial" w:cs="Arial" w:eastAsia="Arial" w:hAnsi="Arial"/>
          <w:sz w:val="17"/>
          <w:szCs w:val="17"/>
          <w:color w:val="auto"/>
        </w:rPr>
        <w:t>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protected by common law rights. These registered and unregistered marks include our corporate names, logos and website names used herein. Each trademark, service mark or trade name by any other company appearing in this prospectus belongs to its owner.</w:t>
      </w:r>
    </w:p>
    <w:p>
      <w:pPr>
        <w:spacing w:after="0" w:line="176" w:lineRule="exact"/>
        <w:rPr>
          <w:sz w:val="20"/>
          <w:szCs w:val="20"/>
          <w:color w:val="auto"/>
        </w:rPr>
      </w:pPr>
    </w:p>
    <w:p>
      <w:pPr>
        <w:ind w:left="120" w:firstLine="440"/>
        <w:spacing w:after="0" w:line="215" w:lineRule="auto"/>
        <w:rPr>
          <w:sz w:val="20"/>
          <w:szCs w:val="20"/>
          <w:color w:val="auto"/>
        </w:rPr>
      </w:pPr>
      <w:r>
        <w:rPr>
          <w:rFonts w:ascii="Arial" w:cs="Arial" w:eastAsia="Arial" w:hAnsi="Arial"/>
          <w:sz w:val="18"/>
          <w:szCs w:val="18"/>
          <w:color w:val="auto"/>
        </w:rPr>
        <w:t xml:space="preserve">Solely for convenience, trademarks, service marks and trade names referred to in this prospectus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This prospectus and the documents incorporated by reference herein include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their respective dates.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We cannot guarantee the accuracy or completeness of any such information contained or incorporated by reference in this prospectus. Such information also involves risks and uncertainties and is subject to change based on various factors, including those discussed under the heading “Forward-Looking Statements.”</w:t>
      </w:r>
    </w:p>
    <w:p>
      <w:pPr>
        <w:spacing w:after="0" w:line="19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this prospectus, references to “share” and “industry share,” unless otherwise indicated, are based on revenue, except with respect to PC units, which are based on number of units sold.</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This prospectus includes and incorporates by reference the historical financial statements and other financial data of Dell Technologies, which will guarantee the exchange notes offered hereby. Dell International and EMC, the co-issuers of the exchange notes offered hereby, are each a direct wholly-owned subsidiary of Dell. No separate financial information has been provided in this prospectus for Dell International or EMC.</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November 1, 2021, Dell Technologies completed its spin-off of VMware by means of a special stock dividend (the “Spin-off”). The Spin-off was effectuated pursuant to a Separation and Distribution Agreement, dated as of April 14, 2021, between Dell Technologies and VMware. See note 1 to the audited consolidated financial statements included in Dell Technologies’ Annual Report and note 1 to the unaudited condensed consolidated financial statements included in Dell Technologies’ Quarterly Report incorporated by reference herein for more information about the Spin-off and other recent events impacting Dell Technologies’ presentation of historical financial information.</w:t>
      </w:r>
    </w:p>
    <w:p>
      <w:pPr>
        <w:spacing w:after="0" w:line="176"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In addition, pursuant to the Commercial Framework Agreement between Dell Technologies and VMware, Dell Technologies continues to act as a distributor of VMware’s standalone products and services and purchase such products and services for resale to customers. Dell Technologies also continues to integrate VMware’s products and services with Dell Technologies’ offerings and sell them to customers. The results of such operations are presented as continuing operations within the Company’s condensed consolidated statements of income for all periods presented. In accordance with applicable accounting guidance, the results of VMware, excluding Dell Technologies’ resale of VMware offerings, are presented as discontinued operations in the condensed consolidated statements of income and, as such, have been excluded from both continuing operations and segment results for all periods presented prior to the completion of the Spin-off. The condensed consolidated statements of cash flows are presented on a consolidated basis for both continuing operations and discontinued operations. See note 3 to the audited consolidated financial statements included in Dell Technologies’ Annual Report incorporated by reference herein for more information about discontinued operations.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as the context otherwise requires, a reference in this prospectus to:</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“Code” refers to the Internal Revenue Code of 1986, as amended;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“Dell Technologies,” “we,” “our” or “us” refers to Dell Technologies Inc., a Delaware corporation, or, as the context requires, to Dell Technologies Inc. and its consolidated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“Dell” refers to Dell Inc., a Delaware corporation and wholly-owned subsidiary of Dell Technologies, or, as the context requires, to Dell Inc. and its consolidated subsidiaries;</w:t>
      </w:r>
    </w:p>
    <w:p>
      <w:pPr>
        <w:spacing w:after="0" w:line="75" w:lineRule="exact"/>
        <w:rPr>
          <w:rFonts w:ascii="Arial" w:cs="Arial" w:eastAsia="Arial" w:hAnsi="Arial"/>
          <w:sz w:val="18"/>
          <w:szCs w:val="18"/>
          <w:color w:val="auto"/>
        </w:rPr>
      </w:pPr>
    </w:p>
    <w:p>
      <w:pPr>
        <w:ind w:left="1080" w:right="40" w:hanging="424"/>
        <w:spacing w:after="0" w:line="293"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“Dell-EMC notes” refers, collectively, to the 4.000% Senior Notes due 2024, the 5.850% Senior Notes due 2025, the 6.020% Senior Notes due 2026, the 4.900% Senior Notes due 2026, the 6.100% Senior Notes due 2027, the 5.250% Senior Notes due 2028, the 5.300% Senior Notes due 2029, the 6.200% Senior Notes due 2030, the 5.750% Senior Notes due 2033, the 8.100% Senior Notes due 2036, the old 2041 notes, the 8.350% Senior Notes due 2046, and the old 2051 notes co-issued by Dell International and EMC, which are guaranteed by Dell Technologies, Denali Intermediate and Dell. Following our achievement of an investment grade rating, all of the collateral previously securing the Dell-EMC notes outstanding as of that date were released and the Dell-EMC notes are currently unsecured obligations;</w:t>
      </w:r>
    </w:p>
    <w:p>
      <w:pPr>
        <w:spacing w:after="0" w:line="69" w:lineRule="exact"/>
        <w:rPr>
          <w:rFonts w:ascii="Arial" w:cs="Arial" w:eastAsia="Arial" w:hAnsi="Arial"/>
          <w:sz w:val="16"/>
          <w:szCs w:val="16"/>
          <w:color w:val="auto"/>
        </w:rPr>
      </w:pPr>
    </w:p>
    <w:p>
      <w:pPr>
        <w:ind w:left="1080" w:right="30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“Dell Inc. notes and debentures” refers, collectively, to the 7.10% senior debentures due 2028, 6.50% senior notes due 2038 and 5.40% senior notes due 2040 issued by Dell, which are not guaranteed by any subsidiary or parent entity of Dell;</w:t>
      </w:r>
    </w:p>
    <w:p>
      <w:pPr>
        <w:spacing w:after="0" w:line="51"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“Dell International” refers to Dell International L.L.C., a Delaware limited liability company and wholly-owned subsidiary of Dell Technologies, or, as the context requires, to Dell International L.L.C. and its consolidated subsidiaries;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“Denali Intermediate” refers to Denali Intermediate Inc., a Delaware corporation and wholly-owned subsidiary of Dell Technologies, or, as the context requires, to Denali Intermediate Inc. and its consolidated subsidiaries;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“DFS” refers to Dell Financial Services;</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“DFS allocated debt” refers to the allocated portion of our debt that is used to fund the DFS business, approximated by applying a 7:1 debt-to-equity ratio to our financing receivables balance and equipment under our DFS operating leases, net. The debt-to-equity ratio is based on the underlying credit quality of the assets;</w:t>
      </w:r>
    </w:p>
    <w:p>
      <w:pPr>
        <w:spacing w:after="0" w:line="89"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“DFS Debt” primarily represents debt from DFS’ receivables, securitization and structured financing programs, the majority of which is non-recourse to Dell Technologies. As of May 5, 2023, approximately $10,157 billion of DFS debt was outstanding;</w:t>
      </w:r>
    </w:p>
    <w:p>
      <w:pPr>
        <w:spacing w:after="0" w:line="5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“EMC” refers to EMC Corporation, a Massachusetts corporation and wholly-owned subsidiary of Dell Technologies, or, as the context requires, to EMC Corporation and its consolidated subsidiaries;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“EMC merger transaction” refers to our acquisition by merger of EMC on September 7, 2016;</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Act” refers to the Securities Exchange Act of 1934, as amended;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notes” refers, collectively, to the Dell-EMC notes and the Dell Inc. notes and debentures;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refers to accounting principles generally accepted in the United States of America;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“going-private transaction” refers to the acquisition of Dell by Dell Technologies on October 29, 2013;</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“guarantee” refers to the guarantees in respect of the notes as described in “</w:t>
      </w:r>
      <w:r>
        <w:rPr>
          <w:rFonts w:ascii="Arial" w:cs="Arial" w:eastAsia="Arial" w:hAnsi="Arial"/>
          <w:sz w:val="18"/>
          <w:szCs w:val="18"/>
          <w:i w:val="1"/>
          <w:iCs w:val="1"/>
          <w:color w:val="auto"/>
        </w:rPr>
        <w:t>Description of the Exchange Notes—Note Guarantees</w:t>
      </w:r>
      <w:r>
        <w:rPr>
          <w:rFonts w:ascii="Arial" w:cs="Arial" w:eastAsia="Arial" w:hAnsi="Arial"/>
          <w:sz w:val="18"/>
          <w:szCs w:val="18"/>
          <w:color w:val="auto"/>
        </w:rPr>
        <w:t>” in this prospectus;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“guarantors” refer to the guarantors of the notes. See “</w:t>
      </w:r>
      <w:r>
        <w:rPr>
          <w:rFonts w:ascii="Arial" w:cs="Arial" w:eastAsia="Arial" w:hAnsi="Arial"/>
          <w:sz w:val="18"/>
          <w:szCs w:val="18"/>
          <w:i w:val="1"/>
          <w:iCs w:val="1"/>
          <w:color w:val="auto"/>
        </w:rPr>
        <w:t>Description of the Exchange Notes—Note Guarantees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“Issuers” refers to Dell International and EMC and not to any of their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“revolving credit facility” refers to our $6 billion unsecured revolving credit facility entered into on November 1, 2021, as amended, and as in effect from time to time;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Act” refers to the Securities Act of 1933, as amended.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Dell Technologies’ fiscal year is the 52- or 53-week period ending on the Friday nearest January 31. We refer to our fiscal year ending February 2, 2024, our fiscal year ended February 3, 2023, our fiscal year ended January 28, 2022, and our fiscal year ended January 29, 2021 as “Fiscal 2024,” “Fiscal 2023,” “Fiscal 2022” and “Fiscal 2021” respectively. Fiscal 2024 includes 52 weeks. Fiscal 2023 included 53 weeks. Fiscal 2022 and Fiscal 2021 included 52 weeks.</w:t>
      </w:r>
    </w:p>
    <w:p>
      <w:pPr>
        <w:spacing w:after="0" w:line="187"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Numerical figures included in or incorporated by reference into this prospectus have been subject to rounding adjustments. Accordingly, numerical figures shown as totals in various tables may not represent arithmetic aggregations of the figures that precede them.</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i w:val="1"/>
          <w:iCs w:val="1"/>
          <w:color w:val="auto"/>
        </w:rPr>
        <w:t>This summary highlights information appearing elsewhere in and incorporated by reference in this prospectus and may not contain all of the information that may be important to you. You should carefully read this entire prospectus, including the information set forth under the heading “Risk Factors,” and our consolidated financial statements and related notes, which are incorporated by reference herein, before participating in the exchange offer.</w:t>
      </w: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Overview of Dell Technologies</w:t>
      </w:r>
    </w:p>
    <w:p>
      <w:pPr>
        <w:spacing w:after="0" w:line="229"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Dell Technologies helps organizations build their digital futures and individuals transform how they work, live, and play. We provide customers with one of the industry’s broadest and most innovative solutions portfolio for the data era, including both traditional infrastructure and extending to multi-cloud environments. Our differentiated and holistic information technology (“IT”) solutions benefit our results and enable us to capture revenue growth as customer spending priorities evolve.</w:t>
      </w:r>
    </w:p>
    <w:p>
      <w:pPr>
        <w:spacing w:after="0" w:line="18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Dell Technologies’ integrated solutions help customers modernize their IT infrastructure, manage and operate in a multi-cloud world, address workforce transformation, and provide critical solutions that keep people and organizations connected.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 the forefront of software-defined and cloud native infrastructure solutions.</w:t>
      </w:r>
    </w:p>
    <w:p>
      <w:pPr>
        <w:spacing w:after="0" w:line="188"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Dell Technologies operates globally, supported by a world-class organization across key functional areas, including technology and product development, marketing, sales, financial services, and services. We have a number of durable competitive advantages that provide a critical foundation for our success. Our go-to-market engine includes an extensive sales force and a global network of channel partners. We employ full-time service and support professionals and maintain approximately vendor-managed service centers. We also manage a world-class supply chain at significant scale.</w:t>
      </w:r>
    </w:p>
    <w:p>
      <w:pPr>
        <w:spacing w:after="0" w:line="188"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We further strengthen customer relationships through our financing offerings provided by DFS and our flexible consumption models, including utility, subscription, and as-a-Service models, which we continue to expand under Dell APEX. These offerings enable our customers to pay over time and provide them with financial flexibility to meet their changing technological requirements.</w:t>
      </w:r>
    </w:p>
    <w:p>
      <w:pPr>
        <w:spacing w:after="0" w:line="184" w:lineRule="exact"/>
        <w:rPr>
          <w:sz w:val="20"/>
          <w:szCs w:val="20"/>
          <w:color w:val="auto"/>
        </w:rPr>
      </w:pPr>
    </w:p>
    <w:p>
      <w:pPr>
        <w:jc w:val="both"/>
        <w:ind w:left="300" w:right="20" w:firstLine="426"/>
        <w:spacing w:after="0" w:line="263" w:lineRule="auto"/>
        <w:rPr>
          <w:sz w:val="20"/>
          <w:szCs w:val="20"/>
          <w:color w:val="auto"/>
        </w:rPr>
      </w:pPr>
      <w:r>
        <w:rPr>
          <w:rFonts w:ascii="Arial" w:cs="Arial" w:eastAsia="Arial" w:hAnsi="Arial"/>
          <w:sz w:val="18"/>
          <w:szCs w:val="18"/>
          <w:color w:val="auto"/>
        </w:rPr>
        <w:t>Our vision is to become the most essential technology company for the data era. We help customers address their evolving IT needs and their broader digital transformation objectives as they embrace today’s multi-cloud world. We intend to execute our vision by focusing on two strategic priorities:</w:t>
      </w:r>
    </w:p>
    <w:p>
      <w:pPr>
        <w:spacing w:after="0" w:line="89"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 and modernize our core offerings in the markets in which we predominantly compete; and</w:t>
      </w:r>
    </w:p>
    <w:p>
      <w:pPr>
        <w:spacing w:after="0" w:line="130" w:lineRule="exact"/>
        <w:rPr>
          <w:rFonts w:ascii="Arial" w:cs="Arial" w:eastAsia="Arial" w:hAnsi="Arial"/>
          <w:sz w:val="18"/>
          <w:szCs w:val="18"/>
          <w:color w:val="auto"/>
        </w:rPr>
      </w:pPr>
    </w:p>
    <w:p>
      <w:pPr>
        <w:ind w:left="1240" w:right="5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pursue attractive new growth opportunities such as edge computing, Telecom, data management, and as-a-Service consumption models.</w:t>
      </w:r>
    </w:p>
    <w:p>
      <w:pPr>
        <w:spacing w:after="0" w:line="170" w:lineRule="exact"/>
        <w:rPr>
          <w:sz w:val="20"/>
          <w:szCs w:val="20"/>
          <w:color w:val="auto"/>
        </w:rPr>
      </w:pPr>
    </w:p>
    <w:p>
      <w:pPr>
        <w:ind w:left="300" w:right="140" w:firstLine="426"/>
        <w:spacing w:after="0" w:line="311" w:lineRule="auto"/>
        <w:rPr>
          <w:sz w:val="20"/>
          <w:szCs w:val="20"/>
          <w:color w:val="auto"/>
        </w:rPr>
      </w:pPr>
      <w:r>
        <w:rPr>
          <w:rFonts w:ascii="Arial" w:cs="Arial" w:eastAsia="Arial" w:hAnsi="Arial"/>
          <w:sz w:val="16"/>
          <w:szCs w:val="16"/>
          <w:color w:val="auto"/>
        </w:rPr>
        <w:t>We believe we are well-positioned in the data and multi-cloud era and that our results will continue to benefit from our durable competitive advantages. We intend to continue to execute our business model and position our company for long-term success while balancing liquidity, profitability, and growth and keeping our purpose at the forefront of our decision-making: to create technologies that drive human progress.</w:t>
      </w:r>
    </w:p>
    <w:p>
      <w:pPr>
        <w:spacing w:after="0" w:line="149"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The IT industry is rapidly evolving with demand for simpler, more agile solutions as companies leverage multiple clouds across their increasingly complex IT environments. To meet our customer needs, we continue to</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8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281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invest in research and development, sales, and other key areas of our business to deliver superior products and solutions capabilities and to drive long-term sustainable growth.</w:t>
      </w: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Overview of Dell International, EMC, Denali Intermediate and Dell</w:t>
      </w:r>
    </w:p>
    <w:p>
      <w:pPr>
        <w:spacing w:after="0" w:line="229" w:lineRule="exact"/>
        <w:rPr>
          <w:sz w:val="20"/>
          <w:szCs w:val="20"/>
          <w:color w:val="auto"/>
        </w:rPr>
      </w:pPr>
    </w:p>
    <w:p>
      <w:pPr>
        <w:ind w:left="300" w:right="120" w:firstLine="426"/>
        <w:spacing w:after="0" w:line="301" w:lineRule="auto"/>
        <w:rPr>
          <w:sz w:val="20"/>
          <w:szCs w:val="20"/>
          <w:color w:val="auto"/>
        </w:rPr>
      </w:pPr>
      <w:r>
        <w:rPr>
          <w:rFonts w:ascii="Arial" w:cs="Arial" w:eastAsia="Arial" w:hAnsi="Arial"/>
          <w:sz w:val="16"/>
          <w:szCs w:val="16"/>
          <w:color w:val="auto"/>
        </w:rPr>
        <w:t>Each of Dell International and EMC is a direct wholly-owned subsidiary of Dell and an indirect wholly-owned consolidated subsidiary of Dell Technologies. Denali Intermediate is a direct wholly-owned consolidated subsidiary of Dell Technologies. Additionally, Dell is a direct wholly-owned subsidiary of Denali Intermediate and an indirect wholly-owned consolidated subsidiary of Dell Technologies. Dell International, EMC, Denali Intermediate and Dell are holding companies that directly or indirectly hold all of the operating subsidiaries of Dell Technologies.</w:t>
      </w:r>
    </w:p>
    <w:p>
      <w:pPr>
        <w:spacing w:after="0" w:line="15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Dell International is the parent of DFS, which, along with its affiliates, supports our businesses by offering and arranging various financing options and services for our customers primarily in North America, Europe, Australia, and New Zealand.</w:t>
      </w: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Tender Offer</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In June 2023, we made offers to purchase 6.020% Senior Notes due 2026, 4.900% Senior Notes due 2026, 4.000% Senior Notes due 2024, 5.850% Senior Notes due 2025 and 6.100% Senior Notes due 2027 for cash, subject to an aggregate tender cap of $1,000,000,000 principal amount, as well as the other terms contained in the offers (the “Debt Tender Offer”). Pursuant to the offers, on July 5, 2023, we purchased and retired $999,994,000 aggregate principal amount of 6.020% Senior Notes due 2026. No 4.900% Senior Notes due 2026, 4.000% Senior Notes due 2024, 5.850% Senior Notes due 2025 and 6.100% Senior Notes due 2027 tendered were accepted.</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Bond Repurchases</w:t>
      </w:r>
    </w:p>
    <w:p>
      <w:pPr>
        <w:spacing w:after="0" w:line="121"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Between May 5, 2023 and August 8, 2023, we repurchased $37.6 million aggregate principal amount of old 2041 notes and $105.1 million aggregate principal amount of old 2051 notes, in each case, on the open market for an aggregate $142.7 million (collectively, the “2041 and 2051 Bond Repurchases”).</w:t>
      </w: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320" w:top="459" w:right="7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41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7417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Ownership and Corporate Structure</w:t>
      </w:r>
    </w:p>
    <w:p>
      <w:pPr>
        <w:spacing w:after="0" w:line="229"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The following chart illustrates the ownership and corporate structure of Dell Technologies and its subsidiaries and the outstanding debt of such entities as of May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hanging="422"/>
        <w:spacing w:after="0" w:line="29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outstanding notes are, and the exchange notes offered hereby will be, fully and unconditionally guaranteed on a joint and several basis by Dell Technologies, Denali Intermediate and Dell. All obligations under the revolving credit facility and Dell-EMC notes are fully and</w:t>
      </w:r>
    </w:p>
    <w:p>
      <w:pPr>
        <w:ind w:left="720"/>
        <w:spacing w:after="0"/>
        <w:rPr>
          <w:sz w:val="20"/>
          <w:szCs w:val="20"/>
          <w:color w:val="auto"/>
        </w:rPr>
      </w:pPr>
      <w:r>
        <w:rPr>
          <w:rFonts w:ascii="Arial" w:cs="Arial" w:eastAsia="Arial" w:hAnsi="Arial"/>
          <w:sz w:val="18"/>
          <w:szCs w:val="18"/>
          <w:color w:val="auto"/>
        </w:rPr>
        <w:t>unconditionally guaranteed by Dell Technologies, Denali Intermediate and Dell.</w:t>
      </w:r>
    </w:p>
    <w:p>
      <w:pPr>
        <w:spacing w:after="0" w:line="9" w:lineRule="exact"/>
        <w:rPr>
          <w:sz w:val="20"/>
          <w:szCs w:val="20"/>
          <w:color w:val="auto"/>
        </w:rPr>
      </w:pPr>
    </w:p>
    <w:p>
      <w:pPr>
        <w:ind w:left="720" w:hanging="422"/>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 of the Issuers’ subsidiaries or their respective subsidiaries guarantee the revolving credit facility, the outstanding notes or the existing</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and none of such subsidiaries will guarantee the exchange notes offered hereby.</w:t>
      </w:r>
    </w:p>
    <w:p>
      <w:pPr>
        <w:spacing w:after="0" w:line="9" w:lineRule="exact"/>
        <w:rPr>
          <w:sz w:val="20"/>
          <w:szCs w:val="20"/>
          <w:color w:val="auto"/>
        </w:rPr>
      </w:pPr>
    </w:p>
    <w:p>
      <w:pPr>
        <w:ind w:left="720" w:right="200" w:hanging="422"/>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aggregate principal amount of 7.10% senior debentures due 2028, 6.50% senior notes due 2038 and 5.40% senior notes due 2040, which were issued by Dell prior to the going-private transaction.</w:t>
      </w:r>
    </w:p>
    <w:p>
      <w:pPr>
        <w:ind w:left="720" w:right="420" w:hanging="422"/>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had $6 billion of available borrowings under the revolving credit facility (without giving effect to an immaterial amount of letters of credit outstanding).</w:t>
      </w:r>
    </w:p>
    <w:p>
      <w:pPr>
        <w:ind w:left="720" w:right="20" w:hanging="422"/>
        <w:spacing w:after="0" w:line="265"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aggregate principal amount of Dell-EMC notes. In addition, (i) on July 5, 2023, we purchased and retired $999,994,000 aggregate principal amount of 6.020% Senior Notes due 2026 in the Debt Tender Offer; and (ii) between May 5, 2023 and August 8, 2023, we repurchased $37.6 million aggregate principal amount of old 2041 notes and $105.1 million aggregate principal amount of old 2051 notes in the 2041 and 2051 Bond Repurchases. Such repurchases are not reflected in the above chart.</w:t>
      </w:r>
    </w:p>
    <w:p>
      <w:pPr>
        <w:ind w:left="720" w:hanging="422"/>
        <w:spacing w:after="0" w:line="26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non-guarantors’ outstanding borrowings under DFS Debt. As of May 5, 2023, we and our subsidiaries had approximately $10,146 million-equivalent of available borrowings thereunder, all of which</w:t>
      </w:r>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21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921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75" w:lineRule="auto"/>
        <w:rPr>
          <w:sz w:val="20"/>
          <w:szCs w:val="20"/>
          <w:color w:val="auto"/>
        </w:rPr>
      </w:pPr>
      <w:r>
        <w:rPr>
          <w:rFonts w:ascii="Arial" w:cs="Arial" w:eastAsia="Arial" w:hAnsi="Arial"/>
          <w:sz w:val="17"/>
          <w:szCs w:val="17"/>
          <w:color w:val="auto"/>
        </w:rPr>
        <w:t>will be structurally senior to the exchange notes. The majority of DFS Debt is non-recourse to Dell Technologies and represents borrowings under securitization programs and structured financing programs, for which our risk of loss is limited to transferred lease and loan payments and associated equipment, and the credit holders under these programs have no recourse to Dell Technologies. Dell provides an unsecured guarantee of the obligations under an aggregate $1.4 billion amount of DFS Debt. Does not reflect outstanding borrowings of approximately $11.0 million of the Issuers and the guarantors under DFS Debt.</w:t>
      </w:r>
    </w:p>
    <w:p>
      <w:pPr>
        <w:spacing w:after="0" w:line="28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320" w:top="459" w:right="7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6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2567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Dell Technologies (under the name Denali Holding Inc.) was incorporated in the State of Delaware in 2013 in connection with the going-private transaction in October 2013 pursuant to which the public stockholders of Dell received cash for their shares of Dell common stock. Denali Holding Inc. changed its name to Dell Technologies Inc. on August 25, 2016. Our global corporate headquarters is located at One Dell Way, Round Rock, Texas 78682. Our telephone number is (512) 728-7800. Our website is www.delltechnologies.com and the Investors page of our website is https://investors.delltechnologies.com. Information contained or linked on our website is not incorporated by reference into this prospectus and is not a part of this prospectus.</w:t>
      </w:r>
    </w:p>
    <w:p>
      <w:pPr>
        <w:spacing w:after="0" w:line="192" w:lineRule="exact"/>
        <w:rPr>
          <w:sz w:val="20"/>
          <w:szCs w:val="20"/>
          <w:color w:val="auto"/>
        </w:rPr>
      </w:pPr>
    </w:p>
    <w:p>
      <w:pPr>
        <w:ind w:left="300" w:right="260" w:firstLine="426"/>
        <w:spacing w:after="0" w:line="259" w:lineRule="auto"/>
        <w:rPr>
          <w:sz w:val="20"/>
          <w:szCs w:val="20"/>
          <w:color w:val="auto"/>
        </w:rPr>
      </w:pPr>
      <w:r>
        <w:rPr>
          <w:rFonts w:ascii="Arial" w:cs="Arial" w:eastAsia="Arial" w:hAnsi="Arial"/>
          <w:sz w:val="18"/>
          <w:szCs w:val="18"/>
          <w:color w:val="auto"/>
        </w:rPr>
        <w:t>Dell International (under the name New Dell International LLC) was incorporated in the State of Delaware in 2016 in connection with the EMC merger transaction. New Dell International LLC changed its name to Dell International L.L.C. on September 8, 2016. Dell and Denali Intermediate were incorporated in the State of Delaware in 1987 and 2013, respectively. The principal address of Dell International, Denali Intermediate and Dell is One Dell Way, Round Rock, Texas 78682.</w:t>
      </w:r>
    </w:p>
    <w:p>
      <w:pPr>
        <w:spacing w:after="0" w:line="187" w:lineRule="exact"/>
        <w:rPr>
          <w:sz w:val="20"/>
          <w:szCs w:val="20"/>
          <w:color w:val="auto"/>
        </w:rPr>
      </w:pPr>
    </w:p>
    <w:p>
      <w:pPr>
        <w:jc w:val="both"/>
        <w:ind w:left="300" w:right="140" w:firstLine="426"/>
        <w:spacing w:after="0" w:line="286" w:lineRule="auto"/>
        <w:rPr>
          <w:sz w:val="20"/>
          <w:szCs w:val="20"/>
          <w:color w:val="auto"/>
        </w:rPr>
      </w:pPr>
      <w:r>
        <w:rPr>
          <w:rFonts w:ascii="Arial" w:cs="Arial" w:eastAsia="Arial" w:hAnsi="Arial"/>
          <w:sz w:val="17"/>
          <w:szCs w:val="17"/>
          <w:color w:val="auto"/>
        </w:rPr>
        <w:t>EMC was incorporated in Massachusetts in 1979. EMC’s corporate headquarters are located at 176 South Street, Hopkinton, Massachusetts 01748. EMC’s telephone number is (508) 435-1000. EMC maintains a website at www.emccorporation.com. Information contained or linked on EMC’s website is not incorporated by reference into this prospectus and is not a part of this prospectus.</w:t>
      </w: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i w:val="1"/>
          <w:iCs w:val="1"/>
          <w:color w:val="auto"/>
        </w:rPr>
        <w:t>The following summary is provided solely for your convenience and is not intended to be complete. You should read the full text and more specific details contained elsewhere in this prospectus for a more detailed description of the notes.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General</w:t>
            </w: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4"/>
              </w:rPr>
              <w:t>On December 13, 2021, the Issuers completed a private offering of the old 2041 notes and</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2"/>
              </w:rPr>
              <w:t>the old 2051 notes, and in connection therewith, the Issuers and the guarantors entered into</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8"/>
              </w:rPr>
              <w:t>a registration rights agreement with the initial purchasers in which they agreed, among</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3"/>
              </w:rPr>
              <w:t>other things, to complete the exchange offer within two years after such issue date. You are</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5"/>
              </w:rPr>
              <w:t>entitled to exchange in the exchange offer your outstanding notes for the exchange notes</w:t>
            </w:r>
          </w:p>
        </w:tc>
      </w:tr>
      <w:tr>
        <w:trPr>
          <w:trHeight w:val="230"/>
        </w:trPr>
        <w:tc>
          <w:tcPr>
            <w:tcW w:w="2940" w:type="dxa"/>
            <w:vAlign w:val="bottom"/>
          </w:tcPr>
          <w:p>
            <w:pPr>
              <w:spacing w:after="0"/>
              <w:rPr>
                <w:sz w:val="20"/>
                <w:szCs w:val="20"/>
                <w:color w:val="auto"/>
              </w:rPr>
            </w:pPr>
          </w:p>
        </w:tc>
        <w:tc>
          <w:tcPr>
            <w:tcW w:w="6800" w:type="dxa"/>
            <w:vAlign w:val="bottom"/>
          </w:tcPr>
          <w:p>
            <w:pPr>
              <w:ind w:left="1280"/>
              <w:spacing w:after="0"/>
              <w:rPr>
                <w:sz w:val="20"/>
                <w:szCs w:val="20"/>
                <w:color w:val="auto"/>
              </w:rPr>
            </w:pPr>
            <w:r>
              <w:rPr>
                <w:rFonts w:ascii="Arial" w:cs="Arial" w:eastAsia="Arial" w:hAnsi="Arial"/>
                <w:sz w:val="18"/>
                <w:szCs w:val="18"/>
                <w:color w:val="auto"/>
                <w:w w:val="92"/>
              </w:rPr>
              <w:t>which are identical in all material respects to the outstanding notes except:</w:t>
            </w:r>
          </w:p>
        </w:tc>
        <w:tc>
          <w:tcPr>
            <w:tcW w:w="1280" w:type="dxa"/>
            <w:vAlign w:val="bottom"/>
          </w:tcPr>
          <w:p>
            <w:pPr>
              <w:spacing w:after="0"/>
              <w:rPr>
                <w:sz w:val="20"/>
                <w:szCs w:val="20"/>
                <w:color w:val="auto"/>
              </w:rPr>
            </w:pPr>
          </w:p>
        </w:tc>
      </w:tr>
      <w:tr>
        <w:trPr>
          <w:trHeight w:val="338"/>
        </w:trPr>
        <w:tc>
          <w:tcPr>
            <w:tcW w:w="2940" w:type="dxa"/>
            <w:vAlign w:val="bottom"/>
          </w:tcPr>
          <w:p>
            <w:pPr>
              <w:spacing w:after="0"/>
              <w:rPr>
                <w:sz w:val="24"/>
                <w:szCs w:val="24"/>
                <w:color w:val="auto"/>
              </w:rPr>
            </w:pPr>
          </w:p>
        </w:tc>
        <w:tc>
          <w:tcPr>
            <w:tcW w:w="6800" w:type="dxa"/>
            <w:vAlign w:val="bottom"/>
          </w:tcPr>
          <w:p>
            <w:pPr>
              <w:ind w:left="1280"/>
              <w:spacing w:after="0"/>
              <w:rPr>
                <w:sz w:val="20"/>
                <w:szCs w:val="20"/>
                <w:color w:val="auto"/>
              </w:rPr>
            </w:pPr>
            <w:r>
              <w:rPr>
                <w:rFonts w:ascii="Arial" w:cs="Arial" w:eastAsia="Arial" w:hAnsi="Arial"/>
                <w:sz w:val="18"/>
                <w:szCs w:val="18"/>
                <w:color w:val="auto"/>
              </w:rPr>
              <w:t>•  the exchange notes have been registered under the Securities Act;</w:t>
            </w:r>
          </w:p>
        </w:tc>
        <w:tc>
          <w:tcPr>
            <w:tcW w:w="1280" w:type="dxa"/>
            <w:vAlign w:val="bottom"/>
          </w:tcPr>
          <w:p>
            <w:pPr>
              <w:spacing w:after="0"/>
              <w:rPr>
                <w:sz w:val="24"/>
                <w:szCs w:val="24"/>
                <w:color w:val="auto"/>
              </w:rPr>
            </w:pPr>
          </w:p>
        </w:tc>
      </w:tr>
      <w:tr>
        <w:trPr>
          <w:trHeight w:val="323"/>
        </w:trPr>
        <w:tc>
          <w:tcPr>
            <w:tcW w:w="2940" w:type="dxa"/>
            <w:vAlign w:val="bottom"/>
          </w:tcPr>
          <w:p>
            <w:pPr>
              <w:spacing w:after="0"/>
              <w:rPr>
                <w:sz w:val="24"/>
                <w:szCs w:val="24"/>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5"/>
              </w:rPr>
              <w:t>•  the exchange notes are not entitled to any registration rights which are applicable to the</w:t>
            </w:r>
          </w:p>
        </w:tc>
      </w:tr>
      <w:tr>
        <w:trPr>
          <w:trHeight w:val="230"/>
        </w:trPr>
        <w:tc>
          <w:tcPr>
            <w:tcW w:w="2940" w:type="dxa"/>
            <w:vAlign w:val="bottom"/>
          </w:tcPr>
          <w:p>
            <w:pPr>
              <w:spacing w:after="0"/>
              <w:rPr>
                <w:sz w:val="20"/>
                <w:szCs w:val="20"/>
                <w:color w:val="auto"/>
              </w:rPr>
            </w:pPr>
          </w:p>
        </w:tc>
        <w:tc>
          <w:tcPr>
            <w:tcW w:w="6800" w:type="dxa"/>
            <w:vAlign w:val="bottom"/>
          </w:tcPr>
          <w:p>
            <w:pPr>
              <w:ind w:left="1460"/>
              <w:spacing w:after="0"/>
              <w:rPr>
                <w:sz w:val="20"/>
                <w:szCs w:val="20"/>
                <w:color w:val="auto"/>
              </w:rPr>
            </w:pPr>
            <w:r>
              <w:rPr>
                <w:rFonts w:ascii="Arial" w:cs="Arial" w:eastAsia="Arial" w:hAnsi="Arial"/>
                <w:sz w:val="18"/>
                <w:szCs w:val="18"/>
                <w:color w:val="auto"/>
              </w:rPr>
              <w:t>outstanding notes under the registration rights agreement; and</w:t>
            </w:r>
          </w:p>
        </w:tc>
        <w:tc>
          <w:tcPr>
            <w:tcW w:w="1280" w:type="dxa"/>
            <w:vAlign w:val="bottom"/>
          </w:tcPr>
          <w:p>
            <w:pPr>
              <w:spacing w:after="0"/>
              <w:rPr>
                <w:sz w:val="20"/>
                <w:szCs w:val="20"/>
                <w:color w:val="auto"/>
              </w:rPr>
            </w:pPr>
          </w:p>
        </w:tc>
      </w:tr>
      <w:tr>
        <w:trPr>
          <w:trHeight w:val="323"/>
        </w:trPr>
        <w:tc>
          <w:tcPr>
            <w:tcW w:w="2940" w:type="dxa"/>
            <w:vAlign w:val="bottom"/>
          </w:tcPr>
          <w:p>
            <w:pPr>
              <w:spacing w:after="0"/>
              <w:rPr>
                <w:sz w:val="24"/>
                <w:szCs w:val="24"/>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  the additional interest provision of the registration rights agreement is no longer</w:t>
            </w:r>
          </w:p>
        </w:tc>
      </w:tr>
      <w:tr>
        <w:trPr>
          <w:trHeight w:val="230"/>
        </w:trPr>
        <w:tc>
          <w:tcPr>
            <w:tcW w:w="2940" w:type="dxa"/>
            <w:vAlign w:val="bottom"/>
          </w:tcPr>
          <w:p>
            <w:pPr>
              <w:spacing w:after="0"/>
              <w:rPr>
                <w:sz w:val="20"/>
                <w:szCs w:val="20"/>
                <w:color w:val="auto"/>
              </w:rPr>
            </w:pPr>
          </w:p>
        </w:tc>
        <w:tc>
          <w:tcPr>
            <w:tcW w:w="6800" w:type="dxa"/>
            <w:vAlign w:val="bottom"/>
          </w:tcPr>
          <w:p>
            <w:pPr>
              <w:ind w:left="1460"/>
              <w:spacing w:after="0"/>
              <w:rPr>
                <w:sz w:val="20"/>
                <w:szCs w:val="20"/>
                <w:color w:val="auto"/>
              </w:rPr>
            </w:pPr>
            <w:r>
              <w:rPr>
                <w:rFonts w:ascii="Arial" w:cs="Arial" w:eastAsia="Arial" w:hAnsi="Arial"/>
                <w:sz w:val="18"/>
                <w:szCs w:val="18"/>
                <w:color w:val="auto"/>
              </w:rPr>
              <w:t>applicable.</w:t>
            </w:r>
          </w:p>
        </w:tc>
        <w:tc>
          <w:tcPr>
            <w:tcW w:w="1280" w:type="dxa"/>
            <w:vAlign w:val="bottom"/>
          </w:tcPr>
          <w:p>
            <w:pPr>
              <w:spacing w:after="0"/>
              <w:rPr>
                <w:sz w:val="20"/>
                <w:szCs w:val="20"/>
                <w:color w:val="auto"/>
              </w:rPr>
            </w:pPr>
          </w:p>
        </w:tc>
      </w:tr>
      <w:tr>
        <w:trPr>
          <w:trHeight w:val="445"/>
        </w:trPr>
        <w:tc>
          <w:tcPr>
            <w:tcW w:w="2940" w:type="dxa"/>
            <w:vAlign w:val="bottom"/>
          </w:tcPr>
          <w:p>
            <w:pPr>
              <w:ind w:left="180"/>
              <w:spacing w:after="0"/>
              <w:rPr>
                <w:sz w:val="20"/>
                <w:szCs w:val="20"/>
                <w:color w:val="auto"/>
              </w:rPr>
            </w:pPr>
            <w:r>
              <w:rPr>
                <w:rFonts w:ascii="Arial" w:cs="Arial" w:eastAsia="Arial" w:hAnsi="Arial"/>
                <w:sz w:val="18"/>
                <w:szCs w:val="18"/>
                <w:color w:val="auto"/>
              </w:rPr>
              <w:t>The Exchange Offer</w:t>
            </w: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3"/>
              </w:rPr>
              <w:t>The Issuers are offering to exchange: (i) up to $962,390,000 aggregate principal amount of</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3"/>
              </w:rPr>
              <w:t>3.375% Senior Notes due 2041 and (ii) up to $1,094,877,000 aggregate principal amount of</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2"/>
              </w:rPr>
              <w:t>3.450% Senior Notes due 2051, each of which has been registered under the Securities Act,</w:t>
            </w:r>
          </w:p>
        </w:tc>
      </w:tr>
      <w:tr>
        <w:trPr>
          <w:trHeight w:val="230"/>
        </w:trPr>
        <w:tc>
          <w:tcPr>
            <w:tcW w:w="2940" w:type="dxa"/>
            <w:vAlign w:val="bottom"/>
          </w:tcPr>
          <w:p>
            <w:pPr>
              <w:spacing w:after="0"/>
              <w:rPr>
                <w:sz w:val="20"/>
                <w:szCs w:val="20"/>
                <w:color w:val="auto"/>
              </w:rPr>
            </w:pPr>
          </w:p>
        </w:tc>
        <w:tc>
          <w:tcPr>
            <w:tcW w:w="6800" w:type="dxa"/>
            <w:vAlign w:val="bottom"/>
          </w:tcPr>
          <w:p>
            <w:pPr>
              <w:ind w:left="1280"/>
              <w:spacing w:after="0"/>
              <w:rPr>
                <w:sz w:val="20"/>
                <w:szCs w:val="20"/>
                <w:color w:val="auto"/>
              </w:rPr>
            </w:pPr>
            <w:r>
              <w:rPr>
                <w:rFonts w:ascii="Arial" w:cs="Arial" w:eastAsia="Arial" w:hAnsi="Arial"/>
                <w:sz w:val="18"/>
                <w:szCs w:val="18"/>
                <w:color w:val="auto"/>
              </w:rPr>
              <w:t>for a like amount of outstanding notes.</w:t>
            </w:r>
          </w:p>
        </w:tc>
        <w:tc>
          <w:tcPr>
            <w:tcW w:w="1280" w:type="dxa"/>
            <w:vAlign w:val="bottom"/>
          </w:tcPr>
          <w:p>
            <w:pPr>
              <w:spacing w:after="0"/>
              <w:rPr>
                <w:sz w:val="20"/>
                <w:szCs w:val="20"/>
                <w:color w:val="auto"/>
              </w:rPr>
            </w:pPr>
          </w:p>
        </w:tc>
      </w:tr>
      <w:tr>
        <w:trPr>
          <w:trHeight w:val="445"/>
        </w:trPr>
        <w:tc>
          <w:tcPr>
            <w:tcW w:w="2940" w:type="dxa"/>
            <w:vAlign w:val="bottom"/>
          </w:tcPr>
          <w:p>
            <w:pPr>
              <w:spacing w:after="0"/>
              <w:rPr>
                <w:sz w:val="24"/>
                <w:szCs w:val="24"/>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You may only exchange outstanding notes in denominations of $2,000 and integral</w:t>
            </w:r>
          </w:p>
        </w:tc>
      </w:tr>
      <w:tr>
        <w:trPr>
          <w:trHeight w:val="230"/>
        </w:trPr>
        <w:tc>
          <w:tcPr>
            <w:tcW w:w="2940" w:type="dxa"/>
            <w:vAlign w:val="bottom"/>
          </w:tcPr>
          <w:p>
            <w:pPr>
              <w:spacing w:after="0"/>
              <w:rPr>
                <w:sz w:val="20"/>
                <w:szCs w:val="20"/>
                <w:color w:val="auto"/>
              </w:rPr>
            </w:pPr>
          </w:p>
        </w:tc>
        <w:tc>
          <w:tcPr>
            <w:tcW w:w="6800" w:type="dxa"/>
            <w:vAlign w:val="bottom"/>
          </w:tcPr>
          <w:p>
            <w:pPr>
              <w:ind w:left="1280"/>
              <w:spacing w:after="0"/>
              <w:rPr>
                <w:sz w:val="20"/>
                <w:szCs w:val="20"/>
                <w:color w:val="auto"/>
              </w:rPr>
            </w:pPr>
            <w:r>
              <w:rPr>
                <w:rFonts w:ascii="Arial" w:cs="Arial" w:eastAsia="Arial" w:hAnsi="Arial"/>
                <w:sz w:val="18"/>
                <w:szCs w:val="18"/>
                <w:color w:val="auto"/>
              </w:rPr>
              <w:t>multiples of $1,000, in excess thereof.</w:t>
            </w:r>
          </w:p>
        </w:tc>
        <w:tc>
          <w:tcPr>
            <w:tcW w:w="1280" w:type="dxa"/>
            <w:vAlign w:val="bottom"/>
          </w:tcPr>
          <w:p>
            <w:pPr>
              <w:spacing w:after="0"/>
              <w:rPr>
                <w:sz w:val="20"/>
                <w:szCs w:val="20"/>
                <w:color w:val="auto"/>
              </w:rPr>
            </w:pPr>
          </w:p>
        </w:tc>
      </w:tr>
      <w:tr>
        <w:trPr>
          <w:trHeight w:val="445"/>
        </w:trPr>
        <w:tc>
          <w:tcPr>
            <w:tcW w:w="2940" w:type="dxa"/>
            <w:vAlign w:val="bottom"/>
          </w:tcPr>
          <w:p>
            <w:pPr>
              <w:ind w:left="180"/>
              <w:spacing w:after="0"/>
              <w:rPr>
                <w:sz w:val="20"/>
                <w:szCs w:val="20"/>
                <w:color w:val="auto"/>
              </w:rPr>
            </w:pPr>
            <w:r>
              <w:rPr>
                <w:rFonts w:ascii="Arial" w:cs="Arial" w:eastAsia="Arial" w:hAnsi="Arial"/>
                <w:sz w:val="18"/>
                <w:szCs w:val="18"/>
                <w:color w:val="auto"/>
              </w:rPr>
              <w:t>Resale</w:t>
            </w: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7"/>
              </w:rPr>
              <w:t>Based on an interpretation by the staff of the SEC set forth in no-action letters issued to</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4"/>
              </w:rPr>
              <w:t>third parties, the Issuers believe that the exchange notes issued pursuant to the exchange</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7"/>
              </w:rPr>
              <w:t>offer in exchange for outstanding notes may be offered for resale, resold and otherwise</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5"/>
              </w:rPr>
              <w:t>transferred by you (unless you are our “affiliate” within the meaning of Rule 405 under the</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4"/>
              </w:rPr>
              <w:t>Securities Act) without compliance with the registration and prospectus delivery provisions</w:t>
            </w:r>
          </w:p>
        </w:tc>
      </w:tr>
      <w:tr>
        <w:trPr>
          <w:trHeight w:val="230"/>
        </w:trPr>
        <w:tc>
          <w:tcPr>
            <w:tcW w:w="2940" w:type="dxa"/>
            <w:vAlign w:val="bottom"/>
          </w:tcPr>
          <w:p>
            <w:pPr>
              <w:spacing w:after="0"/>
              <w:rPr>
                <w:sz w:val="20"/>
                <w:szCs w:val="20"/>
                <w:color w:val="auto"/>
              </w:rPr>
            </w:pPr>
          </w:p>
        </w:tc>
        <w:tc>
          <w:tcPr>
            <w:tcW w:w="6800" w:type="dxa"/>
            <w:vAlign w:val="bottom"/>
          </w:tcPr>
          <w:p>
            <w:pPr>
              <w:ind w:left="1280"/>
              <w:spacing w:after="0"/>
              <w:rPr>
                <w:sz w:val="20"/>
                <w:szCs w:val="20"/>
                <w:color w:val="auto"/>
              </w:rPr>
            </w:pPr>
            <w:r>
              <w:rPr>
                <w:rFonts w:ascii="Arial" w:cs="Arial" w:eastAsia="Arial" w:hAnsi="Arial"/>
                <w:sz w:val="18"/>
                <w:szCs w:val="18"/>
                <w:color w:val="auto"/>
              </w:rPr>
              <w:t>of the Securities Act, provided that:</w:t>
            </w:r>
          </w:p>
        </w:tc>
        <w:tc>
          <w:tcPr>
            <w:tcW w:w="1280" w:type="dxa"/>
            <w:vAlign w:val="bottom"/>
          </w:tcPr>
          <w:p>
            <w:pPr>
              <w:spacing w:after="0"/>
              <w:rPr>
                <w:sz w:val="20"/>
                <w:szCs w:val="20"/>
                <w:color w:val="auto"/>
              </w:rPr>
            </w:pPr>
          </w:p>
        </w:tc>
      </w:tr>
      <w:tr>
        <w:trPr>
          <w:trHeight w:val="338"/>
        </w:trPr>
        <w:tc>
          <w:tcPr>
            <w:tcW w:w="2940" w:type="dxa"/>
            <w:vAlign w:val="bottom"/>
          </w:tcPr>
          <w:p>
            <w:pPr>
              <w:spacing w:after="0"/>
              <w:rPr>
                <w:sz w:val="24"/>
                <w:szCs w:val="24"/>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  you are acquiring the exchange notes in the ordinary course of your business; and</w:t>
            </w:r>
          </w:p>
        </w:tc>
      </w:tr>
      <w:tr>
        <w:trPr>
          <w:trHeight w:val="323"/>
        </w:trPr>
        <w:tc>
          <w:tcPr>
            <w:tcW w:w="2940" w:type="dxa"/>
            <w:vAlign w:val="bottom"/>
          </w:tcPr>
          <w:p>
            <w:pPr>
              <w:spacing w:after="0"/>
              <w:rPr>
                <w:sz w:val="24"/>
                <w:szCs w:val="24"/>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rPr>
              <w:t>•  you have not engaged in, do not intend to engage in, and have no arrangement or</w:t>
            </w:r>
          </w:p>
        </w:tc>
      </w:tr>
      <w:tr>
        <w:trPr>
          <w:trHeight w:val="230"/>
        </w:trPr>
        <w:tc>
          <w:tcPr>
            <w:tcW w:w="2940" w:type="dxa"/>
            <w:vAlign w:val="bottom"/>
          </w:tcPr>
          <w:p>
            <w:pPr>
              <w:spacing w:after="0"/>
              <w:rPr>
                <w:sz w:val="20"/>
                <w:szCs w:val="20"/>
                <w:color w:val="auto"/>
              </w:rPr>
            </w:pPr>
          </w:p>
        </w:tc>
        <w:tc>
          <w:tcPr>
            <w:tcW w:w="8080" w:type="dxa"/>
            <w:vAlign w:val="bottom"/>
            <w:gridSpan w:val="2"/>
          </w:tcPr>
          <w:p>
            <w:pPr>
              <w:ind w:left="1460"/>
              <w:spacing w:after="0"/>
              <w:rPr>
                <w:sz w:val="20"/>
                <w:szCs w:val="20"/>
                <w:color w:val="auto"/>
              </w:rPr>
            </w:pPr>
            <w:r>
              <w:rPr>
                <w:rFonts w:ascii="Arial" w:cs="Arial" w:eastAsia="Arial" w:hAnsi="Arial"/>
                <w:sz w:val="18"/>
                <w:szCs w:val="18"/>
                <w:color w:val="auto"/>
                <w:w w:val="98"/>
              </w:rPr>
              <w:t>understanding with any person to participate in, a distribution of the exchange notes.</w:t>
            </w:r>
          </w:p>
        </w:tc>
      </w:tr>
      <w:tr>
        <w:trPr>
          <w:trHeight w:val="445"/>
        </w:trPr>
        <w:tc>
          <w:tcPr>
            <w:tcW w:w="2940" w:type="dxa"/>
            <w:vAlign w:val="bottom"/>
          </w:tcPr>
          <w:p>
            <w:pPr>
              <w:ind w:left="180"/>
              <w:spacing w:after="0"/>
              <w:rPr>
                <w:sz w:val="20"/>
                <w:szCs w:val="20"/>
                <w:color w:val="auto"/>
              </w:rPr>
            </w:pPr>
            <w:r>
              <w:rPr>
                <w:rFonts w:ascii="Arial" w:cs="Arial" w:eastAsia="Arial" w:hAnsi="Arial"/>
                <w:sz w:val="18"/>
                <w:szCs w:val="18"/>
                <w:color w:val="auto"/>
              </w:rPr>
              <w:t>Expiration Date</w:t>
            </w:r>
          </w:p>
        </w:tc>
        <w:tc>
          <w:tcPr>
            <w:tcW w:w="6800" w:type="dxa"/>
            <w:vAlign w:val="bottom"/>
          </w:tcPr>
          <w:p>
            <w:pPr>
              <w:ind w:left="1280"/>
              <w:spacing w:after="0"/>
              <w:rPr>
                <w:sz w:val="20"/>
                <w:szCs w:val="20"/>
                <w:color w:val="auto"/>
              </w:rPr>
            </w:pPr>
            <w:r>
              <w:rPr>
                <w:rFonts w:ascii="Arial" w:cs="Arial" w:eastAsia="Arial" w:hAnsi="Arial"/>
                <w:sz w:val="18"/>
                <w:szCs w:val="18"/>
                <w:color w:val="auto"/>
              </w:rPr>
              <w:t>The exchange offer will expire at 5:00 p.m., New York City time, on</w:t>
            </w: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 2023,</w:t>
            </w:r>
          </w:p>
        </w:tc>
      </w:tr>
      <w:tr>
        <w:trPr>
          <w:trHeight w:val="216"/>
        </w:trPr>
        <w:tc>
          <w:tcPr>
            <w:tcW w:w="2940" w:type="dxa"/>
            <w:vAlign w:val="bottom"/>
          </w:tcPr>
          <w:p>
            <w:pPr>
              <w:spacing w:after="0"/>
              <w:rPr>
                <w:sz w:val="18"/>
                <w:szCs w:val="18"/>
                <w:color w:val="auto"/>
              </w:rPr>
            </w:pPr>
          </w:p>
        </w:tc>
        <w:tc>
          <w:tcPr>
            <w:tcW w:w="8080" w:type="dxa"/>
            <w:vAlign w:val="bottom"/>
            <w:gridSpan w:val="2"/>
          </w:tcPr>
          <w:p>
            <w:pPr>
              <w:ind w:left="1280"/>
              <w:spacing w:after="0"/>
              <w:rPr>
                <w:sz w:val="20"/>
                <w:szCs w:val="20"/>
                <w:color w:val="auto"/>
              </w:rPr>
            </w:pPr>
            <w:r>
              <w:rPr>
                <w:rFonts w:ascii="Arial" w:cs="Arial" w:eastAsia="Arial" w:hAnsi="Arial"/>
                <w:sz w:val="18"/>
                <w:szCs w:val="18"/>
                <w:color w:val="auto"/>
                <w:w w:val="97"/>
              </w:rPr>
              <w:t>which is the 21st business day after the date of this prospectus, unless extended by the</w:t>
            </w:r>
          </w:p>
        </w:tc>
      </w:tr>
      <w:tr>
        <w:trPr>
          <w:trHeight w:val="230"/>
        </w:trPr>
        <w:tc>
          <w:tcPr>
            <w:tcW w:w="2940" w:type="dxa"/>
            <w:vAlign w:val="bottom"/>
          </w:tcPr>
          <w:p>
            <w:pPr>
              <w:spacing w:after="0"/>
              <w:rPr>
                <w:sz w:val="20"/>
                <w:szCs w:val="20"/>
                <w:color w:val="auto"/>
              </w:rPr>
            </w:pPr>
          </w:p>
        </w:tc>
        <w:tc>
          <w:tcPr>
            <w:tcW w:w="6800" w:type="dxa"/>
            <w:vAlign w:val="bottom"/>
          </w:tcPr>
          <w:p>
            <w:pPr>
              <w:ind w:left="1280"/>
              <w:spacing w:after="0"/>
              <w:rPr>
                <w:sz w:val="20"/>
                <w:szCs w:val="20"/>
                <w:color w:val="auto"/>
              </w:rPr>
            </w:pPr>
            <w:r>
              <w:rPr>
                <w:rFonts w:ascii="Arial" w:cs="Arial" w:eastAsia="Arial" w:hAnsi="Arial"/>
                <w:sz w:val="18"/>
                <w:szCs w:val="18"/>
                <w:color w:val="auto"/>
                <w:w w:val="94"/>
              </w:rPr>
              <w:t>Issuers. The Issuers do not currently intend to extend the expiration date.</w:t>
            </w:r>
          </w:p>
        </w:tc>
        <w:tc>
          <w:tcPr>
            <w:tcW w:w="1280" w:type="dxa"/>
            <w:vAlign w:val="bottom"/>
          </w:tcPr>
          <w:p>
            <w:pPr>
              <w:spacing w:after="0"/>
              <w:rPr>
                <w:sz w:val="20"/>
                <w:szCs w:val="20"/>
                <w:color w:val="auto"/>
              </w:rPr>
            </w:pPr>
          </w:p>
        </w:tc>
      </w:tr>
      <w:tr>
        <w:trPr>
          <w:trHeight w:val="159"/>
        </w:trPr>
        <w:tc>
          <w:tcPr>
            <w:tcW w:w="2940" w:type="dxa"/>
            <w:vAlign w:val="bottom"/>
            <w:tcBorders>
              <w:bottom w:val="single" w:sz="8" w:color="auto"/>
            </w:tcBorders>
          </w:tcPr>
          <w:p>
            <w:pPr>
              <w:spacing w:after="0"/>
              <w:rPr>
                <w:sz w:val="13"/>
                <w:szCs w:val="13"/>
                <w:color w:val="auto"/>
              </w:rPr>
            </w:pPr>
          </w:p>
        </w:tc>
        <w:tc>
          <w:tcPr>
            <w:tcW w:w="68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361"/>
        </w:trPr>
        <w:tc>
          <w:tcPr>
            <w:tcW w:w="2940" w:type="dxa"/>
            <w:vAlign w:val="bottom"/>
          </w:tcPr>
          <w:p>
            <w:pPr>
              <w:spacing w:after="0"/>
              <w:rPr>
                <w:sz w:val="24"/>
                <w:szCs w:val="24"/>
                <w:color w:val="auto"/>
              </w:rPr>
            </w:pPr>
          </w:p>
        </w:tc>
        <w:tc>
          <w:tcPr>
            <w:tcW w:w="6800" w:type="dxa"/>
            <w:vAlign w:val="bottom"/>
          </w:tcPr>
          <w:p>
            <w:pPr>
              <w:ind w:left="2520"/>
              <w:spacing w:after="0"/>
              <w:rPr>
                <w:sz w:val="20"/>
                <w:szCs w:val="20"/>
                <w:color w:val="auto"/>
              </w:rPr>
            </w:pPr>
            <w:r>
              <w:rPr>
                <w:rFonts w:ascii="Arial" w:cs="Arial" w:eastAsia="Arial" w:hAnsi="Arial"/>
                <w:sz w:val="18"/>
                <w:szCs w:val="18"/>
                <w:color w:val="auto"/>
              </w:rPr>
              <w:t>6</w:t>
            </w:r>
          </w:p>
        </w:tc>
        <w:tc>
          <w:tcPr>
            <w:tcW w:w="12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27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6273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20"/>
        <w:spacing w:after="0" w:line="301" w:lineRule="auto"/>
        <w:rPr>
          <w:sz w:val="20"/>
          <w:szCs w:val="20"/>
          <w:color w:val="auto"/>
        </w:rPr>
      </w:pPr>
      <w:r>
        <w:rPr>
          <w:rFonts w:ascii="Arial" w:cs="Arial" w:eastAsia="Arial" w:hAnsi="Arial"/>
          <w:sz w:val="16"/>
          <w:szCs w:val="16"/>
          <w:color w:val="auto"/>
        </w:rPr>
        <w:t xml:space="preserve">If you are a broker-dealer and receive exchange notes for your own account in exchange for outstanding notes that you acquired as a result of market making activities or other trading activities, you must acknowledge that you will deliver this prospectus in connection with any resale of the exchange notes. See </w:t>
      </w:r>
      <w:r>
        <w:rPr>
          <w:rFonts w:ascii="Arial" w:cs="Arial" w:eastAsia="Arial" w:hAnsi="Arial"/>
          <w:sz w:val="16"/>
          <w:szCs w:val="16"/>
          <w:i w:val="1"/>
          <w:iCs w:val="1"/>
          <w:color w:val="auto"/>
        </w:rPr>
        <w:t>“Plan of Distribution.”</w:t>
      </w:r>
    </w:p>
    <w:p>
      <w:pPr>
        <w:spacing w:after="0" w:line="18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Any holder of outstanding notes who:</w:t>
      </w:r>
    </w:p>
    <w:p>
      <w:pPr>
        <w:spacing w:after="0" w:line="13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is our affiliate;</w:t>
      </w:r>
    </w:p>
    <w:p>
      <w:pPr>
        <w:spacing w:after="0" w:line="13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does not acquire exchange notes in the ordinary course of its business; or</w:t>
      </w:r>
    </w:p>
    <w:p>
      <w:pPr>
        <w:spacing w:after="0" w:line="131"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  tenders its outstanding notes in the exchange offer with the intention to participate, or for</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the purpose of participating, in a distribution of exchange notes; cannot rely on the</w:t>
            </w:r>
          </w:p>
        </w:tc>
      </w:tr>
      <w:tr>
        <w:trPr>
          <w:trHeight w:val="216"/>
        </w:trPr>
        <w:tc>
          <w:tcPr>
            <w:tcW w:w="406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position of the staff of the SEC enunciated in Morgan Stanley &amp; Co. Inc. (available</w:t>
            </w:r>
          </w:p>
        </w:tc>
      </w:tr>
      <w:tr>
        <w:trPr>
          <w:trHeight w:val="216"/>
        </w:trPr>
        <w:tc>
          <w:tcPr>
            <w:tcW w:w="406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June 5, 1991) and Exxon Capital Holdings Corp. (available May 13, 1988), as</w:t>
            </w:r>
          </w:p>
        </w:tc>
      </w:tr>
      <w:tr>
        <w:trPr>
          <w:trHeight w:val="216"/>
        </w:trPr>
        <w:tc>
          <w:tcPr>
            <w:tcW w:w="406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interpreted in the SEC’s letter to Shearman &amp; Sterling (available July 2, 1993), or</w:t>
            </w:r>
          </w:p>
        </w:tc>
      </w:tr>
      <w:tr>
        <w:trPr>
          <w:trHeight w:val="216"/>
        </w:trPr>
        <w:tc>
          <w:tcPr>
            <w:tcW w:w="406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w w:val="98"/>
              </w:rPr>
              <w:t>similar no-action letters and, in the absence of an exemption therefrom, must comply</w:t>
            </w:r>
          </w:p>
        </w:tc>
      </w:tr>
      <w:tr>
        <w:trPr>
          <w:trHeight w:val="216"/>
        </w:trPr>
        <w:tc>
          <w:tcPr>
            <w:tcW w:w="406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with the registration and prospectus delivery requirements of the Securities Act in</w:t>
            </w:r>
          </w:p>
        </w:tc>
      </w:tr>
      <w:tr>
        <w:trPr>
          <w:trHeight w:val="230"/>
        </w:trPr>
        <w:tc>
          <w:tcPr>
            <w:tcW w:w="406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connection with any resale of the exchange notes.</w:t>
            </w:r>
          </w:p>
        </w:tc>
      </w:tr>
      <w:tr>
        <w:trPr>
          <w:trHeight w:val="445"/>
        </w:trPr>
        <w:tc>
          <w:tcPr>
            <w:tcW w:w="4060" w:type="dxa"/>
            <w:vAlign w:val="bottom"/>
          </w:tcPr>
          <w:p>
            <w:pPr>
              <w:ind w:left="180"/>
              <w:spacing w:after="0"/>
              <w:rPr>
                <w:sz w:val="20"/>
                <w:szCs w:val="20"/>
                <w:color w:val="auto"/>
              </w:rPr>
            </w:pPr>
            <w:r>
              <w:rPr>
                <w:rFonts w:ascii="Arial" w:cs="Arial" w:eastAsia="Arial" w:hAnsi="Arial"/>
                <w:sz w:val="18"/>
                <w:szCs w:val="18"/>
                <w:color w:val="auto"/>
              </w:rPr>
              <w:t>Withdrawal</w:t>
            </w: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You may withdraw the tender of your outstanding notes at any time prior to the expiration</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of the exchange offer. The Issuers will return to you any of your outstanding notes that are</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not accepted for any reason for exchange, without expense to you, promptly after the</w:t>
            </w:r>
          </w:p>
        </w:tc>
      </w:tr>
      <w:tr>
        <w:trPr>
          <w:trHeight w:val="230"/>
        </w:trPr>
        <w:tc>
          <w:tcPr>
            <w:tcW w:w="406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expiration or termination of the exchange offer.</w:t>
            </w:r>
          </w:p>
        </w:tc>
      </w:tr>
      <w:tr>
        <w:trPr>
          <w:trHeight w:val="445"/>
        </w:trPr>
        <w:tc>
          <w:tcPr>
            <w:tcW w:w="4060" w:type="dxa"/>
            <w:vAlign w:val="bottom"/>
          </w:tcPr>
          <w:p>
            <w:pPr>
              <w:ind w:left="180"/>
              <w:spacing w:after="0"/>
              <w:rPr>
                <w:sz w:val="20"/>
                <w:szCs w:val="20"/>
                <w:color w:val="auto"/>
              </w:rPr>
            </w:pPr>
            <w:r>
              <w:rPr>
                <w:rFonts w:ascii="Arial" w:cs="Arial" w:eastAsia="Arial" w:hAnsi="Arial"/>
                <w:sz w:val="18"/>
                <w:szCs w:val="18"/>
                <w:color w:val="auto"/>
                <w:w w:val="92"/>
              </w:rPr>
              <w:t>Interest on the Exchange Notes and the Outstanding</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The exchange notes will bear interest at the rate per annum set forth on the cover page of</w:t>
            </w:r>
          </w:p>
        </w:tc>
      </w:tr>
      <w:tr>
        <w:trPr>
          <w:trHeight w:val="216"/>
        </w:trPr>
        <w:tc>
          <w:tcPr>
            <w:tcW w:w="4060" w:type="dxa"/>
            <w:vAlign w:val="bottom"/>
          </w:tcPr>
          <w:p>
            <w:pPr>
              <w:ind w:left="260"/>
              <w:spacing w:after="0"/>
              <w:rPr>
                <w:sz w:val="20"/>
                <w:szCs w:val="20"/>
                <w:color w:val="auto"/>
              </w:rPr>
            </w:pPr>
            <w:r>
              <w:rPr>
                <w:rFonts w:ascii="Arial" w:cs="Arial" w:eastAsia="Arial" w:hAnsi="Arial"/>
                <w:sz w:val="18"/>
                <w:szCs w:val="18"/>
                <w:color w:val="auto"/>
              </w:rPr>
              <w:t>Notes</w:t>
            </w:r>
          </w:p>
        </w:tc>
        <w:tc>
          <w:tcPr>
            <w:tcW w:w="6960" w:type="dxa"/>
            <w:vAlign w:val="bottom"/>
          </w:tcPr>
          <w:p>
            <w:pPr>
              <w:ind w:left="160"/>
              <w:spacing w:after="0"/>
              <w:rPr>
                <w:sz w:val="20"/>
                <w:szCs w:val="20"/>
                <w:color w:val="auto"/>
              </w:rPr>
            </w:pPr>
            <w:r>
              <w:rPr>
                <w:rFonts w:ascii="Arial" w:cs="Arial" w:eastAsia="Arial" w:hAnsi="Arial"/>
                <w:sz w:val="18"/>
                <w:szCs w:val="18"/>
                <w:color w:val="auto"/>
                <w:w w:val="91"/>
              </w:rPr>
              <w:t>this prospectus from the most recent date to which interest has been paid on the outstanding</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9"/>
              </w:rPr>
              <w:t>notes. The interest on the 2041 exchange notes and the 2051 exchange notes will be</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payable semi-annually on June 15 and December 15 of each year. No interest will be paid</w:t>
            </w:r>
          </w:p>
        </w:tc>
      </w:tr>
      <w:tr>
        <w:trPr>
          <w:trHeight w:val="230"/>
        </w:trPr>
        <w:tc>
          <w:tcPr>
            <w:tcW w:w="406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on outstanding notes following their acceptance for exchange.</w:t>
            </w:r>
          </w:p>
        </w:tc>
      </w:tr>
      <w:tr>
        <w:trPr>
          <w:trHeight w:val="445"/>
        </w:trPr>
        <w:tc>
          <w:tcPr>
            <w:tcW w:w="4060" w:type="dxa"/>
            <w:vAlign w:val="bottom"/>
          </w:tcPr>
          <w:p>
            <w:pPr>
              <w:ind w:left="180"/>
              <w:spacing w:after="0"/>
              <w:rPr>
                <w:sz w:val="20"/>
                <w:szCs w:val="20"/>
                <w:color w:val="auto"/>
              </w:rPr>
            </w:pPr>
            <w:r>
              <w:rPr>
                <w:rFonts w:ascii="Arial" w:cs="Arial" w:eastAsia="Arial" w:hAnsi="Arial"/>
                <w:sz w:val="18"/>
                <w:szCs w:val="18"/>
                <w:color w:val="auto"/>
              </w:rPr>
              <w:t>Conditions to the Exchange Offer</w:t>
            </w: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The exchange offer is subject to customary conditions, which the Issuers may waive. See</w:t>
            </w:r>
          </w:p>
        </w:tc>
      </w:tr>
      <w:tr>
        <w:trPr>
          <w:trHeight w:val="230"/>
        </w:trPr>
        <w:tc>
          <w:tcPr>
            <w:tcW w:w="406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i w:val="1"/>
                <w:iCs w:val="1"/>
                <w:color w:val="auto"/>
              </w:rPr>
              <w:t>“The Exchange Offer—Conditions to the Exchange Offer.”</w:t>
            </w:r>
          </w:p>
        </w:tc>
      </w:tr>
      <w:tr>
        <w:trPr>
          <w:trHeight w:val="445"/>
        </w:trPr>
        <w:tc>
          <w:tcPr>
            <w:tcW w:w="4060" w:type="dxa"/>
            <w:vAlign w:val="bottom"/>
          </w:tcPr>
          <w:p>
            <w:pPr>
              <w:ind w:left="180"/>
              <w:spacing w:after="0"/>
              <w:rPr>
                <w:sz w:val="20"/>
                <w:szCs w:val="20"/>
                <w:color w:val="auto"/>
              </w:rPr>
            </w:pPr>
            <w:r>
              <w:rPr>
                <w:rFonts w:ascii="Arial" w:cs="Arial" w:eastAsia="Arial" w:hAnsi="Arial"/>
                <w:sz w:val="18"/>
                <w:szCs w:val="18"/>
                <w:color w:val="auto"/>
              </w:rPr>
              <w:t>Procedures for Tendering Outstanding Notes</w:t>
            </w:r>
          </w:p>
        </w:tc>
        <w:tc>
          <w:tcPr>
            <w:tcW w:w="6960" w:type="dxa"/>
            <w:vAlign w:val="bottom"/>
          </w:tcPr>
          <w:p>
            <w:pPr>
              <w:ind w:left="160"/>
              <w:spacing w:after="0"/>
              <w:rPr>
                <w:sz w:val="20"/>
                <w:szCs w:val="20"/>
                <w:color w:val="auto"/>
              </w:rPr>
            </w:pPr>
            <w:r>
              <w:rPr>
                <w:rFonts w:ascii="Arial" w:cs="Arial" w:eastAsia="Arial" w:hAnsi="Arial"/>
                <w:sz w:val="18"/>
                <w:szCs w:val="18"/>
                <w:color w:val="auto"/>
              </w:rPr>
              <w:t>If you wish to participate in the exchange offer, you must complete, sign and date the</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accompanying letter of transmittal, or a facsimile of such letter of transmittal, according to</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7"/>
              </w:rPr>
              <w:t>the instructions contained in this prospectus and the letter of transmittal. You must then</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mail or otherwise deliver the letter of transmittal, or a facsimile of such letter of transmittal,</w:t>
            </w:r>
          </w:p>
        </w:tc>
      </w:tr>
      <w:tr>
        <w:trPr>
          <w:trHeight w:val="216"/>
        </w:trPr>
        <w:tc>
          <w:tcPr>
            <w:tcW w:w="40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7"/>
              </w:rPr>
              <w:t>together with the outstanding notes and any other required documents, to the exchange</w:t>
            </w:r>
          </w:p>
        </w:tc>
      </w:tr>
      <w:tr>
        <w:trPr>
          <w:trHeight w:val="230"/>
        </w:trPr>
        <w:tc>
          <w:tcPr>
            <w:tcW w:w="406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agent at the address set forth on the cover page of the letter of transmittal.</w:t>
            </w:r>
          </w:p>
        </w:tc>
      </w:tr>
      <w:tr>
        <w:trPr>
          <w:trHeight w:val="159"/>
        </w:trPr>
        <w:tc>
          <w:tcPr>
            <w:tcW w:w="4060" w:type="dxa"/>
            <w:vAlign w:val="bottom"/>
            <w:tcBorders>
              <w:bottom w:val="single" w:sz="8" w:color="auto"/>
            </w:tcBorders>
          </w:tcPr>
          <w:p>
            <w:pPr>
              <w:spacing w:after="0"/>
              <w:rPr>
                <w:sz w:val="13"/>
                <w:szCs w:val="13"/>
                <w:color w:val="auto"/>
              </w:rPr>
            </w:pPr>
          </w:p>
        </w:tc>
        <w:tc>
          <w:tcPr>
            <w:tcW w:w="6960" w:type="dxa"/>
            <w:vAlign w:val="bottom"/>
            <w:tcBorders>
              <w:bottom w:val="single" w:sz="8" w:color="auto"/>
            </w:tcBorders>
          </w:tcPr>
          <w:p>
            <w:pPr>
              <w:spacing w:after="0"/>
              <w:rPr>
                <w:sz w:val="13"/>
                <w:szCs w:val="13"/>
                <w:color w:val="auto"/>
              </w:rPr>
            </w:pPr>
          </w:p>
        </w:tc>
      </w:tr>
      <w:tr>
        <w:trPr>
          <w:trHeight w:val="361"/>
        </w:trPr>
        <w:tc>
          <w:tcPr>
            <w:tcW w:w="4060" w:type="dxa"/>
            <w:vAlign w:val="bottom"/>
          </w:tcPr>
          <w:p>
            <w:pPr>
              <w:spacing w:after="0"/>
              <w:rPr>
                <w:sz w:val="24"/>
                <w:szCs w:val="24"/>
                <w:color w:val="auto"/>
              </w:rPr>
            </w:pPr>
          </w:p>
        </w:tc>
        <w:tc>
          <w:tcPr>
            <w:tcW w:w="6960" w:type="dxa"/>
            <w:vAlign w:val="bottom"/>
          </w:tcPr>
          <w:p>
            <w:pPr>
              <w:ind w:left="14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380"/>
        <w:spacing w:after="0" w:line="257" w:lineRule="auto"/>
        <w:rPr>
          <w:sz w:val="20"/>
          <w:szCs w:val="20"/>
          <w:color w:val="auto"/>
        </w:rPr>
      </w:pPr>
      <w:r>
        <w:rPr>
          <w:rFonts w:ascii="Arial" w:cs="Arial" w:eastAsia="Arial" w:hAnsi="Arial"/>
          <w:sz w:val="18"/>
          <w:szCs w:val="18"/>
          <w:color w:val="auto"/>
        </w:rPr>
        <w:t>If you hold outstanding notes through The Depository Trust Company (“DTC”) and wish to participate in the exchange offer, you must comply with the Automated Tender Offer Program procedures of DTC by which you will agree to be bound by the letter of transmittal. By signing, or agreeing to be bound by, the letter of transmittal, you will represent to us that, among other things:</w:t>
      </w:r>
    </w:p>
    <w:p>
      <w:pPr>
        <w:spacing w:after="0" w:line="9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you are not our “affiliate” within the meaning of Rule 405 under the Securities Act;</w:t>
      </w:r>
    </w:p>
    <w:p>
      <w:pPr>
        <w:spacing w:after="0" w:line="131" w:lineRule="exact"/>
        <w:rPr>
          <w:sz w:val="20"/>
          <w:szCs w:val="20"/>
          <w:color w:val="auto"/>
        </w:rPr>
      </w:pPr>
    </w:p>
    <w:p>
      <w:pPr>
        <w:ind w:left="4520" w:right="220" w:hanging="179"/>
        <w:spacing w:after="0" w:line="277" w:lineRule="auto"/>
        <w:tabs>
          <w:tab w:leader="none" w:pos="4500" w:val="left"/>
        </w:tabs>
        <w:rPr>
          <w:sz w:val="20"/>
          <w:szCs w:val="20"/>
          <w:color w:val="auto"/>
        </w:rPr>
      </w:pPr>
      <w:r>
        <w:rPr>
          <w:rFonts w:ascii="Arial" w:cs="Arial" w:eastAsia="Arial" w:hAnsi="Arial"/>
          <w:sz w:val="18"/>
          <w:szCs w:val="18"/>
          <w:color w:val="auto"/>
        </w:rPr>
        <w:t>•</w:t>
        <w:tab/>
        <w:t>you do not have an arrangement or understanding with any person or entity to participate in the distribution of the exchange notes;</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  you are acquiring the exchange notes in the ordinary course of your business; and</w:t>
            </w:r>
          </w:p>
        </w:tc>
      </w:tr>
      <w:tr>
        <w:trPr>
          <w:trHeight w:val="323"/>
        </w:trPr>
        <w:tc>
          <w:tcPr>
            <w:tcW w:w="3700" w:type="dxa"/>
            <w:vAlign w:val="bottom"/>
          </w:tcPr>
          <w:p>
            <w:pPr>
              <w:spacing w:after="0"/>
              <w:rPr>
                <w:sz w:val="24"/>
                <w:szCs w:val="24"/>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  if you are a broker-dealer that will receive exchange notes for your own account in</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exchange for outstanding notes that were acquired as a result of market making</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6"/>
              </w:rPr>
              <w:t>activities, that you will deliver a prospectus, as required by law, in connection with any</w:t>
            </w:r>
          </w:p>
        </w:tc>
      </w:tr>
      <w:tr>
        <w:trPr>
          <w:trHeight w:val="230"/>
        </w:trPr>
        <w:tc>
          <w:tcPr>
            <w:tcW w:w="370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resale of such exchange notes.</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Special Procedures for Beneficial Owners</w:t>
            </w:r>
          </w:p>
        </w:tc>
        <w:tc>
          <w:tcPr>
            <w:tcW w:w="7320" w:type="dxa"/>
            <w:vAlign w:val="bottom"/>
          </w:tcPr>
          <w:p>
            <w:pPr>
              <w:ind w:left="520"/>
              <w:spacing w:after="0"/>
              <w:rPr>
                <w:sz w:val="20"/>
                <w:szCs w:val="20"/>
                <w:color w:val="auto"/>
              </w:rPr>
            </w:pPr>
            <w:r>
              <w:rPr>
                <w:rFonts w:ascii="Arial" w:cs="Arial" w:eastAsia="Arial" w:hAnsi="Arial"/>
                <w:sz w:val="18"/>
                <w:szCs w:val="18"/>
                <w:color w:val="auto"/>
              </w:rPr>
              <w:t>If you are a beneficial owner of outstanding notes that are registered in the name of a</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broker, dealer, commercial bank, trust company or other nominee, and you wish to tender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7"/>
              </w:rPr>
              <w:t>those outstanding notes in the exchange offer, you should contact the registered holder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promptly and instruct the registered holder to tender those outstanding notes on your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behalf. If you wish to tender on your own behalf, you must, prior to completing and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executing the letter of transmittal and delivering your outstanding notes, either make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appropriate arrangements to register ownership of the outstanding notes in your name or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obtain a properly completed bond power from the registered holder. The transfer of</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7"/>
              </w:rPr>
              <w:t>registered ownership may take considerable time and may not be able to be completed</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prior to the expiration date.</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Guaranteed Delivery Procedures</w:t>
            </w:r>
          </w:p>
        </w:tc>
        <w:tc>
          <w:tcPr>
            <w:tcW w:w="7320" w:type="dxa"/>
            <w:vAlign w:val="bottom"/>
          </w:tcPr>
          <w:p>
            <w:pPr>
              <w:ind w:left="520"/>
              <w:spacing w:after="0"/>
              <w:rPr>
                <w:sz w:val="20"/>
                <w:szCs w:val="20"/>
                <w:color w:val="auto"/>
              </w:rPr>
            </w:pPr>
            <w:r>
              <w:rPr>
                <w:rFonts w:ascii="Arial" w:cs="Arial" w:eastAsia="Arial" w:hAnsi="Arial"/>
                <w:sz w:val="18"/>
                <w:szCs w:val="18"/>
                <w:color w:val="auto"/>
              </w:rPr>
              <w:t>If you wish to tender your outstanding notes and your outstanding notes are not</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4"/>
              </w:rPr>
              <w:t>immediately available or you cannot deliver your outstanding notes, the letter of transmittal</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or any other required documents, or you cannot comply with the applicable procedures</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6"/>
              </w:rPr>
              <w:t>under DTC’s Automated Tender Offer Program for transfer of book- entry interests, prior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3"/>
              </w:rPr>
              <w:t>to the expiration date, you must tender your outstanding notes according to the guaranteed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 xml:space="preserve">delivery procedures set forth in this prospectus under </w:t>
            </w:r>
            <w:r>
              <w:rPr>
                <w:rFonts w:ascii="Arial" w:cs="Arial" w:eastAsia="Arial" w:hAnsi="Arial"/>
                <w:sz w:val="18"/>
                <w:szCs w:val="18"/>
                <w:i w:val="1"/>
                <w:iCs w:val="1"/>
                <w:color w:val="auto"/>
                <w:w w:val="95"/>
              </w:rPr>
              <w:t>“The Exchange Offer—Guaranteed</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i w:val="1"/>
                <w:iCs w:val="1"/>
                <w:color w:val="auto"/>
              </w:rPr>
              <w:t>Delivery Procedures.”</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Effect on Holders of Outstanding Notes</w:t>
            </w: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As a result of the making of, and upon acceptance for exchange of, all validly tendered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outstanding notes pursuant to the terms of the exchange offer, the Issuers and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guarantors will have fulfilled a covenant under the registration rights agreement.</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6"/>
              </w:rPr>
              <w:t>Accordingly, there will be no increase in the interest rate on the outstanding notes under</w:t>
            </w:r>
          </w:p>
        </w:tc>
      </w:tr>
      <w:tr>
        <w:trPr>
          <w:trHeight w:val="159"/>
        </w:trPr>
        <w:tc>
          <w:tcPr>
            <w:tcW w:w="3700" w:type="dxa"/>
            <w:vAlign w:val="bottom"/>
            <w:tcBorders>
              <w:bottom w:val="single" w:sz="8" w:color="auto"/>
            </w:tcBorders>
          </w:tcPr>
          <w:p>
            <w:pPr>
              <w:spacing w:after="0"/>
              <w:rPr>
                <w:sz w:val="13"/>
                <w:szCs w:val="13"/>
                <w:color w:val="auto"/>
              </w:rPr>
            </w:pPr>
          </w:p>
        </w:tc>
        <w:tc>
          <w:tcPr>
            <w:tcW w:w="7320" w:type="dxa"/>
            <w:vAlign w:val="bottom"/>
            <w:tcBorders>
              <w:bottom w:val="single" w:sz="8" w:color="auto"/>
            </w:tcBorders>
          </w:tcPr>
          <w:p>
            <w:pPr>
              <w:spacing w:after="0"/>
              <w:rPr>
                <w:sz w:val="13"/>
                <w:szCs w:val="13"/>
                <w:color w:val="auto"/>
              </w:rPr>
            </w:pPr>
          </w:p>
        </w:tc>
      </w:tr>
      <w:tr>
        <w:trPr>
          <w:trHeight w:val="361"/>
        </w:trPr>
        <w:tc>
          <w:tcPr>
            <w:tcW w:w="3700" w:type="dxa"/>
            <w:vAlign w:val="bottom"/>
          </w:tcPr>
          <w:p>
            <w:pPr>
              <w:spacing w:after="0"/>
              <w:rPr>
                <w:sz w:val="24"/>
                <w:szCs w:val="24"/>
                <w:color w:val="auto"/>
              </w:rPr>
            </w:pPr>
          </w:p>
        </w:tc>
        <w:tc>
          <w:tcPr>
            <w:tcW w:w="7320" w:type="dxa"/>
            <w:vAlign w:val="bottom"/>
          </w:tcPr>
          <w:p>
            <w:pPr>
              <w:ind w:left="17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4"/>
              </w:rPr>
              <w:t>the circumstances described in the registration rights agreement. If you do not tender your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outstanding notes in the exchange offer, you will continue to be entitled to all the rights and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limitations applicable to the outstanding notes as set forth in the indenture; however, as a</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result of the making of, and upon acceptance for exchange of, all validly tendered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outstanding notes pursuant to the terms of the exchange offer, the Issuers and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guarantors will not have any further obligation to you to provide for the exchange and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registration of the outstanding notes under the registration rights agreement. To the extent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that the outstanding notes are tendered and accepted in the exchange offer, the trading</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market for the remaining outstanding notes that are not so tendered and exchanged could</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be adversely affected.</w:t>
            </w:r>
          </w:p>
        </w:tc>
      </w:tr>
      <w:tr>
        <w:trPr>
          <w:trHeight w:val="45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Consequences of Failure to Exchange</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All untendered outstanding notes will continue to be subject to the restrictions on transfer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set forth in the outstanding notes and in the indenture. In general, the outstanding notes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1"/>
              </w:rPr>
              <w:t>may not be offered or sold, unless registered under the Securities Act, except pursuant to an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exemption from, or in a transaction not subject to, the Securities Act and applicable state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securities laws. Other than in connection with the exchange offer, the Issuers and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guarantors do not currently anticipate that they will register the outstanding notes under the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Securities Act.</w:t>
            </w:r>
          </w:p>
        </w:tc>
      </w:tr>
      <w:tr>
        <w:trPr>
          <w:trHeight w:val="445"/>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6"/>
              </w:rPr>
              <w:t>Certain U.S. Federal Income Tax Considerations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exchange of outstanding notes for exchange notes in the exchange offer will not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 xml:space="preserve">constitute a taxable event to holders for U.S. federal income tax purposes. See </w:t>
            </w:r>
            <w:r>
              <w:rPr>
                <w:rFonts w:ascii="Arial" w:cs="Arial" w:eastAsia="Arial" w:hAnsi="Arial"/>
                <w:sz w:val="18"/>
                <w:szCs w:val="18"/>
                <w:i w:val="1"/>
                <w:iCs w:val="1"/>
                <w:color w:val="auto"/>
                <w:w w:val="97"/>
              </w:rPr>
              <w:t>“Certain</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i w:val="1"/>
                <w:iCs w:val="1"/>
                <w:color w:val="auto"/>
              </w:rPr>
              <w:t>U.S. Federal Income Tax Considerations.”</w:t>
            </w:r>
          </w:p>
        </w:tc>
      </w:tr>
      <w:tr>
        <w:trPr>
          <w:trHeight w:val="445"/>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The Issuers will not receive any cash proceeds from the issuance of the exchange notes in</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 xml:space="preserve">the exchange offer. See </w:t>
            </w:r>
            <w:r>
              <w:rPr>
                <w:rFonts w:ascii="Arial" w:cs="Arial" w:eastAsia="Arial" w:hAnsi="Arial"/>
                <w:sz w:val="18"/>
                <w:szCs w:val="18"/>
                <w:i w:val="1"/>
                <w:iCs w:val="1"/>
                <w:color w:val="auto"/>
              </w:rPr>
              <w:t>“Use of Proceeds.”</w:t>
            </w:r>
          </w:p>
        </w:tc>
      </w:tr>
      <w:tr>
        <w:trPr>
          <w:trHeight w:val="445"/>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Bank of New York Mellon Trust Company, N.A. is the exchange agent for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0"/>
              </w:rPr>
              <w:t>exchange offer. The addresses and telephone numbers of the exchange agent are set forth in</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 xml:space="preserve">the section captioned </w:t>
            </w:r>
            <w:r>
              <w:rPr>
                <w:rFonts w:ascii="Arial" w:cs="Arial" w:eastAsia="Arial" w:hAnsi="Arial"/>
                <w:sz w:val="18"/>
                <w:szCs w:val="18"/>
                <w:i w:val="1"/>
                <w:iCs w:val="1"/>
                <w:color w:val="auto"/>
              </w:rPr>
              <w:t>“The Exchange Offer—Exchange Agent”</w:t>
            </w:r>
            <w:r>
              <w:rPr>
                <w:rFonts w:ascii="Arial" w:cs="Arial" w:eastAsia="Arial" w:hAnsi="Arial"/>
                <w:sz w:val="18"/>
                <w:szCs w:val="18"/>
                <w:color w:val="auto"/>
              </w:rPr>
              <w:t xml:space="preserve"> of this prospectus.</w:t>
            </w:r>
          </w:p>
        </w:tc>
      </w:tr>
      <w:tr>
        <w:trPr>
          <w:trHeight w:val="159"/>
        </w:trPr>
        <w:tc>
          <w:tcPr>
            <w:tcW w:w="3940" w:type="dxa"/>
            <w:vAlign w:val="bottom"/>
            <w:tcBorders>
              <w:left w:val="single" w:sz="8" w:color="auto"/>
              <w:bottom w:val="single" w:sz="8" w:color="auto"/>
            </w:tcBorders>
          </w:tcPr>
          <w:p>
            <w:pPr>
              <w:spacing w:after="0"/>
              <w:rPr>
                <w:sz w:val="13"/>
                <w:szCs w:val="13"/>
                <w:color w:val="auto"/>
              </w:rPr>
            </w:pPr>
          </w:p>
        </w:tc>
        <w:tc>
          <w:tcPr>
            <w:tcW w:w="7080" w:type="dxa"/>
            <w:vAlign w:val="bottom"/>
            <w:tcBorders>
              <w:bottom w:val="single" w:sz="8" w:color="auto"/>
              <w:right w:val="single" w:sz="8" w:color="auto"/>
            </w:tcBorders>
          </w:tcPr>
          <w:p>
            <w:pPr>
              <w:spacing w:after="0"/>
              <w:rPr>
                <w:sz w:val="13"/>
                <w:szCs w:val="13"/>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0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001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29" w:lineRule="exact"/>
        <w:rPr>
          <w:sz w:val="20"/>
          <w:szCs w:val="20"/>
          <w:color w:val="auto"/>
        </w:rPr>
      </w:pPr>
    </w:p>
    <w:p>
      <w:pPr>
        <w:ind w:left="300" w:right="240" w:firstLine="426"/>
        <w:spacing w:after="0" w:line="289" w:lineRule="auto"/>
        <w:rPr>
          <w:sz w:val="20"/>
          <w:szCs w:val="20"/>
          <w:color w:val="auto"/>
        </w:rPr>
      </w:pPr>
      <w:r>
        <w:rPr>
          <w:rFonts w:ascii="Arial" w:cs="Arial" w:eastAsia="Arial" w:hAnsi="Arial"/>
          <w:sz w:val="16"/>
          <w:szCs w:val="16"/>
          <w:color w:val="auto"/>
        </w:rPr>
        <w:t>The following tables present Dell Technologies’ summary historical consolidated financial data as of the dates and for the periods indicated. The summary consolidated balance sheet data as of February 3, 2023 and January 28, 2022 and the summary consolidated results of operations and cash flow data for Fiscal 2023, Fiscal 2022 and Fiscal 2021 have been derived from Dell Technologies’ audited consolidated financial statements included in Dell Technologies’ Annual Report for Fiscal 2023 and incorporated by reference into this prospectus. The summary consolidated balance sheet data as of May 5, 2023 and the summary consolidated results of operations and cash flow data for the three months ended May 5, 2023 and April 29, 2022 have been derived from Dell Technologies’ unaudited condensed consolidated financial statements included in Dell Technologies’ Quarterly Report for the three months ended May 5, 2023 and incorporated by reference into this prospectus. In the opinion of management, all adjustments, including those of a normal recurring nature, considered necessary for a fair presentation in accordance with GAAP have been included in our unaudited condensed consolidated financial statements for the three months ended May 5, 2023 and April 29, 2022.</w:t>
      </w:r>
    </w:p>
    <w:p>
      <w:pPr>
        <w:spacing w:after="0" w:line="166"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The summary historical consolidated financial data presented below are not necessarily indicative of the results to be expected for any future period.</w:t>
      </w:r>
    </w:p>
    <w:p>
      <w:pPr>
        <w:spacing w:after="0" w:line="170" w:lineRule="exact"/>
        <w:rPr>
          <w:sz w:val="20"/>
          <w:szCs w:val="20"/>
          <w:color w:val="auto"/>
        </w:rPr>
      </w:pPr>
    </w:p>
    <w:p>
      <w:pPr>
        <w:ind w:left="300" w:right="220" w:firstLine="426"/>
        <w:spacing w:after="0" w:line="279" w:lineRule="auto"/>
        <w:rPr>
          <w:sz w:val="20"/>
          <w:szCs w:val="20"/>
          <w:color w:val="auto"/>
        </w:rPr>
      </w:pPr>
      <w:r>
        <w:rPr>
          <w:rFonts w:ascii="Arial" w:cs="Arial" w:eastAsia="Arial" w:hAnsi="Arial"/>
          <w:sz w:val="17"/>
          <w:szCs w:val="17"/>
          <w:color w:val="auto"/>
        </w:rPr>
        <w:t>The summary historical consolidated financial data presented below should be read in conjunction with Dell Technologies’ consolidated financial statements and accompanying notes and the section entitled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w:t>
      </w:r>
      <w:r>
        <w:rPr>
          <w:rFonts w:ascii="Arial" w:cs="Arial" w:eastAsia="Arial" w:hAnsi="Arial"/>
          <w:sz w:val="17"/>
          <w:szCs w:val="17"/>
          <w:color w:val="auto"/>
        </w:rPr>
        <w:t>” included in Dell Technologies’ Annual Report for Fiscal 2023 and Quarterly Report for the three months ended May 5, 2023, which</w:t>
      </w:r>
      <w:r>
        <w:rPr>
          <w:rFonts w:ascii="Arial" w:cs="Arial" w:eastAsia="Arial" w:hAnsi="Arial"/>
          <w:sz w:val="17"/>
          <w:szCs w:val="17"/>
          <w:i w:val="1"/>
          <w:iCs w:val="1"/>
          <w:color w:val="auto"/>
        </w:rPr>
        <w:t xml:space="preserve"> </w:t>
      </w:r>
      <w:r>
        <w:rPr>
          <w:rFonts w:ascii="Arial" w:cs="Arial" w:eastAsia="Arial" w:hAnsi="Arial"/>
          <w:sz w:val="17"/>
          <w:szCs w:val="17"/>
          <w:color w:val="auto"/>
        </w:rPr>
        <w:t>are incorporated by reference into this prospectus.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Unless otherwise indicated, the summary historical consolidated financial data presented below do not give effect to the exchange offer, the Debt Tender Offer and the 2041 and 2051 Bond Repurchases.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4"/>
              </w:rPr>
              <w:t>Fiscal Year Ended</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w w:val="95"/>
              </w:rPr>
              <w:t>Three Months Ended</w:t>
            </w:r>
          </w:p>
        </w:tc>
        <w:tc>
          <w:tcPr>
            <w:tcW w:w="300" w:type="dxa"/>
            <w:vAlign w:val="bottom"/>
            <w:gridSpan w:val="2"/>
          </w:tcPr>
          <w:p>
            <w:pPr>
              <w:spacing w:after="0"/>
              <w:rPr>
                <w:sz w:val="12"/>
                <w:szCs w:val="12"/>
                <w:color w:val="auto"/>
              </w:rPr>
            </w:pPr>
          </w:p>
        </w:tc>
      </w:tr>
      <w:tr>
        <w:trPr>
          <w:trHeight w:val="119"/>
        </w:trPr>
        <w:tc>
          <w:tcPr>
            <w:tcW w:w="1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124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January 28,</w:t>
            </w:r>
          </w:p>
        </w:tc>
        <w:tc>
          <w:tcPr>
            <w:tcW w:w="8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75"/>
              <w:spacing w:after="0" w:line="119" w:lineRule="exact"/>
              <w:rPr>
                <w:sz w:val="20"/>
                <w:szCs w:val="20"/>
                <w:color w:val="auto"/>
              </w:rPr>
            </w:pPr>
            <w:r>
              <w:rPr>
                <w:rFonts w:ascii="Arial" w:cs="Arial" w:eastAsia="Arial" w:hAnsi="Arial"/>
                <w:sz w:val="13"/>
                <w:szCs w:val="13"/>
                <w:b w:val="1"/>
                <w:bCs w:val="1"/>
                <w:color w:val="auto"/>
              </w:rPr>
              <w:t>May 5,</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April 29,</w:t>
            </w:r>
          </w:p>
        </w:tc>
        <w:tc>
          <w:tcPr>
            <w:tcW w:w="300" w:type="dxa"/>
            <w:vAlign w:val="bottom"/>
            <w:gridSpan w:val="2"/>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332"/>
              <w:spacing w:after="0" w:line="142" w:lineRule="exact"/>
              <w:rPr>
                <w:sz w:val="20"/>
                <w:szCs w:val="20"/>
                <w:color w:val="auto"/>
              </w:rPr>
            </w:pPr>
            <w:r>
              <w:rPr>
                <w:rFonts w:ascii="Arial" w:cs="Arial" w:eastAsia="Arial" w:hAnsi="Arial"/>
                <w:sz w:val="14"/>
                <w:szCs w:val="14"/>
                <w:color w:val="auto"/>
              </w:rPr>
              <w:t>(in millions)</w:t>
            </w:r>
          </w:p>
        </w:tc>
        <w:tc>
          <w:tcPr>
            <w:tcW w:w="300" w:type="dxa"/>
            <w:vAlign w:val="bottom"/>
            <w:gridSpan w:val="2"/>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 and Cash Flow Data: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revenue</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102,301</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89"/>
              </w:rPr>
              <w:t>101,197</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86,670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rPr>
                <w:sz w:val="20"/>
                <w:szCs w:val="20"/>
                <w:color w:val="auto"/>
              </w:rPr>
            </w:pPr>
            <w:r>
              <w:rPr>
                <w:rFonts w:ascii="Arial" w:cs="Arial" w:eastAsia="Arial" w:hAnsi="Arial"/>
                <w:sz w:val="18"/>
                <w:szCs w:val="18"/>
                <w:color w:val="auto"/>
                <w:w w:val="87"/>
              </w:rPr>
              <w:t>20,922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21,891</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16,915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17,232</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16,455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3,949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4,659</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from continuing operations before income taxes</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3,225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5,923</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2,346</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705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4,942</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Cash flows from operating activities (a)</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10,307</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11,407</w:t>
            </w:r>
          </w:p>
        </w:tc>
        <w:tc>
          <w:tcPr>
            <w:tcW w:w="1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1,777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0"/>
                <w:szCs w:val="20"/>
                <w:color w:val="auto"/>
              </w:rPr>
            </w:pPr>
          </w:p>
        </w:tc>
      </w:tr>
      <w:tr>
        <w:trPr>
          <w:trHeight w:val="144"/>
        </w:trPr>
        <w:tc>
          <w:tcPr>
            <w:tcW w:w="18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61"/>
        </w:trPr>
        <w:tc>
          <w:tcPr>
            <w:tcW w:w="1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92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3192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2"/>
                <w:szCs w:val="12"/>
                <w:color w:val="auto"/>
              </w:rPr>
            </w:pPr>
          </w:p>
        </w:tc>
      </w:tr>
      <w:tr>
        <w:trPr>
          <w:trHeight w:val="119"/>
        </w:trPr>
        <w:tc>
          <w:tcPr>
            <w:tcW w:w="4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1220" w:type="dxa"/>
            <w:vAlign w:val="bottom"/>
            <w:gridSpan w:val="2"/>
          </w:tcPr>
          <w:p>
            <w:pPr>
              <w:ind w:left="480"/>
              <w:spacing w:after="0" w:line="119" w:lineRule="exact"/>
              <w:rPr>
                <w:sz w:val="20"/>
                <w:szCs w:val="20"/>
                <w:color w:val="auto"/>
              </w:rPr>
            </w:pPr>
            <w:r>
              <w:rPr>
                <w:rFonts w:ascii="Arial" w:cs="Arial" w:eastAsia="Arial" w:hAnsi="Arial"/>
                <w:sz w:val="13"/>
                <w:szCs w:val="13"/>
                <w:b w:val="1"/>
                <w:bCs w:val="1"/>
                <w:color w:val="auto"/>
              </w:rPr>
              <w:t>January 28,</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May 5,</w:t>
            </w:r>
          </w:p>
        </w:tc>
        <w:tc>
          <w:tcPr>
            <w:tcW w:w="120" w:type="dxa"/>
            <w:vAlign w:val="bottom"/>
          </w:tcPr>
          <w:p>
            <w:pPr>
              <w:spacing w:after="0"/>
              <w:rPr>
                <w:sz w:val="10"/>
                <w:szCs w:val="10"/>
                <w:color w:val="auto"/>
              </w:rPr>
            </w:pPr>
          </w:p>
        </w:tc>
      </w:tr>
      <w:tr>
        <w:trPr>
          <w:trHeight w:val="171"/>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520"/>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color w:val="auto"/>
                <w:w w:val="98"/>
              </w:rPr>
              <w:t>(in millions)</w:t>
            </w:r>
          </w:p>
        </w:tc>
        <w:tc>
          <w:tcPr>
            <w:tcW w:w="12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8,607</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9,477</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7,631</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89,611</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92,735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84,094</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6,573</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5,823</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5,470</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23,015</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21,131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22,962</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Total stockholders’ equity (deficit)</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(3,025)</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(1,580)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(2,924)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Key Metrics: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Total debt, principal amount</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29,867</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27,235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28,695</w:t>
            </w:r>
          </w:p>
        </w:tc>
        <w:tc>
          <w:tcPr>
            <w:tcW w:w="12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Core debt (b)</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18,056</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DFS allocated debt (c)</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(1,196)</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(1,133)</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total debt (d)</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21,260</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17,758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12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720" w:hanging="422"/>
        <w:spacing w:after="0" w:line="25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flows from operating activities for periods prior to the Spin-off are presented on a consolidated basis for both continuing operations and discontinued operations.</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Core debt refers to the total principal amount of our debt, less DFS related debt and other debt.</w:t>
      </w:r>
    </w:p>
    <w:p>
      <w:pPr>
        <w:spacing w:after="0" w:line="9" w:lineRule="exact"/>
        <w:rPr>
          <w:rFonts w:ascii="Arial" w:cs="Arial" w:eastAsia="Arial" w:hAnsi="Arial"/>
          <w:sz w:val="18"/>
          <w:szCs w:val="18"/>
          <w:color w:val="auto"/>
        </w:rPr>
      </w:pPr>
    </w:p>
    <w:p>
      <w:pPr>
        <w:ind w:left="720" w:right="600" w:hanging="422"/>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approximate the amount of our DFS allocated debt by applying a 7:1 debt to equity ratio to our financing receivables balance and equipment under our DFS operating leases, net.</w:t>
      </w:r>
    </w:p>
    <w:p>
      <w:pPr>
        <w:ind w:left="720" w:hanging="42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total debt represents total debt, principal amount, less cash and cash equivalents.</w:t>
      </w:r>
    </w:p>
    <w:p>
      <w:pPr>
        <w:spacing w:after="0" w:line="3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Notes</w:t>
      </w:r>
    </w:p>
    <w:p>
      <w:pPr>
        <w:spacing w:after="0" w:line="229" w:lineRule="exact"/>
        <w:rPr>
          <w:sz w:val="20"/>
          <w:szCs w:val="20"/>
          <w:color w:val="auto"/>
        </w:rPr>
      </w:pPr>
    </w:p>
    <w:p>
      <w:pPr>
        <w:ind w:left="300" w:right="300" w:firstLine="426"/>
        <w:spacing w:after="0" w:line="255" w:lineRule="auto"/>
        <w:rPr>
          <w:sz w:val="20"/>
          <w:szCs w:val="20"/>
          <w:color w:val="auto"/>
        </w:rPr>
      </w:pPr>
      <w:r>
        <w:rPr>
          <w:rFonts w:ascii="Arial" w:cs="Arial" w:eastAsia="Arial" w:hAnsi="Arial"/>
          <w:sz w:val="18"/>
          <w:szCs w:val="18"/>
          <w:i w:val="1"/>
          <w:iCs w:val="1"/>
          <w:color w:val="auto"/>
        </w:rPr>
        <w:t>The terms of the exchange notes are identical in all material respects to the terms of the outstanding notes, except that the exchange notes will not contain terms with respect to transfer restrictions, registration rights or additional interest upon a failure to fulfill certain of our obligations under the registration rights agreement. The exchange notes will evidence the same debt as the outstanding notes. The exchange notes will be governed by the same indenture under which the outstanding notes were issued. The following summary is not intended to be a complete description of the terms of the exchange notes. For a more detailed description of the exchange notes, see “Description of the Exchange Notes” in this prospectus.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Issuers</w:t>
            </w:r>
          </w:p>
        </w:tc>
        <w:tc>
          <w:tcPr>
            <w:tcW w:w="7680" w:type="dxa"/>
            <w:vAlign w:val="bottom"/>
          </w:tcPr>
          <w:p>
            <w:pPr>
              <w:ind w:left="880"/>
              <w:spacing w:after="0"/>
              <w:rPr>
                <w:sz w:val="20"/>
                <w:szCs w:val="20"/>
                <w:color w:val="auto"/>
              </w:rPr>
            </w:pPr>
            <w:r>
              <w:rPr>
                <w:rFonts w:ascii="Arial" w:cs="Arial" w:eastAsia="Arial" w:hAnsi="Arial"/>
                <w:sz w:val="18"/>
                <w:szCs w:val="18"/>
                <w:color w:val="auto"/>
                <w:w w:val="98"/>
              </w:rPr>
              <w:t>Dell International L.L.C., a Delaware limited liability company, and EMC Corporation, a</w:t>
            </w:r>
          </w:p>
        </w:tc>
      </w:tr>
      <w:tr>
        <w:trPr>
          <w:trHeight w:val="230"/>
        </w:trPr>
        <w:tc>
          <w:tcPr>
            <w:tcW w:w="3340" w:type="dxa"/>
            <w:vAlign w:val="bottom"/>
          </w:tcPr>
          <w:p>
            <w:pPr>
              <w:spacing w:after="0"/>
              <w:rPr>
                <w:sz w:val="20"/>
                <w:szCs w:val="20"/>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Massachusetts corporation.</w:t>
            </w:r>
          </w:p>
        </w:tc>
      </w:tr>
      <w:tr>
        <w:trPr>
          <w:trHeight w:val="459"/>
        </w:trPr>
        <w:tc>
          <w:tcPr>
            <w:tcW w:w="334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680" w:type="dxa"/>
            <w:vAlign w:val="bottom"/>
          </w:tcPr>
          <w:p>
            <w:pPr>
              <w:ind w:left="880"/>
              <w:spacing w:after="0"/>
              <w:rPr>
                <w:sz w:val="20"/>
                <w:szCs w:val="20"/>
                <w:color w:val="auto"/>
              </w:rPr>
            </w:pPr>
            <w:r>
              <w:rPr>
                <w:rFonts w:ascii="Arial" w:cs="Arial" w:eastAsia="Arial" w:hAnsi="Arial"/>
                <w:sz w:val="18"/>
                <w:szCs w:val="18"/>
                <w:color w:val="auto"/>
              </w:rPr>
              <w:t>Up to $962,390,000 aggregate principal amount of 3.375% Senior Notes due 2041.</w:t>
            </w:r>
          </w:p>
        </w:tc>
      </w:tr>
      <w:tr>
        <w:trPr>
          <w:trHeight w:val="473"/>
        </w:trPr>
        <w:tc>
          <w:tcPr>
            <w:tcW w:w="3340" w:type="dxa"/>
            <w:vAlign w:val="bottom"/>
          </w:tcPr>
          <w:p>
            <w:pPr>
              <w:spacing w:after="0"/>
              <w:rPr>
                <w:sz w:val="24"/>
                <w:szCs w:val="24"/>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Up to $1,094,877,000 aggregate principal amount of 3.450% Senior Notes due 2051.</w:t>
            </w:r>
          </w:p>
        </w:tc>
      </w:tr>
      <w:tr>
        <w:trPr>
          <w:trHeight w:val="445"/>
        </w:trPr>
        <w:tc>
          <w:tcPr>
            <w:tcW w:w="3340" w:type="dxa"/>
            <w:vAlign w:val="bottom"/>
          </w:tcPr>
          <w:p>
            <w:pPr>
              <w:ind w:left="180"/>
              <w:spacing w:after="0"/>
              <w:rPr>
                <w:sz w:val="20"/>
                <w:szCs w:val="20"/>
                <w:color w:val="auto"/>
              </w:rPr>
            </w:pPr>
            <w:r>
              <w:rPr>
                <w:rFonts w:ascii="Arial" w:cs="Arial" w:eastAsia="Arial" w:hAnsi="Arial"/>
                <w:sz w:val="18"/>
                <w:szCs w:val="18"/>
                <w:color w:val="auto"/>
              </w:rPr>
              <w:t>Maturity Dates</w:t>
            </w:r>
          </w:p>
        </w:tc>
        <w:tc>
          <w:tcPr>
            <w:tcW w:w="7680" w:type="dxa"/>
            <w:vAlign w:val="bottom"/>
          </w:tcPr>
          <w:p>
            <w:pPr>
              <w:ind w:left="880"/>
              <w:spacing w:after="0"/>
              <w:rPr>
                <w:sz w:val="20"/>
                <w:szCs w:val="20"/>
                <w:color w:val="auto"/>
              </w:rPr>
            </w:pPr>
            <w:r>
              <w:rPr>
                <w:rFonts w:ascii="Arial" w:cs="Arial" w:eastAsia="Arial" w:hAnsi="Arial"/>
                <w:sz w:val="18"/>
                <w:szCs w:val="18"/>
                <w:color w:val="auto"/>
                <w:w w:val="95"/>
              </w:rPr>
              <w:t>The 2041 exchange notes will mature on December 15, 2041, unless earlier redeemed or</w:t>
            </w:r>
          </w:p>
        </w:tc>
      </w:tr>
      <w:tr>
        <w:trPr>
          <w:trHeight w:val="230"/>
        </w:trPr>
        <w:tc>
          <w:tcPr>
            <w:tcW w:w="3340" w:type="dxa"/>
            <w:vAlign w:val="bottom"/>
          </w:tcPr>
          <w:p>
            <w:pPr>
              <w:spacing w:after="0"/>
              <w:rPr>
                <w:sz w:val="20"/>
                <w:szCs w:val="20"/>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repurchased.</w:t>
            </w:r>
          </w:p>
        </w:tc>
      </w:tr>
      <w:tr>
        <w:trPr>
          <w:trHeight w:val="445"/>
        </w:trPr>
        <w:tc>
          <w:tcPr>
            <w:tcW w:w="3340" w:type="dxa"/>
            <w:vAlign w:val="bottom"/>
          </w:tcPr>
          <w:p>
            <w:pPr>
              <w:spacing w:after="0"/>
              <w:rPr>
                <w:sz w:val="24"/>
                <w:szCs w:val="24"/>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5"/>
              </w:rPr>
              <w:t>The 2051 exchange notes will mature on December 15, 2051, unless earlier redeemed or</w:t>
            </w:r>
          </w:p>
        </w:tc>
      </w:tr>
      <w:tr>
        <w:trPr>
          <w:trHeight w:val="230"/>
        </w:trPr>
        <w:tc>
          <w:tcPr>
            <w:tcW w:w="3340" w:type="dxa"/>
            <w:vAlign w:val="bottom"/>
          </w:tcPr>
          <w:p>
            <w:pPr>
              <w:spacing w:after="0"/>
              <w:rPr>
                <w:sz w:val="20"/>
                <w:szCs w:val="20"/>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repurchased.</w:t>
            </w:r>
          </w:p>
        </w:tc>
      </w:tr>
      <w:tr>
        <w:trPr>
          <w:trHeight w:val="445"/>
        </w:trPr>
        <w:tc>
          <w:tcPr>
            <w:tcW w:w="3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680" w:type="dxa"/>
            <w:vAlign w:val="bottom"/>
          </w:tcPr>
          <w:p>
            <w:pPr>
              <w:ind w:left="880"/>
              <w:spacing w:after="0"/>
              <w:rPr>
                <w:sz w:val="20"/>
                <w:szCs w:val="20"/>
                <w:color w:val="auto"/>
              </w:rPr>
            </w:pPr>
            <w:r>
              <w:rPr>
                <w:rFonts w:ascii="Arial" w:cs="Arial" w:eastAsia="Arial" w:hAnsi="Arial"/>
                <w:sz w:val="18"/>
                <w:szCs w:val="18"/>
                <w:color w:val="auto"/>
                <w:w w:val="94"/>
              </w:rPr>
              <w:t>Interest on the 2041 exchange notes and the 2051 exchange notes will accrue at a rate of</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3"/>
              </w:rPr>
              <w:t>3.375% and 3.450% per annum, respectively, payable semi-annually in arrears on June 15</w:t>
            </w:r>
          </w:p>
        </w:tc>
      </w:tr>
      <w:tr>
        <w:trPr>
          <w:trHeight w:val="230"/>
        </w:trPr>
        <w:tc>
          <w:tcPr>
            <w:tcW w:w="3340" w:type="dxa"/>
            <w:vAlign w:val="bottom"/>
          </w:tcPr>
          <w:p>
            <w:pPr>
              <w:spacing w:after="0"/>
              <w:rPr>
                <w:sz w:val="20"/>
                <w:szCs w:val="20"/>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and December 15.</w:t>
            </w:r>
          </w:p>
        </w:tc>
      </w:tr>
      <w:tr>
        <w:trPr>
          <w:trHeight w:val="459"/>
        </w:trPr>
        <w:tc>
          <w:tcPr>
            <w:tcW w:w="3340" w:type="dxa"/>
            <w:vAlign w:val="bottom"/>
          </w:tcPr>
          <w:p>
            <w:pPr>
              <w:ind w:left="180"/>
              <w:spacing w:after="0"/>
              <w:rPr>
                <w:sz w:val="20"/>
                <w:szCs w:val="20"/>
                <w:color w:val="auto"/>
              </w:rPr>
            </w:pPr>
            <w:r>
              <w:rPr>
                <w:rFonts w:ascii="Arial" w:cs="Arial" w:eastAsia="Arial" w:hAnsi="Arial"/>
                <w:sz w:val="18"/>
                <w:szCs w:val="18"/>
                <w:color w:val="auto"/>
              </w:rPr>
              <w:t>Ranking of the Exchange Notes</w:t>
            </w:r>
          </w:p>
        </w:tc>
        <w:tc>
          <w:tcPr>
            <w:tcW w:w="7680" w:type="dxa"/>
            <w:vAlign w:val="bottom"/>
          </w:tcPr>
          <w:p>
            <w:pPr>
              <w:ind w:left="880"/>
              <w:spacing w:after="0"/>
              <w:rPr>
                <w:sz w:val="20"/>
                <w:szCs w:val="20"/>
                <w:color w:val="auto"/>
              </w:rPr>
            </w:pPr>
            <w:r>
              <w:rPr>
                <w:rFonts w:ascii="Arial" w:cs="Arial" w:eastAsia="Arial" w:hAnsi="Arial"/>
                <w:sz w:val="18"/>
                <w:szCs w:val="18"/>
                <w:color w:val="auto"/>
              </w:rPr>
              <w:t>The exchange notes will be the Issuers’ senior unsecured obligations and will:</w:t>
            </w:r>
          </w:p>
        </w:tc>
      </w:tr>
      <w:tr>
        <w:trPr>
          <w:trHeight w:val="351"/>
        </w:trPr>
        <w:tc>
          <w:tcPr>
            <w:tcW w:w="3340" w:type="dxa"/>
            <w:vAlign w:val="bottom"/>
          </w:tcPr>
          <w:p>
            <w:pPr>
              <w:spacing w:after="0"/>
              <w:rPr>
                <w:sz w:val="24"/>
                <w:szCs w:val="24"/>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6"/>
              </w:rPr>
              <w:t>•  rank senior in right of payment to any future subordinated indebtedness of the Issuers;</w:t>
            </w:r>
          </w:p>
        </w:tc>
      </w:tr>
      <w:tr>
        <w:trPr>
          <w:trHeight w:val="323"/>
        </w:trPr>
        <w:tc>
          <w:tcPr>
            <w:tcW w:w="3340" w:type="dxa"/>
            <w:vAlign w:val="bottom"/>
          </w:tcPr>
          <w:p>
            <w:pPr>
              <w:spacing w:after="0"/>
              <w:rPr>
                <w:sz w:val="24"/>
                <w:szCs w:val="24"/>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7"/>
              </w:rPr>
              <w:t>•  rank equally in right of payment with all existing and future senior indebtedness of the</w:t>
            </w:r>
          </w:p>
        </w:tc>
      </w:tr>
      <w:tr>
        <w:trPr>
          <w:trHeight w:val="230"/>
        </w:trPr>
        <w:tc>
          <w:tcPr>
            <w:tcW w:w="334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Issuers, including the revolving credit facility and the existing notes;</w:t>
            </w:r>
          </w:p>
        </w:tc>
      </w:tr>
      <w:tr>
        <w:trPr>
          <w:trHeight w:val="323"/>
        </w:trPr>
        <w:tc>
          <w:tcPr>
            <w:tcW w:w="3340" w:type="dxa"/>
            <w:vAlign w:val="bottom"/>
          </w:tcPr>
          <w:p>
            <w:pPr>
              <w:spacing w:after="0"/>
              <w:rPr>
                <w:sz w:val="24"/>
                <w:szCs w:val="24"/>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7"/>
              </w:rPr>
              <w:t>•  be structurally senior to all existing and future indebtedness and other liabilities of any</w:t>
            </w:r>
          </w:p>
        </w:tc>
      </w:tr>
      <w:tr>
        <w:trPr>
          <w:trHeight w:val="216"/>
        </w:trPr>
        <w:tc>
          <w:tcPr>
            <w:tcW w:w="334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person that is a direct or indirect parent of the Issuers that is not guaranteed by the</w:t>
            </w:r>
          </w:p>
        </w:tc>
      </w:tr>
      <w:tr>
        <w:trPr>
          <w:trHeight w:val="230"/>
        </w:trPr>
        <w:tc>
          <w:tcPr>
            <w:tcW w:w="334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Issuers, including the Dell Inc. notes and debentures; and</w:t>
            </w:r>
          </w:p>
        </w:tc>
      </w:tr>
      <w:tr>
        <w:trPr>
          <w:trHeight w:val="323"/>
        </w:trPr>
        <w:tc>
          <w:tcPr>
            <w:tcW w:w="3340" w:type="dxa"/>
            <w:vAlign w:val="bottom"/>
          </w:tcPr>
          <w:p>
            <w:pPr>
              <w:spacing w:after="0"/>
              <w:rPr>
                <w:sz w:val="24"/>
                <w:szCs w:val="24"/>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7"/>
              </w:rPr>
              <w:t>•  be structurally subordinated to all existing and future indebtedness and other liabilities</w:t>
            </w:r>
          </w:p>
        </w:tc>
      </w:tr>
      <w:tr>
        <w:trPr>
          <w:trHeight w:val="216"/>
        </w:trPr>
        <w:tc>
          <w:tcPr>
            <w:tcW w:w="334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6"/>
              </w:rPr>
              <w:t>of subsidiaries of the Issuers, consisting mainly of DFS Debt, other than indebtedness</w:t>
            </w:r>
          </w:p>
        </w:tc>
      </w:tr>
      <w:tr>
        <w:trPr>
          <w:trHeight w:val="230"/>
        </w:trPr>
        <w:tc>
          <w:tcPr>
            <w:tcW w:w="334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and liabilities owed to one of the Issuers or guarantors.</w:t>
            </w:r>
          </w:p>
        </w:tc>
      </w:tr>
      <w:tr>
        <w:trPr>
          <w:trHeight w:val="445"/>
        </w:trPr>
        <w:tc>
          <w:tcPr>
            <w:tcW w:w="3340" w:type="dxa"/>
            <w:vAlign w:val="bottom"/>
          </w:tcPr>
          <w:p>
            <w:pPr>
              <w:ind w:left="180"/>
              <w:spacing w:after="0"/>
              <w:rPr>
                <w:sz w:val="20"/>
                <w:szCs w:val="20"/>
                <w:color w:val="auto"/>
              </w:rPr>
            </w:pPr>
            <w:r>
              <w:rPr>
                <w:rFonts w:ascii="Arial" w:cs="Arial" w:eastAsia="Arial" w:hAnsi="Arial"/>
                <w:sz w:val="18"/>
                <w:szCs w:val="18"/>
                <w:color w:val="auto"/>
              </w:rPr>
              <w:t>Guarantees</w:t>
            </w:r>
          </w:p>
        </w:tc>
        <w:tc>
          <w:tcPr>
            <w:tcW w:w="7680" w:type="dxa"/>
            <w:vAlign w:val="bottom"/>
          </w:tcPr>
          <w:p>
            <w:pPr>
              <w:ind w:left="880"/>
              <w:spacing w:after="0"/>
              <w:rPr>
                <w:sz w:val="20"/>
                <w:szCs w:val="20"/>
                <w:color w:val="auto"/>
              </w:rPr>
            </w:pPr>
            <w:r>
              <w:rPr>
                <w:rFonts w:ascii="Arial" w:cs="Arial" w:eastAsia="Arial" w:hAnsi="Arial"/>
                <w:sz w:val="18"/>
                <w:szCs w:val="18"/>
                <w:color w:val="auto"/>
                <w:w w:val="95"/>
              </w:rPr>
              <w:t>The exchange notes will be fully and unconditionally guaranteed, jointly and severally, by</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5"/>
              </w:rPr>
              <w:t>Dell Technologies, Denali Intermediate and Dell. The notes will not be guaranteed by any</w:t>
            </w:r>
          </w:p>
        </w:tc>
      </w:tr>
      <w:tr>
        <w:trPr>
          <w:trHeight w:val="230"/>
        </w:trPr>
        <w:tc>
          <w:tcPr>
            <w:tcW w:w="3340" w:type="dxa"/>
            <w:vAlign w:val="bottom"/>
          </w:tcPr>
          <w:p>
            <w:pPr>
              <w:spacing w:after="0"/>
              <w:rPr>
                <w:sz w:val="20"/>
                <w:szCs w:val="20"/>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of the Issuers’ subsidiaries.</w:t>
            </w:r>
          </w:p>
        </w:tc>
      </w:tr>
      <w:tr>
        <w:trPr>
          <w:trHeight w:val="159"/>
        </w:trPr>
        <w:tc>
          <w:tcPr>
            <w:tcW w:w="3340" w:type="dxa"/>
            <w:vAlign w:val="bottom"/>
            <w:tcBorders>
              <w:bottom w:val="single" w:sz="8" w:color="auto"/>
            </w:tcBorders>
          </w:tcPr>
          <w:p>
            <w:pPr>
              <w:spacing w:after="0"/>
              <w:rPr>
                <w:sz w:val="13"/>
                <w:szCs w:val="13"/>
                <w:color w:val="auto"/>
              </w:rPr>
            </w:pPr>
          </w:p>
        </w:tc>
        <w:tc>
          <w:tcPr>
            <w:tcW w:w="7680" w:type="dxa"/>
            <w:vAlign w:val="bottom"/>
            <w:tcBorders>
              <w:bottom w:val="single" w:sz="8" w:color="auto"/>
            </w:tcBorders>
          </w:tcPr>
          <w:p>
            <w:pPr>
              <w:spacing w:after="0"/>
              <w:rPr>
                <w:sz w:val="13"/>
                <w:szCs w:val="13"/>
                <w:color w:val="auto"/>
              </w:rPr>
            </w:pPr>
          </w:p>
        </w:tc>
      </w:tr>
      <w:tr>
        <w:trPr>
          <w:trHeight w:val="361"/>
        </w:trPr>
        <w:tc>
          <w:tcPr>
            <w:tcW w:w="3340" w:type="dxa"/>
            <w:vAlign w:val="bottom"/>
          </w:tcPr>
          <w:p>
            <w:pPr>
              <w:spacing w:after="0"/>
              <w:rPr>
                <w:sz w:val="24"/>
                <w:szCs w:val="24"/>
                <w:color w:val="auto"/>
              </w:rPr>
            </w:pPr>
          </w:p>
        </w:tc>
        <w:tc>
          <w:tcPr>
            <w:tcW w:w="7680" w:type="dxa"/>
            <w:vAlign w:val="bottom"/>
          </w:tcPr>
          <w:p>
            <w:pPr>
              <w:ind w:left="20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1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Ranking of the Guarantees</w:t>
            </w:r>
          </w:p>
        </w:tc>
        <w:tc>
          <w:tcPr>
            <w:tcW w:w="786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w w:val="93"/>
              </w:rPr>
              <w:t>Each guarantee of the exchange notes by a guarantor will be a senior unsecured obligation</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of such guarantor and will:</w:t>
            </w:r>
          </w:p>
        </w:tc>
      </w:tr>
      <w:tr>
        <w:trPr>
          <w:trHeight w:val="323"/>
        </w:trPr>
        <w:tc>
          <w:tcPr>
            <w:tcW w:w="316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7"/>
              </w:rPr>
              <w:t>•  rank senior in right of payment to all existing and future subordinated indebtedness of</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such guarantor;</w:t>
            </w:r>
          </w:p>
        </w:tc>
      </w:tr>
      <w:tr>
        <w:trPr>
          <w:trHeight w:val="323"/>
        </w:trPr>
        <w:tc>
          <w:tcPr>
            <w:tcW w:w="316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5"/>
              </w:rPr>
              <w:t>•  rank equally in right of payment with all existing and future senior indebtedness of such</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guarantor, including guarantees of obligations under the revolving credit facility and the</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existing notes;</w:t>
            </w:r>
          </w:p>
        </w:tc>
      </w:tr>
      <w:tr>
        <w:trPr>
          <w:trHeight w:val="323"/>
        </w:trPr>
        <w:tc>
          <w:tcPr>
            <w:tcW w:w="316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  be structurally senior to all existing and future indebtedness and other liabilities of any</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person that is a direct or indirect parent of such guarantor that is not guaranteed by the</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guarantor, including the Dell Inc. notes and debentures; and</w:t>
            </w:r>
          </w:p>
        </w:tc>
      </w:tr>
      <w:tr>
        <w:trPr>
          <w:trHeight w:val="323"/>
        </w:trPr>
        <w:tc>
          <w:tcPr>
            <w:tcW w:w="316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  be structurally subordinated to all existing and future indebtedness and other liabilities</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of subsidiaries of such guarantor, consisting mainly of DFS Debt, other than</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indebtedness and liabilities owed to one of the Issuers or guarantors.</w:t>
            </w:r>
          </w:p>
        </w:tc>
      </w:tr>
      <w:tr>
        <w:trPr>
          <w:trHeight w:val="445"/>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We may redeem some or all of (i) the 2041 exchange notes at any time prior to June 15,</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2041 (the date six months prior to the maturity date of the 2041 exchange notes) and</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2"/>
              </w:rPr>
              <w:t>(ii) the 2051 exchange notes at any time prior to June 15, 2051 (the date six months prior to</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2"/>
              </w:rPr>
              <w:t>the maturity date of the 2051 exchange notes), in each case, at a price equal to 100% of the</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principal amount of the notes redeemed, plus accrued and unpaid interest to, but not</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including, the redemption date, plus a “make-whole” premium, as described in this</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prospectus.</w:t>
            </w:r>
          </w:p>
        </w:tc>
      </w:tr>
      <w:tr>
        <w:trPr>
          <w:trHeight w:val="445"/>
        </w:trPr>
        <w:tc>
          <w:tcPr>
            <w:tcW w:w="316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8"/>
              </w:rPr>
              <w:t>On or after (i) June 15, 2041 (the date six months prior to the maturity date of the 2041</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1"/>
              </w:rPr>
              <w:t>exchange notes), in the case of the 2041 exchange notes and (ii) June 15, 2051 (the date six</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8"/>
              </w:rPr>
              <w:t>months prior to the maturity date of the 2051 exchange notes), in the case of the 2051</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exchange notes, we may redeem some or all of the notes at a redemption price equal to</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100% of the principal amount of the notes redeemed, plus accrued and unpaid interest to,</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but not including, the redemption date.</w:t>
            </w:r>
          </w:p>
        </w:tc>
      </w:tr>
      <w:tr>
        <w:trPr>
          <w:trHeight w:val="445"/>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Change of Control Offers</w:t>
            </w: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If a Change of Control Triggering Event (as defined in “</w:t>
            </w:r>
            <w:r>
              <w:rPr>
                <w:rFonts w:ascii="Arial" w:cs="Arial" w:eastAsia="Arial" w:hAnsi="Arial"/>
                <w:sz w:val="18"/>
                <w:szCs w:val="18"/>
                <w:i w:val="1"/>
                <w:iCs w:val="1"/>
                <w:color w:val="auto"/>
              </w:rPr>
              <w:t>Description of the Exchange</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i w:val="1"/>
                <w:iCs w:val="1"/>
                <w:color w:val="auto"/>
                <w:w w:val="91"/>
              </w:rPr>
              <w:t>Notes</w:t>
            </w:r>
            <w:r>
              <w:rPr>
                <w:rFonts w:ascii="Arial" w:cs="Arial" w:eastAsia="Arial" w:hAnsi="Arial"/>
                <w:sz w:val="18"/>
                <w:szCs w:val="18"/>
                <w:color w:val="auto"/>
                <w:w w:val="91"/>
              </w:rPr>
              <w:t>”) occurs, we must offer to repurchase the exchange notes at a redemption price equal</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to 101% of the principal amount thereof plus any accrued and unpaid interest to, but not</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including, the repurchase date. See “</w:t>
            </w:r>
            <w:r>
              <w:rPr>
                <w:rFonts w:ascii="Arial" w:cs="Arial" w:eastAsia="Arial" w:hAnsi="Arial"/>
                <w:sz w:val="18"/>
                <w:szCs w:val="18"/>
                <w:i w:val="1"/>
                <w:iCs w:val="1"/>
                <w:color w:val="auto"/>
              </w:rPr>
              <w:t>Description of the Exchange Notes—Change of</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i w:val="1"/>
                <w:iCs w:val="1"/>
                <w:color w:val="auto"/>
                <w:w w:val="95"/>
              </w:rPr>
              <w:t>Control Triggering Event</w:t>
            </w:r>
            <w:r>
              <w:rPr>
                <w:rFonts w:ascii="Arial" w:cs="Arial" w:eastAsia="Arial" w:hAnsi="Arial"/>
                <w:sz w:val="18"/>
                <w:szCs w:val="18"/>
                <w:color w:val="auto"/>
                <w:w w:val="95"/>
              </w:rPr>
              <w:t>” and “</w:t>
            </w:r>
            <w:r>
              <w:rPr>
                <w:rFonts w:ascii="Arial" w:cs="Arial" w:eastAsia="Arial" w:hAnsi="Arial"/>
                <w:sz w:val="18"/>
                <w:szCs w:val="18"/>
                <w:i w:val="1"/>
                <w:iCs w:val="1"/>
                <w:color w:val="auto"/>
                <w:w w:val="95"/>
              </w:rPr>
              <w:t>Risk Factors—Risks Related to our Indebtedness and the</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i w:val="1"/>
                <w:iCs w:val="1"/>
                <w:color w:val="auto"/>
                <w:w w:val="95"/>
              </w:rPr>
              <w:t>Exchange Notes—We may not be able to finance a change of control offer as required by</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i w:val="1"/>
                <w:iCs w:val="1"/>
                <w:color w:val="auto"/>
              </w:rPr>
              <w:t>the indenture that governs the exchange notes offered hereby.</w:t>
            </w:r>
            <w:r>
              <w:rPr>
                <w:rFonts w:ascii="Arial" w:cs="Arial" w:eastAsia="Arial" w:hAnsi="Arial"/>
                <w:sz w:val="18"/>
                <w:szCs w:val="18"/>
                <w:color w:val="auto"/>
              </w:rPr>
              <w:t>”</w:t>
            </w:r>
          </w:p>
        </w:tc>
      </w:tr>
      <w:tr>
        <w:trPr>
          <w:trHeight w:val="445"/>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5"/>
              </w:rPr>
              <w:t>The exchange notes will be governed by the same indenture under which the outstanding</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notes were issued. The indenture governing the exchange notes contain covenants that,</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among other things, limit the ability of the Issuers and their respective restricted</w:t>
            </w:r>
          </w:p>
        </w:tc>
      </w:tr>
      <w:tr>
        <w:trPr>
          <w:trHeight w:val="230"/>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subsidiaries to:</w:t>
            </w:r>
          </w:p>
        </w:tc>
      </w:tr>
      <w:tr>
        <w:trPr>
          <w:trHeight w:val="338"/>
        </w:trPr>
        <w:tc>
          <w:tcPr>
            <w:tcW w:w="316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  create liens on certain assets to secure debt;</w:t>
            </w:r>
          </w:p>
        </w:tc>
      </w:tr>
      <w:tr>
        <w:trPr>
          <w:trHeight w:val="159"/>
        </w:trPr>
        <w:tc>
          <w:tcPr>
            <w:tcW w:w="3160" w:type="dxa"/>
            <w:vAlign w:val="bottom"/>
            <w:tcBorders>
              <w:left w:val="single" w:sz="8" w:color="auto"/>
              <w:bottom w:val="single" w:sz="8" w:color="auto"/>
            </w:tcBorders>
          </w:tcPr>
          <w:p>
            <w:pPr>
              <w:spacing w:after="0"/>
              <w:rPr>
                <w:sz w:val="13"/>
                <w:szCs w:val="13"/>
                <w:color w:val="auto"/>
              </w:rPr>
            </w:pPr>
          </w:p>
        </w:tc>
        <w:tc>
          <w:tcPr>
            <w:tcW w:w="7860" w:type="dxa"/>
            <w:vAlign w:val="bottom"/>
            <w:tcBorders>
              <w:bottom w:val="single" w:sz="8" w:color="auto"/>
              <w:right w:val="single" w:sz="8" w:color="auto"/>
            </w:tcBorders>
          </w:tcPr>
          <w:p>
            <w:pPr>
              <w:spacing w:after="0"/>
              <w:rPr>
                <w:sz w:val="13"/>
                <w:szCs w:val="13"/>
                <w:color w:val="auto"/>
              </w:rPr>
            </w:pPr>
          </w:p>
        </w:tc>
      </w:tr>
      <w:tr>
        <w:trPr>
          <w:trHeight w:val="361"/>
        </w:trPr>
        <w:tc>
          <w:tcPr>
            <w:tcW w:w="3160" w:type="dxa"/>
            <w:vAlign w:val="bottom"/>
          </w:tcPr>
          <w:p>
            <w:pPr>
              <w:spacing w:after="0"/>
              <w:rPr>
                <w:sz w:val="24"/>
                <w:szCs w:val="24"/>
                <w:color w:val="auto"/>
              </w:rPr>
            </w:pPr>
          </w:p>
        </w:tc>
        <w:tc>
          <w:tcPr>
            <w:tcW w:w="7860" w:type="dxa"/>
            <w:vAlign w:val="bottom"/>
          </w:tcPr>
          <w:p>
            <w:pPr>
              <w:ind w:left="22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00" w:type="dxa"/>
            <w:vAlign w:val="bottom"/>
            <w:tcBorders>
              <w:top w:val="single" w:sz="8" w:color="auto"/>
              <w:left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94"/>
              </w:rPr>
              <w:t>•  consolidate, merge, sell or otherwise dispose of all or substantially all of their respective</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assets; and</w:t>
            </w:r>
          </w:p>
        </w:tc>
      </w:tr>
      <w:tr>
        <w:trPr>
          <w:trHeight w:val="338"/>
        </w:trPr>
        <w:tc>
          <w:tcPr>
            <w:tcW w:w="280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  enter into sale and leaseback transactions.</w:t>
            </w:r>
          </w:p>
        </w:tc>
      </w:tr>
      <w:tr>
        <w:trPr>
          <w:trHeight w:val="445"/>
        </w:trPr>
        <w:tc>
          <w:tcPr>
            <w:tcW w:w="280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These covenants are subject to a number of important exceptions and qualifications. See</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the Exchange Notes—Certain Covenants</w:t>
            </w:r>
            <w:r>
              <w:rPr>
                <w:rFonts w:ascii="Arial" w:cs="Arial" w:eastAsia="Arial" w:hAnsi="Arial"/>
                <w:sz w:val="18"/>
                <w:szCs w:val="18"/>
                <w:color w:val="auto"/>
              </w:rPr>
              <w:t>.”</w:t>
            </w:r>
          </w:p>
        </w:tc>
      </w:tr>
      <w:tr>
        <w:trPr>
          <w:trHeight w:val="445"/>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No Prior Market</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exchange notes will generally be freely transferable but will be new securities for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which there will not initially be a market. Accordingly, there can be no assurance as to the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development or liquidity of any market for the exchange notes. We do not intend to apply</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8"/>
              </w:rPr>
              <w:t>for a listing of the exchange notes on any securities exchange or an automated dealer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quotation system. See “</w:t>
            </w:r>
            <w:r>
              <w:rPr>
                <w:rFonts w:ascii="Arial" w:cs="Arial" w:eastAsia="Arial" w:hAnsi="Arial"/>
                <w:sz w:val="18"/>
                <w:szCs w:val="18"/>
                <w:i w:val="1"/>
                <w:iCs w:val="1"/>
                <w:color w:val="auto"/>
                <w:w w:val="93"/>
              </w:rPr>
              <w:t>Risk Factors—Risks Related to the Exchange Offer—Your ability to</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i w:val="1"/>
                <w:iCs w:val="1"/>
                <w:color w:val="auto"/>
                <w:w w:val="92"/>
              </w:rPr>
              <w:t>transfer the exchange notes may be limited by the absence of an active trading market, and</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i w:val="1"/>
                <w:iCs w:val="1"/>
                <w:color w:val="auto"/>
              </w:rPr>
              <w:t>an active trading market may not develop for the exchange notes</w:t>
            </w:r>
            <w:r>
              <w:rPr>
                <w:rFonts w:ascii="Arial" w:cs="Arial" w:eastAsia="Arial" w:hAnsi="Arial"/>
                <w:sz w:val="18"/>
                <w:szCs w:val="18"/>
                <w:color w:val="auto"/>
              </w:rPr>
              <w:t>.”</w:t>
            </w:r>
          </w:p>
        </w:tc>
      </w:tr>
      <w:tr>
        <w:trPr>
          <w:trHeight w:val="459"/>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Bank of New York Mellon Trust Company, N.A.</w:t>
            </w:r>
          </w:p>
        </w:tc>
      </w:tr>
      <w:tr>
        <w:trPr>
          <w:trHeight w:val="473"/>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We will not receive any proceeds from the exchange offer.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tc>
      </w:tr>
      <w:tr>
        <w:trPr>
          <w:trHeight w:val="473"/>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exchange notes will be governed by the laws of the State of New York.</w:t>
            </w:r>
          </w:p>
        </w:tc>
      </w:tr>
      <w:tr>
        <w:trPr>
          <w:trHeight w:val="458"/>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You should carefully consider all information in this prospectus prior to exchanging your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8"/>
              </w:rPr>
              <w:t>outstanding notes. In particular, you should evaluate the specific risks described in the</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section entitled “</w:t>
            </w:r>
            <w:r>
              <w:rPr>
                <w:rFonts w:ascii="Arial" w:cs="Arial" w:eastAsia="Arial" w:hAnsi="Arial"/>
                <w:sz w:val="18"/>
                <w:szCs w:val="18"/>
                <w:i w:val="1"/>
                <w:iCs w:val="1"/>
                <w:color w:val="auto"/>
                <w:w w:val="94"/>
              </w:rPr>
              <w:t>Risk Factors</w:t>
            </w:r>
            <w:r>
              <w:rPr>
                <w:rFonts w:ascii="Arial" w:cs="Arial" w:eastAsia="Arial" w:hAnsi="Arial"/>
                <w:sz w:val="18"/>
                <w:szCs w:val="18"/>
                <w:color w:val="auto"/>
                <w:w w:val="94"/>
              </w:rPr>
              <w:t>” in this prospectus before participating in the exchange offer.</w:t>
            </w:r>
          </w:p>
        </w:tc>
      </w:tr>
      <w:tr>
        <w:trPr>
          <w:trHeight w:val="159"/>
        </w:trPr>
        <w:tc>
          <w:tcPr>
            <w:tcW w:w="280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6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and all other information contained in or incorporated by reference in this prospectus, including those risk factors discussed in Dell Technologies’ Annual Report and Quarterly Report, before participating in the exchange offer. The risks and uncertainties described below are not the only risks facing us and your investment in the exchange notes. Additional risks and uncertainties that we are unaware of, or those we currently deem less significant, also may become important factors that affect us. The following risks could materially and adversely affect our business, financial condition, results of operations or liquidity. The value of the exchange notes could decline due to any of these risks, and you may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you choose not to exchange your outstanding notes in the exchange offer, the transfer restrictions currently applicable to your outstanding notes will remain in force and the market price of your outstanding notes could decline.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do not exchange your outstanding notes for exchange notes in the exchange offer, then you will continue to be subject to the transfer restrictions on the outstanding notes as set forth in the offering memorandum distributed in connection with the private offering of the outstanding notes. In general, the outstanding notes may not be offered or sold unless they are registered or exempt from registration under the Securities Act and applicable state securities laws. Except as required by the registration rights agreement, we do not intend to register resales of the outstanding notes under the Securities Act. You should refer to “</w:t>
      </w:r>
      <w:r>
        <w:rPr>
          <w:rFonts w:ascii="Arial" w:cs="Arial" w:eastAsia="Arial" w:hAnsi="Arial"/>
          <w:sz w:val="18"/>
          <w:szCs w:val="18"/>
          <w:i w:val="1"/>
          <w:iCs w:val="1"/>
          <w:color w:val="auto"/>
        </w:rPr>
        <w:t>Prospectus Summary—The Exchange Offer</w:t>
      </w:r>
      <w:r>
        <w:rPr>
          <w:rFonts w:ascii="Arial" w:cs="Arial" w:eastAsia="Arial" w:hAnsi="Arial"/>
          <w:sz w:val="18"/>
          <w:szCs w:val="18"/>
          <w:color w:val="auto"/>
        </w:rPr>
        <w:t>” and “</w:t>
      </w:r>
      <w:r>
        <w:rPr>
          <w:rFonts w:ascii="Arial" w:cs="Arial" w:eastAsia="Arial" w:hAnsi="Arial"/>
          <w:sz w:val="18"/>
          <w:szCs w:val="18"/>
          <w:i w:val="1"/>
          <w:iCs w:val="1"/>
          <w:color w:val="auto"/>
        </w:rPr>
        <w:t>The Exchange Offer</w:t>
      </w:r>
      <w:r>
        <w:rPr>
          <w:rFonts w:ascii="Arial" w:cs="Arial" w:eastAsia="Arial" w:hAnsi="Arial"/>
          <w:sz w:val="18"/>
          <w:szCs w:val="18"/>
          <w:color w:val="auto"/>
        </w:rPr>
        <w:t>” for information about how to tender your outstanding notes.</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tender of outstanding notes under the exchange offer will reduce the remaining principal amount of the outstanding notes, which may have an adverse effect upon, and increase the volatility of, the market price of the outstanding notes not exchanged in the exchange offer due to a reduction in liquidity.</w:t>
      </w:r>
    </w:p>
    <w:p>
      <w:pPr>
        <w:spacing w:after="0" w:line="2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Your ability to transfer the exchange notes may be limited by the absence of an active trading market, and an active trading market may not develop for the exchange notes.</w:t>
      </w:r>
    </w:p>
    <w:p>
      <w:pPr>
        <w:spacing w:after="0" w:line="6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exchange notes are a new issue of securities for which there is no established trading market. We do not intend to have the exchange notes listed on a national securities exchange or to arrange for quotation on any automated quotation system. Therefore, we cannot assure you as to the development or liquidity of any trading market for the exchange notes. The liquidity of any market for the exchange notes will depend on a number of factors, including:</w:t>
      </w:r>
    </w:p>
    <w:p>
      <w:pPr>
        <w:spacing w:after="0" w:line="92"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overall market for securities similar to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performance or prospects;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holders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conditions of the financial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market, if any, for the exchange notes may face disruptions that may adversely affect the prices at which you may sell your exchange notes.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Therefore, you may not be able to sell your exchange notes at a particular time and the price that you receive when you sell may not be favorable.</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Certain persons who participate in the exchange offer must deliver a prospectus in connection with resales of the exchange notes.</w:t>
      </w:r>
    </w:p>
    <w:p>
      <w:pPr>
        <w:spacing w:after="0" w:line="12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Based on interpretations of the staff of the SEC contained in </w:t>
      </w:r>
      <w:r>
        <w:rPr>
          <w:rFonts w:ascii="Arial" w:cs="Arial" w:eastAsia="Arial" w:hAnsi="Arial"/>
          <w:sz w:val="17"/>
          <w:szCs w:val="17"/>
          <w:i w:val="1"/>
          <w:iCs w:val="1"/>
          <w:color w:val="auto"/>
        </w:rPr>
        <w:t>Exxon Capital Holdings Corp.</w:t>
      </w:r>
      <w:r>
        <w:rPr>
          <w:rFonts w:ascii="Arial" w:cs="Arial" w:eastAsia="Arial" w:hAnsi="Arial"/>
          <w:sz w:val="17"/>
          <w:szCs w:val="17"/>
          <w:color w:val="auto"/>
        </w:rPr>
        <w:t xml:space="preserve">, SEC no-action letter (available May 13, 1988), </w:t>
      </w:r>
      <w:r>
        <w:rPr>
          <w:rFonts w:ascii="Arial" w:cs="Arial" w:eastAsia="Arial" w:hAnsi="Arial"/>
          <w:sz w:val="17"/>
          <w:szCs w:val="17"/>
          <w:i w:val="1"/>
          <w:iCs w:val="1"/>
          <w:color w:val="auto"/>
        </w:rPr>
        <w:t>Morgan Stanley &amp; Co. Inc.</w:t>
      </w:r>
      <w:r>
        <w:rPr>
          <w:rFonts w:ascii="Arial" w:cs="Arial" w:eastAsia="Arial" w:hAnsi="Arial"/>
          <w:sz w:val="17"/>
          <w:szCs w:val="17"/>
          <w:color w:val="auto"/>
        </w:rPr>
        <w:t>, SEC no-action letter (available June 5, 1991) and</w:t>
      </w:r>
      <w:r>
        <w:rPr>
          <w:rFonts w:ascii="Arial" w:cs="Arial" w:eastAsia="Arial" w:hAnsi="Arial"/>
          <w:sz w:val="17"/>
          <w:szCs w:val="17"/>
          <w:i w:val="1"/>
          <w:iCs w:val="1"/>
          <w:color w:val="auto"/>
        </w:rPr>
        <w:t xml:space="preserve"> Shearman &amp; Sterling</w:t>
      </w:r>
      <w:r>
        <w:rPr>
          <w:rFonts w:ascii="Arial" w:cs="Arial" w:eastAsia="Arial" w:hAnsi="Arial"/>
          <w:sz w:val="17"/>
          <w:szCs w:val="17"/>
          <w:color w:val="auto"/>
        </w:rPr>
        <w:t>, SEC no-action letter (available July 2, 1993),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that you may offer for resale, resell or otherwise transfer the exchange notes without compliance with the registration and prospectus delivery requirements of the Securities Act. However, in some instances described in this prospectus under “Plan of Distribution,” certain holders of exchange notes will remain obligated to comply with the registration and prospectus delivery requirements of the Securities Act to transfer the exchange notes. If such a holder transfers any exchange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this liability.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Exchange Notes</w:t>
      </w:r>
    </w:p>
    <w:p>
      <w:pPr>
        <w:spacing w:after="0" w:line="121"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The exchange notes will be structurally subordinated to the debt and other liabilities of our subsidiaries (other than the Issuers), and your right to receive payments on the exchange notes could be adversely affected if any of such subsidiaries declares bankruptcy, liquidates or reorganizes.</w:t>
      </w:r>
    </w:p>
    <w:p>
      <w:pPr>
        <w:spacing w:after="0" w:line="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obligations under the exchange notes are structurally subordinated to the debt and other liabilities of our subsidiaries (other than the Issuers), who will not guarantee the exchange notes. Holders of the exchange notes will not have any claim as a creditor against our subsidiaries (other than the Issuers). In the event that any of such subsidiaries becomes insolvent, liquidates, reorganizes, dissolves or otherwise winds up, holders of their debt and their trade creditors will generally be entitled to payment on their claims from the assets of those subsidiaries before any of those assets are made available to us. Consequently, your claims in respect of the exchange notes or guarantees will be structurally subordinated to all of the liabilities of such subsidiaries. As of May 5, 2023, our non-guarantor subsidiaries (excluding the Issuers) had $62.9 billion of total liabilities (excluding intercompany liabilities), all of which were structurally senior to the exchange notes and the guarantees.</w:t>
      </w:r>
    </w:p>
    <w:p>
      <w:pPr>
        <w:spacing w:after="0" w:line="1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any guarantee is released, no holder of the exchange notes will have a claim as a creditor against any entity that is no longer a guarantor of the exchange notes, and the indebtedness and other liabilitires, including trade payables and preferred stock, if any, whether secured or unsecured, of such entity will be effectively senior to the claim of any holders of the exchange notes. See “</w:t>
      </w:r>
      <w:r>
        <w:rPr>
          <w:rFonts w:ascii="Arial" w:cs="Arial" w:eastAsia="Arial" w:hAnsi="Arial"/>
          <w:sz w:val="18"/>
          <w:szCs w:val="18"/>
          <w:i w:val="1"/>
          <w:iCs w:val="1"/>
          <w:color w:val="auto"/>
        </w:rPr>
        <w:t>Description of the Exchange Notes—Note Guarantees—Release</w:t>
      </w:r>
      <w:r>
        <w:rPr>
          <w:rFonts w:ascii="Arial" w:cs="Arial" w:eastAsia="Arial" w:hAnsi="Arial"/>
          <w:sz w:val="18"/>
          <w:szCs w:val="18"/>
          <w:color w:val="auto"/>
        </w:rPr>
        <w:t xml:space="preserve"> </w:t>
      </w:r>
      <w:r>
        <w:rPr>
          <w:rFonts w:ascii="Arial" w:cs="Arial" w:eastAsia="Arial" w:hAnsi="Arial"/>
          <w:sz w:val="18"/>
          <w:szCs w:val="18"/>
          <w:i w:val="1"/>
          <w:iCs w:val="1"/>
          <w:color w:val="auto"/>
        </w:rPr>
        <w:t>of Note Guarantees</w:t>
      </w:r>
      <w:r>
        <w:rPr>
          <w:rFonts w:ascii="Arial" w:cs="Arial" w:eastAsia="Arial" w:hAnsi="Arial"/>
          <w:sz w:val="18"/>
          <w:szCs w:val="18"/>
          <w:color w:val="auto"/>
        </w:rPr>
        <w:t>.”</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terms of the indenture that governs the exchange notes provides only limited protection against significant corporate events that could adversely impact your investment in the exchange notes.</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While the indenture that governs the exchange notes contain terms intended to provide protection to noteholders upon the occurrence of certain events involving significant corporate transactions and our creditworthiness, these terms are limited and may not be sufficient to protect your investment in the exchange notes. For example, certain important corporate events, such as leveraged recapitalizations, may not, under the indenture that governs the exchange notes, constitute a “change of control” that would require us to repurchase the exchange notes, even though those corporate events could increase the level of our indebtedness or otherwise adversely affect our capital structure, credit ratings or the value of the exchange notes. See “</w:t>
      </w:r>
      <w:r>
        <w:rPr>
          <w:rFonts w:ascii="Arial" w:cs="Arial" w:eastAsia="Arial" w:hAnsi="Arial"/>
          <w:sz w:val="17"/>
          <w:szCs w:val="17"/>
          <w:i w:val="1"/>
          <w:iCs w:val="1"/>
          <w:color w:val="auto"/>
        </w:rPr>
        <w:t>Description of the Exchange Notes—Change of Control Triggering Event</w:t>
      </w:r>
      <w:r>
        <w:rPr>
          <w:rFonts w:ascii="Arial" w:cs="Arial" w:eastAsia="Arial" w:hAnsi="Arial"/>
          <w:sz w:val="17"/>
          <w:szCs w:val="17"/>
          <w:color w:val="auto"/>
        </w:rPr>
        <w: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indenture that governs the exchange notes does not:</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incur unsecured indebtedness;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5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otherwise incur indebtedness that would be senior to our equity interests in our subsidiaries and therefore rank effectively senior to the exchange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our ability to repurchase or prepay any other of our securities or other indebtedness;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exchange notes;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sell, merge or consolidate any of our subsidiaries.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result of the foregoing, when evaluating the terms of the exchange notes, you should be aware that the terms of the indenture that governs the exchange notes do not restrict our ability to engage in, or to otherwise be a party to, a variety of corporate transactions, circumstances and events that could have an adverse impact on your investment in the exchange notes.</w:t>
      </w: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flows from operating activities to service our indebtedness and meet our other cash needs and may be forced to take other actions to satisfy our obligations under our indebtedness, which may not be successful.</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ability to make payments on and to refinance our indebtedness will depend on our ability to generate cash in the future. Our ability to generate cash will be subject to general economic, financial, competitive, legislative, regulatory and other factors, some of which are beyond our control. Our future cash flow, cash on hand or available borrowings may not be sufficient to meet our obligations and commitments. If we are unable to generate sufficient cash flow from operations in the future to service our indebtedness and to meet our other commitments, we will be required to adopt one or more alternatives, such as refinancing or restructuring our indebtedness (including the exchange notes), selling material assets or operations or seeking to raise additional debt or equity capital. These actions may not be effected on a timely basis or on satisfactory terms or at all, or these actions may not enable us to continue to satisfy our capital requirements. Our failure to comply with these covenants could result in an event of default which, if not cured or waived, could result in the acceleration of all our debts. See “</w:t>
      </w:r>
      <w:r>
        <w:rPr>
          <w:rFonts w:ascii="Arial" w:cs="Arial" w:eastAsia="Arial" w:hAnsi="Arial"/>
          <w:sz w:val="16"/>
          <w:szCs w:val="16"/>
          <w:i w:val="1"/>
          <w:iCs w:val="1"/>
          <w:color w:val="auto"/>
        </w:rPr>
        <w:t>Description of the Exchange Notes.</w:t>
      </w:r>
      <w:r>
        <w:rPr>
          <w:rFonts w:ascii="Arial" w:cs="Arial" w:eastAsia="Arial" w:hAnsi="Arial"/>
          <w:sz w:val="16"/>
          <w:szCs w:val="16"/>
          <w:color w:val="auto"/>
        </w:rPr>
        <w:t>”</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we conduct substantially all of our operations through our subsidiaries, none of which (other than the Issuers) will be obligors under the exchange notes. Accordingly, repayment of our indebtedness, including the exchange notes, will be dependent in part on the generation of cash flow by our subsidiaries and their ability to make such cash available to us or the Issuers, by dividend, debt repayment or otherwise. Unless they are guarantors of the exchange notes or our other indebtedness, the subsidiaries will not have any obligation to pay amounts due on the exchange notes or our other indebtedness, as applicable, or to make funds available for that purpose. Our subsidiaries may not be able to, or may not be permitted to, make distributions to enable us or the Issuers to make payments in respect of our indebtedness, including the exchange notes. Each subsidiary is a distinct legal entity, and under certain circumstances legal and contractual restrictions may limit our ability to obtain cash from our subsidiaries. In the event that we and the Issuers do not receive distributions from our subsidiaries, we may be unable to make the required principal and interest payments on our indebtedness, including the exchange notes.</w:t>
      </w:r>
    </w:p>
    <w:p>
      <w:pPr>
        <w:spacing w:after="0" w:line="18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we cannot make scheduled payments on our debt, we will be in default, and as a result, holders of the exchange notes and certain of our other indebtedness could declare all outstanding principal and interest to be due and payable, the lenders under our revolving credit facility could terminate their commitments to loan money and we could be forced into bankruptcy or liquidation, in each case, which could result in your losing all or a portion of your investment in the exchange notes.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and our subsidiaries are not restricted from incurring significant additional debt, including significant secured debt.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and our subsidiaries may be able to incur substantial additional indebtedness, including significant additional secured indebtedness, in the future. The indentures that govern the existing notes and the exchange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notes and the credit agreement that governs our revolving credit facility, do not restrict our ability to incur additional unsecured debt, except that the credit agreement contains a quarterly covenant to maintain a consolidated interest coverage ratio of at least 3.0 to 1.0. In addition, while the credit agreement restricts liens on the assets of Dell Inc. and its restricted subsidiaries to secure indebtedness (subject to certain exceptions described therein), the indentures that govern the existing notes and the exchange notes allow us to grant liens on our assets (other than Principal Properties, as described in “</w:t>
      </w:r>
      <w:r>
        <w:rPr>
          <w:rFonts w:ascii="Arial" w:cs="Arial" w:eastAsia="Arial" w:hAnsi="Arial"/>
          <w:sz w:val="16"/>
          <w:szCs w:val="16"/>
          <w:i w:val="1"/>
          <w:iCs w:val="1"/>
          <w:color w:val="auto"/>
        </w:rPr>
        <w:t>Description of the Exchange Notes</w:t>
      </w:r>
      <w:r>
        <w:rPr>
          <w:rFonts w:ascii="Arial" w:cs="Arial" w:eastAsia="Arial" w:hAnsi="Arial"/>
          <w:sz w:val="16"/>
          <w:szCs w:val="16"/>
          <w:color w:val="auto"/>
        </w:rPr>
        <w:t>”) without ratably securing the exchange notes. Under certain circumstances, the amount of secured and unsecured indebtedness that we may incur while remaining in compliance with these restrictions could be substantial.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finance a change of control offer as required by the indenture that governs the exchange notes offered hereby.</w:t>
      </w:r>
    </w:p>
    <w:p>
      <w:pPr>
        <w:spacing w:after="0" w:line="1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Under the indenture that governs the exchange notes offered hereby, upon the occurrence of a Change of Control Triggering Event, we will be required to offer to repurchase all of the exchange notes then outstanding at 101% of the principal amount of the exchange notes (or such higher amount as the Issuers may determine), plus any accrued and unpaid interest, if any, to, but not including, the repurchase date. We may not be able to repurchase the exchange notes upon a Change of Control Triggering Event because we may not have sufficient financial resources to purchase all of the exchange notes that would be tendered upon a Change of Control Triggering Event. Our failure to repurchase the exchange notes upon a Change of Control Triggering Event would cause an event of default under the indenture that governs the exchange notes offered hereby and a cross-default under the revolving credit facility. The credit agreement governing our revolving credit facility also provides that a change of control triggering event (as described therein) is an event of default that permits lenders to terminate their commitments and accelerate the maturity of borrowings thereunder. Any of our future debt arrangements may contain similar provisions. We cannot assure you that we will have the financial resources available or that we will be permitted by our debt instruments to fulfill these obligations upon the occurrence of a Change of Control Triggering Event in the future. We may require additional financing from third parties to fund any such purchases, and we may be unable to obtain financing on satisfactory terms or at all. Further, our ability to repurchase the exchange notes may be limited by law. In order to avoid the obligations to repurchase the exchange notes and to avoid events of default, we may have to avoid certain change of control transactions that would otherwise be beneficial to us.</w:t>
      </w:r>
    </w:p>
    <w:p>
      <w:pPr>
        <w:spacing w:after="0" w:line="174"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In addition, certain important corporate events, such as leveraged recapitalizations, may not, under the indenture that governs the exchange notes, constitute a “change of control” that would require us to repurchase the exchange notes, even though those corporate events could increase the level of our indebtedness or otherwise adversely affect our capital structure, credit ratings or the value of the exchange notes. See “</w:t>
      </w:r>
      <w:r>
        <w:rPr>
          <w:rFonts w:ascii="Arial" w:cs="Arial" w:eastAsia="Arial" w:hAnsi="Arial"/>
          <w:sz w:val="18"/>
          <w:szCs w:val="18"/>
          <w:i w:val="1"/>
          <w:iCs w:val="1"/>
          <w:color w:val="auto"/>
        </w:rPr>
        <w:t>Description of the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Notes—Change of Control Triggering Event</w:t>
      </w:r>
      <w:r>
        <w:rPr>
          <w:rFonts w:ascii="Arial" w:cs="Arial" w:eastAsia="Arial" w:hAnsi="Arial"/>
          <w:sz w:val="18"/>
          <w:szCs w:val="18"/>
          <w:color w:val="auto"/>
        </w:rPr>
        <w:t>.”</w:t>
      </w:r>
    </w:p>
    <w:p>
      <w:pPr>
        <w:spacing w:after="0" w:line="295"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Holders of the exchange notes may not be able to determine when a change of control giving rise to their right to have the exchange notes repurchased has occurred following a sale of “substantially all” of our assets.</w:t>
      </w:r>
    </w:p>
    <w:p>
      <w:pPr>
        <w:spacing w:after="0" w:line="6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One of the circumstances under which a change of control may occur is upon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exchange notes to require us to repurchase its exchange notes as a result of a sale of less than all our assets to another person may be uncertain.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Ratings of the exchange notes and other factors may affect the market price and marketability of the exchange notes.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currently expect that, upon issuance, the exchange notes will be rated by Moody’s, S&amp;P and Fitch. Such ratings will be limited in scope, and will not address all material risks relating to an investment in the exchange notes, but rather will reflect only the view of each rating agency at the time it issues the rating. An explanation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It is also possible that such ratings may be lowered in connection with the Offering or in connection with future events, such as future acquisitions. Holders of the exchange notes will have no recourse against us or any other parties in the event of a change in or suspension or withdrawal of such ratings. Any lowering, suspension or withdrawal of such ratings may have an adverse effect on the market price or marketability of the exchange notes. In addition, the condition of the financial markets, prevailing interest rates, and other factors have fluctuated in the past and are likely to fluctuate in the future, which may adversely affect the market price or marketability of the exchange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assure you that an active trading market will develop for the exchange notes.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There is no public market for the exchange notes, and there can be no assurance that any such market will develop. We do not intend to list the exchange notes on any national securities exchange. If no active trading market develops, you may not be able to resell your exchange notes at their fair market value or at all. If a market were to develop, the exchange notes might not trade at favorable prices depending on many factors, including prevailing interest rates, general economic conditions and our financial condition, performance and prospects.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will not receive any proceeds from the issuance of the exchange notes in the exchange offer. The exchange offer is intended to satisfy our obligations under the registration rights agreement that we entered into in connection with the private offering of the outstanding notes. As consideration for issuing the exchange notes as contemplated in this prospectus, we will receive in exchange a like principal amount of outstanding notes, the terms of which are identical in all material respects to the exchange notes, except that the exchange notes will not contain terms with respect to transfer restrictions or additional interest upon a failure to fulfill certain of our obligations under the registration rights agreement. The outstanding notes that are surrendered in exchange for the exchange notes will be retired and cancelled and cannot be reissued. As a result, the issuance of the exchange notes will not result in any change in our capitalization.</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table sets forth our cash and cash equivalents and total capitalization as of May 5, 2023. You should read this table in conjunction with “</w:t>
      </w:r>
      <w:r>
        <w:rPr>
          <w:rFonts w:ascii="Arial" w:cs="Arial" w:eastAsia="Arial" w:hAnsi="Arial"/>
          <w:sz w:val="16"/>
          <w:szCs w:val="16"/>
          <w:i w:val="1"/>
          <w:iCs w:val="1"/>
          <w:color w:val="auto"/>
        </w:rPr>
        <w:t>Prospectus Summary—Summary Historical Financial Data</w:t>
      </w:r>
      <w:r>
        <w:rPr>
          <w:rFonts w:ascii="Arial" w:cs="Arial" w:eastAsia="Arial" w:hAnsi="Arial"/>
          <w:sz w:val="16"/>
          <w:szCs w:val="16"/>
          <w:color w:val="auto"/>
        </w:rPr>
        <w:t>” included elsewhere in this prospectus,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Operations</w:t>
      </w:r>
      <w:r>
        <w:rPr>
          <w:rFonts w:ascii="Arial" w:cs="Arial" w:eastAsia="Arial" w:hAnsi="Arial"/>
          <w:sz w:val="16"/>
          <w:szCs w:val="16"/>
          <w:color w:val="auto"/>
        </w:rPr>
        <w:t>” incorporated by reference in this prospectus as well as our audited consolidated financial statements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notes thereto that are also incorporated by reference in this prospectus from our Quarterly Report for the three months ended May 5, 2023.</w:t>
      </w:r>
    </w:p>
    <w:p>
      <w:pPr>
        <w:spacing w:after="0" w:line="16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May 5, 2023</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Debt (1):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Revolving credit facility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Existing notes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DFS Debt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Other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principal amount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Unamortized discounts, net of unamortized premium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Debt issuance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Total debt, carrying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Dell Technologies Inc. stockholders’ equity (deficit)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20" w:hanging="424"/>
        <w:spacing w:after="0" w:line="274"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a more complete description of our indebtedness and the related defined terms, see “</w:t>
      </w:r>
      <w:r>
        <w:rPr>
          <w:rFonts w:ascii="Arial" w:cs="Arial" w:eastAsia="Arial" w:hAnsi="Arial"/>
          <w:sz w:val="17"/>
          <w:szCs w:val="17"/>
          <w:i w:val="1"/>
          <w:iCs w:val="1"/>
          <w:color w:val="auto"/>
        </w:rPr>
        <w:t>Summary—Ownership and Corporate Structure</w:t>
      </w:r>
      <w:r>
        <w:rPr>
          <w:rFonts w:ascii="Arial" w:cs="Arial" w:eastAsia="Arial" w:hAnsi="Arial"/>
          <w:sz w:val="17"/>
          <w:szCs w:val="17"/>
          <w:color w:val="auto"/>
        </w:rPr>
        <w:t>” included elsewhere in this prospectus and our audited consolidated financial statements and notes thereto incorporated by reference herein.</w:t>
      </w:r>
    </w:p>
    <w:p>
      <w:pPr>
        <w:ind w:left="5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principal amount of Dell Inc. notes and debentures and Dell-EMC notes. In addition, (i) on July 5, 2023, we purchased and retired $999,994,000 aggregate principal amount of 6.020% Senior Notes due 2026 in the Debt Tender Offer; and (ii) between May 5, 2023 and August 8, 2023, we repurchased $37.6 million aggregate principal amount of old 2041 notes and $105.1 million aggregate principal amount of old 2051 notes in the 2041 and 2051 Bond Repurchases.</w:t>
      </w:r>
    </w:p>
    <w:p>
      <w:pPr>
        <w:spacing w:after="0" w:line="1" w:lineRule="exact"/>
        <w:rPr>
          <w:rFonts w:ascii="Arial" w:cs="Arial" w:eastAsia="Arial" w:hAnsi="Arial"/>
          <w:sz w:val="18"/>
          <w:szCs w:val="18"/>
          <w:color w:val="auto"/>
        </w:rPr>
      </w:pPr>
    </w:p>
    <w:p>
      <w:pPr>
        <w:ind w:left="540" w:right="940" w:hanging="424"/>
        <w:spacing w:after="0" w:line="26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DFS Debt primarily represents debt from DFS’ receivables, securitization and structured financing programs, the majority of which is non-recourse to Dell Technologies.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EXCHANGE NOTES</w:t>
      </w:r>
    </w:p>
    <w:p>
      <w:pPr>
        <w:spacing w:after="0" w:line="2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The Issuers issued $1,000,000,000 aggregate principal amount of 3.375% Senior Notes due 2041 (the “Old 2041 Notes”) and $1,250,000,000 aggregate principal amount of 3.450% Senior Notes due 2051 (the “Old 2051 Notes”), pursuant to an indenture, dated as of December 13, 2021 (as has been amended, supplemented or modified from time to time, the “Indenture”), among the Issuers, the Guarantors and The Bank of New York Mellon Trust Company, N.A., as trustee (the “Trustee”). For purposes of this Description of the Exchange Notes, “Outstanding Notes” means, collectively, the Old 2041 Notes and the Old 2051 Notes. The Outstanding Notes were issued in a private transaction that was not subject to the registration requirements of the Securities Act. The Issuers are offering to exchange any and all of the Old 2041 Notes and Old 2051 Notes for notes of the same series registered under the Securities Act (the Old 2041 Notes to be exchanged, the “2041 Exchange Notes” and the Old 2051 Notes to be exchanged, the “2051 Exchange Notes” and together with the 2041 Exchange Notes, the “Exchange Notes”). The terms (except for the issue date and first interest payment date) of each series of Exchange Notes to be issued in the exchange offer for the Outstanding Notes are substantially identical to the Outstanding Notes of such series, except that the transfer restrictions, registration rights and additional interest provision relating to the Outstanding Notes will not apply to the Exchange Notes. The terms of each series of the Exchange Notes will include the terms stated in the Indenture and, upon the qualification of the Indenture under the Trust Indenture Act of 1939, as amended (the “Trust Indenture Act”), the terms made part of the Indenture by reference to the Trust Indenture Act.</w:t>
      </w:r>
    </w:p>
    <w:p>
      <w:pPr>
        <w:spacing w:after="0" w:line="18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following description is only a summary of certain provisions of the Indenture and the Notes, does not purport to be complete and is subject to, and is qualified in its entirety by reference to, all the provisions of the Indenture and the Notes, including the definitions therein of certain terms used below. We urge you to read each of these documents because they, not this description, define your rights as Holders. You may request copies of these agreements at the address of Parent set forth under the heading “Prospectus Summary—Corporate Information.”</w:t>
      </w:r>
    </w:p>
    <w:p>
      <w:pPr>
        <w:spacing w:after="0" w:line="17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Certain terms used in this description are defined under the heading “Certain Definitions.” In this section of the Prospectus, references to (i) the “Notes” are to the Outstanding Notes, together with the Exchange Notes offered hereby that are to be exchanged for Outstanding Notes, (ii) the “2041 Notes” are to the Old 2041 Notes, together with the 2041 Exchange Notes offered hereby that are to be exchanged for Old 2041 Notes, and (iii) the “2051 Notes” are to the Old 2051 Notes, together with the 2051 Exchange Notes offered hereby that are to be exchanged for Old 2045 Notes. References to the “Issuers” are to Dell International and EMC, the co-issuers of the Notes offered hereby, and not any of their Subsidiaries.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Brief Description of the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Outstanding Notes are, and the Exchange Notes will be:</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unsecured obligations of the Issuers;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in right of payment to any future subordinated indebtedness of the Issuers;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senior indebtedness of the Issuers, including the revolving credit facility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notes;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structurally senior to all existing and future indebtedness and other liabilities of any Person that is a direct or indirect parent of the Issuers that is not guaranteed by the Issuers, including the Dell Inc. notes and debentures;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of Subsidiaries of the Issuers, other than indebtedness and liabilities owed to one of the Issuers or Guarantors.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Guarantees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Guarantors, as primary obligors and not merely as sureties, jointly and severally irrevocably and unconditionally guarantee, on a senior unsecured basis, the performance and full and punctual payment when due, whether at maturity, by acceleration or otherwise, of all obligations of the Issuers under the Notes and the Indenture, whether for payment of principal of, premium, if any, or interest on the Notes, expenses, indemnification or otherwise, on the terms set forth in the Indenture.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Guarantors are Parent, Denali Intermediate and Dell. The Notes are not guaranteed by any Subsidiaries of the Issuers. The Note Guarantee of each Guarantor of Outstanding Notes is, and the Note Guarantee of each Guarantor of Exchange Notes will be:</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senior unsecured obligation of such Guarantor;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subordinated indebtedness of such Guarantor;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senior indebtedness of such Guarantor, including guarantees of the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revolving credit facility and the existing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structurally senior to the Dell Inc. notes and debentures;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of Subsidiaries of the Issuers, other than indebtedness and liabilities owed to one of the Issuers or Guarantors.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Release of Note Guarantees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Each Note Guarantee of a series of Notes by a Guarantor provides by its terms that its Obligations under the Indenture with respect to such series and such Note Guarantee shall be automatically and unconditionally released and discharged upon the Issuers exercising the legal defeasance option or covenant defeasance option with respect to such series as described under “Legal Defeasance and Covenant Defeasance” or the Issuers’ obligations under the Indenture with respect to such series being discharged in accordance with the terms of the Indenture.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Issuers maintain one or more paying agents for the Notes. The initial paying agent for the Notes is the Trustee.</w:t>
      </w:r>
    </w:p>
    <w:p>
      <w:pPr>
        <w:spacing w:after="0" w:line="225"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The Issuers also maintain a registrar. The initial registrar is the Trustee. The registrar maintains a register reflecting ownership of the Notes outstanding from time to time and makes payments on and facilitates transfer of Notes on behalf of the Issuers.</w:t>
      </w:r>
    </w:p>
    <w:p>
      <w:pPr>
        <w:spacing w:after="0" w:line="14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Issuers may change the paying agents or the registrars without prior notice to the Holders. Parent or any of its Subsidiaries may act as a paying agent or registrar.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and fees required by law and due on transfer. The Issuers are not required to transfer or exchange any Note selected for redemption or tendered (and not withdrawn) for repurchase in connection with a Change of Control Offer, an Alternate Offer, an Asset Sale Offer, an Advance Offer or other tender offer. Also, the Issuers are not required to transfer or exchange any Note for a period of 15 days before a selection of Notes to be redeemed.</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Holder will be treated as the owner of the Note for all purposes.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and Maturity</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Issuers issued the Old 2041 Notes initially with an aggregate principal amount of $1,000,000,000 and the Old 2051 Notes initially with an aggregate principal amount of $1,250,000,000. The 2041 Notes will mature on December 15, 2041 and the 2051 Notes will mature on December 15, 2051. The Issuers may issue additional Notes of a series from time to time after this offering under the Indenture (“</w:t>
      </w:r>
      <w:r>
        <w:rPr>
          <w:rFonts w:ascii="Arial" w:cs="Arial" w:eastAsia="Arial" w:hAnsi="Arial"/>
          <w:sz w:val="17"/>
          <w:szCs w:val="17"/>
          <w:i w:val="1"/>
          <w:iCs w:val="1"/>
          <w:color w:val="auto"/>
        </w:rPr>
        <w:t>Additional Notes</w:t>
      </w:r>
      <w:r>
        <w:rPr>
          <w:rFonts w:ascii="Arial" w:cs="Arial" w:eastAsia="Arial" w:hAnsi="Arial"/>
          <w:sz w:val="17"/>
          <w:szCs w:val="17"/>
          <w:color w:val="auto"/>
        </w:rPr>
        <w:t xml:space="preserve">”). Any Additional Notes of such series subsequently issued under the Indenture will be treated as a single class for all purposes under the Indenture, including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Additional Notes of a series are not fungible with the Notes of such series for U.S. federal income tax purposes, such Additional Notes of such series will have a separate CUSIP number and ISIN from the Notes of such series. Unless the context requires otherwise, references to “Notes” of a series for all purposes of the Indenture, the Note Guarantees and this “Description of the Exchange Notes” include any Additional Notes of such series that are actually issued.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Interest on the Old 2041 Notes accrues, and interest on the 2041 Exchange Notes will accrue, at the rate of 3.375% per annum and is, and will be, payable in cash semi-annually in arrears on June 15 and December 15 of each year, to the Holders of record as of the close of business (if applicable) on the immediately preceding June 1 and December 1 (whether or not a Business Day). Interest on the Old 2051 Notes accrues, and interest on the 2051 Exchange Notes will accrue, at the rate of 3.450% per annum and is, and will be, payable in cash semi-annually in arrears on June 15 and December 15 of each year, to the Holders of record as of the close of business (if applicable) on the immediately preceding June 1 and December 1 (whether or not a Business Day). Interest on the Notes will be computed on the basis of a 360-day year comprised of twelve 30-day months.</w:t>
      </w:r>
    </w:p>
    <w:p>
      <w:pPr>
        <w:spacing w:after="0" w:line="16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Principal of, premium, if any, and interest on the Notes will be payable at the office or agency of the Paying Agent maintained for such purpose as described under “Paying Agent and Registrar for the Notes” or, at the option of the Issuers, payment of interest may be made by check mailed to the Holders at their respective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payments of principal, premium, if any, and interest with respect to the Notes represented by one or more global notes registered in the name of or held by DTC or its nominee will be made in accordance with DTC’s applicable procedures. Until otherwise designated by the Issuers, the Issuers’ office or agency will be the office of the Trustee maintained for such purpose. If any interest payment date, the maturity date or any earlier required repurchase or redemption date falls on a day that is a Legal Holiday, the required payment will be made on the next succeeding Business Day and no interest on such payment will accrue in respect of the delay.</w:t>
      </w:r>
    </w:p>
    <w:p>
      <w:pPr>
        <w:spacing w:after="0" w:line="166"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Each of the 2041 Notes and the 2051 Notes constitute a separate series of notes for purposes of the Indenture. The Outstanding Notes were, and the Exchange Notes will be, issued in minimum denominations of $2,000 and any integral multiple of $1,000 in excess thereof.</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Price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Prior to June 15, 2041, in the case of the 2041 Notes (six months prior to the maturity date of the 2041 Notes (the “</w:t>
      </w:r>
      <w:r>
        <w:rPr>
          <w:rFonts w:ascii="Arial" w:cs="Arial" w:eastAsia="Arial" w:hAnsi="Arial"/>
          <w:sz w:val="17"/>
          <w:szCs w:val="17"/>
          <w:i w:val="1"/>
          <w:iCs w:val="1"/>
          <w:color w:val="auto"/>
        </w:rPr>
        <w:t>2041 Notes par call date</w:t>
      </w:r>
      <w:r>
        <w:rPr>
          <w:rFonts w:ascii="Arial" w:cs="Arial" w:eastAsia="Arial" w:hAnsi="Arial"/>
          <w:sz w:val="17"/>
          <w:szCs w:val="17"/>
          <w:color w:val="auto"/>
        </w:rPr>
        <w:t>”)) and June 15, 2051, in the case of the 2051 Notes (six months prior to the maturity date of the 2051 Notes (the “</w:t>
      </w:r>
      <w:r>
        <w:rPr>
          <w:rFonts w:ascii="Arial" w:cs="Arial" w:eastAsia="Arial" w:hAnsi="Arial"/>
          <w:sz w:val="17"/>
          <w:szCs w:val="17"/>
          <w:i w:val="1"/>
          <w:iCs w:val="1"/>
          <w:color w:val="auto"/>
        </w:rPr>
        <w:t>2051 Notes par call date</w:t>
      </w:r>
      <w:r>
        <w:rPr>
          <w:rFonts w:ascii="Arial" w:cs="Arial" w:eastAsia="Arial" w:hAnsi="Arial"/>
          <w:sz w:val="17"/>
          <w:szCs w:val="17"/>
          <w:color w:val="auto"/>
        </w:rPr>
        <w:t>” and, together with the 2041 Notes par call date, are each referred to as a “</w:t>
      </w:r>
      <w:r>
        <w:rPr>
          <w:rFonts w:ascii="Arial" w:cs="Arial" w:eastAsia="Arial" w:hAnsi="Arial"/>
          <w:sz w:val="17"/>
          <w:szCs w:val="17"/>
          <w:i w:val="1"/>
          <w:iCs w:val="1"/>
          <w:color w:val="auto"/>
        </w:rPr>
        <w:t>par call date</w:t>
      </w:r>
      <w:r>
        <w:rPr>
          <w:rFonts w:ascii="Arial" w:cs="Arial" w:eastAsia="Arial" w:hAnsi="Arial"/>
          <w:sz w:val="17"/>
          <w:szCs w:val="17"/>
          <w:color w:val="auto"/>
        </w:rPr>
        <w:t>”)), the 2041 Notes and the 2051 Notes will be redeemable, at any time in whole or from time to time in part, at the Issuers’ option, at a redemption price at any time equal to the greater of:</w:t>
      </w:r>
    </w:p>
    <w:p>
      <w:pPr>
        <w:spacing w:after="0" w:line="77"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59" w:lineRule="auto"/>
        <w:rPr>
          <w:sz w:val="20"/>
          <w:szCs w:val="20"/>
          <w:color w:val="auto"/>
        </w:rPr>
      </w:pPr>
      <w:r>
        <w:rPr>
          <w:rFonts w:ascii="Arial" w:cs="Arial" w:eastAsia="Arial" w:hAnsi="Arial"/>
          <w:sz w:val="18"/>
          <w:szCs w:val="18"/>
          <w:color w:val="auto"/>
        </w:rPr>
        <w:t>would be due if such series of Notes matured on the relevant par call date, discounted to the date of redemption for such Notes on a semi-annual basis (assuming a 360-day year consisting of twelve 30-day months) at the Treasury Rate, plus 25 basis points (in the case of the 2041 Notes) and 30 basis points (in the case of the 2051 Notes); plus, in each case, accrued and unpaid interest thereon to the date of redemption.</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the Notes to be redeemed that are due and payable on interest payment dates falling on or prior to a redemption date will be payable on the interest payment date to the registered Holders as of the close of business on the relevant record date according to such Notes and the Indenture.</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addition, at any time and from time to time on or after the 2041 Notes par call date, in the case of the 2041 Notes and on or after the 2051 Notes par call date, in the case of the 2051 Notes, such Notes will be redeemable, in whole or in part at any time, at the Issuers’ option, at a redemption price equal to 100% of the principal amount of the Notes being redeemed plus accrued and unpaid interest on such Notes to the redemption date.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optional redemption provisions of the Notes, the following terms have the meanings indicated below:</w:t>
      </w:r>
    </w:p>
    <w:p>
      <w:pPr>
        <w:spacing w:after="0" w:line="22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with respect to any series of Notes, the United States Treasury security selected by the Quotation Agent as having a maturity comparable to the remaining term of the Notes of such series to be redeemed (assuming for this purpose, that the Notes to be redeemed mature on the applicable par call date) that would be utilized, at the time of selection and in accordance with customary financial practice, in pricing new issues of corporate debt securities of comparable maturity to the remaining term of the Notes of such series.</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each Reference Treasury Dealer appointed by the Issuers.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xml:space="preserve">” means (i) Barclays Capital Inc., BofA Securities, Inc., Citigroup Global Markets Inc., Credit Suisse Securities (USA) LLC, J.P. Morgan Securities LLC and Wells Fargo Securities, LLC (or their respective affiliates that are Primary Treasury Dealers);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of the foregoing shall cease to be a primary U.S. Government securities dealer in the United States (a “</w:t>
      </w:r>
      <w:r>
        <w:rPr>
          <w:rFonts w:ascii="Arial" w:cs="Arial" w:eastAsia="Arial" w:hAnsi="Arial"/>
          <w:sz w:val="16"/>
          <w:szCs w:val="16"/>
          <w:i w:val="1"/>
          <w:iCs w:val="1"/>
          <w:color w:val="auto"/>
        </w:rPr>
        <w:t>Primary Treasury Dealer</w:t>
      </w:r>
      <w:r>
        <w:rPr>
          <w:rFonts w:ascii="Arial" w:cs="Arial" w:eastAsia="Arial" w:hAnsi="Arial"/>
          <w:sz w:val="16"/>
          <w:szCs w:val="16"/>
          <w:color w:val="auto"/>
        </w:rPr>
        <w:t>”), the Issuers will substitute therefor another Primary Treasury Dealer, and (ii) any other Primary Treasury Dealer selected by the Issuers.</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applicable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applicable Comparable Treasury Issue, assuming a price for such Comparable Treasury Issue (expressed as a percentage of its principal amount) equal to the applicable Comparable Treasury Price for such redemption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Trustee shall have no obligation to determine the redemption price or to verify the calculation of the redemption price.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Issuers are not required to make any mandatory redemption or sinking fund payments with respect to the Notes. In addition, other than as required under “Change of Control Triggering Event,” the Issuers are not required to offer to repurchase or redeem or otherwise modify the terms of any of the Notes upon a change in control of, or other events involving, Parent or any of its Subsidiaries which may adversely affect the creditworthiness of the Notes. The Issuers and their Affiliates may at any time and from time to time acquire the Notes by means other than a redemption, whether pursuant to a tender offer, purchases in the open market, in privately negotiated transactions or otherwise.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Control Triggering Event</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Notes provide that if a Change of Control Triggering Event occurs with respect to a series of Notes, unless, prior to or concurrently with the time the Issuers are required to make a Change of Control Offer, the Issuers have mailed or delivered, or otherwise sent through electronic transmission, a redemption notice with respect to all the outstanding Notes of such series as described under “Optional Redemption” or “Satisfaction and Discharge,” the Issuers will make an offer to purchase all of the Notes of such series pursuant to the offer described below (the “</w:t>
      </w:r>
      <w:r>
        <w:rPr>
          <w:rFonts w:ascii="Arial" w:cs="Arial" w:eastAsia="Arial" w:hAnsi="Arial"/>
          <w:sz w:val="17"/>
          <w:szCs w:val="17"/>
          <w:i w:val="1"/>
          <w:iCs w:val="1"/>
          <w:color w:val="auto"/>
        </w:rPr>
        <w:t>Change of Control Offer</w:t>
      </w:r>
      <w:r>
        <w:rPr>
          <w:rFonts w:ascii="Arial" w:cs="Arial" w:eastAsia="Arial" w:hAnsi="Arial"/>
          <w:sz w:val="17"/>
          <w:szCs w:val="17"/>
          <w:color w:val="auto"/>
        </w:rPr>
        <w:t>”) at a price in cash equal to 101% of the aggregate principal amount thereof (or such higher amount as the Issuers may determine (any Change of Control Offer at a higher amount, an “</w:t>
      </w:r>
      <w:r>
        <w:rPr>
          <w:rFonts w:ascii="Arial" w:cs="Arial" w:eastAsia="Arial" w:hAnsi="Arial"/>
          <w:sz w:val="17"/>
          <w:szCs w:val="17"/>
          <w:i w:val="1"/>
          <w:iCs w:val="1"/>
          <w:color w:val="auto"/>
        </w:rPr>
        <w:t>Alternate Offer</w:t>
      </w:r>
      <w:r>
        <w:rPr>
          <w:rFonts w:ascii="Arial" w:cs="Arial" w:eastAsia="Arial" w:hAnsi="Arial"/>
          <w:sz w:val="17"/>
          <w:szCs w:val="17"/>
          <w:color w:val="auto"/>
        </w:rPr>
        <w:t>”)) (such price, the “</w:t>
      </w:r>
      <w:r>
        <w:rPr>
          <w:rFonts w:ascii="Arial" w:cs="Arial" w:eastAsia="Arial" w:hAnsi="Arial"/>
          <w:sz w:val="17"/>
          <w:szCs w:val="17"/>
          <w:i w:val="1"/>
          <w:iCs w:val="1"/>
          <w:color w:val="auto"/>
        </w:rPr>
        <w:t>Change of Control Payment</w:t>
      </w:r>
      <w:r>
        <w:rPr>
          <w:rFonts w:ascii="Arial" w:cs="Arial" w:eastAsia="Arial" w:hAnsi="Arial"/>
          <w:sz w:val="17"/>
          <w:szCs w:val="17"/>
          <w:color w:val="auto"/>
        </w:rPr>
        <w:t>”) plus accrued and unpaid interest, if any, to, but excluding the date of purchase, subject to the right of Holders of record on the relevant record date to receive interest due on the relevant interest payment date. Within 30 days following any Change of Control Triggering Event, the Issuers will send notice of such Change of Control Offer by first-class mail, with a copy to the Trustee, to each Holder of Notes to the address of such Holder appearing in the security register or otherwise in accordance with the procedures of DTC, with the following information:</w:t>
      </w:r>
    </w:p>
    <w:p>
      <w:pPr>
        <w:spacing w:after="0" w:line="91" w:lineRule="exact"/>
        <w:rPr>
          <w:sz w:val="20"/>
          <w:szCs w:val="20"/>
          <w:color w:val="auto"/>
        </w:rPr>
      </w:pPr>
    </w:p>
    <w:p>
      <w:pPr>
        <w:ind w:left="1080" w:right="2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 Change of Control Offer is being made pursuant to the covenant entitled “Change of Control Triggering Event,” and that all Notes properly tendered pursuant to such Change of Control Offer will be accepted for payment by the Issuers;</w:t>
      </w:r>
    </w:p>
    <w:p>
      <w:pPr>
        <w:spacing w:after="0" w:line="75"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purchase price and the purchase date, which will be no earlier than 20 Business Days nor later than 60 days from the date such notice is sent (the “Change of Control Payment Date”); provided, that the Change of Control Payment Date may be delayed, in the Issuers’ discretion, until such time (including more than 60 days after the date such notice is sent) as any or all such conditions referred to in clause</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(7) below shall be satisfied or waived;</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any Note not properly tendered will remain outstanding and continue to accrue interest;</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unless the Issuers default in the payment of the Change of Control Payment plus accrued and unpaid interest on all properly tendered Notes, all Notes accepted for payment pursuant to the Change of Control Offer will cease to accrue interest on the Change of Control Payment Date;</w:t>
      </w:r>
    </w:p>
    <w:p>
      <w:pPr>
        <w:spacing w:after="0" w:line="8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Holders electing to have any Notes purchased pursuant to a Change of Control Offer will be required to surrender such Notes,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w:t>
      </w:r>
    </w:p>
    <w:p>
      <w:pPr>
        <w:spacing w:after="0" w:line="9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if less than all of such Holder’s Notes are tendered for purchase, such Holder will be issued new Notes (or, in the case of global notes, such Notes shall be reduced by such amount of Notes that the Holder has tendered) and such new Notes will be equal in aggregate principal amount to the unpurchased portion of the Notes surrendered (the unpurchased portion of the Notes must be equal to $2,000 or an integral multiple of $1,000 in excess thereof);</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532"/>
        <w:spacing w:after="0" w:line="272"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such notice is sent prior to the occurrence of a Change of Control Triggering Event, stating that the Change of Control Offer is conditional on the occurrence of such Change of Control Triggering Event or such other conditions specified therein and shall describe each such condition, and, if applicable, shall state that, in the Issuers’ discretion (including more than 60 days after the notice is mailed or delivered), the Change of Control Payment Date may be delayed until such time as any or all such conditions shall be satisfied or waived,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w:t>
      </w:r>
    </w:p>
    <w:p>
      <w:pPr>
        <w:spacing w:after="0" w:line="82" w:lineRule="exact"/>
        <w:rPr>
          <w:rFonts w:ascii="Arial" w:cs="Arial" w:eastAsia="Arial" w:hAnsi="Arial"/>
          <w:sz w:val="17"/>
          <w:szCs w:val="17"/>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instructions, as determined by the Issuers, consistent with this covenant, that a Holder must follow.</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While the Notes of a series are in global form and the Issuers make an offer to purchase all of the Notes of such series pursuant to the Change of Control Offer, a Holder of such series of Notes may exercise its option to elect for the purchase of the Notes of such series through the facilities of DTC, subject to its rules and regulations.</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Issuers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the Indenture, the Issuers will comply with the applicable securities laws and regulations and shall not be deemed to have breached its obligations described in the Indenture by virtue thereof.</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the Change of Control Payment Date, the Issuers will, to the extent permitted by law,</w:t>
      </w:r>
    </w:p>
    <w:p>
      <w:pPr>
        <w:spacing w:after="0" w:line="13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 for payment all Notes issued by them or portions thereof properly tendered pursuant to the Change of Control Offer,</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Change of Control Payment in respect of all Notes or portions thereof so tendered, plus accrued and unpaid interest thereon,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Issuers.</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revolving credit facility provides, and any future credit agreements or other agreements relating to indebtedness to which the Issuers (or any of their Affiliates) become parties may provide, that certain change of control events with respect to the Issuers would constitute an event of default thereunder. If Parent experiences a change of control that triggers an event of default under the revolving credit facility and/or any Indebtedness governed by such other agreements, we could seek a waiver of such event of default or seek to refinance the revolving credit facility and/or such other agreements. In the event we do not obtain such a waiver or refinance the revolving credit facility and/or such other agreements, such event of default could result in amounts outstanding under the revolving credit facility and/or such other agreements being declared due and payable.</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ability to pay cash to the Holders of Notes following the occurrence of a Change of Control Triggering Event may be limited by our then-existing financial resources. Therefore, sufficient funds may not be available when necessary to make any required repurchases. See “Risk Factors— Risks Related to the Exchange Notes—We may not be able to finance a change of control offer as required by the indenture that governs the exchange notes offered hereby.”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Change of Control Triggering Event purchase feature of the Notes may in certain circumstances make it more difficult or discourage a sale or takeover of Parent, and, thus, the removal of incumbent management.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Change of Control Triggering Event purchase feature is a result of negotiations between the initial purchasers and us.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our capital structure or credit ratings.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Issuers will not be required to make a Change of Control Offer if a third party makes the Change of Control Offer (including, for the avoidance of doubt, an Alternate Offer) in the manner, at the times and otherwise in compliance with the requirements set forth in the Indenture applicable to a Change of Control Offer made by the Issuers and purchases all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w:t>
      </w:r>
    </w:p>
    <w:p>
      <w:pPr>
        <w:spacing w:after="0" w:line="17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With respect to the Notes of any series, if Holders of not less than 90% in aggregate principal amount of the outstanding Notes of such series validly tender and do not withdraw such Notes in a Change of Control Offer and the Issuers, or any third party making a Change of Control Offer in lieu of the Issuers as described above, purchases all of the Notes validly tendered and not withdrawn by such Holders, the Issuers or such third party will have the right, upon not less than 10 nor more than 60 days’ prior notice, given not more than 30 days following such purchase pursuant to the Change of Control Offer described above, to redeem all Notes of such series that remain outstanding following such purchase on a date (the “</w:t>
      </w:r>
      <w:r>
        <w:rPr>
          <w:rFonts w:ascii="Arial" w:cs="Arial" w:eastAsia="Arial" w:hAnsi="Arial"/>
          <w:sz w:val="16"/>
          <w:szCs w:val="16"/>
          <w:i w:val="1"/>
          <w:iCs w:val="1"/>
          <w:color w:val="auto"/>
        </w:rPr>
        <w:t>Second Change of</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Payment Date</w:t>
      </w:r>
      <w:r>
        <w:rPr>
          <w:rFonts w:ascii="Arial" w:cs="Arial" w:eastAsia="Arial" w:hAnsi="Arial"/>
          <w:sz w:val="16"/>
          <w:szCs w:val="16"/>
          <w:color w:val="auto"/>
        </w:rPr>
        <w:t>”) at a price in cash equal to the Change of Control Payment (excluding any early tender premium or similar premium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and unpaid interest to any Holder in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Notes of such series on the relevant record date to receive interest due on the relevant interest payment date falling on or prior to the Second Change of Control Payment Date.</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Change of Control</w:t>
      </w:r>
      <w:r>
        <w:rPr>
          <w:rFonts w:ascii="Arial" w:cs="Arial" w:eastAsia="Arial" w:hAnsi="Arial"/>
          <w:sz w:val="18"/>
          <w:szCs w:val="18"/>
          <w:color w:val="auto"/>
        </w:rPr>
        <w:t>” includes a disposition of all or substantially all of the assets of Parent and its Subsidiaries, taken as a whole, to any Person other than any Permitted Holders. 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 disposition of “all or substantially all” of the assets of Parent and its Subsidiaries, taken as a whole. As a result, it may be unclear as to whether a Change of Control has occurred and whether a Holder of Notes may require the Issuers to make an offer to repurchase the Notes as described above.</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provisions of the Indenture relating to the Issuers’ obligation to make a Change of Control Offer with respect to the Notes of any series upon a Change of Control Triggering Event may be waived or modified at any time with the written consent of the Holders of a majority in aggregate principal amount of the Notes of such series then outstanding. A Change of Control Offer (including, for the avoidance of doubt, an Alternate Offer) may be made at the same time as consents are solicited with respect to an amendment, supplement or waiver of the Indenture, the Notes and/or the Note Guarantees so long as the tender of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its sole discretion, so long as the Change of Control Payment is at least equal to 101% of the aggregate principal amount of the Notes being repurchased, plus accrued and unpaid interest thereon.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With respect to any partial redemption or purchase of Notes of a series made pursuant to the Indenture, selection of the Notes of such series for redemption or purchase will be made by the Trustee by lot;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are represented by global notes, interests in the Notes shall be selected for redemption or purchase by DTC in accordance with its standard procedures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Notes of less than $2,000 can be redeemed or repurchased in part.</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Notices of redemption or offer to purchase shall be delivered electronically or mailed by first-class mail, postage prepaid, at least 10 days, but except as set forth in the immediately succeeding paragraph, not more than 60 days before the redemption date or purchase date to each Holder at such Holder’s registered address or otherwise in accordance with the procedures of DTC, except that notices of redemption may be delivered or mailed more than 60 days prior to a redemption date if the notice is issued in connection with a defeasance of any series of Notes or a satisfaction and discharge of the Indenture with respect to any series of Notes. If any Note is to be redeemed or purchased in part only, any notice of redemption or offer to purchase that relates to such Note shall state the portion of the principal amount thereof that has been or is to be redeemed or purchased.</w:t>
      </w:r>
    </w:p>
    <w:p>
      <w:pPr>
        <w:spacing w:after="0" w:line="16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Notice of any redemption of, or any offer to purchase, the Notes may, at the Issuers’ discretion, be given in connection with another transaction (or series of related transactions) and prior to the completion or the occurrence thereof, and any such redemption or purchase may, at the Issuers’ discretion, be subject to one or more conditions precedent, including, but not limited to, completion or occurrence of the related transaction or event, as the case may be. In addition, if such redemption or purchase is subject to satisfaction of one or more conditions precedent,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Issuers’ discretion if the Issuers reasonably believe that any or all of such conditions will not be satisfied. In addition, the Issuers may provide in such notice or offer that payment of the redemption or purchase price and performance of the Issuers’ obligations with respect to such redemption or offer to purchase may be performed by another Person.</w:t>
      </w:r>
    </w:p>
    <w:p>
      <w:pPr>
        <w:spacing w:after="0" w:line="172"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 xml:space="preserve">With respect to Notes represented by certificated notes, if any Notes are to be redeemed or purchased in part only, the Issuers will issue a new Note in a principal amount equal to the unredeemed or unpurchased portion of the original Note in the name of the Holder thereof upon cancellation of the original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new Notes will be only issued in denominations of $2,000 and any integral multiple of $1,000 in excess thereof.</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Notes called for redemption or purchase become due on the date fixed for redemption or purchase, unless such redemption or purchase is conditioned on the happening of a future event. On and after the redemption or purchase date, unless the Issuers default in payment of the redemption or purchase price, interest shall cease to accrue on Notes or portions of them called for redemption or purchase, unless such redemption or purchase remains conditioned on the occurrence of a future event.</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Issuers may redeem Notes pursuant to one or more of the relevant provisions in the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Issuers will not, and will not permit any of their Restricted Subsidiaries to, directly or indirectly, create, incur or assume any Lien (except Permitted Liens) on any of their or any Restricted Subsidiary’s Principal Property (whether such Principal Property are now existing or owed or hereafter created or acquired) that secures indebtedness for borrowed money, unless the Notes are equally and ratably secured with (or, at an Issuer’s option, on a senior basis to) the indebtedness so secured.</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Notwithstanding the immediately preceding paragraph, the Issuers and their Restricted Subsidiaries may, without equally and ratably securing the Notes, create, incur or assume any Lien which would otherwise be prohibited by such paragraph if, after giving effect thereto and at the time of determination, Aggregate Debt of the Issuers and their Restricted Subsidiaries secured by Liens on any of their respective Principal Properties does not exceed at any one time outstanding the greater of (x) $4,300 million and (y) 15% of Consolidated Net Tangible Assets.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Any Lien created for the benefit of the Holders of any series of Notes pursuant to second paragraph under this “Limitation on Liens” covenant shall provide by its terms that such Lien shall be automatically and unconditionally released and discharged upon the release and discharge of the Lien that gave rise to the obligation to secure the Notes of such series.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The Issuers will not, and will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Notes pursuant to the first paragraph under “—Limitation on Liens,” or (b) the Issuers shall apply an amount equal to the net proceeds of the Attributable Indebtedness with respect to such Sale and Lease-Back Transaction within 365 days after such Sale and Lease-Back Transaction to the defeasance or retirement of any series of Notes or other indebtedness of the Issuers or a Restricted Subsidiary or to the purchase, construction or development of other assets or property.</w:t>
      </w:r>
    </w:p>
    <w:p>
      <w:pPr>
        <w:spacing w:after="0" w:line="17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Notwithstanding the foregoing, the Issuers and their Restricted Subsidiaries may enter into any Sale and Lease-Back Transaction which would otherwise be prohibited by the foregoing paragraph if, after giving effect thereto and at the time of determination, Aggregate Debt does not exceed at any one time outstanding the greater of (x) $4,300 million and (y) 15% of Consolidated Net Tangible Assets.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Amalgamation or Sale of All or Substantially All Assets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Issuers and the Guarantors will not merge, consolidate or amalgamate with or into or wind up into, (whether or not such Issuer or Guarantor is the surviving Person), consummate a Division as the Dividing Person or sell, assign, transfer, lease, convey or otherwise dispose of all or substantially all of the properties or assets of Parent and its Subsidiaries, taken as a whole, in one or more related transactions, to any Person unless:</w:t>
      </w:r>
    </w:p>
    <w:p>
      <w:pPr>
        <w:spacing w:after="0" w:line="54" w:lineRule="exact"/>
        <w:rPr>
          <w:sz w:val="20"/>
          <w:szCs w:val="20"/>
          <w:color w:val="auto"/>
        </w:rPr>
      </w:pPr>
    </w:p>
    <w:p>
      <w:pPr>
        <w:ind w:left="1080" w:right="60" w:hanging="532"/>
        <w:spacing w:after="0" w:line="25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(x) in the case of a Division where an Issuer or Guarantor is the Dividing Person, each Division Successor shall remain or become an Issuer or a Guarantor, as the case may be, and (y) in all other cases, an Issuer or a Guarantor, as the case may be, is the surviving Person or the Person formed by or surviving any such merger, consolidation or amalgamation (if other than an Issuer or a Guarantor)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620"/>
        <w:spacing w:after="0" w:line="263" w:lineRule="auto"/>
        <w:rPr>
          <w:sz w:val="20"/>
          <w:szCs w:val="20"/>
          <w:color w:val="auto"/>
        </w:rPr>
      </w:pPr>
      <w:r>
        <w:rPr>
          <w:rFonts w:ascii="Arial" w:cs="Arial" w:eastAsia="Arial" w:hAnsi="Arial"/>
          <w:sz w:val="18"/>
          <w:szCs w:val="18"/>
          <w:color w:val="auto"/>
        </w:rPr>
        <w:t>(in each of clauses (x) and (y), such Issuer, such Guarantor or such Person, as the case may be, being herein called the “Successor Company”); provided that in the case where the Successor Company of an Issuer is not a corporation, a co-issuer of the Notes is a corporation;</w:t>
      </w:r>
    </w:p>
    <w:p>
      <w:pPr>
        <w:spacing w:after="0" w:line="89" w:lineRule="exact"/>
        <w:rPr>
          <w:sz w:val="20"/>
          <w:szCs w:val="20"/>
          <w:color w:val="auto"/>
        </w:rPr>
      </w:pPr>
    </w:p>
    <w:p>
      <w:pPr>
        <w:ind w:left="108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Successor Company, if other than an Issuer or a Guarantor, expressly assumes, in the case of a Guarantor, all the obligations of such Guarantor under the Indenture and its Note Guarantee and, in the case of an Issuer, all of the obligations of such Issuer under the Indenture and the Notes, in each case, pursuant to supplemental indentures or other documents or instruments in form reasonably satisfactory to the Trustee; and</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exists.</w:t>
      </w:r>
    </w:p>
    <w:p>
      <w:pPr>
        <w:spacing w:after="0" w:line="22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Successor Company will succeed to, and be substituted for an Issuer or a Guarantor, as the case may be, under the Indenture, the Note Guarantees and the Notes, as applicable, and such Issuer or Guarantor, as applicable, will automatically be released and discharged from its obligations under the Indenture, the Note Guarantees and the Notes, as applicable. Notwithstanding the foregoing,</w:t>
      </w:r>
    </w:p>
    <w:p>
      <w:pPr>
        <w:spacing w:after="0" w:line="71" w:lineRule="exact"/>
        <w:rPr>
          <w:sz w:val="20"/>
          <w:szCs w:val="20"/>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Subsidiary of Parent may merge, consolidate or amalgamate with or into or sell, assign, transfer, lease, convey or otherwise dispose of all or part of its properties and assets to Parent and any of its Subsidiaries (including the Issuers); and</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Issuer or a Guarantor may merge, consolidate or amalgamate with or into with an Affiliate of such Issuer or such Guarantor, as the case may be, solely for the purpose of reincorporating such Issuer or such Guarantor in the United States, any state thereof, the District of Columbia or any territory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Reports and Other Information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 the extent any Notes are outstanding, Parent shall deliver to the Trustee any reports, information and documents that Parent is required to file with the SEC pursuant to Section 13 or 15(d) of the Exchange Act within 30 days after such report, information or document is required to be filed with the SEC. All such reports, information or documents referred to in this covenant that Parent files with the SEC via the SEC’s EDGAR system shall be deemed to be filed with the Trustee and transmitted to Holders at the time such reports, information or documents are filed via the EDGAR system (or any successor system).</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For so long as any Notes remain outstanding, if at any time any Issuer is not required to file with the SEC the reports required by the immediately preceding paragraph, Parent will furnish to the Holders and to securities analysts and prospective investors, upon their request, the information required to be delivered pursuant to Rule 144A(d)(4) under the Securities Act.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Delivery of the foregoing reports, information and documents to the Trustee is for informational purposes only and the Trustee’s receipt of such shall not constitute constructive or actual knowledge or notice of any information contained therein or determinable from information contained therein, including the Issuers’ compliance with any of their covenants under the Indenture (as to which the Trustee is entitled to rely exclusively on Officer’s Certificates).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events is an “Event of Default” with respect to the Notes of any series under the Indenture:</w:t>
      </w:r>
    </w:p>
    <w:p>
      <w:pPr>
        <w:spacing w:after="0" w:line="13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to pay the principal of (or premium, if any, on) such series of the Notes when due and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to pay any interest installment on such series of Notes when due and payable, which failure continues for 30 days;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532"/>
        <w:spacing w:after="0" w:line="29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failure by the Issuers to comply for 90 days after written notice given by the Trustee or the Holders of not less than 30% in aggregate principal amount of the outstanding Notes of such series with its covenants or other agreements (other than those described in clauses</w:t>
      </w:r>
    </w:p>
    <w:p>
      <w:pPr>
        <w:ind w:left="1080" w:right="120"/>
        <w:spacing w:after="0" w:line="253" w:lineRule="auto"/>
        <w:rPr>
          <w:rFonts w:ascii="Arial" w:cs="Arial" w:eastAsia="Arial" w:hAnsi="Arial"/>
          <w:sz w:val="16"/>
          <w:szCs w:val="16"/>
          <w:color w:val="auto"/>
        </w:rPr>
      </w:pPr>
      <w:r>
        <w:rPr>
          <w:rFonts w:ascii="Arial" w:cs="Arial" w:eastAsia="Arial" w:hAnsi="Arial"/>
          <w:sz w:val="18"/>
          <w:szCs w:val="18"/>
          <w:color w:val="auto"/>
        </w:rPr>
        <w:t>(1) through (2) above) contained in the Indenture; provided that in the case of a failure to comply with the provisions described under “— Reports and Other Information,” such period of continuance of such default or breach shall be 180 days after written notice described in this clause (3) has been given; provided that no such notice may be given with respect to any action taken, and reported publicly or to the Holders, more than two years prior to such notice; and</w:t>
      </w:r>
    </w:p>
    <w:p>
      <w:pPr>
        <w:spacing w:after="0" w:line="98"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an Issuer (the “bankruptcy provisions”).</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If an Event of Default enumerated above with respect to the Notes of any series at the time outstanding shall occur and be continuing, then either the Trustee or the Holders of at least 30% in aggregate principal amount of the outstanding Notes of such series may declare to be due and payable immediately by a notice in writing to the Issuers (and to the Trustee if given by the Holders) the entire principal amount of all the Notes of such series. At any time after such a declaration of acceleration has been made, but before a judgment or decree for payment of the money due has been obtained by the Trustee, the Holders of a majority in aggregate principal amount of the outstanding Notes of such series, by written notice to the Issuers and the Trustee, may, in certain circumstances, rescind and annul such acceleration. If an Event of Default relating to the bankruptcy provisions occurs and is continuing, the principal of and interest on all the Notes will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become and be immediately due and payable without any declaration or other act on the part of the Trustee or any Holder.</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Subject to certain restrictions, no Holder of any Notes of any series shall have any right to institute any proceeding with respect to the Indenture or the Notes of such series or for any remedy thereunder, unless such Holder previously shall have given to the Trustee written notice of a continuing Event of Default with respect to the Notes of such series and unless also the Holders of not less than 30% in aggregate principal amount of the outstanding Notes of such series shall have made written request upon the Trustee, and have offered to the Trustee indemnity satisfactory to the Trustee against the costs, expenses and liabilities to be incurred in compliance with the request, and the Trustee, for 60 days after receipt of such notice, request and offer of indemnity, shall have failed to institute such proceeding and, during such 60-day period, the Trustee shall not have received direction inconsistent with such request in writing by the Holders of a majority in aggregate principal amount of the outstanding Notes of such series. These limitations do not apply, however, to a suit instituted by a Holder of a Note for the enforcement of payment of the principal of, premium, if any, or interest on such note on or after the respective due date expressed in such Note.</w:t>
      </w:r>
    </w:p>
    <w:p>
      <w:pPr>
        <w:spacing w:after="0" w:line="18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Subject to certain restrictions, the Holders of a majority in aggregate principal amount of the outstanding Notes of a series will have the right to direct the time, method and place of conducting any proceeding for exercising any remedy available to the Trustee or of exercising any trust or power conferred on the Trustee with respect to such series. The Trustee, however, may refuse to follow any direction that conflicts with law or the Indenture or that the Trustee determines is unduly prejudicial to the rights of any other Holder of a Note of such series or that would involve the Trustee in personal liability.</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If a Default occurs and is continuing and the Trustee has received written notice thereof, the Trustee must mail (or otherwise transmit in accordance with DTC) to each Holder notice of the Default within 90 days of having received such notice; </w:t>
      </w:r>
      <w:r>
        <w:rPr>
          <w:rFonts w:ascii="Arial" w:cs="Arial" w:eastAsia="Arial" w:hAnsi="Arial"/>
          <w:sz w:val="17"/>
          <w:szCs w:val="17"/>
          <w:i w:val="1"/>
          <w:iCs w:val="1"/>
          <w:color w:val="auto"/>
        </w:rPr>
        <w:t>provided</w:t>
      </w:r>
      <w:r>
        <w:rPr>
          <w:rFonts w:ascii="Arial" w:cs="Arial" w:eastAsia="Arial" w:hAnsi="Arial"/>
          <w:sz w:val="17"/>
          <w:szCs w:val="17"/>
          <w:color w:val="auto"/>
        </w:rPr>
        <w:t>, that, except in the case of a Default in the payment of principal or premium, if any, or interest on any Note, the Trustee may withhold notice if the Trustee determines in good faith that withholding notice is not opposed to the interests of the Holders. The Issuers will be required to deliver to the Trustee, within 120 days after the end of each fiscal year, an officer’s certificate indicating whether the signer of the certificate knows of any failure by the Issuers or the Guarantors to comply with all conditions and covenants of the Indenture during such fiscal year.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Subject to certain exceptions, modifications and amendments of the Notes of a series and the Indenture with respect to a series of Notes may be made by the Issuers, the Guarantors and the Trustee with the consent of the Holders of not less than a majority in aggregate principal amount of the outstanding Notes of such series (including consents obtained in connection with a purchase of, or a tender offer or exchange offer for, the Notes of such series), and any past Default or compliance with certain provisions also may be waived with the consent of the Holders of not less than a majority in aggregate principal amount of the outstanding Notes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modification or amendment may, without the consent of the Holder of each outstanding Note affected thereby:</w:t>
      </w:r>
    </w:p>
    <w:p>
      <w:pPr>
        <w:spacing w:after="0" w:line="83"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such Note;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principal amount of, or the rate of interest on, any such Note;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any premium, if any, or redemption price payable upon the redemption of any such Note;</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amount of the principal of an original discount Note that would be due and payable upon a declaration of acceleration of the maturity thereof;</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any place of payment where, or the coin or currency in which, the principal of, premium, if any, or interest on any such Note is payable;</w:t>
      </w:r>
    </w:p>
    <w:p>
      <w:pPr>
        <w:spacing w:after="0" w:line="75"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amend the contractual right expressly set forth in the Indenture or any Note of any Holder to institute suit for the enforcement of any payment of principal of, premium, if any, or interest on such Note on or after the stated maturity or redemption date of any such Note;</w:t>
      </w:r>
    </w:p>
    <w:p>
      <w:pPr>
        <w:spacing w:after="0" w:line="29" w:lineRule="exact"/>
        <w:rPr>
          <w:rFonts w:ascii="Arial" w:cs="Arial" w:eastAsia="Arial" w:hAnsi="Arial"/>
          <w:sz w:val="16"/>
          <w:szCs w:val="16"/>
          <w:color w:val="auto"/>
        </w:rPr>
      </w:pPr>
    </w:p>
    <w:p>
      <w:pPr>
        <w:ind w:left="1080" w:right="2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the outstanding Notes of any series, the consent of whose Holders is required to approve any such modification or amendment or for any waiver of compliance with certain provisions of the Indenture or of certain Defaults;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any of the provisions in the Indenture regarding the waiver of past Defaults and the waiver of certain covenants by the Holders of each such Note affected thereby, except to increase any percentage vote required or to provide that certain other provisions of the Indenture may not be modified or waived without the consent of the Holder of each Note affected thereby;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22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Notwithstanding the foregoing, the Issuers, the Guarantors (only with respect to its Note Guarantee, and for the avoidance of doubt excluding any amendment or supplement the sole purpose of which is to add an additional Guarantor) and the Trustee, without the consent of any Holders, may amend the Notes and the Indenture, in each case with respect to a series of Notes for any of the following purposes:</w:t>
      </w:r>
    </w:p>
    <w:p>
      <w:pPr>
        <w:spacing w:after="0" w:line="71" w:lineRule="exact"/>
        <w:rPr>
          <w:sz w:val="20"/>
          <w:szCs w:val="20"/>
          <w:color w:val="auto"/>
        </w:rPr>
      </w:pPr>
    </w:p>
    <w:p>
      <w:pPr>
        <w:ind w:left="1080" w:right="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cure any ambiguity or omission or correct any defect or inconsistency, to convey, transfer, assign, mortgage or pledge any property to or with the Trustee, or to make such other provisions in regard to matters or questions arising under the Indenture, in each case as shall not adversely affect the interests of any Holders of the Notes of such series in any material respect;</w:t>
      </w:r>
    </w:p>
    <w:p>
      <w:pPr>
        <w:spacing w:after="0" w:line="89" w:lineRule="exact"/>
        <w:rPr>
          <w:rFonts w:ascii="Arial" w:cs="Arial" w:eastAsia="Arial" w:hAnsi="Arial"/>
          <w:sz w:val="18"/>
          <w:szCs w:val="18"/>
          <w:color w:val="auto"/>
        </w:rPr>
      </w:pPr>
    </w:p>
    <w:p>
      <w:pPr>
        <w:ind w:left="1080" w:right="320" w:hanging="424"/>
        <w:spacing w:after="0" w:line="340"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 evidence the succession of another Person to an Issuer or any Guarantor and the assumption by any such successor of the covenants, agreements and obligations of such Issuer or Guarantor, as the case may be, under the Notes, the Note Guarantees or the Indenture, as described above under “Certain Covenants—Merger, Consolidation, Amalgamation or Sale of All or Substantially All Assets”;</w:t>
      </w:r>
    </w:p>
    <w:p>
      <w:pPr>
        <w:spacing w:after="0" w:line="36" w:lineRule="exact"/>
        <w:rPr>
          <w:rFonts w:ascii="Arial" w:cs="Arial" w:eastAsia="Arial" w:hAnsi="Arial"/>
          <w:sz w:val="15"/>
          <w:szCs w:val="15"/>
          <w:color w:val="auto"/>
        </w:rPr>
      </w:pPr>
    </w:p>
    <w:p>
      <w:pPr>
        <w:ind w:left="108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surrender any right or power conferred upon the Issuers with respect to such series or to add further covenants, restrictions, conditions or provisions relating to the Issuers or the Guarantors for the protection of the Holders of any series of the Notes, and to add any additional defaults or Events of Default for the Issuers’ or any Guarantor’s failure to comply with any such further covenants, restrictions, conditions or provisions;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modify or amend the Indenture in such a manner to permit the qualification of the Indenture or any supplemental indenture under the Trust Indenture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Note Guarantees with respect to any or all of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Collateral with respect to any or all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or separate Trustee with respect to the Notes of such series;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depositary;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the issuance of Exchange Notes or private exchange notes (which shall be identical to Exchange Notes except that they will not be freely transferable) in exchange for Notes of such series and which shall be treated, together with any outstanding Notes of such series, as a single class of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conform the text of the Indenture, the Notes or any Note Guarantee to any provision of this “Description of the Exchange Notes” or “The Exchange Offer” to the extent that such provision in this “Description of the Exchange Notes” or “The Exchange Offer” was intended to be a verbatim recitation of a provision in the Notes, the Indenture or such Note Guarantee; or</w:t>
      </w:r>
    </w:p>
    <w:p>
      <w:pPr>
        <w:spacing w:after="0" w:line="70" w:lineRule="exact"/>
        <w:rPr>
          <w:rFonts w:ascii="Arial" w:cs="Arial" w:eastAsia="Arial" w:hAnsi="Arial"/>
          <w:sz w:val="17"/>
          <w:szCs w:val="17"/>
          <w:color w:val="auto"/>
        </w:rPr>
      </w:pPr>
    </w:p>
    <w:p>
      <w:pPr>
        <w:ind w:left="1080" w:right="8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to make any amendment to the provisions of the Indenture relating to the transfer and legending of Notes or Exchange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 compliance with the Indenture as so amended would not result in Notes or Exchange Notes being transferred in violation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Securities Act or any other applicable securities law and (b) such amendment does not adversely affect the rights of Holders to transfer Notes or Exchange Notes.</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consent of the Holders is not necessary to approve the particular form of any proposed amendment. It is sufficient if such consent approves the substance of the proposed amendment.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Indenture provides that, when (1) the Issuers deliver to the Trustee all outstanding Notes of a series under the Indenture for cancellation or</w:t>
      </w:r>
    </w:p>
    <w:p>
      <w:pPr>
        <w:spacing w:after="0" w:line="46" w:lineRule="exact"/>
        <w:rPr>
          <w:sz w:val="20"/>
          <w:szCs w:val="20"/>
          <w:color w:val="auto"/>
        </w:rPr>
      </w:pPr>
    </w:p>
    <w:p>
      <w:pPr>
        <w:ind w:left="120" w:hanging="4"/>
        <w:spacing w:after="0" w:line="267" w:lineRule="auto"/>
        <w:tabs>
          <w:tab w:leader="none" w:pos="3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all outstanding Notes of a series under the Indenture not previously delivered to the Trustee for cancellation have become due and payable, whether at maturity or on a redemption date as a result of the mailing of notice of redemption, or will become due and payable within one year, and, in the case of clause (2), the Issuers irrevocably deposit with the Trustee U.S. dollars, or U.S. government obligations, or both, sufficient to pay at maturity or upon redemption all such outstanding Notes of such series, including interest thereon to maturity or such redemption date, and if in either case the Issuers pay all other sums payable by the Issuers under the Indenture with respect to such series of Notes and satisfy certain other conditions, then the Indenture, subject to certain exceptions, ceases to be of further effect with respect to such series of Notes; </w:t>
      </w:r>
      <w:r>
        <w:rPr>
          <w:rFonts w:ascii="Arial" w:cs="Arial" w:eastAsia="Arial" w:hAnsi="Arial"/>
          <w:sz w:val="17"/>
          <w:szCs w:val="17"/>
          <w:i w:val="1"/>
          <w:iCs w:val="1"/>
          <w:color w:val="auto"/>
        </w:rPr>
        <w:t>provided</w:t>
      </w:r>
      <w:r>
        <w:rPr>
          <w:rFonts w:ascii="Arial" w:cs="Arial" w:eastAsia="Arial" w:hAnsi="Arial"/>
          <w:sz w:val="17"/>
          <w:szCs w:val="17"/>
          <w:color w:val="auto"/>
        </w:rPr>
        <w:t>, that upon any redemption that occurs prior to a par call date, the amount deposited shall be sufficient for purposes of the Indenture to the extent that an amount is deposited with the Trustee equal to the redemption price calculated as of the date of the notice of redemption, with any deficit as of the date of redemption (any such amount, the “</w:t>
      </w:r>
      <w:r>
        <w:rPr>
          <w:rFonts w:ascii="Arial" w:cs="Arial" w:eastAsia="Arial" w:hAnsi="Arial"/>
          <w:sz w:val="17"/>
          <w:szCs w:val="17"/>
          <w:i w:val="1"/>
          <w:iCs w:val="1"/>
          <w:color w:val="auto"/>
        </w:rPr>
        <w:t>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Price Deficit</w:t>
      </w:r>
      <w:r>
        <w:rPr>
          <w:rFonts w:ascii="Arial" w:cs="Arial" w:eastAsia="Arial" w:hAnsi="Arial"/>
          <w:sz w:val="17"/>
          <w:szCs w:val="17"/>
          <w:color w:val="auto"/>
        </w:rPr>
        <w:t>”) only required to be deposited with the Trustee on or prior to the date of redemption. Any Redemption Price Deficit shall be set forth in an</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Certificate delivered to the Trustee simultaneously with the deposit of such Redemption Price Deficit that confirms that such Redemption Price Deficit shall be applied toward such redemption.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Indenture provides that the Issuers may elect with respect to any series of the Notes either (1) to defease and be discharged from any and all obligations with respect to such Notes (except for, among other things,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certain obligations to register the transfer or exchange of the Notes, to replace temporary or mutilated, destroyed, lost or stolen Notes, to maintain an office or agency with respect to the Notes and to hold moneys for payment in trust) (“</w:t>
      </w:r>
      <w:r>
        <w:rPr>
          <w:rFonts w:ascii="Arial" w:cs="Arial" w:eastAsia="Arial" w:hAnsi="Arial"/>
          <w:sz w:val="17"/>
          <w:szCs w:val="17"/>
          <w:i w:val="1"/>
          <w:iCs w:val="1"/>
          <w:color w:val="auto"/>
        </w:rPr>
        <w:t>legal defeasance</w:t>
      </w:r>
      <w:r>
        <w:rPr>
          <w:rFonts w:ascii="Arial" w:cs="Arial" w:eastAsia="Arial" w:hAnsi="Arial"/>
          <w:sz w:val="17"/>
          <w:szCs w:val="17"/>
          <w:color w:val="auto"/>
        </w:rPr>
        <w:t>”) or (2) to be released from their obligations to comply with the restrictive covenants under the Indenture, and any omission to comply with such obligations will not constitute a Default or an Event of Default with respect to such Notes, and clause (3) under “Events of Default” will no longer be applied (“</w:t>
      </w:r>
      <w:r>
        <w:rPr>
          <w:rFonts w:ascii="Arial" w:cs="Arial" w:eastAsia="Arial" w:hAnsi="Arial"/>
          <w:sz w:val="17"/>
          <w:szCs w:val="17"/>
          <w:i w:val="1"/>
          <w:iCs w:val="1"/>
          <w:color w:val="auto"/>
        </w:rPr>
        <w:t>covenant defeasance</w:t>
      </w:r>
      <w:r>
        <w:rPr>
          <w:rFonts w:ascii="Arial" w:cs="Arial" w:eastAsia="Arial" w:hAnsi="Arial"/>
          <w:sz w:val="17"/>
          <w:szCs w:val="17"/>
          <w:color w:val="auto"/>
        </w:rPr>
        <w:t>”). If the Issuers exercise their legal defeasance option or their covenant defeasance option with respect to a series of Notes, each Guarantor will be released from all of its obligations with respect to its Note Guarantee and the Security Documents with respect to such series of Notes. Legal defeasance or covenant defeasance, as the case may be, is conditioned upon, among other things, the irrevocable deposit by the Issuers with the Trustee, in trust, of an amount in U.S. dollars, or U.S. government obligations (that through the scheduled payment of principal and interest in accordance with their terms will provide money in an amount), or both, sufficient in the opinion of a nationally recognized public accounting firm to pay the principal or premium, if any, and interest on the applicable Notes on the scheduled due dates therefor.</w:t>
      </w:r>
    </w:p>
    <w:p>
      <w:pPr>
        <w:spacing w:after="0" w:line="18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the Issuers effect covenant defeasance with respect to any series of the Notes and such Notes are declared due and payable because of the occurrence of any Event of Default other than under clause (3) under “Events of Default,” the amount in U.S. dollars, or U.S. government obligations, or both, on deposit with the Trustee will be sufficient, in the opinion of a nationally recognized firm of independent public accountants, to pay amounts due on such Notes at the time of the stated maturity but may not be sufficient to pay amounts due on such Notes at the time of the acceleration resulting from such Event of Default. However, the Issuers would remain liable to make payment of such amounts due at the time of acceleration.</w:t>
      </w:r>
    </w:p>
    <w:p>
      <w:pPr>
        <w:spacing w:after="0" w:line="16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To effect legal defeasance or covenant defeasance, the Issuers are required to deliver to the Trustee an Opinion of Counsel that the deposit and related defeasance will not cause the Holders of the applicable Notes to recognize income, gain or loss for U.S. Federal income tax purposes. If the Issuers elect legal defeasance, that Opinion of Counsel must be based upon a ruling from the U.S. Internal Revenue Service or a change in law to that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Issuers may exercise their legal defeasance option notwithstanding their prior exercise of their covenant defeasance option.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Indenture contains certain limitations on the rights of the Trustee, should it become a creditor of an Issuer or a Guarantor, to obtain payment of claims in certain cases, or to realize on certain property received in respect of any such claim as security or otherwise. The Trustee is permitted to engage in other transactions; however, if it acquires any conflicting interest it must eliminate such conflict within 90 days, apply to the SEC for permission to continue or resign as Trustee.</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Indenture provides that in case an Event of Default shall occur (which shall not be cured), the Trustee is required, in the exercise of its power, to use the degree of care of a prudent person under the circumstances in the conduct of his own affairs. The Trustee is under no obligation to exercise any of its rights or powers under the Indenture at the request of any Holder, unless such Holder shall have offered to the Trustee security and indemnity satisfactory to it against any loss, liability or expense.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Notes, the Indenture and the Note Guarantees are governed by, and construed in accordance with, the laws of the State of New York.</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Compliance Determinations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so long as a Guarantor that is either (1) a direct or indirect parent company of Parent and does not hold any material assets other than the Equity Interests of Parent or (2) a direct or indirect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wholly-owned subsidiary of Parent and does not hold any material assets other than the Equity Interests of the Issuers and their direct or indirect parent companies (in each case, as determined in good faith by the Board or senior management of such Guarantor), any calculations or measures that are determined with reference to Parent’s financial statements (including, without limitation, Consolidated Net Tangible Assets) may be determined with reference to such Guarantor’s financial statements instead.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Set forth below are certain defined terms used in the Indenture. For purposes of the Indenture, unless otherwise specifically indicated, the term “consolidated” with respect to any Person refers to such Person on a consolidated basis in accordance with GAAP.</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Debt</w:t>
      </w:r>
      <w:r>
        <w:rPr>
          <w:rFonts w:ascii="Arial" w:cs="Arial" w:eastAsia="Arial" w:hAnsi="Arial"/>
          <w:sz w:val="16"/>
          <w:szCs w:val="16"/>
          <w:color w:val="auto"/>
        </w:rPr>
        <w:t>” means, as of the date of determination, the sum of (1) the aggregate principal amount of Indebtedness of the Issuers and their Restricted Subsidiaries secured by Liens (other than Permitted Liens) that is not permitted by the first paragraph under “Certain Covenants—Limitation on Liens” and (2) the Attributable Indebtedness of the Issuers and their Restricted Subsidiaries in respect of Sale and Lease-Back Transactions entered into pursuant to the second paragraph of “Certain Covenants—Limitation on Sale and Lease-Back Transactions”.</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Notes of each series outstanding pursuant to the Indenture compounded semi-annually, or (c) if the obligation with respect to the Sale and Lease-Back Transaction constitutes a Financing Lease Obligation, the amount equal to the capitalized amount of such 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w:t>
      </w:r>
    </w:p>
    <w:p>
      <w:pPr>
        <w:spacing w:after="0" w:line="17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with respect to a Person means the board of directors (or similar body) of such Person or any committee thereof duly authorized to act on behalf of such board of directors (or similar body).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which is not a Legal Holiday.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one or more of the following events after the Issue Date:</w:t>
      </w:r>
    </w:p>
    <w:p>
      <w:pPr>
        <w:spacing w:after="0" w:line="131" w:lineRule="exact"/>
        <w:rPr>
          <w:sz w:val="20"/>
          <w:szCs w:val="20"/>
          <w:color w:val="auto"/>
        </w:rPr>
      </w:pPr>
    </w:p>
    <w:p>
      <w:pPr>
        <w:ind w:left="1080" w:right="3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Parent and its Subsidiaries, taken as a whole, to any Person other than any Permitted Holders;</w:t>
      </w:r>
    </w:p>
    <w:p>
      <w:pPr>
        <w:spacing w:after="0" w:line="75" w:lineRule="exact"/>
        <w:rPr>
          <w:rFonts w:ascii="Arial" w:cs="Arial" w:eastAsia="Arial" w:hAnsi="Arial"/>
          <w:sz w:val="18"/>
          <w:szCs w:val="18"/>
          <w:color w:val="auto"/>
        </w:rPr>
      </w:pPr>
    </w:p>
    <w:p>
      <w:pPr>
        <w:ind w:left="1080" w:right="120" w:hanging="532"/>
        <w:spacing w:after="0" w:line="287"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 Rule</w:t>
      </w:r>
    </w:p>
    <w:p>
      <w:pPr>
        <w:spacing w:after="0" w:line="2" w:lineRule="exact"/>
        <w:rPr>
          <w:rFonts w:ascii="Arial" w:cs="Arial" w:eastAsia="Arial" w:hAnsi="Arial"/>
          <w:sz w:val="16"/>
          <w:szCs w:val="16"/>
          <w:color w:val="auto"/>
        </w:rPr>
      </w:pPr>
    </w:p>
    <w:p>
      <w:pPr>
        <w:ind w:left="1080" w:right="20"/>
        <w:spacing w:after="0" w:line="252" w:lineRule="auto"/>
        <w:rPr>
          <w:rFonts w:ascii="Arial" w:cs="Arial" w:eastAsia="Arial" w:hAnsi="Arial"/>
          <w:sz w:val="16"/>
          <w:szCs w:val="16"/>
          <w:color w:val="auto"/>
        </w:rPr>
      </w:pPr>
      <w:r>
        <w:rPr>
          <w:rFonts w:ascii="Arial" w:cs="Arial" w:eastAsia="Arial" w:hAnsi="Arial"/>
          <w:sz w:val="18"/>
          <w:szCs w:val="18"/>
          <w:color w:val="auto"/>
        </w:rPr>
        <w:t>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Directors of Parent, unless the Permitted Holders otherwise have the right (pursuant to contract, proxy or otherwise), directly or indirectly, to designate or appoint directors of Parent having a majority of the aggregate votes on the Board of Directors of Parent;</w:t>
      </w:r>
    </w:p>
    <w:p>
      <w:pPr>
        <w:spacing w:after="0" w:line="99" w:lineRule="exact"/>
        <w:rPr>
          <w:rFonts w:ascii="Arial" w:cs="Arial" w:eastAsia="Arial" w:hAnsi="Arial"/>
          <w:sz w:val="16"/>
          <w:szCs w:val="16"/>
          <w:color w:val="auto"/>
        </w:rPr>
      </w:pPr>
    </w:p>
    <w:p>
      <w:pPr>
        <w:ind w:left="1080" w:right="120" w:hanging="532"/>
        <w:spacing w:after="0" w:line="273"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w:t>
      </w:r>
    </w:p>
    <w:p>
      <w:pPr>
        <w:spacing w:after="0" w:line="83" w:lineRule="exact"/>
        <w:rPr>
          <w:rFonts w:ascii="Arial" w:cs="Arial" w:eastAsia="Arial" w:hAnsi="Arial"/>
          <w:sz w:val="17"/>
          <w:szCs w:val="17"/>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 of the Issuers shall cease to be a direct or indirect Subsidiary of Parent;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adoption by Parent of a plan providing for its liquidation or dissolution.</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Directors of such Parent Entity.</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Decline with respect to such series of Notes.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Arial" w:cs="Arial" w:eastAsia="Arial" w:hAnsi="Arial"/>
          <w:sz w:val="17"/>
          <w:szCs w:val="17"/>
          <w:i w:val="1"/>
          <w:iCs w:val="1"/>
          <w:color w:val="auto"/>
        </w:rPr>
        <w:t>Adjusted Current Liabilities</w:t>
      </w:r>
      <w:r>
        <w:rPr>
          <w:rFonts w:ascii="Arial" w:cs="Arial" w:eastAsia="Arial" w:hAnsi="Arial"/>
          <w:sz w:val="17"/>
          <w:szCs w:val="17"/>
          <w:color w:val="auto"/>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lapse of time or both would become, an Event of Default.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Dell</w:t>
      </w:r>
      <w:r>
        <w:rPr>
          <w:rFonts w:ascii="Arial" w:cs="Arial" w:eastAsia="Arial" w:hAnsi="Arial"/>
          <w:sz w:val="18"/>
          <w:szCs w:val="18"/>
          <w:color w:val="auto"/>
        </w:rPr>
        <w:t>” means Dell Inc., a Delaware 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Dell International</w:t>
      </w:r>
      <w:r>
        <w:rPr>
          <w:rFonts w:ascii="Arial" w:cs="Arial" w:eastAsia="Arial" w:hAnsi="Arial"/>
          <w:sz w:val="18"/>
          <w:szCs w:val="18"/>
          <w:color w:val="auto"/>
        </w:rPr>
        <w:t>” means Dell International L.L.C., a Delaware limited liability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Denali Intermediate</w:t>
      </w:r>
      <w:r>
        <w:rPr>
          <w:rFonts w:ascii="Arial" w:cs="Arial" w:eastAsia="Arial" w:hAnsi="Arial"/>
          <w:sz w:val="18"/>
          <w:szCs w:val="18"/>
          <w:color w:val="auto"/>
        </w:rPr>
        <w:t>” means Denali Intermediate Inc., a Delaware 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Dividing Person</w:t>
      </w:r>
      <w:r>
        <w:rPr>
          <w:rFonts w:ascii="Arial" w:cs="Arial" w:eastAsia="Arial" w:hAnsi="Arial"/>
          <w:sz w:val="18"/>
          <w:szCs w:val="18"/>
          <w:color w:val="auto"/>
        </w:rPr>
        <w:t>” has the meaning set forth for such term in the definition of Division.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i w:val="1"/>
          <w:iCs w:val="1"/>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(other than a Foreign Subsidiary) that is organized or existing under the laws of the United States, any state or territory thereof or the District of Columbia.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EMC</w:t>
      </w:r>
      <w:r>
        <w:rPr>
          <w:rFonts w:ascii="Arial" w:cs="Arial" w:eastAsia="Arial" w:hAnsi="Arial"/>
          <w:sz w:val="18"/>
          <w:szCs w:val="18"/>
          <w:color w:val="auto"/>
        </w:rPr>
        <w:t>” means EMC Corporation, a Massachusetts corporation.</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Financing Lease Obligation</w:t>
      </w:r>
      <w:r>
        <w:rPr>
          <w:rFonts w:ascii="Arial" w:cs="Arial" w:eastAsia="Arial" w:hAnsi="Arial"/>
          <w:sz w:val="17"/>
          <w:szCs w:val="17"/>
          <w:color w:val="auto"/>
        </w:rPr>
        <w:t>” means an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 subsidiary of Fimalac, S.A., and any successor to its rating agency business.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that is not organized under the laws of the United States of America or any state or territory thereof or the District of Columbia and any Subsidiary of such Foreign Subsidiary.</w:t>
      </w:r>
    </w:p>
    <w:p>
      <w:pPr>
        <w:spacing w:after="0" w:line="170"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w:t>
      </w:r>
    </w:p>
    <w:p>
      <w:pPr>
        <w:spacing w:after="0" w:line="14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with respect to each series of Notes, Parent, Denali Intermediate and Dell until, in each case, such Person is released from its Note Guarantee with respect to such series of Notes in accordance with the terms of the Indenture.</w:t>
      </w:r>
    </w:p>
    <w:p>
      <w:pPr>
        <w:spacing w:after="0" w:line="170"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i w:val="1"/>
          <w:iCs w:val="1"/>
          <w:color w:val="auto"/>
        </w:rPr>
        <w:t>Master Agreement</w:t>
      </w:r>
      <w:r>
        <w:rPr>
          <w:rFonts w:ascii="Arial" w:cs="Arial" w:eastAsia="Arial" w:hAnsi="Arial"/>
          <w:sz w:val="17"/>
          <w:szCs w:val="17"/>
          <w:color w:val="auto"/>
        </w:rPr>
        <w:t>”), including any such obligations or liabilities under any Master Agreement.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Baa3 (or the equivalent) by Moody’s, BBB- (or the equivalent) by S&amp;P and BBB- (or the equivalent) by Fitch, or the equivalent investment grade credit rating from any other Rating Agency substituted for Moody’s, S&amp;P or Fitch pursuant to clause (b) of the definition of “Rating Agency.”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Investors</w:t>
      </w:r>
      <w:r>
        <w:rPr>
          <w:rFonts w:ascii="Arial" w:cs="Arial" w:eastAsia="Arial" w:hAnsi="Arial"/>
          <w:sz w:val="18"/>
          <w:szCs w:val="18"/>
          <w:color w:val="auto"/>
        </w:rPr>
        <w:t>”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Investors IV, L.P., SLP Denali Co-Invest, L.P., Silver Lake Partners V DE (AIV), L.P., Silver Lake Partners V DE (AIV), L.P., SL SPV-2, L.P. and their Affiliates and any funds, partnerships or other co-investment vehicles managed, advised or controlled by the foregoing or their respective Affiliates, excluding, in each case, Denali Intermediate Inc. and its Subsidiaries and any portfolio companies of any of the foregoing.</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December 13, 2021.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Legal Holiday</w:t>
      </w:r>
      <w:r>
        <w:rPr>
          <w:rFonts w:ascii="Arial" w:cs="Arial" w:eastAsia="Arial" w:hAnsi="Arial"/>
          <w:sz w:val="16"/>
          <w:szCs w:val="16"/>
          <w:color w:val="auto"/>
        </w:rPr>
        <w:t>” means a Saturday, a Sunday or a day on which commercial banking institutions are not required to be open in the State of New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(1) any mortgage, deed of trust, lien, pledge, hypothecation, encumbrance, charge or security interest in, on or of such asset and (2) the interest of a vendor or a lessor under any conditional sale agreement, Financing Lease Obligation or title retention agreement (or any financing lease having substantially the same economic effect as any of the foregoing) relating to such asset;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 Non-Financing Lease Obligation be deemed to constitute a Lien.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Non-Financing Lease Obligation</w:t>
      </w:r>
      <w:r>
        <w:rPr>
          <w:rFonts w:ascii="Arial" w:cs="Arial" w:eastAsia="Arial" w:hAnsi="Arial"/>
          <w:sz w:val="18"/>
          <w:szCs w:val="18"/>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 Financing Lease Obligation.</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Obligation</w:t>
      </w:r>
      <w:r>
        <w:rPr>
          <w:rFonts w:ascii="Arial" w:cs="Arial" w:eastAsia="Arial" w:hAnsi="Arial"/>
          <w:sz w:val="18"/>
          <w:szCs w:val="18"/>
          <w:color w:val="auto"/>
        </w:rPr>
        <w:t>”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any Guarantor of the Issuers’ Obligations under the Indenture and the Notes.</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xml:space="preserve">”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premium, penalties, fees, indemnifications, reimbursements, damages and other liabilities, payable under the documentation governing any indebtedness; </w:t>
      </w:r>
      <w:r>
        <w:rPr>
          <w:rFonts w:ascii="Arial" w:cs="Arial" w:eastAsia="Arial" w:hAnsi="Arial"/>
          <w:sz w:val="16"/>
          <w:szCs w:val="16"/>
          <w:i w:val="1"/>
          <w:iCs w:val="1"/>
          <w:color w:val="auto"/>
        </w:rPr>
        <w:t>provided</w:t>
      </w:r>
      <w:r>
        <w:rPr>
          <w:rFonts w:ascii="Arial" w:cs="Arial" w:eastAsia="Arial" w:hAnsi="Arial"/>
          <w:sz w:val="16"/>
          <w:szCs w:val="16"/>
          <w:color w:val="auto"/>
        </w:rPr>
        <w:t>, that any of the foregoing (other than principal and interest) shall no longer constitute “Obligations” after payment in full of such principal and interest.</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any Manager or Director, the Chief Executive Officer, the Chief Financial Officer, the Chief Operating Officer, the President, any Executive Vice President, Senior Vice President or Vice President, the Treasurer, the Controller or the Secretary or any other officer designated by any such individuals of Parent or any other Person, as the case may be.</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Parent or an Issuer by an Officer of Parent or an Issuer or on behalf of any other Person, as the case may be, that meets the requirements set forth in the Indenture.</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(which opinion may be subject to customary assumptions and exclusions). The counsel may be an employee of or counsel to the Issuers or the Guarantors.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Dell Technologies Inc., a Delaware corporation.</w:t>
      </w:r>
    </w:p>
    <w:p>
      <w:pPr>
        <w:spacing w:after="0" w:line="22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Entity</w:t>
      </w:r>
      <w:r>
        <w:rPr>
          <w:rFonts w:ascii="Arial" w:cs="Arial" w:eastAsia="Arial" w:hAnsi="Arial"/>
          <w:sz w:val="16"/>
          <w:szCs w:val="16"/>
          <w:color w:val="auto"/>
        </w:rPr>
        <w:t>” means any Person that, with respect to another Person, owns more than 50% of the total voting power of the Voting Stock entitled to vote for the election of directors of such other Person having a majority of the aggregate votes on the Board of Directors of such other Person.</w:t>
      </w:r>
    </w:p>
    <w:p>
      <w:pPr>
        <w:spacing w:after="0" w:line="12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Holders</w:t>
      </w:r>
      <w:r>
        <w:rPr>
          <w:rFonts w:ascii="Arial" w:cs="Arial" w:eastAsia="Arial" w:hAnsi="Arial"/>
          <w:sz w:val="16"/>
          <w:szCs w:val="16"/>
          <w:color w:val="auto"/>
        </w:rPr>
        <w:t>”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provided,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Directors of Parent held by such group, (2) any Permitted Parent and (3) any Permitted Plan. Any Person or group (within the meaning of Section 13(d)</w:t>
      </w:r>
    </w:p>
    <w:p>
      <w:pPr>
        <w:spacing w:after="0" w:line="2" w:lineRule="exact"/>
        <w:rPr>
          <w:sz w:val="20"/>
          <w:szCs w:val="20"/>
          <w:color w:val="auto"/>
        </w:rPr>
      </w:pPr>
    </w:p>
    <w:p>
      <w:pPr>
        <w:ind w:left="120" w:right="20" w:hanging="4"/>
        <w:spacing w:after="0" w:line="255"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 Section 14(d)(2) 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240" w:hanging="26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effect as of the Issue Date;</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securing Obligations in respect of Notes outstanding on the Issue Date;</w:t>
      </w:r>
    </w:p>
    <w:p>
      <w:pPr>
        <w:spacing w:after="0" w:line="117"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w:t>
      </w:r>
    </w:p>
    <w:p>
      <w:pPr>
        <w:spacing w:after="0" w:line="75" w:lineRule="exact"/>
        <w:rPr>
          <w:rFonts w:ascii="Arial" w:cs="Arial" w:eastAsia="Arial" w:hAnsi="Arial"/>
          <w:sz w:val="18"/>
          <w:szCs w:val="18"/>
          <w:color w:val="auto"/>
        </w:rPr>
      </w:pPr>
    </w:p>
    <w:p>
      <w:pPr>
        <w:ind w:left="560" w:right="40" w:firstLine="419"/>
        <w:spacing w:after="0" w:line="255" w:lineRule="auto"/>
        <w:tabs>
          <w:tab w:leader="none" w:pos="12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w:t>
      </w:r>
    </w:p>
    <w:p>
      <w:pPr>
        <w:spacing w:after="0" w:line="84" w:lineRule="exact"/>
        <w:rPr>
          <w:rFonts w:ascii="Arial" w:cs="Arial" w:eastAsia="Arial" w:hAnsi="Arial"/>
          <w:sz w:val="18"/>
          <w:szCs w:val="18"/>
          <w:color w:val="auto"/>
        </w:rPr>
      </w:pPr>
    </w:p>
    <w:p>
      <w:pPr>
        <w:ind w:left="560" w:right="40" w:firstLine="419"/>
        <w:spacing w:after="0" w:line="259" w:lineRule="auto"/>
        <w:tabs>
          <w:tab w:leader="none" w:pos="12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w:t>
      </w:r>
    </w:p>
    <w:p>
      <w:pPr>
        <w:spacing w:after="0" w:line="78" w:lineRule="exact"/>
        <w:rPr>
          <w:rFonts w:ascii="Arial" w:cs="Arial" w:eastAsia="Arial" w:hAnsi="Arial"/>
          <w:sz w:val="18"/>
          <w:szCs w:val="18"/>
          <w:color w:val="auto"/>
        </w:rPr>
      </w:pPr>
    </w:p>
    <w:p>
      <w:pPr>
        <w:ind w:left="560" w:right="40" w:firstLine="419"/>
        <w:spacing w:after="0" w:line="277" w:lineRule="auto"/>
        <w:tabs>
          <w:tab w:leader="none" w:pos="12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statements, including precautionary financing statements, or any similar filings made in respect of Non-Financing Leases or consignments entered into by Parent or any of its Subsidiaries;</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property or assets used to defease or to irrevocably satisfy and discharge indebtedness;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created in connection with a project financed with, and created to secure, a Nonrecourse Obligation;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hanging="341"/>
        <w:spacing w:after="0"/>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Liens relating to future escrow arrangements securing Indebtedness;</w:t>
      </w:r>
    </w:p>
    <w:p>
      <w:pPr>
        <w:spacing w:after="0" w:line="117" w:lineRule="exact"/>
        <w:rPr>
          <w:rFonts w:ascii="Arial" w:cs="Arial" w:eastAsia="Arial" w:hAnsi="Arial"/>
          <w:sz w:val="18"/>
          <w:szCs w:val="18"/>
          <w:color w:val="auto"/>
        </w:rPr>
      </w:pPr>
    </w:p>
    <w:p>
      <w:pPr>
        <w:ind w:left="560" w:right="360" w:firstLine="419"/>
        <w:spacing w:after="0" w:line="277" w:lineRule="auto"/>
        <w:tabs>
          <w:tab w:leader="none" w:pos="1321" w:val="left"/>
        </w:tabs>
        <w:numPr>
          <w:ilvl w:val="1"/>
          <w:numId w:val="37"/>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Parent or any of its Subsidiaries in connection with any letter of intent or purchase agreement; and</w:t>
      </w:r>
    </w:p>
    <w:p>
      <w:pPr>
        <w:spacing w:after="0" w:line="62" w:lineRule="exact"/>
        <w:rPr>
          <w:rFonts w:ascii="Arial" w:cs="Arial" w:eastAsia="Arial" w:hAnsi="Arial"/>
          <w:sz w:val="18"/>
          <w:szCs w:val="18"/>
          <w:color w:val="auto"/>
        </w:rPr>
      </w:pPr>
    </w:p>
    <w:p>
      <w:pPr>
        <w:ind w:left="560" w:right="60" w:firstLine="419"/>
        <w:spacing w:after="0" w:line="286" w:lineRule="auto"/>
        <w:tabs>
          <w:tab w:leader="none" w:pos="1328"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Arial" w:cs="Arial" w:eastAsia="Arial" w:hAnsi="Arial"/>
          <w:sz w:val="16"/>
          <w:szCs w:val="16"/>
          <w:i w:val="1"/>
          <w:iCs w:val="1"/>
          <w:color w:val="auto"/>
        </w:rPr>
        <w:t>provided</w:t>
      </w:r>
      <w:r>
        <w:rPr>
          <w:rFonts w:ascii="Arial" w:cs="Arial" w:eastAsia="Arial" w:hAnsi="Arial"/>
          <w:sz w:val="16"/>
          <w:szCs w:val="16"/>
          <w:color w:val="auto"/>
        </w:rPr>
        <w:t>, that Liens securing indebtedness permitted to be incurred pursuant to this clause</w:t>
      </w:r>
    </w:p>
    <w:p>
      <w:pPr>
        <w:spacing w:after="0" w:line="1" w:lineRule="exact"/>
        <w:rPr>
          <w:rFonts w:ascii="Arial" w:cs="Arial" w:eastAsia="Arial" w:hAnsi="Arial"/>
          <w:sz w:val="16"/>
          <w:szCs w:val="16"/>
          <w:color w:val="auto"/>
        </w:rPr>
      </w:pPr>
    </w:p>
    <w:p>
      <w:pPr>
        <w:ind w:left="560" w:right="140" w:hanging="4"/>
        <w:spacing w:after="0" w:line="253" w:lineRule="auto"/>
        <w:tabs>
          <w:tab w:leader="none" w:pos="9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individual financings of equipment provided by one lender may be cross collateralized to other financings of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such lender;</w:t>
      </w:r>
    </w:p>
    <w:p>
      <w:pPr>
        <w:spacing w:after="0" w:line="84" w:lineRule="exact"/>
        <w:rPr>
          <w:rFonts w:ascii="Arial" w:cs="Arial" w:eastAsia="Arial" w:hAnsi="Arial"/>
          <w:sz w:val="18"/>
          <w:szCs w:val="18"/>
          <w:color w:val="auto"/>
        </w:rPr>
      </w:pPr>
    </w:p>
    <w:p>
      <w:pPr>
        <w:ind w:left="1320" w:hanging="341"/>
        <w:spacing w:after="0"/>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Liens in favor of Parent or any of its Subsidiaries or the Trustee; and</w:t>
      </w:r>
    </w:p>
    <w:p>
      <w:pPr>
        <w:spacing w:after="0" w:line="117" w:lineRule="exact"/>
        <w:rPr>
          <w:rFonts w:ascii="Arial" w:cs="Arial" w:eastAsia="Arial" w:hAnsi="Arial"/>
          <w:sz w:val="18"/>
          <w:szCs w:val="18"/>
          <w:color w:val="auto"/>
        </w:rPr>
      </w:pPr>
    </w:p>
    <w:p>
      <w:pPr>
        <w:ind w:left="560" w:firstLine="419"/>
        <w:spacing w:after="0" w:line="269" w:lineRule="auto"/>
        <w:tabs>
          <w:tab w:leader="none" w:pos="1328"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new Lien shall be limited to all or part of the same property that secured the original Lien (plus accessions, additions and improvements on such 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w:t>
      </w:r>
    </w:p>
    <w:p>
      <w:pPr>
        <w:spacing w:after="0" w:line="18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purposes of determining compliance with this definition, (i) a Lien need not be incurred solely by reference to one category of Permitted Liens described in this definition but are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22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Parent</w:t>
      </w:r>
      <w:r>
        <w:rPr>
          <w:rFonts w:ascii="Arial" w:cs="Arial" w:eastAsia="Arial" w:hAnsi="Arial"/>
          <w:sz w:val="16"/>
          <w:szCs w:val="16"/>
          <w:color w:val="auto"/>
        </w:rPr>
        <w:t>” means any Parent Entity that at the time it became a Parent Entity of Parent was a Permitted Holder pursuant to clause (1) of the definition thereof and was not formed in connection with, or in contemplation of, a transaction that would otherwise constitute a Change of Control.</w:t>
      </w:r>
    </w:p>
    <w:p>
      <w:pPr>
        <w:spacing w:after="0" w:line="12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Plan</w:t>
      </w:r>
      <w:r>
        <w:rPr>
          <w:rFonts w:ascii="Arial" w:cs="Arial" w:eastAsia="Arial" w:hAnsi="Arial"/>
          <w:sz w:val="18"/>
          <w:szCs w:val="18"/>
          <w:color w:val="auto"/>
        </w:rPr>
        <w:t>” means any employee benefits plan of Parent or its Affiliates and any Person acting in its capacity as trustee, agent or other fiduciary or administrator of any such plan.</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the land, land improvements, buildings and fixtures (to the extent they constitute real property interests) (including any leasehold interest therein) constituting the principal corporate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 plant or facilities, as the case may be).</w:t>
      </w:r>
    </w:p>
    <w:p>
      <w:pPr>
        <w:spacing w:after="0" w:line="161" w:lineRule="exact"/>
        <w:rPr>
          <w:sz w:val="20"/>
          <w:szCs w:val="20"/>
          <w:color w:val="auto"/>
        </w:rPr>
      </w:pPr>
    </w:p>
    <w:p>
      <w:pPr>
        <w:ind w:left="560"/>
        <w:spacing w:after="0"/>
        <w:tabs>
          <w:tab w:leader="none" w:pos="42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Prospectus</w:t>
      </w:r>
      <w:r>
        <w:rPr>
          <w:rFonts w:ascii="Arial" w:cs="Arial" w:eastAsia="Arial" w:hAnsi="Arial"/>
          <w:sz w:val="18"/>
          <w:szCs w:val="18"/>
          <w:color w:val="auto"/>
        </w:rPr>
        <w:t>” means the prospectus dated</w:t>
      </w:r>
      <w:r>
        <w:rPr>
          <w:sz w:val="20"/>
          <w:szCs w:val="20"/>
          <w:color w:val="auto"/>
        </w:rPr>
        <w:tab/>
      </w:r>
      <w:r>
        <w:rPr>
          <w:rFonts w:ascii="Arial" w:cs="Arial" w:eastAsia="Arial" w:hAnsi="Arial"/>
          <w:sz w:val="16"/>
          <w:szCs w:val="16"/>
          <w:color w:val="auto"/>
        </w:rPr>
        <w:t>, 2023 relating to the exchange of the Notes.</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(1) S&amp;P, Moody’s and Fitch or (2) if S&amp;P, Moody’s or Fitch or each of them shall not make a corporate rating with respect to the Issuers (or any Guarantor) or a rating on any series of the Notes publicly available, a nationally recognized statistical rating agency or agencies, as the case may be, selected by Parent, which shall be substituted for any or all of S&amp;P, Moody’s or Fitch, as the case may be, with respect to such corporate rating or the rating of such series of Notes, as the case may be.</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Decline</w:t>
      </w:r>
      <w:r>
        <w:rPr>
          <w:rFonts w:ascii="Arial" w:cs="Arial" w:eastAsia="Arial" w:hAnsi="Arial"/>
          <w:sz w:val="16"/>
          <w:szCs w:val="16"/>
          <w:color w:val="auto"/>
        </w:rPr>
        <w:t xml:space="preserve">” means, with respect to any series of Notes, the occurrence of a decrease in the rating of the Notes of such series by one or more gradations by any two of three Rating Agencies (including gradations within the rating categories, as well as between categories), within 60 days after the earlier of (x) a Change of Control, (y) the date of public notice of the occurrence of a Change of Control or (z) public notice of the intention of Parent to effect a Change of Control (which 60-day period shall be extended so long as the rating of the Notes is under publicly announced ratings review for possible downgrade by either of such two Rating Agencies, it being understood that a change in ratings outlook shall not extend such 60-day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the foregoing, a Ratings Decline shall not be deemed to have occurred so long as such series of Notes has an Investment Grade Rating from at least two of three Rating Agencies.</w:t>
      </w:r>
    </w:p>
    <w:p>
      <w:pPr>
        <w:spacing w:after="0" w:line="1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(1) any Subsidiary of an Issuer that (a) is a Wholly-Owned Subsidiary, (b) is a Domestic Subsidiary and (c) directly owns or directly leases any Principal Property and (2) any other Subsidiary that the Board of any Issuer may designate as a Restricted Subsidiary; provided, that “Restricted Subsidiary” shall not include Dell Financial Services L.L.C. or any other Subsidiary that is principally engaged in financing receivables, securitization transactions, factoring or other similar transactions.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Inc. and any successor to its rating agency business.</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560" w:firstLine="419"/>
        <w:spacing w:after="0" w:line="259" w:lineRule="auto"/>
        <w:tabs>
          <w:tab w:leader="none" w:pos="12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78" w:lineRule="exact"/>
        <w:rPr>
          <w:rFonts w:ascii="Arial" w:cs="Arial" w:eastAsia="Arial" w:hAnsi="Arial"/>
          <w:sz w:val="18"/>
          <w:szCs w:val="18"/>
          <w:color w:val="auto"/>
        </w:rPr>
      </w:pPr>
    </w:p>
    <w:p>
      <w:pPr>
        <w:ind w:left="1240" w:hanging="26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117" w:lineRule="exact"/>
        <w:rPr>
          <w:rFonts w:ascii="Arial" w:cs="Arial" w:eastAsia="Arial" w:hAnsi="Arial"/>
          <w:sz w:val="18"/>
          <w:szCs w:val="18"/>
          <w:color w:val="auto"/>
        </w:rPr>
      </w:pPr>
    </w:p>
    <w:p>
      <w:pPr>
        <w:jc w:val="both"/>
        <w:ind w:left="1100" w:right="500" w:firstLine="408"/>
        <w:spacing w:after="0" w:line="311" w:lineRule="auto"/>
        <w:tabs>
          <w:tab w:leader="none" w:pos="1745" w:val="left"/>
        </w:tabs>
        <w:numPr>
          <w:ilvl w:val="1"/>
          <w:numId w:val="39"/>
        </w:numPr>
        <w:rPr>
          <w:rFonts w:ascii="Arial" w:cs="Arial" w:eastAsia="Arial" w:hAnsi="Arial"/>
          <w:sz w:val="16"/>
          <w:szCs w:val="16"/>
          <w:color w:val="auto"/>
        </w:rPr>
      </w:pPr>
      <w:r>
        <w:rPr>
          <w:rFonts w:ascii="Arial" w:cs="Arial" w:eastAsia="Arial" w:hAnsi="Arial"/>
          <w:sz w:val="16"/>
          <w:szCs w:val="16"/>
          <w:color w:val="auto"/>
        </w:rPr>
        <w:t>more than 50%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40" w:lineRule="exact"/>
        <w:rPr>
          <w:rFonts w:ascii="Arial" w:cs="Arial" w:eastAsia="Arial" w:hAnsi="Arial"/>
          <w:sz w:val="16"/>
          <w:szCs w:val="16"/>
          <w:color w:val="auto"/>
        </w:rPr>
      </w:pPr>
    </w:p>
    <w:p>
      <w:pPr>
        <w:ind w:left="1760" w:hanging="252"/>
        <w:spacing w:after="0"/>
        <w:tabs>
          <w:tab w:leader="none" w:pos="1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such Person or any Subsidiary of such Person is a controlling general partner or otherwise controls such entity.</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For the avoidance of doubt, any entity that is owned at a 50% or less level (as described above) shall not be a “Subsidiary” for any purpose under the Indenture, regardless of whether such entity is consolidated on Parent’s or any of its Subsidiaries’ financial statements.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Trustee</w:t>
      </w:r>
      <w:r>
        <w:rPr>
          <w:rFonts w:ascii="Arial" w:cs="Arial" w:eastAsia="Arial" w:hAnsi="Arial"/>
          <w:sz w:val="17"/>
          <w:szCs w:val="17"/>
          <w:color w:val="auto"/>
        </w:rPr>
        <w:t>” means The Bank of New York Mellon Trust Company, N.A. until a successor replaces it and, thereafter, means the successor.</w:t>
      </w:r>
    </w:p>
    <w:p>
      <w:pPr>
        <w:spacing w:after="0" w:line="23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Wholly-Owned Subsidiary</w:t>
      </w:r>
      <w:r>
        <w:rPr>
          <w:rFonts w:ascii="Arial" w:cs="Arial" w:eastAsia="Arial" w:hAnsi="Arial"/>
          <w:sz w:val="16"/>
          <w:szCs w:val="16"/>
          <w:color w:val="auto"/>
        </w:rPr>
        <w:t>” of any Person means a Subsidiary of such Person, 100% of the outstanding Equity Interests of which (other than directors’ qualifying shares) shall at the time be owned by such Person or by one or more Wholly-Owned Subsidiaries of such Person.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Issuers and the guarantors of the outstanding notes and the initial purchasers entered into registration rights agreements pursuant to which each of the Issuers and the guarantors of the outstanding notes have agreed that they will, at their expense, for the benefit of the holders of outstanding notes, (i) file one or more registration statements on an appropriate registration form with respect to a registered offer to exchange the outstanding notes for new notes, guaranteed by the guarantors on a full and unconditional, joint and several senior unsecured basis, with terms substantially identical in all material respects to the outstanding notes and (ii) use its commercially reasonable efforts to cause the registration statement to be declared effective under the Securities Act. As of the date of this prospectus, $962,390,000 aggregate principal amount of the 3.375% Senior Notes due 2041 and $1,094,877,000 aggregate principal amount of 3.450% Senior Notes due 2051 are outstanding, which were issued on December 13, 2021.</w:t>
      </w:r>
    </w:p>
    <w:p>
      <w:pPr>
        <w:spacing w:after="0" w:line="166"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Under the circumstances set forth below, the Issuers and the guarantors will use their commercially reasonable best efforts to cause the SEC to declare effective a shelf registration statement with respect to the resale of the outstanding notes within the time periods specified in the registration rights agreement and keep such registration statement effective for up to one year after the effective date of the shelf registration statement. These circumstances include:</w:t>
      </w:r>
    </w:p>
    <w:p>
      <w:pPr>
        <w:spacing w:after="0" w:line="9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any change in law or in currently prevailing interpretations of the Staff of the SEC do not permit us to effect an exchange offer;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 exchange offer is not consummated within the registration period contemplated by the registration rights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in certain circumstances, certain holders of unregistered exchange notes so request; or</w:t>
      </w:r>
    </w:p>
    <w:p>
      <w:pPr>
        <w:spacing w:after="0" w:line="130"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in the case of any holder that participates in an exchange offer, such holder does not receive exchange notes on the date of the exchange that may be sold without restriction under state and federal securities laws (other than due solely to the status of such holder as an affiliate of ours within the meaning of the Securities Act).</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(A) we have not exchanged exchange notes for all notes validly tendered in accordance with the terms of an exchange offer on or prior to the day that is two years after the issue date of the notes, or (B) if applicable, a shelf registration statement covering resales of the applicable series of outstanding notes eligible for inclusion in the shelf registration statement has been declared effective and after effectiveness of such shelf registration statement ceases to be effective at any time during the shelf registration period (subject to certain exceptions), then additional interest shall accrue on the principal amount of the applicable series of outstanding notes at a rate of 0.25% per annum (which rate shall be increased by an additional 0.25% per annum for each subsequent 90-day period that such additional interest continues to accrue; provided that the rate at which such additional interest accrues may in no event exceed 1.00% per annum) commencing on (x) the day after the date that is two years after the issue date of the outstanding notes, in the case of (A) above, or (y) the day such shelf registration statement (if required) ceases to be effective, in the case of (B) above; provided, however, that upon the exchange of exchange notes for all outstanding notes tendered (in the case of clause (A) above), or upon the effectiveness of a shelf registration statement that had ceased to remain effective (in the case of clause (B) above), additional interest on the outstanding notes as a result of such clause (or the relevant sub-clause thereof), as the case may be, shall cease to accrue; provided, further, that notwithstanding any provision in this paragraph to the contrary, no additional interest shall accrue on the outstanding notes following the seventh anniversary of the issue date of the outstanding notes. Any amounts of additional interest due will be payable in cash on the same original interest payment dates as interest on the outstanding notes is payable.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you wish to exchange your outstanding notes for exchange notes in the exchange offer, you will be required to make the following written representations:</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are not an affiliate of the Issuers or any guarantor within the meaning of Rule 405 of the Securities Act;</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in a distribution (within the meaning of the Securities Act) of the exchange notes in violation of the Securities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 distribution of the exchange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Each broker-dealer that receives exchange notes for its own account in exchange for outstanding notes, where the broker-dealer acquired the outstanding notes as a result of market-making activities or other trading activities, must acknowledge that it will deliver a prospectus in connection with any resale of such exchange notes. Please see </w:t>
      </w:r>
      <w:r>
        <w:rPr>
          <w:rFonts w:ascii="Arial" w:cs="Arial" w:eastAsia="Arial" w:hAnsi="Arial"/>
          <w:sz w:val="18"/>
          <w:szCs w:val="18"/>
          <w:i w:val="1"/>
          <w:iCs w:val="1"/>
          <w:color w:val="auto"/>
        </w:rPr>
        <w:t>“Plan of Distribution.”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Resale of Exchange Notes</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Based on interpretations by the SEC set forth in no-action letters issued to third parties, we believe that you may resell or otherwise transfer exchange notes issued in the exchange offer without complying with the registration and prospectus delivery provisions of the Securities Act, if:</w:t>
      </w:r>
    </w:p>
    <w:p>
      <w:pPr>
        <w:spacing w:after="0" w:line="2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are not an affiliate of the Issuers or any guarantor within the meaning of Rule 405 under the Securities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do not have an arrangement or understanding with any person to participate in a distribution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 distribution of the exchange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2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If you are an affiliate of the Issuers or any guarantor, or are engaging in, or intend to engage in, or have any arrangement or understanding with any person to participate in, a distribution of the exchange notes, or are not acquiring the exchange notes in the ordinary course of your business:</w:t>
      </w:r>
    </w:p>
    <w:p>
      <w:pPr>
        <w:spacing w:after="0" w:line="29" w:lineRule="exact"/>
        <w:rPr>
          <w:sz w:val="20"/>
          <w:szCs w:val="20"/>
          <w:color w:val="auto"/>
        </w:rPr>
      </w:pPr>
    </w:p>
    <w:p>
      <w:pPr>
        <w:jc w:val="both"/>
        <w:ind w:left="1080" w:right="26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you cannot rely on the position of the SEC set forth in </w:t>
      </w:r>
      <w:r>
        <w:rPr>
          <w:rFonts w:ascii="Arial" w:cs="Arial" w:eastAsia="Arial" w:hAnsi="Arial"/>
          <w:sz w:val="18"/>
          <w:szCs w:val="18"/>
          <w:i w:val="1"/>
          <w:iCs w:val="1"/>
          <w:color w:val="auto"/>
        </w:rPr>
        <w:t>Morgan Stanley &amp; Co. Inc.</w:t>
      </w:r>
      <w:r>
        <w:rPr>
          <w:rFonts w:ascii="Arial" w:cs="Arial" w:eastAsia="Arial" w:hAnsi="Arial"/>
          <w:sz w:val="18"/>
          <w:szCs w:val="18"/>
          <w:color w:val="auto"/>
        </w:rPr>
        <w:t xml:space="preserve"> (available June 5, 1991) </w:t>
      </w:r>
      <w:r>
        <w:rPr>
          <w:rFonts w:ascii="Arial" w:cs="Arial" w:eastAsia="Arial" w:hAnsi="Arial"/>
          <w:sz w:val="18"/>
          <w:szCs w:val="18"/>
          <w:i w:val="1"/>
          <w:iCs w:val="1"/>
          <w:color w:val="auto"/>
        </w:rPr>
        <w:t>and Exxon Capital Holdings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 </w:t>
      </w:r>
      <w:r>
        <w:rPr>
          <w:rFonts w:ascii="Arial" w:cs="Arial" w:eastAsia="Arial" w:hAnsi="Arial"/>
          <w:sz w:val="18"/>
          <w:szCs w:val="18"/>
          <w:color w:val="auto"/>
        </w:rPr>
        <w:t>(available May 13, 1988), as interpreted in the SEC’s letter to</w:t>
      </w:r>
      <w:r>
        <w:rPr>
          <w:rFonts w:ascii="Arial" w:cs="Arial" w:eastAsia="Arial" w:hAnsi="Arial"/>
          <w:sz w:val="18"/>
          <w:szCs w:val="18"/>
          <w:i w:val="1"/>
          <w:iCs w:val="1"/>
          <w:color w:val="auto"/>
        </w:rPr>
        <w:t xml:space="preserve"> Shearman &amp; Sterling </w:t>
      </w:r>
      <w:r>
        <w:rPr>
          <w:rFonts w:ascii="Arial" w:cs="Arial" w:eastAsia="Arial" w:hAnsi="Arial"/>
          <w:sz w:val="18"/>
          <w:szCs w:val="18"/>
          <w:color w:val="auto"/>
        </w:rPr>
        <w:t>(available July 2, 1993), or similar no-action</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and</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absence of an exception from the position stated immediately above, you must comply with the registration and prospectus delivery requirements of the Securities Act in connection with any resale of the exchange notes.</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This prospectus may be used for an offer to resell, resale or other transfer of exchange notes only as specifically set forth in this prospectus. With regard to broker-dealers, only broker-dealers that acquired the outstanding notes as a result of market-making activities or other trading activities may participate in the exchange offer. Each broker-dealer that receives exchange notes for its own account in exchange for outstanding notes, where such outstanding notes were acquired by such broker-dealer as a result of market-making activities or other trading activities, must acknowledge that it will deliver a prospectus in connection with any resale of the exchange notes. Please read “Plan of Distribution” for more details regarding the transfer of exchange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the terms and subject to the conditions set forth in this prospectus and in the accompanying letters of transmittal, the Issuers will accept for exchange in the exchange offer any outstanding notes that are validly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tendered and not validly withdrawn prior to the expiration date. Outstanding notes may only be tendered in a principal amount of $2,000 and in integral multiples of $1,000 in excess thereof. The Issuers will issue $1,000 principal amount of exchange notes in exchange for each $1,000 principal amount of outstanding notes surrendered in the exchange offer.</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The form and terms of the exchange notes will be identical in all material respects to the form and terms of the outstanding notes except the exchange notes will be registered under the Securities Act, will not bear legends restricting their transfer and will not provide for any additional interest upon failure by the Issuers and the guarantors to fulfill their obligations under the registration rights agreement to complete the exchange offer, or file, and cause to be effective, a shelf registration statement, if required thereby, within the specified time period. The exchange notes will evidence the same debt as the outstanding notes. The exchange notes will be issued under and entitled to the benefits of the same indenture that governs the terms of the outstanding notes. For a description of the indenture, see </w:t>
      </w:r>
      <w:r>
        <w:rPr>
          <w:rFonts w:ascii="Arial" w:cs="Arial" w:eastAsia="Arial" w:hAnsi="Arial"/>
          <w:sz w:val="17"/>
          <w:szCs w:val="17"/>
          <w:i w:val="1"/>
          <w:iCs w:val="1"/>
          <w:color w:val="auto"/>
        </w:rPr>
        <w:t>“Description of the Exchange Notes.”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exchange offer is not conditioned upon any minimum aggregate principal amount of outstanding notes being tendered for exchange.</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and the letter of transmittal are being sent to all registered holders of outstanding notes. There will be no fixed record date for determining registered holders of outstanding notes entitled to participate in the exchange offer. The Issuers and the guarantors intend to conduct the exchange offer in accordance with the provisions of the registration rights agreement, the applicable requirements of the Securities Act and the Exchange Act and the rules and regulations of the SEC. Outstanding notes that are not tendered for exchange in the exchange offer will remain outstanding and continue to accrue interest and will be entitled to the rights and benefits such holders have under the indenture and the registration rights agreement except the Issuer and the guarantors will not have any further obligation to you to provide for the registration of the outstanding notes under the registration rights agreement.</w:t>
      </w:r>
    </w:p>
    <w:p>
      <w:pPr>
        <w:spacing w:after="0" w:line="19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Issuers will be deemed to have accepted for exchange properly tendered outstanding notes when the Issuers have given written notice of the acceptance to the exchange agent. The exchange agent will act as agent for the tendering holders for the purposes of receiving the exchange notes from the Issuers and delivering exchange notes to holders. Subject to the terms of the registration rights agreement, the Issuer expressly reserve the right to amend or terminate the exchange offer and to refuse to accept the occurrence of any of the conditions specified below under “—</w:t>
      </w:r>
      <w:r>
        <w:rPr>
          <w:rFonts w:ascii="Arial" w:cs="Arial" w:eastAsia="Arial" w:hAnsi="Arial"/>
          <w:sz w:val="18"/>
          <w:szCs w:val="18"/>
          <w:i w:val="1"/>
          <w:iCs w:val="1"/>
          <w:color w:val="auto"/>
        </w:rPr>
        <w:t>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Offer</w:t>
      </w:r>
      <w:r>
        <w:rPr>
          <w:rFonts w:ascii="Arial" w:cs="Arial" w:eastAsia="Arial" w:hAnsi="Arial"/>
          <w:sz w:val="18"/>
          <w:szCs w:val="18"/>
          <w:color w:val="auto"/>
        </w:rPr>
        <w:t>.”</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you tender your outstanding notes in the exchange offer, you will not be required to pay brokerage commissions or fees or, subject to the instructions in the letter of transmittal, transfer taxes with respect to the exchange of outstanding notes. We will pay all charges and expenses, other than certain applicable taxes described below in connection with the exchange offer. It is important that you read “—Fees and Expenses” below for more details regarding fees and expenses incurred in the exchange offer.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Date; Extensions, Amendments</w:t>
      </w:r>
    </w:p>
    <w:p>
      <w:pPr>
        <w:spacing w:after="0" w:line="121" w:lineRule="exact"/>
        <w:rPr>
          <w:sz w:val="20"/>
          <w:szCs w:val="20"/>
          <w:color w:val="auto"/>
        </w:rPr>
      </w:pPr>
    </w:p>
    <w:p>
      <w:pPr>
        <w:ind w:left="560"/>
        <w:spacing w:after="0"/>
        <w:tabs>
          <w:tab w:leader="none" w:pos="8200" w:val="left"/>
        </w:tabs>
        <w:rPr>
          <w:sz w:val="20"/>
          <w:szCs w:val="20"/>
          <w:color w:val="auto"/>
        </w:rPr>
      </w:pPr>
      <w:r>
        <w:rPr>
          <w:rFonts w:ascii="Arial" w:cs="Arial" w:eastAsia="Arial" w:hAnsi="Arial"/>
          <w:sz w:val="18"/>
          <w:szCs w:val="18"/>
          <w:color w:val="auto"/>
        </w:rPr>
        <w:t>As used in this prospectus, the term “expiration date” means 5:00 p.m., New York City time, on</w:t>
      </w:r>
      <w:r>
        <w:rPr>
          <w:sz w:val="20"/>
          <w:szCs w:val="20"/>
          <w:color w:val="auto"/>
        </w:rPr>
        <w:tab/>
      </w:r>
      <w:r>
        <w:rPr>
          <w:rFonts w:ascii="Arial" w:cs="Arial" w:eastAsia="Arial" w:hAnsi="Arial"/>
          <w:sz w:val="16"/>
          <w:szCs w:val="16"/>
          <w:color w:val="auto"/>
        </w:rPr>
        <w:t>, 2023, which is the 21st business day</w:t>
      </w:r>
    </w:p>
    <w:p>
      <w:pPr>
        <w:spacing w:after="0" w:line="23" w:lineRule="exact"/>
        <w:rPr>
          <w:sz w:val="20"/>
          <w:szCs w:val="20"/>
          <w:color w:val="auto"/>
        </w:rPr>
      </w:pPr>
    </w:p>
    <w:p>
      <w:pPr>
        <w:ind w:left="120" w:right="40"/>
        <w:spacing w:after="0" w:line="290" w:lineRule="auto"/>
        <w:rPr>
          <w:sz w:val="20"/>
          <w:szCs w:val="20"/>
          <w:color w:val="auto"/>
        </w:rPr>
      </w:pPr>
      <w:r>
        <w:rPr>
          <w:rFonts w:ascii="Arial" w:cs="Arial" w:eastAsia="Arial" w:hAnsi="Arial"/>
          <w:sz w:val="17"/>
          <w:szCs w:val="17"/>
          <w:color w:val="auto"/>
        </w:rPr>
        <w:t>after the date of this prospectus. However, if the Issuers, in their sole discretion, extend the period of time for which the exchange offer is open, the term “expiration date” will mean the latest time and date to which the Issuers shall have extended the expiration of the exchange offer.</w:t>
      </w:r>
    </w:p>
    <w:p>
      <w:pPr>
        <w:spacing w:after="0" w:line="16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To extend the period of time during which the exchange offer is open, the Issuers will notify the exchange agent of any extension by written notice, followed by notification by press release or other public announcement to the registered holders of the outstanding notes no later than 9:00 a.m., New York City time, on the next business day after the previously scheduled expiration date. The Issuers are generally required to extend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offering period for any material change, including the waiver of a material condition, so that at least five business days remain in the exchange offer after the change.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Issuers reserve the right, in their sole discretion:</w:t>
      </w:r>
    </w:p>
    <w:p>
      <w:pPr>
        <w:spacing w:after="0" w:line="13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delay accepting for exchange any outstanding notes (if the Issuers amend or extend the exchange offer);</w:t>
      </w:r>
    </w:p>
    <w:p>
      <w:pPr>
        <w:spacing w:after="0" w:line="130"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extend the exchange offer or to terminate the exchange offer if any of the conditions set forth below under “—Conditions to the Exchange Offer” have not been satisfied, by giving written notice of such delay, extension or termination to the exchange agent;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terms of the registration rights agreement, to amend the terms of the exchange offer in any manner.</w:t>
      </w:r>
    </w:p>
    <w:p>
      <w:pPr>
        <w:spacing w:after="0" w:line="225"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Any delay in acceptance, extension, termination or amendment will be followed as promptly as practicable by notice to the registered holders of the outstanding notes. If the Issuers amend the exchange offer in a manner that it determines to constitute a material change, the Issuers will promptly disclose the amendment in a manner reasonably calculated to inform the holders of the outstanding notes of that amendment.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Despite any other term of the exchange offer, the Issuers will not be required to accept for exchange, or to issue exchange notes in exchange for, any outstanding notes and the Issuers may terminate or amend the exchange offer as provided in this prospectus prior to the expiration date if in their reasonable judgment:</w:t>
      </w:r>
    </w:p>
    <w:p>
      <w:pPr>
        <w:spacing w:after="0" w:line="8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violates any applicable law or interpretation of the SEC; or</w:t>
      </w:r>
    </w:p>
    <w:p>
      <w:pPr>
        <w:spacing w:after="0" w:line="130"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action or proceeding has been instituted or threatened in any court or by or before any governmental agency with respect to the exchange offer that, in their judgment, would reasonably be expected to impair their ability to proceed with the exchange offer.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the Issuers will not be obligated to accept for exchange the outstanding notes of any holder that has not made to the Issuers:</w:t>
      </w:r>
    </w:p>
    <w:p>
      <w:pPr>
        <w:spacing w:after="0" w:line="142" w:lineRule="exact"/>
        <w:rPr>
          <w:sz w:val="20"/>
          <w:szCs w:val="20"/>
          <w:color w:val="auto"/>
        </w:rPr>
      </w:pPr>
    </w:p>
    <w:p>
      <w:pPr>
        <w:ind w:left="1080" w:right="1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representations described under “—Purpose and Effect of the Exchange Offer,” “—Procedures for Tendering Outstanding Notes” and “Plan of Distribution;” or</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representations as may be reasonably necessary under applicable SEC rules, regulations or interpretations to make available to the Issuers an appropriate form for registration of the exchange notes under the Securities Act.</w:t>
      </w:r>
    </w:p>
    <w:p>
      <w:pPr>
        <w:spacing w:after="0" w:line="170"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Issuers expressly reserve the right at any time or at various times to extend the period of time during which the exchange offer is open. Consequently, the Issuers may delay acceptance of any outstanding notes by giving written notice of such extension to their holders. The Issuers will return any outstanding notes that the Issuers do not accept for exchange for any reason without expense to their tendering holder promptly after the expiration or termination of the exchange offer.</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Issuers expressly reserve the right to amend or terminate the exchange offer and to reject for exchange any outstanding notes not previously accepted for exchange, upon the occurrence of any of the conditions of the exchange offer specified above. In addition, the Issuers are generally required to extend the offering period for any material change, including the waiver of a material condition, so that at least five business days remain in the exchange offer after the change. The Issuers will give written notice of any extension, amendment, non-acceptance or termination to the holders of the outstanding notes as promptly as practicable. In the case of any extension, such notice will be issued no later than 9:00 a.m. New York City time, on the next business day after the previously scheduled expiration date.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conditions are for sole benefit of the Issuers and the Issuers may assert them regardless of the circumstances that may give rise to them or waive them in whole or in part at any or at various times prior to the expiration date in their sole discretion. If the Issuers fail at any time to exercise any of the foregoing rights, this failure will not constitute a waiver of such right. Each such right will be deemed an ongoing right that the Issuers may assert at any time or at various times prior to the expiration date.</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addition, the Issuers will not accept for exchange any outstanding notes tendered, and will not issue exchange notes in exchange for any such outstanding notes, if at such time any stop order is threatened or in effect with respect to the registration statement of which this prospectus constitutes a part or the qualification of the indenture under the Trust Indenture Act of 1939 (the “TIA”).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Outstanding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tender your outstanding notes in the exchange offer, you must comply with either of the following:</w:t>
      </w:r>
    </w:p>
    <w:p>
      <w:pPr>
        <w:spacing w:after="0" w:line="131" w:lineRule="exact"/>
        <w:rPr>
          <w:sz w:val="20"/>
          <w:szCs w:val="20"/>
          <w:color w:val="auto"/>
        </w:rPr>
      </w:pPr>
    </w:p>
    <w:p>
      <w:pPr>
        <w:ind w:left="1080" w:right="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 have the signature(s) on the letter of transmittal guaranteed if required by the letter of transmittal and mail or deliver such letter of transmittal or facsimile thereof to the exchange agent at the address set forth below under “—Exchange Agent” prior to the expiration date;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with DTC’s Automated Tender Offer Program procedures described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either:</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exchange agent must receive certificates for outstanding notes along with the letter of transmittal prior to the expiration date;</w:t>
      </w:r>
    </w:p>
    <w:p>
      <w:pPr>
        <w:spacing w:after="0" w:line="142"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exchange agent must receive a timely confirmation of book-entry transfer of outstanding notes into the exchange agent’s account at DTC according to the procedures for book-entry transfer described below or a properly transmitted agent’s message prior to the expiration date;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must comply with the guaranteed delivery procedures described below.</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Your tender, if not withdrawn prior to the expiration date, constitutes an agreement between the Issuers and you upon the terms and subject to the conditions described in this prospectus and in the letter of transmittal.</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method of delivery of outstanding notes, letters of transmittal, and all other required documents to the exchange agent is at your election and risk. We recommend that instead of delivery by mail, you use an overnight or hand delivery service, properly insured. In all cases, you should allow sufficient time to assure timely delivery to the exchange agent before the expiration date. You should not send letters of transmittal or certificates representing outstanding notes to us. You may request that your broker, dealer, commercial bank, trust company or nominee effect the above transactions for you.</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are a beneficial owner whose outstanding notes are registered in the name of a broker, dealer, commercial bank, trust company, or other nominee and you wish to tender your notes, you should promptly contact the registered holder and instruct the registered holder to tender on your behalf. If you wish to tender the outstanding notes yourself, you must, prior to completing and executing the letter of transmittal and delivering your outstanding notes, either:</w:t>
      </w:r>
    </w:p>
    <w:p>
      <w:pPr>
        <w:spacing w:after="0" w:line="92"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outstanding notes in your name;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outstanding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of registered ownership may take considerable time and may not be able to be completed prior to the expiration date.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Signatures on the letter of transmittal or a notice of withdrawal, as the case may be, must be guaranteed by a member firm of a registered national securities exchange or of the Financial Industry Regulatory Authority, Inc., a commercial bank or trust company having an office or correspondent in the United States or another “eligible guarantor institution” within the meaning of Rule 17A(d)-15 under the Exchange Act unless the outstanding notes surrendered for exchange are tendered:</w:t>
      </w:r>
    </w:p>
    <w:p>
      <w:pPr>
        <w:spacing w:after="0" w:line="92" w:lineRule="exact"/>
        <w:rPr>
          <w:sz w:val="20"/>
          <w:szCs w:val="20"/>
          <w:color w:val="auto"/>
        </w:rPr>
      </w:pPr>
    </w:p>
    <w:p>
      <w:pPr>
        <w:ind w:left="10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a registered holder of the outstanding notes who has not completed the box entitled “Special Issuance Instructions” or “Special Delivery Instructions” in the letter of transmittal;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account of an eligible guarantor institution.</w:t>
      </w:r>
    </w:p>
    <w:p>
      <w:pPr>
        <w:spacing w:after="0" w:line="22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If the letter of transmittal is signed by a person other than the registered holder of any outstanding notes listed on the outstanding notes, such outstanding notes must be endorsed or accompanied by a properly completed bond power. The bond power must be signed by the registered holder as the registered holder’s name appears on the outstanding notes and an eligible guarantor institution must guarantee the signature on the bond power.</w:t>
      </w:r>
    </w:p>
    <w:p>
      <w:pPr>
        <w:spacing w:after="0" w:line="14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If the letter of transmittal or any certificates representing outstanding notes, or bond powers are signed by trustees, executors, administrators, guardians, attorneys-in-fact, officers of corporations, or others acting in a fiduciary or representative capacity, those persons should also indicate when signing and, unless waived by the Issuers, they should also submit evidence satisfactory to the Issuers of their authority to so act.</w:t>
      </w:r>
    </w:p>
    <w:p>
      <w:pPr>
        <w:spacing w:after="0" w:line="14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exchange agent and DTC have confirmed that any financial institution that is a participant in DTC’s system may use DTC’s Automated Tender Offer Program to tender. Participants in the program may, instead of physically completing and signing the letter of transmittal and delivering it to the exchange agent, electronically transmit their acceptance of the exchange by causing DTC to transfer the outstanding notes to the exchange agent in accordance with DTC’s Automated Tender Offer Program procedures for transfer. DTC will then send an agent’s message to the exchange agent. The term “agent’s message” means a message transmitted by DTC, received by the exchange agent and forming part of the book-entry confirmation, which states that:</w:t>
      </w:r>
    </w:p>
    <w:p>
      <w:pPr>
        <w:spacing w:after="0" w:line="98" w:lineRule="exact"/>
        <w:rPr>
          <w:sz w:val="20"/>
          <w:szCs w:val="20"/>
          <w:color w:val="auto"/>
        </w:rPr>
      </w:pPr>
    </w:p>
    <w:p>
      <w:pPr>
        <w:ind w:left="1080" w:right="3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DTC has received an express acknowledgment from a participant in its Automated Tender Offer Program that is tendering outstanding notes that are the subject of the book-entry confirmation;</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participant has received and agrees to be bound by the terms of the letter of transmittal, or in the case of an agent’s message relating to guaranteed delivery, that such participant has received and agrees to be bound by the notice of guaranteed delivery;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Issuers may enforce that agreement against such participant.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of Exchange Notes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all cases, the Issuers will promptly issue exchange notes for outstanding notes that they have accepted for exchange under the exchange offer only after the exchange agent timely receives:</w:t>
      </w:r>
    </w:p>
    <w:p>
      <w:pPr>
        <w:spacing w:after="0" w:line="76" w:lineRule="exact"/>
        <w:rPr>
          <w:sz w:val="20"/>
          <w:szCs w:val="20"/>
          <w:color w:val="auto"/>
        </w:rPr>
      </w:pPr>
    </w:p>
    <w:p>
      <w:pPr>
        <w:ind w:left="1080" w:right="5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outstanding notes or a timely book-entry confirmation of such outstanding notes into the exchange agent’s account at the book-entry transfer facility;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and all other required documents or a properly transmitted agent’s message.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tendering outstanding notes pursuant to the exchange offer, you will represent to the Issuers that, among other things:</w:t>
      </w:r>
    </w:p>
    <w:p>
      <w:pPr>
        <w:spacing w:after="0" w:line="131" w:lineRule="exact"/>
        <w:rPr>
          <w:sz w:val="20"/>
          <w:szCs w:val="20"/>
          <w:color w:val="auto"/>
        </w:rPr>
      </w:pPr>
    </w:p>
    <w:p>
      <w:pPr>
        <w:ind w:left="5540" w:right="2000" w:hanging="4884"/>
        <w:spacing w:after="0" w:line="449" w:lineRule="auto"/>
        <w:tabs>
          <w:tab w:leader="none" w:pos="10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are not an affiliate of the Issuers or the guarantors within the meaning of Rule 405 under the Securities Act; 49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you do not have an arrangement or understanding with any person or entity to participate in a distribution of the exchange notes;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each broker-dealer that is to receive exchange notes for its own account in exchange for outstanding notes must represent that such outstanding notes were acquired by that broker-dealer as a result of market-making activities or other trading activities and must acknowledge that it will deliver a prospectus that meets the requirements of the Securities Act in connection with any resale of the exchange notes. The letter of transmittal states that by so acknowledging and by delivering a prospectus, a broker-dealer will not be deemed to admit that it is an “underwriter” within the meaning of the Securities Act. See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Issuers will interpret the terms and conditions of the exchange offer, including the letters of transmittal and the instructions to the letters of transmittal, and will resolve all questions as to the validity, form, eligibility, including time of receipt, and acceptance of outstanding notes tendered for exchange. Determinations of the Issuers in this regard will be final and binding on all parties. The Issuers reserve the absolute right to reject any and all tenders of any particular outstanding notes not properly tendered or to not accept any particular outstanding notes if the acceptance might, in their or their counsel’s judgment, be unlawful. The Issuers also reserve the absolute right to waive any defects or irregularities as to any particular outstanding notes prior to the expiration date.</w:t>
      </w:r>
    </w:p>
    <w:p>
      <w:pPr>
        <w:spacing w:after="0" w:line="19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Unless waived, any defects or irregularities in connection with tenders of outstanding notes for exchange must be cured within such reasonable period of time as the Issuer determines. Neither the Issuers, the trustee, the exchange agent, nor any other person will be under any duty to give notification of any defect or irregularity with respect to any tender of outstanding notes for exchange, nor will any of them incur any liability for any failure to give notification. Any outstanding notes received by the exchange agent that are not properly tendered and as to which the irregularities have not been cured or waived will be returned by the exchange agent to the tendering holder, unless otherwise provided in the letter of transmittal, promptly after the expiration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Procedures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Promptly after the date of this prospectus, we anticipate that the exchange agent will establish an account with respect to the outstanding notes at DTC, as book-entry transfer facilities, for purposes of the exchange offer. Any financial institution that is a participant in the book-entry transfer facility’s system may make book-entry delivery of the outstanding notes by causing the book-entry transfer facility to transfer those outstanding notes into the exchange agent’s account at the facility in accordance with the facility’s procedures for such transfer. To be timely, book-entry delivery of outstanding notes requires receipt of a confirmation of a book-entry transfer, a “book-entry confirmation,” prior to the expiration date. In addition, although delivery of outstanding notes may be effected through book-entry transfer into the exchange agent’s account at the book-entry transfer facility, the letter of transmittal or a manually signed facsimile thereof, together with any required signature guarantees and any other required documents, or an agent’s message, in connection with a book-entry transfer, must, in any case, be delivered or transmitted to and received by the exchange agent at its address set forth on the cover page of the letter of transmittal prior to the expiration date to receive exchange notes for tendered outstanding notes, or the guaranteed delivery procedure described below must be complied with. Tender will not be deemed made until such documents are received by the exchange agent. Delivery of documents to the book-entry transfer facility does not constitute delivery to the exchange agent.</w:t>
      </w:r>
    </w:p>
    <w:p>
      <w:pPr>
        <w:spacing w:after="0" w:line="172"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Holders of outstanding notes who are unable to deliver confirmation of the book-entry tender of their outstanding notes into the exchange agent’s account at the book-entry transfer facility or all other documents required by the letter of transmittal to the exchange agent on or prior to the expiration date must tender their outstanding notes according to the guaranteed delivery procedures described below.</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Guaranteed Delivery Procedures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wish to tender your outstanding notes but your outstanding notes are not immediately available or you cannot deliver your outstanding notes, the letter of transmittal or any other required documents to the exchange agent or comply with the applicable procedures under DTC’s Automated Tender Offer Program, prior to the expiration date, you may still tender if:</w:t>
      </w:r>
    </w:p>
    <w:p>
      <w:pPr>
        <w:spacing w:after="0" w:line="8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tender is made through an eligible guarantor institution;</w:t>
      </w:r>
    </w:p>
    <w:p>
      <w:pPr>
        <w:spacing w:after="0" w:line="130" w:lineRule="exact"/>
        <w:rPr>
          <w:rFonts w:ascii="Arial" w:cs="Arial" w:eastAsia="Arial" w:hAnsi="Arial"/>
          <w:sz w:val="18"/>
          <w:szCs w:val="18"/>
          <w:color w:val="auto"/>
        </w:rPr>
      </w:pPr>
    </w:p>
    <w:p>
      <w:pPr>
        <w:ind w:left="1080" w:right="80" w:hanging="424"/>
        <w:spacing w:after="0" w:line="25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the expiration date, the exchange agent receives from such eligible guarantor institution either a properly completed and duly executed notice of guaranteed delivery, by facsimile transmission, mail, or hand delivery or a properly transmitted agent’s message and notice of guaranteed delivery, that (1) sets forth your name and address, the certificate number(s) of such outstanding notes and the principal amount of outstanding notes tendered; (2) states that the tender is being made thereby; and (3) guarantees that, within two NYSE trading days after the expiration date, the letter of transmittal, or facsimile thereof, together with the outstanding notes or a book-entry confirmation, and any other documents required by the letter of transmittal, will be deposited by the eligible guarantor institution with the exchange agent; and</w:t>
      </w:r>
    </w:p>
    <w:p>
      <w:pPr>
        <w:spacing w:after="0" w:line="10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exchange agent receives the properly completed and executed letter of transmittal or facsimile thereof, as well as certificate(s) representing all tendered outstanding notes in proper form for transfer or a book-entry confirmation of transfer of the outstanding notes into the exchange agent’s account at DTC, and all other documents required by the letter of transmittal within two NYSE trading days after the expiration date.</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Upon request, the exchange agent will send to you a notice of guaranteed delivery if you wish to tender your outstanding notes according to the guaranteed delivery procedures.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as otherwise provided in this prospectus, you may withdraw your tender of outstanding notes at any time prior to 5:00 p.m., New York City time, on the expiration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withdrawal to be effective:</w:t>
      </w:r>
    </w:p>
    <w:p>
      <w:pPr>
        <w:spacing w:after="0" w:line="131" w:lineRule="exact"/>
        <w:rPr>
          <w:sz w:val="20"/>
          <w:szCs w:val="20"/>
          <w:color w:val="auto"/>
        </w:rPr>
      </w:pPr>
    </w:p>
    <w:p>
      <w:pPr>
        <w:ind w:left="1080" w:right="6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exchange agent must receive a written notice, which may be by telegram, telex, facsimile or letter, of withdrawal at its address set forth below under “—Exchange Agent;”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must comply with the appropriate procedures of DTC’s Automated Tender Offer Program system.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notice of withdrawal must:</w:t>
      </w:r>
    </w:p>
    <w:p>
      <w:pPr>
        <w:spacing w:after="0" w:line="131"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specify the name of the person who tendered the outstanding notes to be withdrawn;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identify the outstanding notes to be withdrawn, including the certificate numbers and principal amount of the outstanding notes; and</w:t>
      </w:r>
    </w:p>
    <w:p>
      <w:pPr>
        <w:spacing w:after="0" w:line="142"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where certificates for outstanding notes have been transmitted, specify the name in which such outstanding notes were registered, if different from that of the withdrawing holder.</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certificates for outstanding notes have been delivered or otherwise identified to the exchange agent, then, prior to the release of such certificates, you must also submit:</w:t>
      </w:r>
    </w:p>
    <w:p>
      <w:pPr>
        <w:spacing w:after="0" w:line="76"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serial numbers of the particular certificates to be withdrawn; and</w:t>
      </w:r>
    </w:p>
    <w:p>
      <w:pPr>
        <w:spacing w:after="0" w:line="130" w:lineRule="exact"/>
        <w:rPr>
          <w:rFonts w:ascii="Arial" w:cs="Arial" w:eastAsia="Arial" w:hAnsi="Arial"/>
          <w:sz w:val="18"/>
          <w:szCs w:val="18"/>
          <w:color w:val="auto"/>
        </w:rPr>
      </w:pPr>
    </w:p>
    <w:p>
      <w:pPr>
        <w:jc w:val="center"/>
        <w:ind w:left="5540" w:right="720" w:hanging="4884"/>
        <w:spacing w:after="0" w:line="449" w:lineRule="auto"/>
        <w:tabs>
          <w:tab w:leader="none" w:pos="10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signed notice of withdrawal with signatures guaranteed by an eligible institution unless you are an eligible guarantor institution. 51</w:t>
      </w:r>
    </w:p>
    <w:p>
      <w:pPr>
        <w:sectPr>
          <w:pgSz w:w="11900" w:h="16838" w:orient="portrait"/>
          <w:cols w:equalWidth="0" w:num="1">
            <w:col w:w="11140"/>
          </w:cols>
          <w:pgMar w:left="320" w:top="45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outstanding notes have been tendered pursuant to the procedures for book-entry transfer described above, any notice of withdrawal must specify the name and number of the account at the book-entry transfer facility to be credited with the withdrawn outstanding notes and otherwise comply with the procedures of the facility. The Issuers will determine all questions as to the validity, form, and eligibility, including time of receipt of notices of withdrawal and their determination will be final and binding on all parties. Any outstanding notes so withdrawn will be deemed not to have been validly tendered for exchange for purposes of the exchange offer. Any outstanding notes that have been tendered for exchange but that are not exchanged for any reason will be returned to their holder, without cost to the holder, or, in the case of book-entry transfer, the outstanding notes will be credited to an account at the book-entry transfer facility, promptly after withdrawal, rejection of tender or termination of the exchange offer. Properly withdrawn outstanding notes may be retendered by following the procedures described under “—Procedures for Tendering Outstanding Notes” above at any time on or prior to the expiration date.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Bank of New York Mellon Trust Company, N.A. has been appointed as the exchange agent for the exchange offer. New York Mellon Trust Company, N.A. also acts as trustee under the indenture governing the notes. You should direct all executed letters of transmittal and all questions and requests for assistance, requests for additional copies of this prospectus or of the letters of transmittal, and requests for notices of guaranteed delivery to the exchange agent addressed as follows: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Bank of New York Mellon Trust Company, N.A., as Exchange Agent</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 BNY Mellon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Corporate Trust Operations- Reorganization Unit</w:t>
      </w:r>
    </w:p>
    <w:p>
      <w:pPr>
        <w:jc w:val="center"/>
        <w:ind w:right="-139"/>
        <w:spacing w:after="0" w:line="181" w:lineRule="auto"/>
        <w:rPr>
          <w:sz w:val="20"/>
          <w:szCs w:val="20"/>
          <w:color w:val="auto"/>
        </w:rPr>
      </w:pPr>
      <w:r>
        <w:rPr>
          <w:rFonts w:ascii="Arial" w:cs="Arial" w:eastAsia="Arial" w:hAnsi="Arial"/>
          <w:sz w:val="18"/>
          <w:szCs w:val="18"/>
          <w:color w:val="auto"/>
        </w:rPr>
        <w:t>2001 Bryan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TX 75201</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Attn: Tiffany Castor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 315-414-3034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Fax: 732-667-9408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Email: CT_Reorg_Unit_Inquiries@bnymellon.com</w:t>
      </w:r>
    </w:p>
    <w:p>
      <w:pPr>
        <w:spacing w:after="0" w:line="21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you deliver the letter of transmittal to an address other than the one set forth above or transmit instructions via facsimile other than the one set forth above, that delivery or those instructions will not be effective.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registration rights agreement provides that we will bear all expenses in connection with the performance of our obligations relating to the registration of the exchange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w:t>
      </w:r>
    </w:p>
    <w:p>
      <w:pPr>
        <w:spacing w:after="0" w:line="16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We have not retained any dealer-manager in connection with the exchange offer and will not pay any fee or commission to any broker, dealer, nominee or other person, other than the exchange agent, for soliciting tenders of outstanding unregistered notes pursuant to the exchange offer.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will record the exchange notes in our accounting records at the same carrying value as the outstanding notes, which is the aggregate principal amount as reflected in our accounting records on the date of exchanges,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terms of the exchange notes are substantially identical to the terms of the outstanding notes. Accordingly, we will not recognize any gain or loss for accounting purposes upon the consummation of these exchange offer. We have capitalized expenses relating to the offering of the outstanding notes; however, we will recognize expenses relating to the exchange offer in accordance with accounting guidance.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Issuers and the guarantors will pay all transfer taxes, if any, applicable to the exchanges of outstanding notes under the exchange offer. The tendering holder, however, will be required to pay any transfer taxes, whether imposed on the registered holder or any other person, if:</w:t>
      </w:r>
    </w:p>
    <w:p>
      <w:pPr>
        <w:spacing w:after="0" w:line="29" w:lineRule="exact"/>
        <w:rPr>
          <w:sz w:val="20"/>
          <w:szCs w:val="20"/>
          <w:color w:val="auto"/>
        </w:rPr>
      </w:pPr>
    </w:p>
    <w:p>
      <w:pPr>
        <w:ind w:left="1080" w:right="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certificates representing outstanding notes for principal amounts not tendered or accepted for exchange are to be delivered to, or are to be issued in the name of, any person other than the registered holder of outstanding notes tendered;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tendered outstanding notes are registered in the name of any person other than the person signing the letter of transmittal;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outstanding notes under the exchange offer.</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satisfactory evidence of payment of such taxes is not submitted with the letter of transmittal, the amount of such transfer taxes will be billed to that tendering holder.</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who tender their outstanding notes for exchange will not be required to pay any transfer taxes. However, holders who instruct the Issuers to register exchange notes in the name of, or request that outstanding notes not tendered or not accepted in the exchange offer be returned to, a person other than the registered tendering holder will be required to pay any applicable transfer tax.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you do not exchange your outstanding notes for exchange notes under the exchange offer, your outstanding notes will remain subject to the restrictions on transfer of such outstanding notes:</w:t>
      </w:r>
    </w:p>
    <w:p>
      <w:pPr>
        <w:spacing w:after="0" w:line="76" w:lineRule="exact"/>
        <w:rPr>
          <w:sz w:val="20"/>
          <w:szCs w:val="20"/>
          <w:color w:val="auto"/>
        </w:rPr>
      </w:pPr>
    </w:p>
    <w:p>
      <w:pPr>
        <w:ind w:left="1080" w:right="8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set forth in the legend printed on the outstanding notes as a consequence of the issuances of the outstanding notes pursuant to the exemptions from, or in transactions not subject to, the registration requirements of the Securities Act and applicable state securities laws;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otherwise set forth in the offering memorandum distributed in connection with the private offering of the outstanding notes.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general, you may not offer or sell your outstanding notes unless they are registered under the Securities Act or if the offer or sale is exempt from registration under the Securities Act and applicable state securities laws. Except as required by the registration rights agreement, we do not intend to register resales of the outstanding notes under the Securities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Participating in the exchange offer is voluntary, and you should carefully consider whether to accept. You are urged to consult your financial and tax advisors in making your own decision on what action to take.</w:t>
      </w:r>
    </w:p>
    <w:p>
      <w:pPr>
        <w:spacing w:after="0" w:line="170"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We may in the future seek to acquire untendered outstanding notes in open market or privately negotiated transactions, through subsequent exchange offer or otherwise. We have no present plans to acquire any outstanding notes that are not tendered in the exchange offer or to file a registration statement to permit resales of any untendered outstanding notes.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320" w:top="459" w:right="5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exchange of outstanding notes for exchange notes in the exchange offer will not constitute a taxable event to holders for U.S. federal income tax purposes. Consequently, you will not recognize gain or loss upon receipt of an exchange note, the holding period of the exchange note will include the holding period of the outstanding note exchanged therefor and the basis of the exchange note will be the same as the basis of the outstanding note immediately before the exchange.</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auto"/>
        </w:rPr>
        <w:t>In any event, persons considering the exchange of outstanding notes for exchange notes should consult their own tax advisors concerning the U.S. federal income tax consequences in light of their particular situations as well as any consequences arising under the laws of any other taxing jurisdiction.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320" w:top="459" w:right="5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is a summary of certain considerations associated with the acquisition and holding of the notes (and the exchange of outstanding notes for exchange notes) by (i) employee benefit plans that are subject to Title I of the Employee Retirement Income Security Act of 1974, as amended (“ERISA”), (ii) plans, individual retirement accounts (“IRAs”) and other arrangements that are subject to Section 4975 of the Code or provisions under any other U.S. or non-U.S. federal, state, local or other laws or regulations that are similar to such provisions of ERISA or the Code (collectively, “Similar Laws”), and (iii) entities whose underlying assets are considered to include “plan assets” of any such plan, account or arrangement (each of the foregoing described in clauses (i), (ii) and (iii) referred to herein as a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When considering an investment in the notes (including an exchange of outstanding notes for exchange notes) with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Plan fiduciaries should consider the fact that none of the Issuers or a guarantor or certain of their affiliates (the “Transaction Parties”) is acting, or will act, as a fiduciary to any Plan with respect to the decision to initially acquire the notes, including the exchange of outstanding notes for exchange notes in connection with the exchange offer. The Transaction Parties are not undertaking to provide impartial investment advice or advice based on any particular investment need, or to give advice in a fiduciary capacity, with respect to a decision to acquire the notes.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Section 406 of ERISA and Section 4975 of the Code prohibit Covered Plans from engaging in specified transactions involving plan assets with persons or entities who are “parties in interest,” within the meaning of Section 406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and may result in the disqualification of an IRA. In addition, the fiduciary of the Covered Plan that engages in such a non-exempt prohibited transaction may be subject to penalties and liabilities under ERISA and/or the Code.</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acquisition and/or holding of notes (including an exchange of outstanding notes for exchange notes) by a Covered Plan with respect to which a Transaction Party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“PTCEs,” that may apply to the acquisition and holding of the notes (including an exchange of outstanding notes for exchange notes). These class exemptions include, without limitation, PTCE 84-14 respecting transactions determined by independent qualified professional asset managers,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PTCE 90-1 respecting insurance company pooled separate accounts, PTCE 91-38 respecting bank collective investment funds, PTCE 95-60 respecting life insurance company general accounts and PTCE 96-23 respecting transactions determined by in-house asset managers. Included among the statutory exemptions are Section 408(b)(17) of ERISA and Section 4975(d)(20) of the Code, which exempt certain transactions (including, without limitation, a sale or purchase of securities) between a Covered Plan and a party in interest so long as (i) such party in interest is treated as such solely by reason of providing services to the Covered Plan, (ii) such party in interest is not a fiduciary that renders investment advice or has or exercises any discretionary authority or control or renders any investment advice with respect to the assets of any Covered Plan involved in the transaction, or an affiliate of any such person and (iii) the Covered Plan pays no more or receives no less than adequate consideration in connection with the transaction. These exemptions do not, however, provide relief from the fiduciary self-dealing prohibitions under ERISA and the Code. Each of the above-noted exemptions contains conditions and limitations on its application. Fiduciaries of Covered Plans considering acquiring and/or holding the notes (including by an exchange of outstanding notes for exchange notes) in reliance on these or any other exemption should carefully review the exemption to assure it is applicable. There can be no assurance that all of the conditions of any such exemptions will be satisfied.</w:t>
      </w:r>
    </w:p>
    <w:p>
      <w:pPr>
        <w:spacing w:after="0" w:line="17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Government plans, foreign plans and certain church plans, while not subject to the prohibited transaction provisions of Section 406 of ERISA or Section 4975 of the Code, may nevertheless be subject to Similar Laws. Fiduciaries of such Plans should consult with their counsel before acquiring the notes (including exchanging the outstanding notes for exchange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Accordingly, by acceptance of a note (including in connection with an exchange of outstanding notes for exchange notes), each purchaser and holder of a note will be deemed to have represented and warranted that either (i) no portion of the assets used by such purchaser or holder to acquire or hold the notes or any interest therein are assets of any Plan or (ii) the acquisition and holding of the notes (including an exchange of outstanding notes for exchange notes) or any interest therein by such purchaser or holder will not constitute a non-exempt prohibited transaction under Section 406 of ERISA or Section 4975 of the Code or similar violation under any applicable Similar Laws.</w:t>
      </w:r>
    </w:p>
    <w:p>
      <w:pPr>
        <w:spacing w:after="0" w:line="1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acquiring or holding the notes (including exchanging outstanding notes for exchange notes) on behalf of, or with the assets of, any Plan, consult with their counsel regarding the potential applicability of ERISA, Section 4975 of the Code and any Similar Laws to such investment and whether an exemption would be required. Neither this discussion nor anything provided in this registration statement is, or is intended to be, investment advice directed at any potential Plan purchasers, or at Plan purchasers generally, and such purchasers of the notes should consult and rely on their own counsel and advisers as to whether an investment in the notes is suitable for the Plan.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broker-dealer that receives exchange notes for its own account pursuant to an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outstanding notes where such outstanding notes were acquired as a result of market-making activities or other trading activities. To the extent any such broker-dealer participates in either exchange offer, we have agreed that for a period of up to 90 days, we will make this prospectus, as amended or supplemented, available to such broker-dealer for use in connection with any such resale, and will deliver as many additional copies of this prospectus and each amendment or supplement to this prospectus as such broker-dealer may reasonably request. In addition, all dealers effecting transactions in the exchange notes may be required to deliver a prospectus.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will not receive any proceeds from any sale of exchange notes by broker-dealers. Exchange notes received by broker-dealers for their own accounts pursuant to an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an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6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have agreed to pay all expenses incident to the exchange offer (including the expenses of one counsel for the holders of the outstanding notes) and will indemnify you (including any broker-dealers) against certain liabilities, including liabilities under the Securities Act.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9" w:right="5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and enforceability of the exchange notes will be passed upon for us by Simpson Thacher &amp; Bartlett LLP, New York, New York.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with respect to the Massachusetts registrant will be passed upon for us by Holland &amp; Knight LLP.</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60"/>
          </w:cols>
          <w:pgMar w:left="320" w:top="459" w:right="9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February 3, 2023 have been so incorporated in reliance on the report of PricewaterhouseCoopers LLP, an independent registered public accounting firm, given on the authority of said firm as experts in auditing and accounting.</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filings with the SEC, including the filings that are incorporated by reference to this prospectus, are available to the public on the SEC’s website at www.sec.gov. Investors also may consult our website for more information. Our website is www.delltechnologies.com and the Investors page of our website is http://investors.delltechnologies.com. The information contained in, or that may be accessed through, our website is not incorporated by reference into this prospectus.</w:t>
      </w:r>
    </w:p>
    <w:p>
      <w:pPr>
        <w:spacing w:after="0" w:line="15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This prospectus also contains summaries of certain provisions contained in some of the documents described in this prospectus, but reference is made to the actual documents for complete information. All of these summaries are qualified in their entirety by reference to the actual documents.</w:t>
      </w:r>
    </w:p>
    <w:p>
      <w:pPr>
        <w:spacing w:after="0" w:line="1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will provide any of the documents incorporated by reference into this prospectus, excluding any exhibit to those documents unless the exhibit is specifically incorporated by reference into those documents, at no cost, by written or oral request directed to:</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Telephone: (512) 728-7800</w:t>
      </w:r>
    </w:p>
    <w:p>
      <w:pPr>
        <w:spacing w:after="0" w:line="21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“incorporate by reference” into this prospectus certain documents or information we file with the SEC, which means that we can disclose important information to you by referring you to those documents or information. The following documents and information are incorporated by reference and are deemed to be part of this prospectus (other than documents or information deemed to have been furnished and not filed in accordance with SEC rules):</w:t>
      </w:r>
    </w:p>
    <w:p>
      <w:pPr>
        <w:spacing w:after="0" w:line="92"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Dell Technologies’ Annual Report on </w:t>
      </w:r>
      <w:hyperlink r:id="rId10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February 3,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Dell Technologies’ Quarterly Report on </w:t>
      </w:r>
      <w:hyperlink r:id="rId10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May 5, 2023;</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Dell Technologies’ Definitive Proxy Statement on </w:t>
      </w:r>
      <w:hyperlink r:id="rId10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May 10, 2023 (solely with respect to information contained in such proxy statement that is incorporated by reference into Part III of Dell Technologies’ Annual Report on </w:t>
      </w:r>
      <w:hyperlink r:id="rId10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February 3, 2023);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0000EE"/>
        </w:rPr>
      </w:pPr>
      <w:r>
        <w:rPr>
          <w:rFonts w:ascii="Arial" w:cs="Arial" w:eastAsia="Arial" w:hAnsi="Arial"/>
          <w:sz w:val="18"/>
          <w:szCs w:val="18"/>
          <w:color w:val="auto"/>
        </w:rPr>
        <w:t xml:space="preserve">Dell Technologies’ Current Reports on Form 8-K (or Form 8-K/A) filed with the SEC on </w:t>
      </w:r>
      <w:hyperlink r:id="rId103">
        <w:r>
          <w:rPr>
            <w:rFonts w:ascii="Arial" w:cs="Arial" w:eastAsia="Arial" w:hAnsi="Arial"/>
            <w:sz w:val="18"/>
            <w:szCs w:val="18"/>
            <w:u w:val="single" w:color="auto"/>
            <w:color w:val="0000EE"/>
          </w:rPr>
          <w:t>March 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with respect to Item 5.02), </w:t>
      </w:r>
      <w:hyperlink r:id="rId104">
        <w:r>
          <w:rPr>
            <w:rFonts w:ascii="Arial" w:cs="Arial" w:eastAsia="Arial" w:hAnsi="Arial"/>
            <w:sz w:val="18"/>
            <w:szCs w:val="18"/>
            <w:u w:val="single" w:color="auto"/>
            <w:color w:val="0000EE"/>
          </w:rPr>
          <w:t>June 15,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5">
        <w:r>
          <w:rPr>
            <w:rFonts w:ascii="Arial" w:cs="Arial" w:eastAsia="Arial" w:hAnsi="Arial"/>
            <w:sz w:val="18"/>
            <w:szCs w:val="18"/>
            <w:u w:val="single" w:color="auto"/>
            <w:color w:val="0000EE"/>
          </w:rPr>
          <w:t>June 22,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6">
        <w:r>
          <w:rPr>
            <w:rFonts w:ascii="Arial" w:cs="Arial" w:eastAsia="Arial" w:hAnsi="Arial"/>
            <w:sz w:val="18"/>
            <w:szCs w:val="18"/>
            <w:u w:val="single" w:color="auto"/>
            <w:color w:val="0000EE"/>
          </w:rPr>
          <w:t>June 30,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7">
        <w:r>
          <w:rPr>
            <w:rFonts w:ascii="Arial" w:cs="Arial" w:eastAsia="Arial" w:hAnsi="Arial"/>
            <w:sz w:val="18"/>
            <w:szCs w:val="18"/>
            <w:u w:val="single" w:color="auto"/>
            <w:color w:val="0000EE"/>
          </w:rPr>
          <w:t>July 13,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8">
        <w:r>
          <w:rPr>
            <w:rFonts w:ascii="Arial" w:cs="Arial" w:eastAsia="Arial" w:hAnsi="Arial"/>
            <w:sz w:val="18"/>
            <w:szCs w:val="18"/>
            <w:u w:val="single" w:color="auto"/>
            <w:color w:val="0000EE"/>
          </w:rPr>
          <w:t xml:space="preserve">July 28,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09">
        <w:r>
          <w:rPr>
            <w:rFonts w:ascii="Arial" w:cs="Arial" w:eastAsia="Arial" w:hAnsi="Arial"/>
            <w:sz w:val="18"/>
            <w:szCs w:val="18"/>
            <w:u w:val="single" w:color="auto"/>
            <w:color w:val="0000EE"/>
          </w:rPr>
          <w:t>August 9, 2023</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120" w:right="60" w:firstLine="440"/>
        <w:spacing w:after="0" w:line="273" w:lineRule="auto"/>
        <w:rPr>
          <w:sz w:val="20"/>
          <w:szCs w:val="20"/>
          <w:color w:val="auto"/>
        </w:rPr>
      </w:pPr>
      <w:r>
        <w:rPr>
          <w:rFonts w:ascii="Arial" w:cs="Arial" w:eastAsia="Arial" w:hAnsi="Arial"/>
          <w:sz w:val="17"/>
          <w:szCs w:val="17"/>
          <w:color w:val="auto"/>
        </w:rPr>
        <w:t>All documents filed by Dell Technologies pursuant to Section 13(a), 13(c), 14 or 15(d) of the Exchange Act subsequent to the date of this prospectus and prior to the termination of the offering made by this prospectus are to be incorporated herein by reference. Any statement contained in a document incorporated or deemed to be incorporated by reference in this prospectus shall be deemed to be modified or superseded for purposes of this prospectus to the extent that a statement contained in this prospectus or in any other subsequently filed document which is incorporated or deemed to be incorporated by reference in this prospectus modifies or supersedes such statement. Any such statement so modified or superseded shall not be deemed, except as so modified or superseded, to constitute a part of this prospectus.</w:t>
      </w:r>
    </w:p>
    <w:p>
      <w:pPr>
        <w:spacing w:after="0" w:line="11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8646795</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8707120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4274820</wp:posOffset>
            </wp:positionV>
            <wp:extent cx="3206115"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3206115" cy="41148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20. Indemnification of Directors and Officers.</w:t>
      </w:r>
    </w:p>
    <w:p>
      <w:pPr>
        <w:spacing w:after="0" w:line="117" w:lineRule="exact"/>
        <w:rPr>
          <w:sz w:val="20"/>
          <w:szCs w:val="20"/>
          <w:color w:val="auto"/>
        </w:rPr>
      </w:pPr>
    </w:p>
    <w:p>
      <w:pPr>
        <w:ind w:left="120" w:right="80" w:firstLine="436"/>
        <w:spacing w:after="0" w:line="277" w:lineRule="auto"/>
        <w:tabs>
          <w:tab w:leader="none" w:pos="8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entities are incorporated under the laws of the State of Delaware: Dell Inc., Dell Technologies Inc. and Denali Intermediate Inc. (collectively, the “Delaware Corporations”).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Delaware General Corporation Law</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Section 145(a)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Section 145(b) of the Delaware General Corporation Law provides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Section 145(c) of the Delaware General Corporation Law provides that to the extent that a present or former director, officer, employee or agent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87"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Section 145(d) of the Delaware General Corporation Law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such person has met the applicable standard of conduct set forth in Section 145(a) and (b). Such determination shall be made, with respect to a person who is a director or officer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the corporation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4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Section 145(e) of the Delaware General Corporation Law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board of directors deems appropriate.</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Section 145(f) of the Delaware General Corporation Law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Organizational Documents of the Delaware Corporations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certificate of incorporation of Dell Technologies Inc. provides that each person who was or is made a party or is threatened to be made a party to or is involved in any action, suit or proceeding, whether civil,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criminal, administrative or investigative (as used in this paragraph, a “proceeding”), by reason of the fact that he or she, or a person of whom he or she is the legal representative, is or was or has agreed to become a director or officer of the corporation or is or was serving or has agreed to serve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provided, that the corporation shall indemnify any such person seeking indemnification in connection with a proceeding (or part thereof) initiated by such person only if such proceeding (or part thereof) was authorized by the board of directors. The right to indemnification conferred shall be a contract right and shall include the right to be paid by the corporation the expenses incurred in defending any such proceeding in advance of its final disposition; provided, that, if the Delaware General Corporation Law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w:t>
      </w:r>
    </w:p>
    <w:p>
      <w:pPr>
        <w:spacing w:after="0" w:line="3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bylaws of Dell Inc. and Denali Intermediate Inc. provide that each person who was or is a party or is threatened to be made a party to or is involved in any threatened, pending or completed action, suit or proceeding, whether civil, criminal, administrative or investigative and whether by or in the right of the corporation or otherwise (as used in this paragraph, a “proceeding”), by reason of the fact that he or she, or a person of whom he or she is the legal representative, is or was a director or officer of the corporation or is or was serving at the request of the corporation as a director, officer, employee, partner (limited or general), limited liability company member or manager, or agent of another corporation or of a partnership, joint venture, limited liability company, trust or other enterprise, including service with respect to an employee benefit plan, shall be (and shall be deemed to have a contractual right to be) indemnified and held harmless by the corporation (and any successor to the corporation by merger or otherwise) to the fullest extent authorized by, and subject to the conditions and (except as provided therein) procedures set forth in the Delaware General Corporation Law, as the same exists or may hereafter be amended (but any such amendment shall not be deemed to limit or prohibit the rights of indemnification hereunder for past acts or omissions of any such person insofar as such amendment limits or prohibits the indemnification rights that said law permitted the corporation to provide prior to such amendment), against all expenses, liabilities and losses (including attorneys’ fees, judgments, fines, ERISA taxes or penalties and amounts paid or to be paid in settlement) reasonably incurred or suffered by such person in connection therewith; provided, however, that the corporation shall indemnify any such person seeking indemnification in connection with a proceeding (or part thereof) initiated by such person (except for certain suits or actions) only if such proceeding (or part thereof) was authorized by the board of directors of the corporation. Persons who are not directors or officers of the corporation and are not so serving at the request of the corporation may be similarly indemnified in respect of such service to the extent authorized at any time by the board of directors of the corporation. The indemnification also shall include the right to be paid by the corporation (and such successor) the expenses (including attorneys’ fees) incurred in the defense of or other involvement in any such proceeding in advance of its final disposition; provided, however, that, if and to the extent the Delaware General Corporation Law requires, the payment of such expenses (including attorneys’ fees) incurred by a director or officer in advance of the final disposition of a proceeding shall be made only upon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delivery to the corporation of an undertaking by or on behalf of such director or officer to repay all amounts so paid in advance if it shall ultimately be determined that such director or officer is not entitled to be indemnified under the bylaws or otherwise; and provided further, that, such expenses incurred by other employees and agents may be so paid in advance upon such terms and conditions, if any, as the board of directors deems appropriate.</w:t>
      </w:r>
    </w:p>
    <w:p>
      <w:pPr>
        <w:spacing w:after="0" w:line="14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bylaws of Dell Technologies provide that each person who was or is a party, is threatened to be made a party to, or is otherwise involved in, as a witness or otherwise, any threatened, pending or completed action, suit or proceeding (brought in the right of the corporation or otherwise), whether civil, criminal, administrative or investigative and whether formal or informal, including any and all appeals (as used in this paragraph, a “proceeding”), by reason of the fact that he or she is or was or has agreed to become a director or an officer of the corporation, or while serving as a director or officer of the corporation, is or was serving or has agreed to serve at the request of the corporation as a director, officer, employee or agent (which, for purposes hereof, shall include a trustee, fiduciary, partner or manager or similar capacity) of another corporation, limited liability company, partnership, joint venture, trust, employee benefit plan or other enterprise (as used in this paragraph, a “Person”), or by reason of any action alleged to have been taken or omitted by such person in any such capacity or in any other capacity while serving or having agreed to serve as a director, officer, employee or agent (as used in this paragraph, an “indemnitee”), shall be indemnified and held harmless by the corporation to the fullest extent permitted by the Delaware General Corporation Law, as the same exists or may hereafter be amended (but, in the case of any such amendment, only to the extent that such amendment permits the corporation to provide broader indemnification rights than the Delaware General Corporation Law permitted the corporation to provide prior to such amendment), from and against all loss and liability suffered and expenses (including, without limitation, attorneys’ fees, costs and expenses), judgments, fines ERISA excise taxes or penalties and amounts paid or to be paid in settlement actually and reasonably incurred by or on behalf of an indemnitee in connection with such action, suit or proceeding, including any appeals or suffered by such indemnitee in connection therewith and such indemnification shall continue as to an indemnitee who has ceased to serve in the capacity which initially entitled such indemnitee to indemnity hereunder and shall inure to the benefit of his or her heirs, executors and administrators; provided, that, except as provided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 provided, further, that the corporation shall not be obligated (a) to indemnify an indemnitee for any amounts paid in settlement of an action, suit or proceeding unless the corporation consents to such settlement, which consent shall not be unreasonably withheld, delayed or conditioned, or (b) to indemnify an indemnitee for any disgorgement of profits made from the purchase or sale by indemnitee of securities of the corporation under Section 16(b) of the Exchange Act. In addition, subject to certain exceptions, the corporation shall not be liable under to make any payment of amounts otherwise indemnifiable hereunder (including, without limitation, judgments, fines and amounts paid in settlement) if and to the extent that the indemnitee has otherwise actually received such payment pursuant to this indemnity right or any insurance policy, contract, agreement or otherwise.</w:t>
      </w:r>
    </w:p>
    <w:p>
      <w:pPr>
        <w:spacing w:after="0" w:line="39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Dell Technologies also maintains standard policies of insurance that provide coverage (i) to its directors and officers against losses arising from claims made by reason of breach of duty or other wrongful act and (ii) to Dell Technologies with respect to indemnification payments that Dell Technologies may make to such directors and officers.</w:t>
      </w:r>
    </w:p>
    <w:p>
      <w:pPr>
        <w:spacing w:after="0" w:line="184" w:lineRule="exact"/>
        <w:rPr>
          <w:sz w:val="20"/>
          <w:szCs w:val="20"/>
          <w:color w:val="auto"/>
        </w:rPr>
      </w:pPr>
    </w:p>
    <w:p>
      <w:pPr>
        <w:ind w:left="120" w:right="320" w:firstLine="436"/>
        <w:spacing w:after="0" w:line="277" w:lineRule="auto"/>
        <w:tabs>
          <w:tab w:leader="none" w:pos="8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Dell International L.L.C. is a limited liability company organized under the laws of the State of Delaware (the “Delaware Limited Liability Company”).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Delaware Limited Liability Company Act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Section 18-108 of the Delaware Limited Liability Company Act empowers a Delaware limited liability company to indemnify and hold harmless any member or manager or other person from and against any and all claims and demands whatsoever.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Organizational Documents of the Delaware Limited Liability Company</w:t>
      </w:r>
    </w:p>
    <w:p>
      <w:pPr>
        <w:spacing w:after="0" w:line="11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The limited liability company agreement of Dell International L.L.C. provides that, to the fullest extent permitted by applicable law, the company shall indemnify and hold harmless each (a) each managing member, other member or officer, in each case in his, her or its capacity as such, (b) any person (other than the company) of which a member is an officer, director, shareholder, partner, member, employee, representative or agent and (c) any affiliate (other than the company), officer, director, shareholder, partner, member, employee, representative or agent of any of the foregoing (as used in this paragraph, collectively, “Covered Persons”) from and against any and all liabilities, obligations, losses, damages, fines, taxes and interest and penalties thereon (other than taxes based on fees or other compensation received by such Covered Person from the company), claims, demands, actions, suits, proceedings (whether civil, criminal, administrative, investigative or otherwise), costs, expenses and disbursements (including reasonable and documented legal and accounting fees and expenses, costs of investigation and sums paid in settlement) of any kind or nature whatsoever (as used in this paragraph, collectively, “Claims and Expenses”) that may be imposed on, incurred by or asserted at any time against such Covered Person in any way related to or arising out of the limited liability company agreement, the company or the management or administration of the company or in connection with the business or affairs of the company or the activities of such Covered Person on behalf of the company; provided that a Covered Person shall not be entitled to indemnification hereunder against Claims and Expenses that are finally determined by a court of competent jurisdiction to have resulted from such Covered Person’s act or omission (i) that is a criminal act by such person that such person had no reasonable cause to believe was lawful or</w:t>
      </w:r>
    </w:p>
    <w:p>
      <w:pPr>
        <w:spacing w:after="0" w:line="2" w:lineRule="exact"/>
        <w:rPr>
          <w:sz w:val="20"/>
          <w:szCs w:val="20"/>
          <w:color w:val="auto"/>
        </w:rPr>
      </w:pPr>
    </w:p>
    <w:p>
      <w:pPr>
        <w:ind w:left="120" w:right="40" w:hanging="4"/>
        <w:spacing w:after="0" w:line="255" w:lineRule="auto"/>
        <w:tabs>
          <w:tab w:leader="none" w:pos="3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constitutes fraud, gross negligence or knowing and willful misconduct by such person. The rights of any Covered Person to indemnification will be in addition to any other rights any such Covered Person may have under any other agreement or instrument in which such Covered Person is or becomes a party or is or otherwise becomes a beneficiary or under law or regulation.</w:t>
      </w:r>
    </w:p>
    <w:p>
      <w:pPr>
        <w:spacing w:after="0" w:line="189" w:lineRule="exact"/>
        <w:rPr>
          <w:rFonts w:ascii="Arial" w:cs="Arial" w:eastAsia="Arial" w:hAnsi="Arial"/>
          <w:sz w:val="18"/>
          <w:szCs w:val="18"/>
          <w:color w:val="auto"/>
        </w:rPr>
      </w:pPr>
    </w:p>
    <w:p>
      <w:pPr>
        <w:ind w:left="800" w:hanging="244"/>
        <w:spacing w:after="0"/>
        <w:tabs>
          <w:tab w:leader="none" w:pos="8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EMC Corporation is a corporation incorporated under the laws of the Commonwealth of Massachusetts (the “Massachusetts Corporation”).</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Massachusetts General Laws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Massachusetts General Laws (“MGL”) Chapter 156D, Part 8, Subdivision E, provides that a corporation may, subject to certain limitations, indemnify its directors, officers, employees and other agents, and individuals serving with respect to any employee benefit plan, and must, in certain cases, indemnify a director or officer for his reasonable costs if he is wholly successful in his defense in a proceeding to which he was a party because he was a director or officer of the corporation. In certain circumstances, a court may order a corporation to indemnify its officers or directors or advance their expenses. MGL Chapter 156D, Section 8.58 allows a corporation to limit or expand its obligation to indemnify its directors, officers, employees and agents in the corporation’s articles of organization, a bylaw adopted by the shareholders, or a contract adopted by its board of directors or shareholders.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Organizational Documents of the Massachusetts Corporation</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bylaws of EMC Corporation provide that the corporation shall, to the extent legally permissible, indemnify-each of its directors and officers (including persons who act at its request as directors, officers or trustees of another organization or in any capacity with respect to any employee benefit plan) against all liabilities and expenses, including amounts paid in satisfaction of judgments, in compromise or as fines and penalties, and counsel fees, reasonably incurred by such director or officer in connection with the defense or disposition of any action, suit or other proceeding, whether civil or criminal, in which such director or officer may be involved or with which such director or officer may be threatened, while in office or thereafter, by reason of such individual being or having been such a director or officer, except with respect to, any matter as to which such director or officer shall have been adjudicated in any proceeding not to have acted in good faith in the reasonable belief that such individual’s action was in the best interests of the corporation (any person serving another organization in one or more of the indicated capacities at the request of the corporation who shall have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acted in good faith in the reasonable belief that such individual’s action was in the best interests of such other organization to be deemed as having acted in such manner with respect to the corporation) or, to the extent that such matter relates to service with respect to any employee benefit plan, in the best interests of the participants or beneficiaries of such employee benefit plan; provided, however, that as to any matter disposed of by a compromise payment by such director or officer, pursuant to a consent decree or otherwise, no indemnification either for said payment or for any other expenses shall be provided unless such compromise shall be approved as in the best interests of the corporation, after notice that it involves such indemnification:</w:t>
      </w:r>
    </w:p>
    <w:p>
      <w:pPr>
        <w:spacing w:after="0" w:line="2" w:lineRule="exact"/>
        <w:rPr>
          <w:sz w:val="20"/>
          <w:szCs w:val="20"/>
          <w:color w:val="auto"/>
        </w:rPr>
      </w:pPr>
    </w:p>
    <w:p>
      <w:pPr>
        <w:jc w:val="both"/>
        <w:ind w:left="120" w:hanging="4"/>
        <w:spacing w:after="0" w:line="271" w:lineRule="auto"/>
        <w:tabs>
          <w:tab w:leader="none" w:pos="3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by a disinterested majority of the directors then in office; or (b) by a majority of the disinterested directors then in office, provided that there has been obtained an opinion in writing of independent legal counsel to the effect that such director or officer appears to have acted in good faith in the reasonable belief that such individual’s action was in the best interests of the Corporation; or (c) by the holders of a majority of the outstanding stock at the time entitled to vote for directors, voting as a single class, exclusive of any stock owned by any interested director or officer. This right of indemnification shall not be exclusive of or affect any other rights to which any director or officer may be entitled.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21. Exhibits and Financial Statement Schedules.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Page II-8 for a list of exhibits being filed as part of, or incorporated by reference into, this registration statement on Form S-4.</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Certain agreements filed as exhibits to this registration statement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22. Undertakings.</w:t>
      </w:r>
    </w:p>
    <w:p>
      <w:pPr>
        <w:spacing w:after="0" w:line="117" w:lineRule="exact"/>
        <w:rPr>
          <w:sz w:val="20"/>
          <w:szCs w:val="20"/>
          <w:color w:val="auto"/>
        </w:rPr>
      </w:pPr>
    </w:p>
    <w:p>
      <w:pPr>
        <w:ind w:left="800" w:hanging="24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100" w:right="20" w:firstLine="408"/>
        <w:spacing w:after="0" w:line="253" w:lineRule="auto"/>
        <w:tabs>
          <w:tab w:leader="none" w:pos="1766" w:val="left"/>
        </w:tabs>
        <w:numPr>
          <w:ilvl w:val="2"/>
          <w:numId w:val="6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88" w:lineRule="exact"/>
        <w:rPr>
          <w:rFonts w:ascii="Arial" w:cs="Arial" w:eastAsia="Arial" w:hAnsi="Arial"/>
          <w:sz w:val="18"/>
          <w:szCs w:val="18"/>
          <w:color w:val="auto"/>
        </w:rPr>
      </w:pPr>
    </w:p>
    <w:p>
      <w:pPr>
        <w:ind w:left="560" w:right="100" w:firstLine="419"/>
        <w:spacing w:after="0" w:line="263" w:lineRule="auto"/>
        <w:tabs>
          <w:tab w:leader="none" w:pos="12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60" w:firstLine="419"/>
        <w:spacing w:after="0" w:line="277" w:lineRule="auto"/>
        <w:tabs>
          <w:tab w:leader="none" w:pos="12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560" w:firstLine="419"/>
        <w:spacing w:after="0" w:line="271" w:lineRule="auto"/>
        <w:tabs>
          <w:tab w:leader="none" w:pos="1238"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the registrants are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70" w:lineRule="exact"/>
        <w:rPr>
          <w:rFonts w:ascii="Arial" w:cs="Arial" w:eastAsia="Arial" w:hAnsi="Arial"/>
          <w:sz w:val="17"/>
          <w:szCs w:val="17"/>
          <w:color w:val="auto"/>
        </w:rPr>
      </w:pPr>
    </w:p>
    <w:p>
      <w:pPr>
        <w:ind w:left="560" w:right="20" w:firstLine="419"/>
        <w:spacing w:after="0" w:line="257" w:lineRule="auto"/>
        <w:tabs>
          <w:tab w:leader="none" w:pos="12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to any purchaser in the initial distribution of the securities, each of the undersigned registrants undertakes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1100" w:right="340" w:firstLine="408"/>
        <w:spacing w:after="0" w:line="277" w:lineRule="auto"/>
        <w:tabs>
          <w:tab w:leader="none" w:pos="1716" w:val="left"/>
        </w:tabs>
        <w:numPr>
          <w:ilvl w:val="2"/>
          <w:numId w:val="6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100" w:right="180" w:firstLine="408"/>
        <w:spacing w:after="0" w:line="277" w:lineRule="auto"/>
        <w:tabs>
          <w:tab w:leader="none" w:pos="1766" w:val="left"/>
        </w:tabs>
        <w:numPr>
          <w:ilvl w:val="2"/>
          <w:numId w:val="6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140" w:firstLine="408"/>
        <w:spacing w:after="0" w:line="263" w:lineRule="auto"/>
        <w:tabs>
          <w:tab w:leader="none" w:pos="1816"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3" w:lineRule="exact"/>
        <w:rPr>
          <w:rFonts w:ascii="Arial" w:cs="Arial" w:eastAsia="Arial" w:hAnsi="Arial"/>
          <w:sz w:val="18"/>
          <w:szCs w:val="18"/>
          <w:color w:val="auto"/>
        </w:rPr>
      </w:pPr>
    </w:p>
    <w:p>
      <w:pPr>
        <w:ind w:left="120" w:right="80" w:firstLine="436"/>
        <w:spacing w:after="0" w:line="259"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120" w:right="400" w:firstLine="436"/>
        <w:spacing w:after="0" w:line="263" w:lineRule="auto"/>
        <w:tabs>
          <w:tab w:leader="none" w:pos="8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3" w:lineRule="exact"/>
        <w:rPr>
          <w:rFonts w:ascii="Arial" w:cs="Arial" w:eastAsia="Arial" w:hAnsi="Arial"/>
          <w:sz w:val="18"/>
          <w:szCs w:val="18"/>
          <w:color w:val="auto"/>
        </w:rPr>
      </w:pPr>
    </w:p>
    <w:p>
      <w:pPr>
        <w:ind w:left="120" w:right="60" w:firstLine="436"/>
        <w:spacing w:after="0" w:line="271" w:lineRule="auto"/>
        <w:tabs>
          <w:tab w:leader="none" w:pos="8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or controlling persons of each of the registrants pursuant to the foregoing provisions, or otherwise, each of the registrants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of the registrants in connection with the securities being registered, the registrants will, unless in the opinion of their counsel the matter has been settled by controlling precedent, submit to a court of appropriate jurisdiction the question whether such indemnification by them is against public policy as expressed in the Securities Act and will be governed by the final adjudication of such issue.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20"/>
          </w:cols>
          <w:pgMar w:left="320" w:top="45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80" w:type="dxa"/>
            <w:vAlign w:val="bottom"/>
            <w:gridSpan w:val="24"/>
          </w:tcPr>
          <w:p>
            <w:pPr>
              <w:ind w:left="46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gridSpan w:val="26"/>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3"/>
                <w:szCs w:val="23"/>
                <w:color w:val="auto"/>
              </w:rPr>
            </w:pPr>
          </w:p>
        </w:tc>
        <w:tc>
          <w:tcPr>
            <w:tcW w:w="9560" w:type="dxa"/>
            <w:vAlign w:val="bottom"/>
            <w:gridSpan w:val="26"/>
          </w:tcPr>
          <w:p>
            <w:pPr>
              <w:spacing w:after="0"/>
              <w:rPr>
                <w:rFonts w:ascii="Arial" w:cs="Arial" w:eastAsia="Arial" w:hAnsi="Arial"/>
                <w:sz w:val="18"/>
                <w:szCs w:val="18"/>
                <w:color w:val="0000EE"/>
                <w:w w:val="96"/>
              </w:rPr>
            </w:pPr>
            <w:hyperlink r:id="rId124">
              <w:r>
                <w:rPr>
                  <w:rFonts w:ascii="Arial" w:cs="Arial" w:eastAsia="Arial" w:hAnsi="Arial"/>
                  <w:sz w:val="18"/>
                  <w:szCs w:val="18"/>
                  <w:color w:val="0000EE"/>
                  <w:w w:val="96"/>
                </w:rPr>
                <w:t>Separation and Distribution Agreement, dated as of April 14, 2021, by and between Dell Technologies Inc. and VMware, Inc.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(incorporated by reference to Exhibit 2.1 to the Current Report on Form 8-K of Dell Technologies Inc. (the “Company”) filed with</w:t>
              </w:r>
            </w:hyperlink>
          </w:p>
        </w:tc>
        <w:tc>
          <w:tcPr>
            <w:tcW w:w="14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the Securities and Exchange Commission (the “Commission”) on April 14, 2021) (Commission File No. 001-37867).</w:t>
              </w:r>
            </w:hyperlink>
          </w:p>
        </w:tc>
        <w:tc>
          <w:tcPr>
            <w:tcW w:w="1100" w:type="dxa"/>
            <w:vAlign w:val="bottom"/>
            <w:gridSpan w:val="17"/>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c>
          <w:tcPr>
            <w:tcW w:w="8900" w:type="dxa"/>
            <w:vAlign w:val="bottom"/>
            <w:tcBorders>
              <w:bottom w:val="single" w:sz="8" w:color="0000EE"/>
            </w:tcBorders>
            <w:gridSpan w:val="12"/>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Letter Agreement, dated as of October 7, 2021, by and between Dell Technologies Inc. and VMware, Inc. (incorporated by</w:t>
              </w:r>
            </w:hyperlink>
          </w:p>
        </w:tc>
        <w:tc>
          <w:tcPr>
            <w:tcW w:w="660" w:type="dxa"/>
            <w:vAlign w:val="bottom"/>
            <w:gridSpan w:val="1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6"/>
          </w:tcPr>
          <w:p>
            <w:pPr>
              <w:spacing w:after="0" w:line="196" w:lineRule="exact"/>
              <w:rPr>
                <w:rFonts w:ascii="Arial" w:cs="Arial" w:eastAsia="Arial" w:hAnsi="Arial"/>
                <w:sz w:val="18"/>
                <w:szCs w:val="18"/>
                <w:color w:val="0000EE"/>
                <w:w w:val="97"/>
              </w:rPr>
            </w:pPr>
            <w:hyperlink r:id="rId125">
              <w:r>
                <w:rPr>
                  <w:rFonts w:ascii="Arial" w:cs="Arial" w:eastAsia="Arial" w:hAnsi="Arial"/>
                  <w:sz w:val="18"/>
                  <w:szCs w:val="18"/>
                  <w:color w:val="0000EE"/>
                  <w:w w:val="97"/>
                </w:rPr>
                <w:t>reference to Exhibit 99.1 to the Current Report on Form 8-K of the Company filed with the Commission on October 7, 2021)</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(Commission File No. 001-37867).</w:t>
              </w:r>
            </w:hyperlink>
          </w:p>
        </w:tc>
        <w:tc>
          <w:tcPr>
            <w:tcW w:w="500" w:type="dxa"/>
            <w:vAlign w:val="bottom"/>
            <w:gridSpan w:val="1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4"/>
                <w:szCs w:val="24"/>
                <w:color w:val="auto"/>
              </w:rPr>
            </w:pPr>
          </w:p>
        </w:tc>
        <w:tc>
          <w:tcPr>
            <w:tcW w:w="9100" w:type="dxa"/>
            <w:vAlign w:val="bottom"/>
            <w:tcBorders>
              <w:bottom w:val="single" w:sz="8" w:color="0000EE"/>
            </w:tcBorders>
            <w:gridSpan w:val="15"/>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Letter Agreement, dated as of November 1, 2021, by and between Dell Technologies Inc. and VMware, Inc. (incorporated by</w:t>
              </w:r>
            </w:hyperlink>
          </w:p>
        </w:tc>
        <w:tc>
          <w:tcPr>
            <w:tcW w:w="46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6"/>
          </w:tcPr>
          <w:p>
            <w:pPr>
              <w:spacing w:after="0" w:line="196"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reference to Exhibit 99.2 to the Current Report on Form 8-K of the Company filed with the Commission on November 1, 2021)</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(Commission File No. 001-37867).</w:t>
              </w:r>
            </w:hyperlink>
          </w:p>
        </w:tc>
        <w:tc>
          <w:tcPr>
            <w:tcW w:w="320" w:type="dxa"/>
            <w:vAlign w:val="bottom"/>
            <w:gridSpan w:val="9"/>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Amended and Restated Certificate of Formation of Dell International L.L.C., as amended (incorporated by reference to Exhibit 3.1</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to the Registration Statement on Form S-3 of the Company, Dell International L.L.C., EMC Corporation and the other registrants</w:t>
              </w:r>
            </w:hyperlink>
          </w:p>
        </w:tc>
        <w:tc>
          <w:tcPr>
            <w:tcW w:w="100" w:type="dxa"/>
            <w:vAlign w:val="bottom"/>
            <w:tcBorders>
              <w:top w:val="single" w:sz="8" w:color="0000EE"/>
            </w:tcBorders>
            <w:gridSpan w:val="3"/>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listed therein filed with the Commission on January 9, 2023) (Commission File No. 333-269159).</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9300" w:type="dxa"/>
            <w:vAlign w:val="bottom"/>
            <w:tcBorders>
              <w:bottom w:val="single" w:sz="8" w:color="0000EE"/>
            </w:tcBorders>
            <w:gridSpan w:val="19"/>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Second Amended and Restated Limited Liability Company Agreement of Dell International L.L.C. (incorporated by reference to</w:t>
              </w:r>
            </w:hyperlink>
          </w:p>
        </w:tc>
        <w:tc>
          <w:tcPr>
            <w:tcW w:w="26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Exhibit 3.2 to the Registration Statement on Form S-3 of the Company, Dell International L.L.C., EMC Corporation and the other</w:t>
              </w:r>
            </w:hyperlink>
          </w:p>
        </w:tc>
        <w:tc>
          <w:tcPr>
            <w:tcW w:w="20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registrants listed therein filed with Commission on January 9, 2023) (Commission File No. 333-269159).</w:t>
              </w:r>
            </w:hyperlink>
          </w:p>
        </w:tc>
        <w:tc>
          <w:tcPr>
            <w:tcW w:w="1980" w:type="dxa"/>
            <w:vAlign w:val="bottom"/>
            <w:gridSpan w:val="18"/>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4"/>
                <w:szCs w:val="24"/>
                <w:color w:val="auto"/>
              </w:rPr>
            </w:pPr>
          </w:p>
        </w:tc>
        <w:tc>
          <w:tcPr>
            <w:tcW w:w="9260" w:type="dxa"/>
            <w:vAlign w:val="bottom"/>
            <w:tcBorders>
              <w:bottom w:val="single" w:sz="8" w:color="0000EE"/>
            </w:tcBorders>
            <w:gridSpan w:val="18"/>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Restated Articles of Organization of EMC Corporation, as amended (incorporated by reference to Exhibit 3.3 to the Registration</w:t>
              </w:r>
            </w:hyperlink>
          </w:p>
        </w:tc>
        <w:tc>
          <w:tcPr>
            <w:tcW w:w="30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Statement on Form S-4 of Dell International L.L.C., EMC Corporation and the other registrants listed therein filed with the</w:t>
              </w:r>
            </w:hyperlink>
          </w:p>
        </w:tc>
        <w:tc>
          <w:tcPr>
            <w:tcW w:w="680" w:type="dxa"/>
            <w:vAlign w:val="bottom"/>
            <w:gridSpan w:val="1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Commission on April 15, 2021) (Commission File No. 333-255258-27).</w:t>
              </w:r>
            </w:hyperlink>
          </w:p>
        </w:tc>
        <w:tc>
          <w:tcPr>
            <w:tcW w:w="4340" w:type="dxa"/>
            <w:vAlign w:val="bottom"/>
            <w:gridSpan w:val="22"/>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24"/>
                <w:szCs w:val="24"/>
                <w:color w:val="auto"/>
              </w:rPr>
            </w:pPr>
          </w:p>
        </w:tc>
        <w:tc>
          <w:tcPr>
            <w:tcW w:w="9160" w:type="dxa"/>
            <w:vAlign w:val="bottom"/>
            <w:tcBorders>
              <w:bottom w:val="single" w:sz="8" w:color="0000EE"/>
            </w:tcBorders>
            <w:gridSpan w:val="16"/>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Amended and Restated Bylaws of EMC Corporation (incorporated by reference to Exhibit 3.4 to the Registration Statement on</w:t>
              </w:r>
            </w:hyperlink>
          </w:p>
        </w:tc>
        <w:tc>
          <w:tcPr>
            <w:tcW w:w="40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6"/>
          </w:tcPr>
          <w:p>
            <w:pPr>
              <w:spacing w:after="0" w:line="196"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Form S-4 of Dell International L.L.C., EMC Corporation and the other registrants listed therein filed with the Commission on</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April 15, 2021) (Commission File No. 333-255258-27).</w:t>
              </w:r>
            </w:hyperlink>
          </w:p>
        </w:tc>
        <w:tc>
          <w:tcPr>
            <w:tcW w:w="5020" w:type="dxa"/>
            <w:vAlign w:val="bottom"/>
            <w:tcBorders>
              <w:top w:val="single" w:sz="8" w:color="0000EE"/>
            </w:tcBorders>
            <w:gridSpan w:val="11"/>
          </w:tcPr>
          <w:p>
            <w:pPr>
              <w:spacing w:after="0"/>
              <w:rPr>
                <w:sz w:val="17"/>
                <w:szCs w:val="17"/>
                <w:color w:val="auto"/>
              </w:rPr>
            </w:pPr>
          </w:p>
        </w:tc>
        <w:tc>
          <w:tcPr>
            <w:tcW w:w="500" w:type="dxa"/>
            <w:vAlign w:val="bottom"/>
            <w:gridSpan w:val="12"/>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Sixth Amended and Restated Certificate of Incorporation of Dell Technologies Inc. (incorporated by reference to Exhibit 3.1 to the</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Company’s Current Report on Form 8-K filed with the Commission on June 29, 2022) (Commission File No. 001-37867).</w:t>
              </w:r>
            </w:hyperlink>
          </w:p>
        </w:tc>
        <w:tc>
          <w:tcPr>
            <w:tcW w:w="600" w:type="dxa"/>
            <w:vAlign w:val="bottom"/>
            <w:tcBorders>
              <w:top w:val="single" w:sz="8" w:color="0000EE"/>
            </w:tcBorders>
            <w:gridSpan w:val="13"/>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Third Amended and Restated Bylaws of Dell Technologies Inc. (incorporated by reference to Exhibit 3.2 to the Company’s Current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Report on Form 8-K filed with the Commission on June 29, 2022) (Commission File No. 001-37867).</w:t>
              </w:r>
            </w:hyperlink>
          </w:p>
        </w:tc>
        <w:tc>
          <w:tcPr>
            <w:tcW w:w="2100" w:type="dxa"/>
            <w:vAlign w:val="bottom"/>
            <w:tcBorders>
              <w:top w:val="single" w:sz="8" w:color="0000EE"/>
            </w:tcBorders>
            <w:gridSpan w:val="17"/>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4"/>
                <w:szCs w:val="24"/>
                <w:color w:val="auto"/>
              </w:rPr>
            </w:pPr>
          </w:p>
        </w:tc>
        <w:tc>
          <w:tcPr>
            <w:tcW w:w="89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Amended and Restated Certificate of Incorporation of Dell Inc., as amended (incorporated by reference to Exhibit 3.7 to the</w:t>
              </w:r>
            </w:hyperlink>
          </w:p>
        </w:tc>
        <w:tc>
          <w:tcPr>
            <w:tcW w:w="62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Registration Statement on Form S-4 of Dell International L.L.C., EMC Corporation and the other registrants listed therein filed with</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the Commission on April 15, 2021) (Commission File No. 333-255258-27).</w:t>
              </w:r>
            </w:hyperlink>
          </w:p>
        </w:tc>
        <w:tc>
          <w:tcPr>
            <w:tcW w:w="4080" w:type="dxa"/>
            <w:vAlign w:val="bottom"/>
            <w:gridSpan w:val="21"/>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Amended and Restated Bylaws of Dell Inc. (incorporated by reference to Exhibit 3.8 to the Registration Statement on Form S-4 of</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Dell International L.L.C., EMC Corporation and the other registrants listed therein filed with the Commission on April 15, 2021)</w:t>
              </w:r>
            </w:hyperlink>
          </w:p>
        </w:tc>
        <w:tc>
          <w:tcPr>
            <w:tcW w:w="100" w:type="dxa"/>
            <w:vAlign w:val="bottom"/>
            <w:tcBorders>
              <w:top w:val="single" w:sz="8" w:color="0000EE"/>
            </w:tcBorders>
            <w:gridSpan w:val="3"/>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(Commission File No. 333-255258-27).</w:t>
              </w:r>
            </w:hyperlink>
          </w:p>
        </w:tc>
        <w:tc>
          <w:tcPr>
            <w:tcW w:w="6680" w:type="dxa"/>
            <w:vAlign w:val="bottom"/>
            <w:gridSpan w:val="24"/>
          </w:tcPr>
          <w:p>
            <w:pPr>
              <w:spacing w:after="0"/>
              <w:rPr>
                <w:sz w:val="17"/>
                <w:szCs w:val="17"/>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40"/>
          </w:cols>
          <w:pgMar w:left="320" w:top="459"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15"/>
                <w:szCs w:val="15"/>
                <w:color w:val="auto"/>
              </w:rPr>
            </w:pPr>
          </w:p>
        </w:tc>
        <w:tc>
          <w:tcPr>
            <w:tcW w:w="9680" w:type="dxa"/>
            <w:vAlign w:val="bottom"/>
            <w:tcBorders>
              <w:bottom w:val="single" w:sz="8" w:color="auto"/>
            </w:tcBorders>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ind w:left="180"/>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23"/>
                <w:szCs w:val="23"/>
                <w:color w:val="auto"/>
              </w:rPr>
            </w:pPr>
          </w:p>
        </w:tc>
        <w:tc>
          <w:tcPr>
            <w:tcW w:w="9680" w:type="dxa"/>
            <w:vAlign w:val="bottom"/>
            <w:gridSpan w:val="24"/>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Second Amended and Restated Certificate of Incorporation of Denali Intermediate Inc. (incorporated by reference to Exhibit 3.61 to</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the Registration Statement on Form S-4 of Dell International L.L.C., EMC Corporation and the other registrants listed therein filed</w:t>
              </w:r>
            </w:hyperlink>
          </w:p>
        </w:tc>
        <w:tc>
          <w:tcPr>
            <w:tcW w:w="40" w:type="dxa"/>
            <w:vAlign w:val="bottom"/>
            <w:tcBorders>
              <w:top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with the Commission on April 15, 2021) (Commission File No. 333-255258-27).</w:t>
              </w:r>
            </w:hyperlink>
          </w:p>
        </w:tc>
        <w:tc>
          <w:tcPr>
            <w:tcW w:w="3840" w:type="dxa"/>
            <w:vAlign w:val="bottom"/>
            <w:gridSpan w:val="18"/>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3.10</w:t>
            </w:r>
          </w:p>
        </w:tc>
        <w:tc>
          <w:tcPr>
            <w:tcW w:w="620" w:type="dxa"/>
            <w:vAlign w:val="bottom"/>
          </w:tcPr>
          <w:p>
            <w:pPr>
              <w:spacing w:after="0"/>
              <w:rPr>
                <w:sz w:val="24"/>
                <w:szCs w:val="24"/>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Second Amended and Restated Bylaws of Denali Intermediate Inc. (incorporated by reference to Exhibit 3.62 to the Registration</w:t>
              </w:r>
            </w:hyperlink>
          </w:p>
        </w:tc>
        <w:tc>
          <w:tcPr>
            <w:tcW w:w="40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Statement on Form S-4 of Dell International L.L.C., EMC Corporation and the other registrants listed therein filed with the</w:t>
              </w:r>
            </w:hyperlink>
          </w:p>
        </w:tc>
        <w:tc>
          <w:tcPr>
            <w:tcW w:w="800" w:type="dxa"/>
            <w:vAlign w:val="bottom"/>
            <w:gridSpan w:val="1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Commission on April 15, 2021) (Commission File No. 333-255258-27).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Indenture, dated as of April 27, 1998, between Dell Computer Corporation and Chase Bank of Texas, National Association, as trustee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(incorporated by reference to Exhibit 99.2 to Dell Inc.’s Current Report on Form 8-K filed with the Commission on April 28, 1998)</w:t>
              </w:r>
            </w:hyperlink>
          </w:p>
        </w:tc>
        <w:tc>
          <w:tcPr>
            <w:tcW w:w="20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(Commission File No. 000-17017).</w:t>
              </w:r>
            </w:hyperlink>
          </w:p>
        </w:tc>
        <w:tc>
          <w:tcPr>
            <w:tcW w:w="7140" w:type="dxa"/>
            <w:vAlign w:val="bottom"/>
            <w:gridSpan w:val="21"/>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320" w:type="dxa"/>
            <w:vAlign w:val="bottom"/>
            <w:tcBorders>
              <w:bottom w:val="single" w:sz="8" w:color="0000EE"/>
            </w:tcBorders>
            <w:gridSpan w:val="15"/>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Indenture, dated as of April 17, 2008, between Dell Inc. and The Bank of New York Mellon Trust Company, N.A. (formerly The</w:t>
              </w:r>
            </w:hyperlink>
          </w:p>
        </w:tc>
        <w:tc>
          <w:tcPr>
            <w:tcW w:w="36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Bank of New York Trust Company, N.A.), as trustee (including the form of notes) (incorporated by reference to Exhibit 4.1 to Dell</w:t>
              </w:r>
            </w:hyperlink>
          </w:p>
        </w:tc>
        <w:tc>
          <w:tcPr>
            <w:tcW w:w="22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Inc.’s Current Report on Form 8-K filed with the Commission on April 17, 2008) (Commission File No. 000-17017).</w:t>
              </w:r>
            </w:hyperlink>
          </w:p>
        </w:tc>
        <w:tc>
          <w:tcPr>
            <w:tcW w:w="1240" w:type="dxa"/>
            <w:vAlign w:val="bottom"/>
            <w:gridSpan w:val="17"/>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8940" w:type="dxa"/>
            <w:vAlign w:val="bottom"/>
            <w:tcBorders>
              <w:bottom w:val="single" w:sz="8" w:color="0000EE"/>
            </w:tcBorders>
            <w:gridSpan w:val="10"/>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Indenture, dated as of April 6, 2009, between Dell Inc. and The Bank of New York Mellon Trust Company, N.A., as trustee</w:t>
              </w:r>
            </w:hyperlink>
          </w:p>
        </w:tc>
        <w:tc>
          <w:tcPr>
            <w:tcW w:w="740" w:type="dxa"/>
            <w:vAlign w:val="bottom"/>
            <w:gridSpan w:val="1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(incorporated by reference to Exhibit 4.1 to Dell Inc.’s Current Report on Form 8-K filed with the Commission on April 6, 2009)</w:t>
              </w:r>
            </w:hyperlink>
          </w:p>
        </w:tc>
        <w:tc>
          <w:tcPr>
            <w:tcW w:w="38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(Commission File No. 000-17017).</w:t>
              </w:r>
            </w:hyperlink>
          </w:p>
        </w:tc>
        <w:tc>
          <w:tcPr>
            <w:tcW w:w="7140" w:type="dxa"/>
            <w:vAlign w:val="bottom"/>
            <w:gridSpan w:val="21"/>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Third Supplemental Indenture, dated September 10, 2010, between Dell Inc. and The Bank of New York Mellon Trust Company,</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N.A., as trustee (incorporated by reference to Exhibit 4.1 to Dell Inc.’s Current Report on Form 8-K filed with the Commission on</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September 10, 2010) (Commission File No. 000-17017).</w:t>
              </w:r>
            </w:hyperlink>
          </w:p>
        </w:tc>
        <w:tc>
          <w:tcPr>
            <w:tcW w:w="300" w:type="dxa"/>
            <w:vAlign w:val="bottom"/>
            <w:gridSpan w:val="7"/>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4"/>
                <w:szCs w:val="24"/>
                <w:color w:val="auto"/>
              </w:rPr>
            </w:pPr>
          </w:p>
        </w:tc>
        <w:tc>
          <w:tcPr>
            <w:tcW w:w="9460" w:type="dxa"/>
            <w:vAlign w:val="bottom"/>
            <w:tcBorders>
              <w:bottom w:val="single" w:sz="8" w:color="0000EE"/>
            </w:tcBorders>
            <w:gridSpan w:val="20"/>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Base Indenture, dated as of June 1, 2016, among Diamond 1 Finance Corporation and Diamond 2 Finance Corporation, as issuers,</w:t>
              </w:r>
            </w:hyperlink>
          </w:p>
        </w:tc>
        <w:tc>
          <w:tcPr>
            <w:tcW w:w="2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and The Bank of New York Mellon Trust Company, N.A., as trustee and collateral agent (incorporated by reference to Exhibit 4.14 to</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r:id="rId142">
              <w:r>
                <w:rPr>
                  <w:rFonts w:ascii="Arial" w:cs="Arial" w:eastAsia="Arial" w:hAnsi="Arial"/>
                  <w:sz w:val="18"/>
                  <w:szCs w:val="18"/>
                  <w:color w:val="0000EE"/>
                  <w:w w:val="98"/>
                </w:rPr>
                <w:t>Amendment No. 6 to the Company’s Form S-4 filed with the Commission on June 3, 2016) (Registration No. 333-208524).</w:t>
              </w:r>
            </w:hyperlink>
          </w:p>
        </w:tc>
        <w:tc>
          <w:tcPr>
            <w:tcW w:w="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4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24"/>
                <w:szCs w:val="24"/>
                <w:color w:val="auto"/>
              </w:rPr>
            </w:pPr>
          </w:p>
        </w:tc>
        <w:tc>
          <w:tcPr>
            <w:tcW w:w="9000" w:type="dxa"/>
            <w:vAlign w:val="bottom"/>
            <w:tcBorders>
              <w:bottom w:val="single" w:sz="8" w:color="0000EE"/>
            </w:tcBorders>
            <w:gridSpan w:val="11"/>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2026 Notes Supplemental Indenture No. 1, dated June 1, 2016, among Diamond 1 Finance Corporation, Diamond 2 Finance</w:t>
              </w:r>
            </w:hyperlink>
          </w:p>
        </w:tc>
        <w:tc>
          <w:tcPr>
            <w:tcW w:w="68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Corporation and The Bank of New York Mellon Trust Company, N.A., as trustee and collateral agent (incorporated by reference to</w:t>
              </w:r>
            </w:hyperlink>
          </w:p>
        </w:tc>
        <w:tc>
          <w:tcPr>
            <w:tcW w:w="2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Exhibit 4.21 to Amendment No. 6 to the Company’s Form S-4 filed with the Commission on June 3, 2016) (Registration</w:t>
              </w:r>
            </w:hyperlink>
          </w:p>
        </w:tc>
        <w:tc>
          <w:tcPr>
            <w:tcW w:w="940" w:type="dxa"/>
            <w:vAlign w:val="bottom"/>
            <w:gridSpan w:val="1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No. 333-208524).</w:t>
              </w:r>
            </w:hyperlink>
          </w:p>
        </w:tc>
        <w:tc>
          <w:tcPr>
            <w:tcW w:w="8380" w:type="dxa"/>
            <w:vAlign w:val="bottom"/>
            <w:gridSpan w:val="22"/>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24"/>
                <w:szCs w:val="24"/>
                <w:color w:val="auto"/>
              </w:rPr>
            </w:pPr>
          </w:p>
        </w:tc>
        <w:tc>
          <w:tcPr>
            <w:tcW w:w="9000" w:type="dxa"/>
            <w:vAlign w:val="bottom"/>
            <w:tcBorders>
              <w:bottom w:val="single" w:sz="8" w:color="0000EE"/>
            </w:tcBorders>
            <w:gridSpan w:val="11"/>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2036 Notes Supplemental Indenture No. 1, dated June 1, 2016, among Diamond 1 Finance Corporation, Diamond 2 Finance</w:t>
              </w:r>
            </w:hyperlink>
          </w:p>
        </w:tc>
        <w:tc>
          <w:tcPr>
            <w:tcW w:w="68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Corporation and The Bank of New York Mellon Trust Company, N.A., as trustee and collateral agent (incorporated by reference to</w:t>
              </w:r>
            </w:hyperlink>
          </w:p>
        </w:tc>
        <w:tc>
          <w:tcPr>
            <w:tcW w:w="2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Exhibit 4.23 to Amendment No. 6 to the Company’s Form S-4 filed with the Commission on June 3, 2016) (Registration</w:t>
              </w:r>
            </w:hyperlink>
          </w:p>
        </w:tc>
        <w:tc>
          <w:tcPr>
            <w:tcW w:w="940" w:type="dxa"/>
            <w:vAlign w:val="bottom"/>
            <w:gridSpan w:val="1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No. 333-208524).</w:t>
              </w:r>
            </w:hyperlink>
          </w:p>
        </w:tc>
        <w:tc>
          <w:tcPr>
            <w:tcW w:w="8380" w:type="dxa"/>
            <w:vAlign w:val="bottom"/>
            <w:gridSpan w:val="22"/>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4.8</w:t>
            </w:r>
          </w:p>
        </w:tc>
        <w:tc>
          <w:tcPr>
            <w:tcW w:w="620" w:type="dxa"/>
            <w:vAlign w:val="bottom"/>
          </w:tcPr>
          <w:p>
            <w:pPr>
              <w:spacing w:after="0"/>
              <w:rPr>
                <w:sz w:val="24"/>
                <w:szCs w:val="24"/>
                <w:color w:val="auto"/>
              </w:rPr>
            </w:pPr>
          </w:p>
        </w:tc>
        <w:tc>
          <w:tcPr>
            <w:tcW w:w="9000" w:type="dxa"/>
            <w:vAlign w:val="bottom"/>
            <w:tcBorders>
              <w:bottom w:val="single" w:sz="8" w:color="0000EE"/>
            </w:tcBorders>
            <w:gridSpan w:val="11"/>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2046 Notes Supplemental Indenture No. 1, dated June 1, 2016, among Diamond 1 Finance Corporation, Diamond 2 Finance</w:t>
              </w:r>
            </w:hyperlink>
          </w:p>
        </w:tc>
        <w:tc>
          <w:tcPr>
            <w:tcW w:w="68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Corporation and The Bank of New York Mellon Trust Company, N.A., as trustee and collateral agent (incorporated by reference to</w:t>
              </w:r>
            </w:hyperlink>
          </w:p>
        </w:tc>
        <w:tc>
          <w:tcPr>
            <w:tcW w:w="2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Exhibit 4.25 to Amendment No. 6 to the Company’s Form S-4 filed with the Commission on June 3, 2016) (Registration</w:t>
              </w:r>
            </w:hyperlink>
          </w:p>
        </w:tc>
        <w:tc>
          <w:tcPr>
            <w:tcW w:w="940" w:type="dxa"/>
            <w:vAlign w:val="bottom"/>
            <w:gridSpan w:val="1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No. 333-208524).</w:t>
              </w:r>
            </w:hyperlink>
          </w:p>
        </w:tc>
        <w:tc>
          <w:tcPr>
            <w:tcW w:w="8380" w:type="dxa"/>
            <w:vAlign w:val="bottom"/>
            <w:gridSpan w:val="22"/>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First Supplemental Indenture, dated as of September 6, 2016, by and among Diamond 1 Finance Corporation, Diamond 2 Finance</w:t>
              </w:r>
            </w:hyperlink>
          </w:p>
        </w:tc>
        <w:tc>
          <w:tcPr>
            <w:tcW w:w="26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Corporation and The Bank of New York Mellon Trust Company, N.A., as trustee and collateral agent (incorporated by reference to</w:t>
              </w:r>
            </w:hyperlink>
          </w:p>
        </w:tc>
        <w:tc>
          <w:tcPr>
            <w:tcW w:w="2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Exhibit 4.1 to the Company’s Current Report on Form 8-K filed with the Commission on September 9, 2016) (Commission File</w:t>
              </w:r>
            </w:hyperlink>
          </w:p>
        </w:tc>
        <w:tc>
          <w:tcPr>
            <w:tcW w:w="460" w:type="dxa"/>
            <w:vAlign w:val="bottom"/>
            <w:gridSpan w:val="1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140"/>
          </w:cols>
          <w:pgMar w:left="320" w:top="459"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620" w:type="dxa"/>
            <w:vAlign w:val="bottom"/>
          </w:tcPr>
          <w:p>
            <w:pPr>
              <w:spacing w:after="0"/>
              <w:rPr>
                <w:sz w:val="15"/>
                <w:szCs w:val="15"/>
                <w:color w:val="auto"/>
              </w:rPr>
            </w:pPr>
          </w:p>
        </w:tc>
        <w:tc>
          <w:tcPr>
            <w:tcW w:w="9680" w:type="dxa"/>
            <w:vAlign w:val="bottom"/>
            <w:tcBorders>
              <w:bottom w:val="single" w:sz="8" w:color="auto"/>
            </w:tcBorders>
            <w:gridSpan w:val="19"/>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4.10</w:t>
            </w:r>
          </w:p>
        </w:tc>
        <w:tc>
          <w:tcPr>
            <w:tcW w:w="620" w:type="dxa"/>
            <w:vAlign w:val="bottom"/>
          </w:tcPr>
          <w:p>
            <w:pPr>
              <w:spacing w:after="0"/>
              <w:rPr>
                <w:sz w:val="23"/>
                <w:szCs w:val="23"/>
                <w:color w:val="auto"/>
              </w:rPr>
            </w:pP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2019</w:t>
              </w:r>
            </w:hyperlink>
          </w:p>
        </w:tc>
        <w:tc>
          <w:tcPr>
            <w:tcW w:w="9020" w:type="dxa"/>
            <w:vAlign w:val="bottom"/>
            <w:tcBorders>
              <w:bottom w:val="single" w:sz="8" w:color="0000EE"/>
            </w:tcBorders>
            <w:gridSpan w:val="13"/>
          </w:tcPr>
          <w:p>
            <w:pPr>
              <w:ind w:left="40"/>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Notes Supplemental Indenture No. 2, 2021 Notes Supplemental Indenture No. 2, 2023 Notes Supplemental Indenture No. 2,</w:t>
              </w:r>
            </w:hyperlink>
          </w:p>
        </w:tc>
        <w:tc>
          <w:tcPr>
            <w:tcW w:w="280" w:type="dxa"/>
            <w:vAlign w:val="bottom"/>
            <w:gridSpan w:val="5"/>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2026</w:t>
              </w:r>
            </w:hyperlink>
          </w:p>
        </w:tc>
        <w:tc>
          <w:tcPr>
            <w:tcW w:w="9300" w:type="dxa"/>
            <w:vAlign w:val="bottom"/>
            <w:gridSpan w:val="18"/>
          </w:tcPr>
          <w:p>
            <w:pPr>
              <w:ind w:left="40"/>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Notes Supplemental Indenture No. 2, 2036 Notes Supplemental Indenture No. 2 and 2046 Notes Supplemental Indenture No. 2,</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dated as of September 7, 2016, by and among Dell International L.L.C., EMC Corporation, New Dell International LLC and The</w:t>
              </w:r>
            </w:hyperlink>
          </w:p>
        </w:tc>
        <w:tc>
          <w:tcPr>
            <w:tcW w:w="2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Bank of New York Mellon Trust Company, N.A., as trustee and collateral agent (incorporated by reference to Exhibit 4.2 to the</w:t>
              </w:r>
            </w:hyperlink>
          </w:p>
        </w:tc>
        <w:tc>
          <w:tcPr>
            <w:tcW w:w="50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Company’s Current Report on Form 8-K filed with the Commission on September 9, 2016) (Commission File 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4.11</w:t>
            </w:r>
          </w:p>
        </w:tc>
        <w:tc>
          <w:tcPr>
            <w:tcW w:w="620" w:type="dxa"/>
            <w:vAlign w:val="bottom"/>
          </w:tcPr>
          <w:p>
            <w:pPr>
              <w:spacing w:after="0"/>
              <w:rPr>
                <w:sz w:val="24"/>
                <w:szCs w:val="24"/>
                <w:color w:val="auto"/>
              </w:rPr>
            </w:pP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2019</w:t>
              </w:r>
            </w:hyperlink>
          </w:p>
        </w:tc>
        <w:tc>
          <w:tcPr>
            <w:tcW w:w="9020" w:type="dxa"/>
            <w:vAlign w:val="bottom"/>
            <w:tcBorders>
              <w:bottom w:val="single" w:sz="8" w:color="0000EE"/>
            </w:tcBorders>
            <w:gridSpan w:val="13"/>
          </w:tcPr>
          <w:p>
            <w:pPr>
              <w:ind w:left="40"/>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Notes Supplemental Indenture No. 3, 2021 Notes Supplemental Indenture No. 3, 2023 Notes Supplemental Indenture No. 3,</w:t>
              </w:r>
            </w:hyperlink>
          </w:p>
        </w:tc>
        <w:tc>
          <w:tcPr>
            <w:tcW w:w="2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2026</w:t>
              </w:r>
            </w:hyperlink>
          </w:p>
        </w:tc>
        <w:tc>
          <w:tcPr>
            <w:tcW w:w="9300" w:type="dxa"/>
            <w:vAlign w:val="bottom"/>
            <w:gridSpan w:val="18"/>
          </w:tcPr>
          <w:p>
            <w:pPr>
              <w:ind w:left="40"/>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Notes Supplemental Indenture No. 3, 2036 Notes Supplemental Indenture No. 3 and 2046 Notes Supplemental Indenture No. 3,</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dated as of September 7, 2016, by and among Dell International L.L.C., EMC Corporation, Dell Technologies Inc., Denali</w:t>
              </w:r>
            </w:hyperlink>
          </w:p>
        </w:tc>
        <w:tc>
          <w:tcPr>
            <w:tcW w:w="720" w:type="dxa"/>
            <w:vAlign w:val="bottom"/>
            <w:tcBorders>
              <w:top w:val="single" w:sz="8" w:color="0000EE"/>
            </w:tcBorders>
            <w:gridSpan w:val="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Intermediate Inc., Dell Inc., the other guarantors named therein and The Bank of New York Mellon Trust Company, N.A., as trustee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Arial" w:cs="Arial" w:eastAsia="Arial" w:hAnsi="Arial"/>
                <w:sz w:val="18"/>
                <w:szCs w:val="18"/>
                <w:color w:val="0000EE"/>
                <w:w w:val="99"/>
              </w:rPr>
            </w:pPr>
            <w:hyperlink r:id="rId149">
              <w:r>
                <w:rPr>
                  <w:rFonts w:ascii="Arial" w:cs="Arial" w:eastAsia="Arial" w:hAnsi="Arial"/>
                  <w:sz w:val="18"/>
                  <w:szCs w:val="18"/>
                  <w:color w:val="0000EE"/>
                  <w:w w:val="99"/>
                </w:rPr>
                <w:t>and collateral agent (incorporated by reference to Exhibit 4.3 to the Company’s Current Report on Form 8-K filed with the</w:t>
              </w:r>
            </w:hyperlink>
          </w:p>
        </w:tc>
        <w:tc>
          <w:tcPr>
            <w:tcW w:w="14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Commission on September 9, 2016) (Commission File No. 001-37867).</w:t>
              </w:r>
            </w:hyperlink>
          </w:p>
        </w:tc>
        <w:tc>
          <w:tcPr>
            <w:tcW w:w="860" w:type="dxa"/>
            <w:vAlign w:val="bottom"/>
            <w:gridSpan w:val="1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4.12</w:t>
            </w:r>
          </w:p>
        </w:tc>
        <w:tc>
          <w:tcPr>
            <w:tcW w:w="620" w:type="dxa"/>
            <w:vAlign w:val="bottom"/>
          </w:tcPr>
          <w:p>
            <w:pPr>
              <w:spacing w:after="0"/>
              <w:rPr>
                <w:sz w:val="24"/>
                <w:szCs w:val="24"/>
                <w:color w:val="auto"/>
              </w:rPr>
            </w:pP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2019</w:t>
              </w:r>
            </w:hyperlink>
          </w:p>
        </w:tc>
        <w:tc>
          <w:tcPr>
            <w:tcW w:w="9020" w:type="dxa"/>
            <w:vAlign w:val="bottom"/>
            <w:tcBorders>
              <w:bottom w:val="single" w:sz="8" w:color="0000EE"/>
            </w:tcBorders>
            <w:gridSpan w:val="13"/>
          </w:tcPr>
          <w:p>
            <w:pPr>
              <w:ind w:left="40"/>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Notes Supplemental Indenture No. 4, 2021 Notes Supplemental Indenture No. 4, 2023 Notes Supplemental Indenture No. 4,</w:t>
              </w:r>
            </w:hyperlink>
          </w:p>
        </w:tc>
        <w:tc>
          <w:tcPr>
            <w:tcW w:w="2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2026</w:t>
              </w:r>
            </w:hyperlink>
          </w:p>
        </w:tc>
        <w:tc>
          <w:tcPr>
            <w:tcW w:w="9300" w:type="dxa"/>
            <w:vAlign w:val="bottom"/>
            <w:gridSpan w:val="18"/>
          </w:tcPr>
          <w:p>
            <w:pPr>
              <w:ind w:left="40"/>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Notes Supplemental Indenture No. 4, 2036 Notes Supplemental Indenture No. 4 and 2046 Notes Supplemental Indenture No. 4,</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dated as of May 23, 2017, by and among Dell International L.L.C., EMC Corporation, Dell Global Holdings XIII L.L.C., QTZ</w:t>
              </w:r>
            </w:hyperlink>
          </w:p>
        </w:tc>
        <w:tc>
          <w:tcPr>
            <w:tcW w:w="420" w:type="dxa"/>
            <w:vAlign w:val="bottom"/>
            <w:tcBorders>
              <w:top w:val="single" w:sz="8" w:color="0000EE"/>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w w:val="96"/>
              </w:rPr>
            </w:pPr>
            <w:hyperlink r:id="rId150">
              <w:r>
                <w:rPr>
                  <w:rFonts w:ascii="Arial" w:cs="Arial" w:eastAsia="Arial" w:hAnsi="Arial"/>
                  <w:sz w:val="18"/>
                  <w:szCs w:val="18"/>
                  <w:color w:val="0000EE"/>
                  <w:w w:val="96"/>
                </w:rPr>
                <w:t>L.L.C. and The Bank of New York Mellon Trust Company, N.A., as Trustee and Collateral Agent (incorporated by reference to</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Exhibit 4.32 to the Company’s Annual Report on Form 10-K for the fiscal year ended February 1, 2019) (Commission File</w:t>
              </w:r>
            </w:hyperlink>
          </w:p>
        </w:tc>
        <w:tc>
          <w:tcPr>
            <w:tcW w:w="300" w:type="dxa"/>
            <w:vAlign w:val="bottom"/>
            <w:tcBorders>
              <w:top w:val="single" w:sz="8" w:color="0000EE"/>
            </w:tcBorders>
            <w:gridSpan w:val="3"/>
          </w:tcPr>
          <w:p>
            <w:pPr>
              <w:spacing w:after="0"/>
              <w:rPr>
                <w:sz w:val="17"/>
                <w:szCs w:val="17"/>
                <w:color w:val="auto"/>
              </w:rPr>
            </w:pPr>
          </w:p>
        </w:tc>
        <w:tc>
          <w:tcPr>
            <w:tcW w:w="520" w:type="dxa"/>
            <w:vAlign w:val="bottom"/>
            <w:gridSpan w:val="9"/>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4.13</w:t>
            </w:r>
          </w:p>
        </w:tc>
        <w:tc>
          <w:tcPr>
            <w:tcW w:w="620" w:type="dxa"/>
            <w:vAlign w:val="bottom"/>
          </w:tcPr>
          <w:p>
            <w:pPr>
              <w:spacing w:after="0"/>
              <w:rPr>
                <w:sz w:val="24"/>
                <w:szCs w:val="24"/>
                <w:color w:val="auto"/>
              </w:rPr>
            </w:pPr>
          </w:p>
        </w:tc>
        <w:tc>
          <w:tcPr>
            <w:tcW w:w="9620" w:type="dxa"/>
            <w:vAlign w:val="bottom"/>
            <w:tcBorders>
              <w:bottom w:val="single" w:sz="8" w:color="0000EE"/>
            </w:tcBorders>
            <w:gridSpan w:val="17"/>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Supplemental Indenture No. 5, dated as of March 20, 2019, among Dell International L.L.C., EMC Corporation, the guarantors party</w:t>
              </w:r>
            </w:hyperlink>
          </w:p>
        </w:tc>
        <w:tc>
          <w:tcPr>
            <w:tcW w:w="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thereto and The Bank of New York Mellon Trust Company, N.A., as Trustee and Notes Collateral Agent (incorporated by reference to</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w w:val="98"/>
              </w:rPr>
            </w:pPr>
            <w:hyperlink r:id="rId151">
              <w:r>
                <w:rPr>
                  <w:rFonts w:ascii="Arial" w:cs="Arial" w:eastAsia="Arial" w:hAnsi="Arial"/>
                  <w:sz w:val="18"/>
                  <w:szCs w:val="18"/>
                  <w:color w:val="0000EE"/>
                  <w:w w:val="98"/>
                </w:rPr>
                <w:t>Exhibit 4.11 to the Company’s Current Report on Form 8-K filed with the Commission on March 21, 2019) (Commission File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No. 001-37867).</w:t>
              </w:r>
            </w:hyperlink>
          </w:p>
        </w:tc>
        <w:tc>
          <w:tcPr>
            <w:tcW w:w="600" w:type="dxa"/>
            <w:vAlign w:val="bottom"/>
            <w:gridSpan w:val="10"/>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4.14</w:t>
            </w:r>
          </w:p>
        </w:tc>
        <w:tc>
          <w:tcPr>
            <w:tcW w:w="620" w:type="dxa"/>
            <w:vAlign w:val="bottom"/>
          </w:tcPr>
          <w:p>
            <w:pPr>
              <w:spacing w:after="0"/>
              <w:rPr>
                <w:sz w:val="24"/>
                <w:szCs w:val="24"/>
                <w:color w:val="auto"/>
              </w:rPr>
            </w:pPr>
          </w:p>
        </w:tc>
        <w:tc>
          <w:tcPr>
            <w:tcW w:w="9680" w:type="dxa"/>
            <w:vAlign w:val="bottom"/>
            <w:gridSpan w:val="19"/>
          </w:tcPr>
          <w:p>
            <w:pPr>
              <w:spacing w:after="0"/>
              <w:rPr>
                <w:rFonts w:ascii="Arial" w:cs="Arial" w:eastAsia="Arial" w:hAnsi="Arial"/>
                <w:sz w:val="18"/>
                <w:szCs w:val="18"/>
                <w:color w:val="0000EE"/>
                <w:w w:val="94"/>
              </w:rPr>
            </w:pPr>
            <w:hyperlink r:id="rId152">
              <w:r>
                <w:rPr>
                  <w:rFonts w:ascii="Arial" w:cs="Arial" w:eastAsia="Arial" w:hAnsi="Arial"/>
                  <w:sz w:val="18"/>
                  <w:szCs w:val="18"/>
                  <w:color w:val="0000EE"/>
                  <w:w w:val="94"/>
                </w:rPr>
                <w:t>Base Indenture, dated as of March 20, 2019, among Dell International L.L.C., EMC Corporation, the guarantors party thereto and</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574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The Bank of New York Mellon Trust Company, N.A., as Trustee and Notes Collateral Agent (incorporated by reference to Exhibit 4.1</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to the Company’s Current Report on Form 8-K filed with the Commission on March 21, 2019) (Commission File No. 001-37867).</w:t>
              </w:r>
            </w:hyperlink>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4.15</w:t>
            </w:r>
          </w:p>
        </w:tc>
        <w:tc>
          <w:tcPr>
            <w:tcW w:w="620" w:type="dxa"/>
            <w:vAlign w:val="bottom"/>
          </w:tcPr>
          <w:p>
            <w:pPr>
              <w:spacing w:after="0"/>
              <w:rPr>
                <w:sz w:val="24"/>
                <w:szCs w:val="24"/>
                <w:color w:val="auto"/>
              </w:rPr>
            </w:pPr>
          </w:p>
        </w:tc>
        <w:tc>
          <w:tcPr>
            <w:tcW w:w="3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2024</w:t>
              </w:r>
            </w:hyperlink>
          </w:p>
        </w:tc>
        <w:tc>
          <w:tcPr>
            <w:tcW w:w="8900" w:type="dxa"/>
            <w:vAlign w:val="bottom"/>
            <w:tcBorders>
              <w:top w:val="single" w:sz="8" w:color="0000EE"/>
              <w:bottom w:val="single" w:sz="8" w:color="0000EE"/>
            </w:tcBorders>
            <w:gridSpan w:val="11"/>
          </w:tcPr>
          <w:p>
            <w:pPr>
              <w:ind w:left="40"/>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Notes Supplemental Indenture No. 1, dated as of March 20, 2019, among Dell International L.L.C., EMC Corporation, the</w:t>
              </w:r>
            </w:hyperlink>
          </w:p>
        </w:tc>
        <w:tc>
          <w:tcPr>
            <w:tcW w:w="120" w:type="dxa"/>
            <w:vAlign w:val="bottom"/>
            <w:tcBorders>
              <w:top w:val="single" w:sz="8" w:color="0000EE"/>
            </w:tcBorders>
            <w:gridSpan w:val="2"/>
          </w:tcPr>
          <w:p>
            <w:pPr>
              <w:spacing w:after="0"/>
              <w:rPr>
                <w:sz w:val="24"/>
                <w:szCs w:val="24"/>
                <w:color w:val="auto"/>
              </w:rPr>
            </w:pPr>
          </w:p>
        </w:tc>
        <w:tc>
          <w:tcPr>
            <w:tcW w:w="2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guarantors party thereto and The Bank of New York Mellon Trust Company, N.A., as Trustee and Notes Collateral Agent</w:t>
              </w:r>
            </w:hyperlink>
          </w:p>
        </w:tc>
        <w:tc>
          <w:tcPr>
            <w:tcW w:w="94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(incorporated by reference to Exhibit 4.2 to the Company’s Current Report on Form 8-K filed with the Commission on March 21,</w:t>
              </w:r>
            </w:hyperlink>
          </w:p>
        </w:tc>
        <w:tc>
          <w:tcPr>
            <w:tcW w:w="30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2019) (Commission File 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4.16</w:t>
            </w:r>
          </w:p>
        </w:tc>
        <w:tc>
          <w:tcPr>
            <w:tcW w:w="620" w:type="dxa"/>
            <w:vAlign w:val="bottom"/>
          </w:tcPr>
          <w:p>
            <w:pPr>
              <w:spacing w:after="0"/>
              <w:rPr>
                <w:sz w:val="24"/>
                <w:szCs w:val="24"/>
                <w:color w:val="auto"/>
              </w:rPr>
            </w:pP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2026</w:t>
              </w:r>
            </w:hyperlink>
          </w:p>
        </w:tc>
        <w:tc>
          <w:tcPr>
            <w:tcW w:w="8900" w:type="dxa"/>
            <w:vAlign w:val="bottom"/>
            <w:tcBorders>
              <w:bottom w:val="single" w:sz="8" w:color="0000EE"/>
            </w:tcBorders>
            <w:gridSpan w:val="11"/>
          </w:tcPr>
          <w:p>
            <w:pPr>
              <w:ind w:left="40"/>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Notes Supplemental Indenture No. 1, dated as of March 20, 2019, among Dell International L.L.C., EMC Corporation, the</w:t>
              </w:r>
            </w:hyperlink>
          </w:p>
        </w:tc>
        <w:tc>
          <w:tcPr>
            <w:tcW w:w="40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guarantors party thereto and The Bank of New York Mellon Trust Company, N.A., as Trustee and Notes Collateral Agent</w:t>
              </w:r>
            </w:hyperlink>
          </w:p>
        </w:tc>
        <w:tc>
          <w:tcPr>
            <w:tcW w:w="94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(incorporated by reference to Exhibit 4.3 to the Company’s Current Report on Form 8-K filed with the Commission on March 21,</w:t>
              </w:r>
            </w:hyperlink>
          </w:p>
        </w:tc>
        <w:tc>
          <w:tcPr>
            <w:tcW w:w="30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2019) (Commission File 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4.17</w:t>
            </w:r>
          </w:p>
        </w:tc>
        <w:tc>
          <w:tcPr>
            <w:tcW w:w="620" w:type="dxa"/>
            <w:vAlign w:val="bottom"/>
          </w:tcPr>
          <w:p>
            <w:pPr>
              <w:spacing w:after="0"/>
              <w:rPr>
                <w:sz w:val="24"/>
                <w:szCs w:val="24"/>
                <w:color w:val="auto"/>
              </w:rPr>
            </w:pP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2029</w:t>
              </w:r>
            </w:hyperlink>
          </w:p>
        </w:tc>
        <w:tc>
          <w:tcPr>
            <w:tcW w:w="8900" w:type="dxa"/>
            <w:vAlign w:val="bottom"/>
            <w:tcBorders>
              <w:bottom w:val="single" w:sz="8" w:color="0000EE"/>
            </w:tcBorders>
            <w:gridSpan w:val="11"/>
          </w:tcPr>
          <w:p>
            <w:pPr>
              <w:ind w:left="40"/>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Notes Supplemental Indenture No. 1, dated as of March 20, 2019, among Dell International L.L.C., EMC Corporation, the</w:t>
              </w:r>
            </w:hyperlink>
          </w:p>
        </w:tc>
        <w:tc>
          <w:tcPr>
            <w:tcW w:w="40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guarantors party thereto and The Bank of New York Mellon Trust Company, N.A., as Trustee and Notes Collateral Agent</w:t>
              </w:r>
            </w:hyperlink>
          </w:p>
        </w:tc>
        <w:tc>
          <w:tcPr>
            <w:tcW w:w="94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(incorporated by reference to Exhibit 4.4 to the Company’s Current Report on Form 8-K filed with the Commission on March 21,</w:t>
              </w:r>
            </w:hyperlink>
          </w:p>
        </w:tc>
        <w:tc>
          <w:tcPr>
            <w:tcW w:w="30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2019) (Commission File No. 001-37867).</w:t>
              </w:r>
            </w:hyperlink>
          </w:p>
        </w:tc>
      </w:tr>
      <w:tr>
        <w:trPr>
          <w:trHeight w:val="385"/>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6680" w:type="dxa"/>
            <w:vAlign w:val="bottom"/>
            <w:gridSpan w:val="16"/>
          </w:tcPr>
          <w:p>
            <w:pPr>
              <w:ind w:left="980"/>
              <w:spacing w:after="0"/>
              <w:rPr>
                <w:sz w:val="20"/>
                <w:szCs w:val="20"/>
                <w:color w:val="auto"/>
              </w:rPr>
            </w:pPr>
            <w:r>
              <w:rPr>
                <w:rFonts w:ascii="Arial" w:cs="Arial" w:eastAsia="Arial" w:hAnsi="Arial"/>
                <w:sz w:val="18"/>
                <w:szCs w:val="18"/>
                <w:color w:val="auto"/>
              </w:rPr>
              <w:t>II-10</w:t>
            </w: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15"/>
                <w:szCs w:val="15"/>
                <w:color w:val="auto"/>
              </w:rPr>
            </w:pPr>
          </w:p>
        </w:tc>
        <w:tc>
          <w:tcPr>
            <w:tcW w:w="9680" w:type="dxa"/>
            <w:vAlign w:val="bottom"/>
            <w:tcBorders>
              <w:bottom w:val="single" w:sz="8" w:color="auto"/>
            </w:tcBorders>
            <w:gridSpan w:val="18"/>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620" w:type="dxa"/>
            <w:vAlign w:val="bottom"/>
          </w:tcPr>
          <w:p>
            <w:pPr>
              <w:spacing w:after="0"/>
              <w:rPr>
                <w:sz w:val="23"/>
                <w:szCs w:val="23"/>
                <w:color w:val="auto"/>
              </w:rPr>
            </w:pPr>
          </w:p>
        </w:tc>
        <w:tc>
          <w:tcPr>
            <w:tcW w:w="9540" w:type="dxa"/>
            <w:vAlign w:val="bottom"/>
            <w:tcBorders>
              <w:bottom w:val="single" w:sz="8" w:color="0000EE"/>
            </w:tcBorders>
            <w:gridSpan w:val="14"/>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Base Indenture, dated as of April 9, 2020, among Dell International L.L.C., EMC Corporation, the guarantors party thereto and The</w:t>
              </w:r>
            </w:hyperlink>
          </w:p>
        </w:tc>
        <w:tc>
          <w:tcPr>
            <w:tcW w:w="140" w:type="dxa"/>
            <w:vAlign w:val="bottom"/>
            <w:gridSpan w:val="4"/>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Bank of New York Mellon Trust Company, N.A., as Trustee and Notes Collateral Agent (incorporated by reference to Exhibit 4.1 to</w:t>
              </w:r>
            </w:hyperlink>
          </w:p>
        </w:tc>
        <w:tc>
          <w:tcPr>
            <w:tcW w:w="16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the Company’s Current Report on Form 8-K filed with the Commission on April 9, 2020) (Commission File No. 001-37867).</w:t>
              </w:r>
            </w:hyperlink>
          </w:p>
        </w:tc>
        <w:tc>
          <w:tcPr>
            <w:tcW w:w="640" w:type="dxa"/>
            <w:vAlign w:val="bottom"/>
            <w:gridSpan w:val="9"/>
          </w:tcPr>
          <w:p>
            <w:pPr>
              <w:spacing w:after="0"/>
              <w:rPr>
                <w:sz w:val="17"/>
                <w:szCs w:val="17"/>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620" w:type="dxa"/>
            <w:vAlign w:val="bottom"/>
          </w:tcPr>
          <w:p>
            <w:pPr>
              <w:spacing w:after="0"/>
              <w:rPr>
                <w:sz w:val="24"/>
                <w:szCs w:val="24"/>
                <w:color w:val="auto"/>
              </w:rPr>
            </w:pPr>
          </w:p>
        </w:tc>
        <w:tc>
          <w:tcPr>
            <w:tcW w:w="9100" w:type="dxa"/>
            <w:vAlign w:val="bottom"/>
            <w:tcBorders>
              <w:bottom w:val="single" w:sz="8" w:color="0000EE"/>
            </w:tcBorders>
            <w:gridSpan w:val="10"/>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2025 Notes Supplemental Indenture No. 1, dated as of April 9, 2020, among Dell International L.L.C., EMC Corporation, the</w:t>
              </w:r>
            </w:hyperlink>
          </w:p>
        </w:tc>
        <w:tc>
          <w:tcPr>
            <w:tcW w:w="58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guarantors party thereto and The Bank of New York Mellon Trust Company, N.A., as Trustee and Notes Collateral Agent</w:t>
              </w:r>
            </w:hyperlink>
          </w:p>
        </w:tc>
        <w:tc>
          <w:tcPr>
            <w:tcW w:w="94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(incorporated by reference to Exhibit 4.2 to the Company’s Current Report on Form 8-K filed with the Commission on April 9, 2020)</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(Commission File No. 001-37867).</w:t>
              </w:r>
            </w:hyperlink>
          </w:p>
        </w:tc>
        <w:tc>
          <w:tcPr>
            <w:tcW w:w="708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620" w:type="dxa"/>
            <w:vAlign w:val="bottom"/>
          </w:tcPr>
          <w:p>
            <w:pPr>
              <w:spacing w:after="0"/>
              <w:rPr>
                <w:sz w:val="24"/>
                <w:szCs w:val="24"/>
                <w:color w:val="auto"/>
              </w:rPr>
            </w:pPr>
          </w:p>
        </w:tc>
        <w:tc>
          <w:tcPr>
            <w:tcW w:w="9100" w:type="dxa"/>
            <w:vAlign w:val="bottom"/>
            <w:tcBorders>
              <w:bottom w:val="single" w:sz="8" w:color="0000EE"/>
            </w:tcBorders>
            <w:gridSpan w:val="10"/>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2027 Notes Supplemental Indenture No. 1, dated as of April 9, 2020, among Dell International L.L.C., EMC Corporation, the</w:t>
              </w:r>
            </w:hyperlink>
          </w:p>
        </w:tc>
        <w:tc>
          <w:tcPr>
            <w:tcW w:w="58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guarantors party thereto and The Bank of New York Mellon Trust Company, N.A., as Trustee and Notes Collateral Agent</w:t>
              </w:r>
            </w:hyperlink>
          </w:p>
        </w:tc>
        <w:tc>
          <w:tcPr>
            <w:tcW w:w="94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(incorporated by reference to Exhibit 4.3 to the Company’s Current Report on Form 8-K filed with the Commission on April 9, 2020)</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(Commission File No. 001-37867).</w:t>
              </w:r>
            </w:hyperlink>
          </w:p>
        </w:tc>
        <w:tc>
          <w:tcPr>
            <w:tcW w:w="708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620" w:type="dxa"/>
            <w:vAlign w:val="bottom"/>
          </w:tcPr>
          <w:p>
            <w:pPr>
              <w:spacing w:after="0"/>
              <w:rPr>
                <w:sz w:val="24"/>
                <w:szCs w:val="24"/>
                <w:color w:val="auto"/>
              </w:rPr>
            </w:pPr>
          </w:p>
        </w:tc>
        <w:tc>
          <w:tcPr>
            <w:tcW w:w="9100" w:type="dxa"/>
            <w:vAlign w:val="bottom"/>
            <w:tcBorders>
              <w:bottom w:val="single" w:sz="8" w:color="0000EE"/>
            </w:tcBorders>
            <w:gridSpan w:val="10"/>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2030 Notes Supplemental Indenture No. 1, dated as of April 9, 2020, among Dell International L.L.C., EMC Corporation, the</w:t>
              </w:r>
            </w:hyperlink>
          </w:p>
        </w:tc>
        <w:tc>
          <w:tcPr>
            <w:tcW w:w="58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guarantors party thereto and The Bank of New York Mellon Trust Company, N.A., as Trustee and Notes Collateral Agent</w:t>
              </w:r>
            </w:hyperlink>
          </w:p>
        </w:tc>
        <w:tc>
          <w:tcPr>
            <w:tcW w:w="94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(incorporated by reference to Exhibit 4.4 to the Company’s Current Report on Form 8-K filed with the Commission on April 9, 2020)</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(Commission File No. 001-37867).</w:t>
              </w:r>
            </w:hyperlink>
          </w:p>
        </w:tc>
        <w:tc>
          <w:tcPr>
            <w:tcW w:w="708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62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Base Indenture, dated as of December 13, 2021, among Dell International L.L.C., EMC Corporation, the guarantors party thereto and</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The Bank of New York Mellon Trust Company, N.A., as Trustee (incorporated by reference to Exhibit 4.1 to the Company’s Current</w:t>
              </w:r>
            </w:hyperlink>
          </w:p>
        </w:tc>
        <w:tc>
          <w:tcPr>
            <w:tcW w:w="12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Report on Form 8-K filed with the Commission on December 15, 2021) (Commission File 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6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2041 Notes Supplemental Indenture No. 1, dated as of December 13, 2021, among Dell International L.L.C., EMC Corporation, the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guarantors party thereto and The Bank of New York Mellon Trust Company, N.A., as Trustee (incorporated by reference to Exhibit</w:t>
              </w:r>
            </w:hyperlink>
          </w:p>
        </w:tc>
        <w:tc>
          <w:tcPr>
            <w:tcW w:w="14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top w:val="single" w:sz="8" w:color="0000EE"/>
            </w:tcBorders>
            <w:gridSpan w:val="12"/>
          </w:tcPr>
          <w:p>
            <w:pPr>
              <w:spacing w:after="0" w:line="196"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4.</w:t>
              </w:r>
              <w:r>
                <w:rPr>
                  <w:rFonts w:ascii="Arial" w:cs="Arial" w:eastAsia="Arial" w:hAnsi="Arial"/>
                  <w:sz w:val="18"/>
                  <w:szCs w:val="18"/>
                  <w:u w:val="single" w:color="auto"/>
                  <w:color w:val="0000EE"/>
                  <w:w w:val="99"/>
                </w:rPr>
                <w:t>2</w:t>
              </w:r>
              <w:r>
                <w:rPr>
                  <w:rFonts w:ascii="Arial" w:cs="Arial" w:eastAsia="Arial" w:hAnsi="Arial"/>
                  <w:sz w:val="18"/>
                  <w:szCs w:val="18"/>
                  <w:color w:val="0000EE"/>
                  <w:w w:val="99"/>
                </w:rPr>
                <w:t xml:space="preserve"> to the Company’s Current Report on Form 8-K filed with the Commission on December 15, 2021) (Commission File</w:t>
              </w:r>
            </w:hyperlink>
          </w:p>
        </w:tc>
        <w:tc>
          <w:tcPr>
            <w:tcW w:w="24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No. 001-37867).</w:t>
              </w:r>
            </w:hyperlink>
          </w:p>
        </w:tc>
        <w:tc>
          <w:tcPr>
            <w:tcW w:w="980" w:type="dxa"/>
            <w:vAlign w:val="bottom"/>
            <w:gridSpan w:val="1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6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2051 Notes Supplemental Indenture No. 1, dated as of December 13, 2021, among Dell International L.L.C., EMC Corporation, the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guarantors party thereto and The Bank of New York Mellon Trust Company, N.A., as Trustee (incorporated by reference to Exhibit</w:t>
              </w:r>
            </w:hyperlink>
          </w:p>
        </w:tc>
        <w:tc>
          <w:tcPr>
            <w:tcW w:w="14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top w:val="single" w:sz="8" w:color="0000EE"/>
            </w:tcBorders>
            <w:gridSpan w:val="12"/>
          </w:tcPr>
          <w:p>
            <w:pPr>
              <w:spacing w:after="0" w:line="196" w:lineRule="exact"/>
              <w:rPr>
                <w:rFonts w:ascii="Arial" w:cs="Arial" w:eastAsia="Arial" w:hAnsi="Arial"/>
                <w:sz w:val="18"/>
                <w:szCs w:val="18"/>
                <w:color w:val="0000EE"/>
                <w:w w:val="99"/>
              </w:rPr>
            </w:pPr>
            <w:hyperlink r:id="rId163">
              <w:r>
                <w:rPr>
                  <w:rFonts w:ascii="Arial" w:cs="Arial" w:eastAsia="Arial" w:hAnsi="Arial"/>
                  <w:sz w:val="18"/>
                  <w:szCs w:val="18"/>
                  <w:color w:val="0000EE"/>
                  <w:w w:val="99"/>
                </w:rPr>
                <w:t>4.</w:t>
              </w:r>
              <w:r>
                <w:rPr>
                  <w:rFonts w:ascii="Arial" w:cs="Arial" w:eastAsia="Arial" w:hAnsi="Arial"/>
                  <w:sz w:val="18"/>
                  <w:szCs w:val="18"/>
                  <w:u w:val="single" w:color="auto"/>
                  <w:color w:val="0000EE"/>
                  <w:w w:val="99"/>
                </w:rPr>
                <w:t>3</w:t>
              </w:r>
              <w:r>
                <w:rPr>
                  <w:rFonts w:ascii="Arial" w:cs="Arial" w:eastAsia="Arial" w:hAnsi="Arial"/>
                  <w:sz w:val="18"/>
                  <w:szCs w:val="18"/>
                  <w:color w:val="0000EE"/>
                  <w:w w:val="99"/>
                </w:rPr>
                <w:t xml:space="preserve"> to the Company’s Current Report on Form 8-K filed with the Commission on December 15, 2021) (Commission File</w:t>
              </w:r>
            </w:hyperlink>
          </w:p>
        </w:tc>
        <w:tc>
          <w:tcPr>
            <w:tcW w:w="24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No. 001-37867).</w:t>
              </w:r>
            </w:hyperlink>
          </w:p>
        </w:tc>
        <w:tc>
          <w:tcPr>
            <w:tcW w:w="980" w:type="dxa"/>
            <w:vAlign w:val="bottom"/>
            <w:gridSpan w:val="1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6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Registration Rights Agreement, dated as of December 13, 2021, among Dell International L.L.C., EMC Corporation, the guarantors</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party thereto and BofA Securities, Inc., Barclays Capital Inc., Citigroup Global Markets Inc., Credit Suisse Securities (USA) LLC,</w:t>
              </w:r>
            </w:hyperlink>
          </w:p>
        </w:tc>
        <w:tc>
          <w:tcPr>
            <w:tcW w:w="120" w:type="dxa"/>
            <w:vAlign w:val="bottom"/>
            <w:tcBorders>
              <w:top w:val="single" w:sz="8" w:color="0000EE"/>
            </w:tcBorders>
            <w:gridSpan w:val="3"/>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18"/>
          </w:tcPr>
          <w:p>
            <w:pPr>
              <w:spacing w:after="0" w:line="196" w:lineRule="exact"/>
              <w:rPr>
                <w:rFonts w:ascii="Arial" w:cs="Arial" w:eastAsia="Arial" w:hAnsi="Arial"/>
                <w:sz w:val="18"/>
                <w:szCs w:val="18"/>
                <w:color w:val="0000EE"/>
                <w:w w:val="96"/>
              </w:rPr>
            </w:pPr>
            <w:hyperlink r:id="rId164">
              <w:r>
                <w:rPr>
                  <w:rFonts w:ascii="Arial" w:cs="Arial" w:eastAsia="Arial" w:hAnsi="Arial"/>
                  <w:sz w:val="18"/>
                  <w:szCs w:val="18"/>
                  <w:color w:val="0000EE"/>
                  <w:w w:val="96"/>
                </w:rPr>
                <w:t>J.P. Morgan Securities LLC and Wells Fargo Securities, LLC, as the representatives for the initial purchasers. (incorporated by</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reference to Exhibit 4.4 to the Company’s Current Report on Form 8-K filed with the Commission on December 15, 2021)</w:t>
              </w:r>
            </w:hyperlink>
          </w:p>
        </w:tc>
        <w:tc>
          <w:tcPr>
            <w:tcW w:w="260" w:type="dxa"/>
            <w:vAlign w:val="bottom"/>
            <w:tcBorders>
              <w:top w:val="single" w:sz="8" w:color="0000EE"/>
            </w:tcBorders>
            <w:gridSpan w:val="2"/>
          </w:tcPr>
          <w:p>
            <w:pPr>
              <w:spacing w:after="0"/>
              <w:rPr>
                <w:sz w:val="17"/>
                <w:szCs w:val="17"/>
                <w:color w:val="auto"/>
              </w:rPr>
            </w:pPr>
          </w:p>
        </w:tc>
        <w:tc>
          <w:tcPr>
            <w:tcW w:w="58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(Commission File No. 001-37867).</w:t>
              </w:r>
            </w:hyperlink>
          </w:p>
        </w:tc>
        <w:tc>
          <w:tcPr>
            <w:tcW w:w="7140" w:type="dxa"/>
            <w:vAlign w:val="bottom"/>
            <w:gridSpan w:val="16"/>
          </w:tcPr>
          <w:p>
            <w:pPr>
              <w:spacing w:after="0"/>
              <w:rPr>
                <w:sz w:val="17"/>
                <w:szCs w:val="17"/>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620" w:type="dxa"/>
            <w:vAlign w:val="bottom"/>
          </w:tcPr>
          <w:p>
            <w:pPr>
              <w:spacing w:after="0"/>
              <w:rPr>
                <w:sz w:val="24"/>
                <w:szCs w:val="24"/>
                <w:color w:val="auto"/>
              </w:rPr>
            </w:pPr>
          </w:p>
        </w:tc>
        <w:tc>
          <w:tcPr>
            <w:tcW w:w="6040" w:type="dxa"/>
            <w:vAlign w:val="bottom"/>
            <w:tcBorders>
              <w:bottom w:val="single" w:sz="8" w:color="0000EE"/>
            </w:tcBorders>
            <w:gridSpan w:val="4"/>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Form of Global Note for 3.375% Senior Notes due 2041 (included in Exhibit 4.23).</w:t>
              </w:r>
            </w:hyperlink>
          </w:p>
        </w:tc>
        <w:tc>
          <w:tcPr>
            <w:tcW w:w="3640" w:type="dxa"/>
            <w:vAlign w:val="bottom"/>
            <w:gridSpan w:val="14"/>
          </w:tcPr>
          <w:p>
            <w:pPr>
              <w:spacing w:after="0"/>
              <w:rPr>
                <w:sz w:val="24"/>
                <w:szCs w:val="24"/>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620" w:type="dxa"/>
            <w:vAlign w:val="bottom"/>
          </w:tcPr>
          <w:p>
            <w:pPr>
              <w:spacing w:after="0"/>
              <w:rPr>
                <w:sz w:val="24"/>
                <w:szCs w:val="24"/>
                <w:color w:val="auto"/>
              </w:rPr>
            </w:pPr>
          </w:p>
        </w:tc>
        <w:tc>
          <w:tcPr>
            <w:tcW w:w="6020" w:type="dxa"/>
            <w:vAlign w:val="bottom"/>
            <w:tcBorders>
              <w:bottom w:val="single" w:sz="8" w:color="0000EE"/>
            </w:tcBorders>
            <w:gridSpan w:val="3"/>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Form of Global Note for 3.450% Senior Notes due 2051 (included in Exhibit 4.24).</w:t>
              </w:r>
            </w:hyperlink>
          </w:p>
        </w:tc>
        <w:tc>
          <w:tcPr>
            <w:tcW w:w="3660" w:type="dxa"/>
            <w:vAlign w:val="bottom"/>
            <w:gridSpan w:val="15"/>
          </w:tcPr>
          <w:p>
            <w:pPr>
              <w:spacing w:after="0"/>
              <w:rPr>
                <w:sz w:val="24"/>
                <w:szCs w:val="24"/>
                <w:color w:val="auto"/>
              </w:rPr>
            </w:pPr>
          </w:p>
        </w:tc>
      </w:tr>
      <w:tr>
        <w:trPr>
          <w:trHeight w:val="385"/>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40" w:type="dxa"/>
            <w:vAlign w:val="bottom"/>
            <w:gridSpan w:val="16"/>
          </w:tcPr>
          <w:p>
            <w:pPr>
              <w:ind w:left="1440"/>
              <w:spacing w:after="0"/>
              <w:rPr>
                <w:sz w:val="20"/>
                <w:szCs w:val="20"/>
                <w:color w:val="auto"/>
              </w:rPr>
            </w:pPr>
            <w:r>
              <w:rPr>
                <w:rFonts w:ascii="Arial" w:cs="Arial" w:eastAsia="Arial" w:hAnsi="Arial"/>
                <w:sz w:val="18"/>
                <w:szCs w:val="18"/>
                <w:color w:val="auto"/>
              </w:rPr>
              <w:t>II-11</w:t>
            </w:r>
          </w:p>
        </w:tc>
      </w:tr>
    </w:tbl>
    <w:p>
      <w:pPr>
        <w:sectPr>
          <w:pgSz w:w="11900" w:h="16838" w:orient="portrait"/>
          <w:cols w:equalWidth="0" w:num="1">
            <w:col w:w="11140"/>
          </w:cols>
          <w:pgMar w:left="320" w:top="459"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15"/>
                <w:szCs w:val="15"/>
                <w:color w:val="auto"/>
              </w:rPr>
            </w:pPr>
          </w:p>
        </w:tc>
        <w:tc>
          <w:tcPr>
            <w:tcW w:w="9680" w:type="dxa"/>
            <w:vAlign w:val="bottom"/>
            <w:tcBorders>
              <w:bottom w:val="single" w:sz="8" w:color="auto"/>
            </w:tcBorders>
            <w:gridSpan w:val="25"/>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620" w:type="dxa"/>
            <w:vAlign w:val="bottom"/>
          </w:tcPr>
          <w:p>
            <w:pPr>
              <w:spacing w:after="0"/>
              <w:rPr>
                <w:sz w:val="23"/>
                <w:szCs w:val="23"/>
                <w:color w:val="auto"/>
              </w:rPr>
            </w:pPr>
          </w:p>
        </w:tc>
        <w:tc>
          <w:tcPr>
            <w:tcW w:w="9060" w:type="dxa"/>
            <w:vAlign w:val="bottom"/>
            <w:tcBorders>
              <w:bottom w:val="single" w:sz="8" w:color="0000EE"/>
            </w:tcBorders>
            <w:gridSpan w:val="7"/>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Second Amended and Restated Registration Rights Agreement, dated as of December 25, 2018, by and among the Company,</w:t>
              </w:r>
            </w:hyperlink>
          </w:p>
        </w:tc>
        <w:tc>
          <w:tcPr>
            <w:tcW w:w="620" w:type="dxa"/>
            <w:vAlign w:val="bottom"/>
            <w:gridSpan w:val="18"/>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Michael S. Dell, Susan Lieberman Dell Separate Property Trust, MSDC Denali Investors, L.P., MSDC Denali EIV, LLC, Silver Lake</w:t>
              </w:r>
            </w:hyperlink>
          </w:p>
        </w:tc>
        <w:tc>
          <w:tcPr>
            <w:tcW w:w="8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Partners III, L.P., Silver Lake Technology Investors III, L.P., Silver Lake Partners IV, L.P., Silver Lake Technology Investors IV, L.P.,</w:t>
              </w:r>
            </w:hyperlink>
          </w:p>
        </w:tc>
        <w:tc>
          <w:tcPr>
            <w:tcW w:w="8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SLP Denali Co-Invest, L.P., Venezio Investments Pte. Ltd. and the Management Stockholders party thereto (incorporated by reference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to Exhibit 10.4 to the Company’s Current Report on Form 8-K filed with the Commission on December 28, 2018) (Commission File</w:t>
              </w:r>
            </w:hyperlink>
          </w:p>
        </w:tc>
        <w:tc>
          <w:tcPr>
            <w:tcW w:w="10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620" w:type="dxa"/>
            <w:vAlign w:val="bottom"/>
          </w:tcPr>
          <w:p>
            <w:pPr>
              <w:spacing w:after="0"/>
              <w:rPr>
                <w:sz w:val="24"/>
                <w:szCs w:val="24"/>
                <w:color w:val="auto"/>
              </w:rPr>
            </w:pPr>
          </w:p>
        </w:tc>
        <w:tc>
          <w:tcPr>
            <w:tcW w:w="9000" w:type="dxa"/>
            <w:vAlign w:val="bottom"/>
            <w:tcBorders>
              <w:bottom w:val="single" w:sz="8" w:color="0000EE"/>
            </w:tcBorders>
            <w:gridSpan w:val="5"/>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Amendment No. 1 to Second Amended and Restated Registration Rights Agreement, dated as of May 27, 2019, among Dell</w:t>
              </w:r>
            </w:hyperlink>
          </w:p>
        </w:tc>
        <w:tc>
          <w:tcPr>
            <w:tcW w:w="680" w:type="dxa"/>
            <w:vAlign w:val="bottom"/>
            <w:gridSpan w:val="2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Technologies Inc., Michael S. Dell, Susan Lieberman Dell Separate Property Trust, MSDC Denali Investors, L.P., MSDC Denali EIV,</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LLC, SL SPV-2, L.P., Silver Lake Partners IV, L.P., Silver Lake Technology Investors IV, L.P., Silver Lake Partners V DE (AIV),</w:t>
              </w:r>
            </w:hyperlink>
          </w:p>
        </w:tc>
        <w:tc>
          <w:tcPr>
            <w:tcW w:w="36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L.P., Silver Lake Technology Investors V, L.P., SLP Denali Co-Invest, L.P. and Venezio Investments Pte. Ltd. (incorporated by</w:t>
              </w:r>
            </w:hyperlink>
          </w:p>
        </w:tc>
        <w:tc>
          <w:tcPr>
            <w:tcW w:w="560" w:type="dxa"/>
            <w:vAlign w:val="bottom"/>
            <w:gridSpan w:val="1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reference to Exhibit 4.40 to the Company’s Annual Report on Form 10-K for the fiscal year ended January 31, 2020) (Commission</w:t>
              </w:r>
            </w:hyperlink>
          </w:p>
        </w:tc>
        <w:tc>
          <w:tcPr>
            <w:tcW w:w="24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File 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4.30</w:t>
            </w:r>
          </w:p>
        </w:tc>
        <w:tc>
          <w:tcPr>
            <w:tcW w:w="620" w:type="dxa"/>
            <w:vAlign w:val="bottom"/>
          </w:tcPr>
          <w:p>
            <w:pPr>
              <w:spacing w:after="0"/>
              <w:rPr>
                <w:sz w:val="24"/>
                <w:szCs w:val="24"/>
                <w:color w:val="auto"/>
              </w:rPr>
            </w:pPr>
          </w:p>
        </w:tc>
        <w:tc>
          <w:tcPr>
            <w:tcW w:w="9320" w:type="dxa"/>
            <w:vAlign w:val="bottom"/>
            <w:tcBorders>
              <w:bottom w:val="single" w:sz="8" w:color="0000EE"/>
            </w:tcBorders>
            <w:gridSpan w:val="12"/>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Amendment No. 2 to the Second Amended and Restated Registration Rights Agreement, dated as of April 15, 2020, among Dell</w:t>
              </w:r>
            </w:hyperlink>
          </w:p>
        </w:tc>
        <w:tc>
          <w:tcPr>
            <w:tcW w:w="36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Technologies Inc., Michael S. Dell and Susan Lieberman Dell Separate Property Trust, SL SPV-2 L.P., Silver Lake Partners IV, L.P.,</w:t>
              </w:r>
            </w:hyperlink>
          </w:p>
        </w:tc>
        <w:tc>
          <w:tcPr>
            <w:tcW w:w="12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Silver Lake Technology Investors IV, L.P., Silver Lake Partners V DE (AIV), L.P., Silver Lake Technology Investors V, L.P. and</w:t>
              </w:r>
            </w:hyperlink>
          </w:p>
        </w:tc>
        <w:tc>
          <w:tcPr>
            <w:tcW w:w="440" w:type="dxa"/>
            <w:vAlign w:val="bottom"/>
            <w:gridSpan w:val="1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Venezio Investments Pte. Ltd. (incorporated by reference to Exhibit 4.9 to the Company’s Quarterly Report on Form 10-Q for the</w:t>
              </w:r>
            </w:hyperlink>
          </w:p>
        </w:tc>
        <w:tc>
          <w:tcPr>
            <w:tcW w:w="36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quarterly period ended May 1, 2020) (Commission File No. 001-37867).</w:t>
              </w:r>
            </w:hyperlink>
          </w:p>
        </w:tc>
        <w:tc>
          <w:tcPr>
            <w:tcW w:w="4440" w:type="dxa"/>
            <w:vAlign w:val="bottom"/>
            <w:gridSpan w:val="22"/>
          </w:tcPr>
          <w:p>
            <w:pPr>
              <w:spacing w:after="0"/>
              <w:rPr>
                <w:sz w:val="17"/>
                <w:szCs w:val="17"/>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4.31</w:t>
            </w:r>
          </w:p>
        </w:tc>
        <w:tc>
          <w:tcPr>
            <w:tcW w:w="62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w w:val="93"/>
              </w:rPr>
            </w:pPr>
            <w:hyperlink r:id="rId169">
              <w:r>
                <w:rPr>
                  <w:rFonts w:ascii="Arial" w:cs="Arial" w:eastAsia="Arial" w:hAnsi="Arial"/>
                  <w:sz w:val="18"/>
                  <w:szCs w:val="18"/>
                  <w:color w:val="0000EE"/>
                  <w:w w:val="93"/>
                </w:rPr>
                <w:t>Amendment No. 3 to the Second Amended and Restated Registration Rights Agreement, dated as of September 15, 2020, among</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80" w:type="dxa"/>
            <w:vAlign w:val="bottom"/>
            <w:gridSpan w:val="4"/>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Dell Technologies Inc., Michael S. Dell and Susan Lieberman Dell Separate Property Trust, SL SPV-2 L.P., Silver Lake Partners IV,</w:t>
              </w:r>
            </w:hyperlink>
          </w:p>
        </w:tc>
        <w:tc>
          <w:tcPr>
            <w:tcW w:w="16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L.P., Silver Lake Technology Investors IV, L.P., Silver Lake Partners V DE (AIV), L.P., Silver Lake Technology Investors V, L.P. and</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Venezio Investments Pte. Ltd. (incorporated by reference to Exhibit 4.1 to the Company’s Quarterly Report on Form 10-Q for the</w:t>
              </w:r>
            </w:hyperlink>
          </w:p>
        </w:tc>
        <w:tc>
          <w:tcPr>
            <w:tcW w:w="280" w:type="dxa"/>
            <w:vAlign w:val="bottom"/>
            <w:tcBorders>
              <w:top w:val="single" w:sz="8" w:color="0000EE"/>
            </w:tcBorders>
            <w:gridSpan w:val="9"/>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quarterly period ended October 30, 2020) (Commission File No. 001-37867).</w:t>
              </w:r>
            </w:hyperlink>
          </w:p>
        </w:tc>
        <w:tc>
          <w:tcPr>
            <w:tcW w:w="4100" w:type="dxa"/>
            <w:vAlign w:val="bottom"/>
            <w:gridSpan w:val="21"/>
          </w:tcPr>
          <w:p>
            <w:pPr>
              <w:spacing w:after="0"/>
              <w:rPr>
                <w:sz w:val="17"/>
                <w:szCs w:val="17"/>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4.32</w:t>
            </w:r>
          </w:p>
        </w:tc>
        <w:tc>
          <w:tcPr>
            <w:tcW w:w="620" w:type="dxa"/>
            <w:vAlign w:val="bottom"/>
          </w:tcPr>
          <w:p>
            <w:pPr>
              <w:spacing w:after="0"/>
              <w:rPr>
                <w:sz w:val="24"/>
                <w:szCs w:val="24"/>
                <w:color w:val="auto"/>
              </w:rPr>
            </w:pPr>
          </w:p>
        </w:tc>
        <w:tc>
          <w:tcPr>
            <w:tcW w:w="9260" w:type="dxa"/>
            <w:vAlign w:val="bottom"/>
            <w:tcBorders>
              <w:bottom w:val="single" w:sz="8" w:color="0000EE"/>
            </w:tcBorders>
            <w:gridSpan w:val="11"/>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Consent to the Extension of Registration Rights Under the Second Amended and Restated Registration Rights Agreement, dated</w:t>
              </w:r>
            </w:hyperlink>
          </w:p>
        </w:tc>
        <w:tc>
          <w:tcPr>
            <w:tcW w:w="420" w:type="dxa"/>
            <w:vAlign w:val="bottom"/>
            <w:gridSpan w:val="1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January 3, 2022, among Dell Technologies Inc. and SL SPV-2 L.P., Silver Lake Partners IV, L.P., Silver Lake Technology Investors</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2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IV, L.P., Silver Lake Partners V DE (AIV), L.P., Silver Lake Technology Investors V, L.P. (incorporated by reference to Exhibit 4.33</w:t>
              </w:r>
            </w:hyperlink>
          </w:p>
        </w:tc>
        <w:tc>
          <w:tcPr>
            <w:tcW w:w="14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6"/>
              </w:rPr>
            </w:pPr>
            <w:hyperlink r:id="rId170">
              <w:r>
                <w:rPr>
                  <w:rFonts w:ascii="Arial" w:cs="Arial" w:eastAsia="Arial" w:hAnsi="Arial"/>
                  <w:sz w:val="18"/>
                  <w:szCs w:val="18"/>
                  <w:color w:val="0000EE"/>
                  <w:w w:val="96"/>
                </w:rPr>
                <w:t>to the Company’s Annual Report on Form 10-K for the fiscal year ended January 28, 2022) (Commission File 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2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620" w:type="dxa"/>
            <w:vAlign w:val="bottom"/>
          </w:tcPr>
          <w:p>
            <w:pPr>
              <w:spacing w:after="0"/>
              <w:rPr>
                <w:sz w:val="24"/>
                <w:szCs w:val="24"/>
                <w:color w:val="auto"/>
              </w:rPr>
            </w:pPr>
          </w:p>
        </w:tc>
        <w:tc>
          <w:tcPr>
            <w:tcW w:w="9260" w:type="dxa"/>
            <w:vAlign w:val="bottom"/>
            <w:tcBorders>
              <w:bottom w:val="single" w:sz="8" w:color="0000EE"/>
            </w:tcBorders>
            <w:gridSpan w:val="11"/>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Consent to the Extension of Registration Rights Under the Second Amended and Restated Registration Rights Agreement, dated</w:t>
              </w:r>
            </w:hyperlink>
          </w:p>
        </w:tc>
        <w:tc>
          <w:tcPr>
            <w:tcW w:w="420" w:type="dxa"/>
            <w:vAlign w:val="bottom"/>
            <w:gridSpan w:val="1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March 31, 2022, among Dell Technologies Inc. and SL SPV-2 L.P., Silver Lake Partners IV, L.P., Silver Lake Technology Investors</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20" w:type="dxa"/>
            <w:vAlign w:val="bottom"/>
            <w:gridSpan w:val="6"/>
            <w:shd w:val="clear" w:color="auto" w:fill="0000EE"/>
          </w:tcPr>
          <w:p>
            <w:pPr>
              <w:spacing w:after="0" w:line="20" w:lineRule="exact"/>
              <w:rPr>
                <w:sz w:val="1"/>
                <w:szCs w:val="1"/>
                <w:color w:val="auto"/>
              </w:rPr>
            </w:pPr>
          </w:p>
        </w:tc>
        <w:tc>
          <w:tcPr>
            <w:tcW w:w="34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IV, L.P., Silver Lake Partners V DE (AIV), L.P., Silver Lake Technology Investors V, L.P. (incorporated by reference to Exhibit 4.1 to</w:t>
              </w:r>
            </w:hyperlink>
          </w:p>
        </w:tc>
        <w:tc>
          <w:tcPr>
            <w:tcW w:w="4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4"/>
              </w:rPr>
            </w:pPr>
            <w:hyperlink r:id="rId171">
              <w:r>
                <w:rPr>
                  <w:rFonts w:ascii="Arial" w:cs="Arial" w:eastAsia="Arial" w:hAnsi="Arial"/>
                  <w:sz w:val="18"/>
                  <w:szCs w:val="18"/>
                  <w:color w:val="0000EE"/>
                  <w:w w:val="94"/>
                </w:rPr>
                <w:t>the Company’s Quarterly Report on Form 10-Q for the quarterly period ended April 29, 2022) (Commission File No. 001-37867).</w:t>
              </w:r>
            </w:hyperlink>
          </w:p>
        </w:tc>
      </w:tr>
      <w:tr>
        <w:trPr>
          <w:trHeight w:val="304"/>
        </w:trPr>
        <w:tc>
          <w:tcPr>
            <w:tcW w:w="720" w:type="dxa"/>
            <w:vAlign w:val="bottom"/>
          </w:tcPr>
          <w:p>
            <w:pPr>
              <w:jc w:val="center"/>
              <w:spacing w:after="0"/>
              <w:rPr>
                <w:sz w:val="20"/>
                <w:szCs w:val="20"/>
                <w:color w:val="auto"/>
              </w:rPr>
            </w:pPr>
            <w:r>
              <w:rPr>
                <w:rFonts w:ascii="Arial" w:cs="Arial" w:eastAsia="Arial" w:hAnsi="Arial"/>
                <w:sz w:val="18"/>
                <w:szCs w:val="18"/>
                <w:color w:val="auto"/>
                <w:w w:val="91"/>
              </w:rPr>
              <w:t>4.34</w:t>
            </w:r>
          </w:p>
        </w:tc>
        <w:tc>
          <w:tcPr>
            <w:tcW w:w="620" w:type="dxa"/>
            <w:vAlign w:val="bottom"/>
          </w:tcPr>
          <w:p>
            <w:pPr>
              <w:spacing w:after="0"/>
              <w:rPr>
                <w:sz w:val="24"/>
                <w:szCs w:val="24"/>
                <w:color w:val="auto"/>
              </w:rPr>
            </w:pPr>
          </w:p>
        </w:tc>
        <w:tc>
          <w:tcPr>
            <w:tcW w:w="9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Consent to the Extension of Registration Rights Under the Second Amended and Restated Registration Rights Agreement, dated</w:t>
              </w:r>
            </w:hyperlink>
          </w:p>
        </w:tc>
        <w:tc>
          <w:tcPr>
            <w:tcW w:w="100" w:type="dxa"/>
            <w:vAlign w:val="bottom"/>
            <w:tcBorders>
              <w:top w:val="single" w:sz="8" w:color="0000EE"/>
            </w:tcBorders>
            <w:gridSpan w:val="3"/>
          </w:tcPr>
          <w:p>
            <w:pPr>
              <w:spacing w:after="0"/>
              <w:rPr>
                <w:sz w:val="24"/>
                <w:szCs w:val="24"/>
                <w:color w:val="auto"/>
              </w:rPr>
            </w:pPr>
          </w:p>
        </w:tc>
        <w:tc>
          <w:tcPr>
            <w:tcW w:w="32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June 28, 2022, among Dell Technologies Inc. and SL SPV-2 L.P., Silver Lake Partners IV, L.P., Silver Lake Technology Investors IV,</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20" w:type="dxa"/>
            <w:vAlign w:val="bottom"/>
            <w:gridSpan w:val="6"/>
            <w:shd w:val="clear" w:color="auto" w:fill="0000EE"/>
          </w:tcPr>
          <w:p>
            <w:pPr>
              <w:spacing w:after="0" w:line="20" w:lineRule="exact"/>
              <w:rPr>
                <w:sz w:val="1"/>
                <w:szCs w:val="1"/>
                <w:color w:val="auto"/>
              </w:rPr>
            </w:pPr>
          </w:p>
        </w:tc>
        <w:tc>
          <w:tcPr>
            <w:tcW w:w="600" w:type="dxa"/>
            <w:vAlign w:val="bottom"/>
            <w:gridSpan w:val="1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L.P., Silver Lake Partners V DE (AIV), L.P., Silver Lake Technology Investors V, L.P. (incorporated by reference to Exhibit 4.1 to the</w:t>
              </w:r>
            </w:hyperlink>
          </w:p>
        </w:tc>
        <w:tc>
          <w:tcPr>
            <w:tcW w:w="4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8"/>
              </w:rPr>
            </w:pPr>
            <w:hyperlink r:id="rId172">
              <w:r>
                <w:rPr>
                  <w:rFonts w:ascii="Arial" w:cs="Arial" w:eastAsia="Arial" w:hAnsi="Arial"/>
                  <w:sz w:val="18"/>
                  <w:szCs w:val="18"/>
                  <w:color w:val="0000EE"/>
                  <w:w w:val="98"/>
                </w:rPr>
                <w:t>Company’s Quarterly Report on Form 10-Q for the quarterly period ended July 29, 2022) (Commission File No. 001-37867).</w:t>
              </w:r>
            </w:hyperlink>
          </w:p>
        </w:tc>
      </w:tr>
      <w:tr>
        <w:trPr>
          <w:trHeight w:val="385"/>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500" w:type="dxa"/>
            <w:vAlign w:val="bottom"/>
            <w:tcBorders>
              <w:top w:val="single" w:sz="8" w:color="0000EE"/>
            </w:tcBorders>
            <w:gridSpan w:val="4"/>
          </w:tcPr>
          <w:p>
            <w:pPr>
              <w:ind w:left="2460"/>
              <w:spacing w:after="0"/>
              <w:rPr>
                <w:sz w:val="20"/>
                <w:szCs w:val="20"/>
                <w:color w:val="auto"/>
              </w:rPr>
            </w:pPr>
            <w:r>
              <w:rPr>
                <w:rFonts w:ascii="Arial" w:cs="Arial" w:eastAsia="Arial" w:hAnsi="Arial"/>
                <w:sz w:val="18"/>
                <w:szCs w:val="18"/>
                <w:color w:val="auto"/>
              </w:rPr>
              <w:t>II-12</w:t>
            </w:r>
          </w:p>
        </w:tc>
        <w:tc>
          <w:tcPr>
            <w:tcW w:w="660" w:type="dxa"/>
            <w:vAlign w:val="bottom"/>
            <w:gridSpan w:val="19"/>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620" w:type="dxa"/>
            <w:vAlign w:val="bottom"/>
          </w:tcPr>
          <w:p>
            <w:pPr>
              <w:spacing w:after="0"/>
              <w:rPr>
                <w:sz w:val="15"/>
                <w:szCs w:val="15"/>
                <w:color w:val="auto"/>
              </w:rPr>
            </w:pPr>
          </w:p>
        </w:tc>
        <w:tc>
          <w:tcPr>
            <w:tcW w:w="9680" w:type="dxa"/>
            <w:vAlign w:val="bottom"/>
            <w:tcBorders>
              <w:bottom w:val="single" w:sz="8" w:color="auto"/>
            </w:tcBorders>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4.35</w:t>
            </w:r>
          </w:p>
        </w:tc>
        <w:tc>
          <w:tcPr>
            <w:tcW w:w="620" w:type="dxa"/>
            <w:vAlign w:val="bottom"/>
          </w:tcPr>
          <w:p>
            <w:pPr>
              <w:spacing w:after="0"/>
              <w:rPr>
                <w:sz w:val="23"/>
                <w:szCs w:val="23"/>
                <w:color w:val="auto"/>
              </w:rPr>
            </w:pPr>
          </w:p>
        </w:tc>
        <w:tc>
          <w:tcPr>
            <w:tcW w:w="9300" w:type="dxa"/>
            <w:vAlign w:val="bottom"/>
            <w:tcBorders>
              <w:bottom w:val="single" w:sz="8" w:color="0000EE"/>
            </w:tcBorders>
            <w:gridSpan w:val="12"/>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Consent to the Extension of Registration Rights Under the Second Amended and Restated Registration Rights Agreement, dated</w:t>
              </w:r>
            </w:hyperlink>
          </w:p>
        </w:tc>
        <w:tc>
          <w:tcPr>
            <w:tcW w:w="380" w:type="dxa"/>
            <w:vAlign w:val="bottom"/>
            <w:gridSpan w:val="10"/>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September 22, 2022, among Dell Technologies Inc. and SL SPV-2 L.P., Silver Lake Partners IV, L.P., Silver Lake Technology</w:t>
              </w:r>
            </w:hyperlink>
          </w:p>
        </w:tc>
        <w:tc>
          <w:tcPr>
            <w:tcW w:w="62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w w:val="95"/>
              </w:rPr>
            </w:pPr>
            <w:hyperlink r:id="rId174">
              <w:r>
                <w:rPr>
                  <w:rFonts w:ascii="Arial" w:cs="Arial" w:eastAsia="Arial" w:hAnsi="Arial"/>
                  <w:sz w:val="18"/>
                  <w:szCs w:val="18"/>
                  <w:color w:val="0000EE"/>
                  <w:w w:val="95"/>
                </w:rPr>
                <w:t>Investors IV, L.P., Silver Lake Partners V DE (AIV), L.P., Silver Lake Technology Investors V, L.P. (incorporated by reference to</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Exhibit 4.1 to the Company’s Quarterly Report on Form 10-Q for the quarterly period ended October 28, 2022) (Commission File</w:t>
              </w:r>
            </w:hyperlink>
          </w:p>
        </w:tc>
        <w:tc>
          <w:tcPr>
            <w:tcW w:w="320" w:type="dxa"/>
            <w:vAlign w:val="bottom"/>
            <w:gridSpan w:val="9"/>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4.36</w:t>
            </w:r>
          </w:p>
        </w:tc>
        <w:tc>
          <w:tcPr>
            <w:tcW w:w="620" w:type="dxa"/>
            <w:vAlign w:val="bottom"/>
          </w:tcPr>
          <w:p>
            <w:pPr>
              <w:spacing w:after="0"/>
              <w:rPr>
                <w:sz w:val="24"/>
                <w:szCs w:val="24"/>
                <w:color w:val="auto"/>
              </w:rPr>
            </w:pPr>
          </w:p>
        </w:tc>
        <w:tc>
          <w:tcPr>
            <w:tcW w:w="9300" w:type="dxa"/>
            <w:vAlign w:val="bottom"/>
            <w:tcBorders>
              <w:bottom w:val="single" w:sz="8" w:color="0000EE"/>
            </w:tcBorders>
            <w:gridSpan w:val="12"/>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Consent to the Extension of Registration Rights Under the Second Amended and Restated Registration Rights Agreement, dated</w:t>
              </w:r>
            </w:hyperlink>
          </w:p>
        </w:tc>
        <w:tc>
          <w:tcPr>
            <w:tcW w:w="38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January 18, 2022, among Dell Technologies Inc. and SL SPV-2 L.P., Silver Lake Partners IV, L.P., Silver Lake Technology Investors</w:t>
              </w:r>
            </w:hyperlink>
          </w:p>
        </w:tc>
        <w:tc>
          <w:tcPr>
            <w:tcW w:w="12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IV, L.P., Silver Lake Partners V DE (AIV), L.P., Silver Lake Technology Investors V, L.P. (incorporated by reference to Exhibit 4.36</w:t>
              </w:r>
            </w:hyperlink>
          </w:p>
        </w:tc>
        <w:tc>
          <w:tcPr>
            <w:tcW w:w="14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w w:val="96"/>
              </w:rPr>
            </w:pPr>
            <w:hyperlink r:id="rId175">
              <w:r>
                <w:rPr>
                  <w:rFonts w:ascii="Arial" w:cs="Arial" w:eastAsia="Arial" w:hAnsi="Arial"/>
                  <w:sz w:val="18"/>
                  <w:szCs w:val="18"/>
                  <w:color w:val="0000EE"/>
                  <w:w w:val="96"/>
                </w:rPr>
                <w:t>to the Company’s Annual Report on Form 10-K for the fiscal year ended February 3, 2023) (Commission File No. 001-37867).</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4.37</w:t>
            </w:r>
          </w:p>
        </w:tc>
        <w:tc>
          <w:tcPr>
            <w:tcW w:w="620" w:type="dxa"/>
            <w:vAlign w:val="bottom"/>
          </w:tcPr>
          <w:p>
            <w:pPr>
              <w:spacing w:after="0"/>
              <w:rPr>
                <w:sz w:val="24"/>
                <w:szCs w:val="24"/>
                <w:color w:val="auto"/>
              </w:rPr>
            </w:pPr>
          </w:p>
        </w:tc>
        <w:tc>
          <w:tcPr>
            <w:tcW w:w="9300" w:type="dxa"/>
            <w:vAlign w:val="bottom"/>
            <w:tcBorders>
              <w:bottom w:val="single" w:sz="8" w:color="0000EE"/>
            </w:tcBorders>
            <w:gridSpan w:val="12"/>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Consent to the Extension of Registration Rights Under the Second Amended and Restated Registration Rights Agreement, dated</w:t>
              </w:r>
            </w:hyperlink>
          </w:p>
        </w:tc>
        <w:tc>
          <w:tcPr>
            <w:tcW w:w="38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March 30, 2023, among Dell Technologies Inc. and SL SPV-2 L.P., Silver Lake Partners IV, L.P., Silver Lake Technology Investors</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IV, L.P., Silver Lake Partners V DE (AIV), L.P., Silver Lake Technology Investors V, L.P. (incorporated by reference to Exhibit 4.1 to</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76">
              <w:r>
                <w:rPr>
                  <w:rFonts w:ascii="Arial" w:cs="Arial" w:eastAsia="Arial" w:hAnsi="Arial"/>
                  <w:sz w:val="18"/>
                  <w:szCs w:val="18"/>
                  <w:color w:val="0000EE"/>
                  <w:w w:val="95"/>
                </w:rPr>
                <w:t>the Company’s Quarterly Report on Form 10-Q for the quarterly period ended May 5, 2023) (Commission File No. 001-37867).</w:t>
              </w:r>
            </w:hyperlink>
          </w:p>
        </w:tc>
        <w:tc>
          <w:tcPr>
            <w:tcW w:w="6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4.38</w:t>
            </w:r>
          </w:p>
        </w:tc>
        <w:tc>
          <w:tcPr>
            <w:tcW w:w="62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Base Indenture, dated as of January 24, 2023, among Dell International L.L.C., EMC Corporation, the guarantors party thereto and</w:t>
              </w:r>
            </w:hyperlink>
          </w:p>
        </w:tc>
        <w:tc>
          <w:tcPr>
            <w:tcW w:w="1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The Bank of New York Mellon Trust Company, N.A., as Trustee (incorporated by reference to Exhibit 4.1 to the Company’s Current</w:t>
              </w:r>
            </w:hyperlink>
          </w:p>
        </w:tc>
        <w:tc>
          <w:tcPr>
            <w:tcW w:w="12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Report on Form 8-K filed with the Commission on January 24, 2023) (Commission File No. 001-37867)</w:t>
              </w:r>
            </w:hyperlink>
          </w:p>
        </w:tc>
        <w:tc>
          <w:tcPr>
            <w:tcW w:w="2140" w:type="dxa"/>
            <w:vAlign w:val="bottom"/>
            <w:gridSpan w:val="15"/>
          </w:tcPr>
          <w:p>
            <w:pPr>
              <w:spacing w:after="0"/>
              <w:rPr>
                <w:sz w:val="17"/>
                <w:szCs w:val="17"/>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4.39</w:t>
            </w:r>
          </w:p>
        </w:tc>
        <w:tc>
          <w:tcPr>
            <w:tcW w:w="6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w w:val="94"/>
              </w:rPr>
            </w:pPr>
            <w:hyperlink r:id="rId178">
              <w:r>
                <w:rPr>
                  <w:rFonts w:ascii="Arial" w:cs="Arial" w:eastAsia="Arial" w:hAnsi="Arial"/>
                  <w:sz w:val="18"/>
                  <w:szCs w:val="18"/>
                  <w:color w:val="0000EE"/>
                  <w:w w:val="94"/>
                </w:rPr>
                <w:t>2028 Notes Supplemental Indenture No. 1, dated as of January 24, 2023, among Dell International L.L.C., EMC Corporation, the</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w w:val="93"/>
              </w:rPr>
            </w:pPr>
            <w:hyperlink r:id="rId178">
              <w:r>
                <w:rPr>
                  <w:rFonts w:ascii="Arial" w:cs="Arial" w:eastAsia="Arial" w:hAnsi="Arial"/>
                  <w:sz w:val="18"/>
                  <w:szCs w:val="18"/>
                  <w:color w:val="0000EE"/>
                  <w:w w:val="93"/>
                </w:rPr>
                <w:t>guarantors party thereto and The Bank of New York Mellon Trust Company, N.A., as Trustee (incorporated by reference to Exhibit</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Company’s Current Report on Form 8-K filed with the Commission on January 24, 2023) (Commission File</w:t>
              </w:r>
            </w:hyperlink>
          </w:p>
        </w:tc>
        <w:tc>
          <w:tcPr>
            <w:tcW w:w="24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No. 001-37867)</w:t>
              </w:r>
            </w:hyperlink>
          </w:p>
        </w:tc>
        <w:tc>
          <w:tcPr>
            <w:tcW w:w="7320" w:type="dxa"/>
            <w:vAlign w:val="bottom"/>
            <w:tcBorders>
              <w:top w:val="single" w:sz="8" w:color="0000EE"/>
            </w:tcBorders>
            <w:gridSpan w:val="6"/>
          </w:tcPr>
          <w:p>
            <w:pPr>
              <w:spacing w:after="0"/>
              <w:rPr>
                <w:sz w:val="17"/>
                <w:szCs w:val="17"/>
                <w:color w:val="auto"/>
              </w:rPr>
            </w:pPr>
          </w:p>
        </w:tc>
        <w:tc>
          <w:tcPr>
            <w:tcW w:w="1160" w:type="dxa"/>
            <w:vAlign w:val="bottom"/>
            <w:gridSpan w:val="14"/>
          </w:tcPr>
          <w:p>
            <w:pPr>
              <w:spacing w:after="0"/>
              <w:rPr>
                <w:sz w:val="17"/>
                <w:szCs w:val="17"/>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4.40</w:t>
            </w:r>
          </w:p>
        </w:tc>
        <w:tc>
          <w:tcPr>
            <w:tcW w:w="6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w w:val="94"/>
              </w:rPr>
            </w:pPr>
            <w:hyperlink r:id="rId179">
              <w:r>
                <w:rPr>
                  <w:rFonts w:ascii="Arial" w:cs="Arial" w:eastAsia="Arial" w:hAnsi="Arial"/>
                  <w:sz w:val="18"/>
                  <w:szCs w:val="18"/>
                  <w:color w:val="0000EE"/>
                  <w:w w:val="94"/>
                </w:rPr>
                <w:t>2033 Notes Supplemental Indenture No. 1, dated as of January 24, 2023, among Dell International L.L.C., EMC Corporation, the</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w w:val="93"/>
              </w:rPr>
            </w:pPr>
            <w:hyperlink r:id="rId179">
              <w:r>
                <w:rPr>
                  <w:rFonts w:ascii="Arial" w:cs="Arial" w:eastAsia="Arial" w:hAnsi="Arial"/>
                  <w:sz w:val="18"/>
                  <w:szCs w:val="18"/>
                  <w:color w:val="0000EE"/>
                  <w:w w:val="93"/>
                </w:rPr>
                <w:t>guarantors party thereto and The Bank of New York Mellon Trust Company, N.A., as Trustee (incorporated by reference to Exhibit</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4.</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the Company’s Current Report on Form 8-K filed with the Commission on January 24, 2023) (Commission File</w:t>
              </w:r>
            </w:hyperlink>
          </w:p>
        </w:tc>
        <w:tc>
          <w:tcPr>
            <w:tcW w:w="24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No. 001-37867)</w:t>
              </w:r>
            </w:hyperlink>
          </w:p>
        </w:tc>
        <w:tc>
          <w:tcPr>
            <w:tcW w:w="7360" w:type="dxa"/>
            <w:vAlign w:val="bottom"/>
            <w:tcBorders>
              <w:top w:val="single" w:sz="8" w:color="0000EE"/>
            </w:tcBorders>
            <w:gridSpan w:val="7"/>
          </w:tcPr>
          <w:p>
            <w:pPr>
              <w:spacing w:after="0"/>
              <w:rPr>
                <w:sz w:val="17"/>
                <w:szCs w:val="17"/>
                <w:color w:val="auto"/>
              </w:rPr>
            </w:pPr>
          </w:p>
        </w:tc>
        <w:tc>
          <w:tcPr>
            <w:tcW w:w="1160" w:type="dxa"/>
            <w:vAlign w:val="bottom"/>
            <w:gridSpan w:val="14"/>
          </w:tcPr>
          <w:p>
            <w:pPr>
              <w:spacing w:after="0"/>
              <w:rPr>
                <w:sz w:val="17"/>
                <w:szCs w:val="17"/>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4.41</w:t>
            </w:r>
          </w:p>
        </w:tc>
        <w:tc>
          <w:tcPr>
            <w:tcW w:w="6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rPr>
            </w:pPr>
            <w:hyperlink r:id="rId177">
              <w:r>
                <w:rPr>
                  <w:rFonts w:ascii="Arial" w:cs="Arial" w:eastAsia="Arial" w:hAnsi="Arial"/>
                  <w:sz w:val="18"/>
                  <w:szCs w:val="18"/>
                  <w:color w:val="0000EE"/>
                </w:rPr>
                <w:t>Form of Global Note for 5.250% Senior Notes due 2028 (included in Exhibit 4.38)</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4.42</w:t>
            </w:r>
          </w:p>
        </w:tc>
        <w:tc>
          <w:tcPr>
            <w:tcW w:w="6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rPr>
            </w:pPr>
            <w:hyperlink r:id="rId178">
              <w:r>
                <w:rPr>
                  <w:rFonts w:ascii="Arial" w:cs="Arial" w:eastAsia="Arial" w:hAnsi="Arial"/>
                  <w:sz w:val="18"/>
                  <w:szCs w:val="18"/>
                  <w:color w:val="0000EE"/>
                </w:rPr>
                <w:t>Form of Global Note for 5.750% Senior Notes due 2033 (included in Exhibit 4.39)</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4.43</w:t>
            </w:r>
          </w:p>
        </w:tc>
        <w:tc>
          <w:tcPr>
            <w:tcW w:w="6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Amended and Restated Description of Common Stock (incorporated by reference to Exhibit 4.42 to the Company’s Annual Report on</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Form 10-K for the fiscal year ended February 3, 2023) (Commission File No. 001-37867).</w:t>
              </w:r>
            </w:hyperlink>
          </w:p>
        </w:tc>
        <w:tc>
          <w:tcPr>
            <w:tcW w:w="3120" w:type="dxa"/>
            <w:vAlign w:val="bottom"/>
            <w:tcBorders>
              <w:top w:val="single" w:sz="8" w:color="0000EE"/>
            </w:tcBorders>
            <w:gridSpan w:val="15"/>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32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Opinion of Simpson Thacher &amp; Bartlett LLP</w:t>
            </w:r>
          </w:p>
        </w:tc>
        <w:tc>
          <w:tcPr>
            <w:tcW w:w="6440" w:type="dxa"/>
            <w:vAlign w:val="bottom"/>
            <w:gridSpan w:val="18"/>
          </w:tcPr>
          <w:p>
            <w:pPr>
              <w:spacing w:after="0"/>
              <w:rPr>
                <w:sz w:val="24"/>
                <w:szCs w:val="24"/>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rPr>
              <w:t>Opinion of Holland &amp; Knight LLP</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Dell Technologies Inc. 2012 Long-Term Incentive Plan (formerly known as Dell Inc. 2012 Long-Term Incentive Plan) as amended</w:t>
              </w:r>
            </w:hyperlink>
          </w:p>
        </w:tc>
        <w:tc>
          <w:tcPr>
            <w:tcW w:w="26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and restated as of October 6, 2017 (incorporated by reference to Exhibit 10.4 to the Company’s Quarterly Report on Form 10-Q for</w:t>
              </w:r>
            </w:hyperlink>
          </w:p>
        </w:tc>
        <w:tc>
          <w:tcPr>
            <w:tcW w:w="22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2"/>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the quarterly period ended November 3, 2017) (Commission File No. 001-37867).</w:t>
              </w:r>
            </w:hyperlink>
          </w:p>
        </w:tc>
      </w:tr>
      <w:tr>
        <w:trPr>
          <w:trHeight w:val="385"/>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720" w:type="dxa"/>
            <w:vAlign w:val="bottom"/>
            <w:tcBorders>
              <w:top w:val="single" w:sz="8" w:color="0000EE"/>
            </w:tcBorders>
          </w:tcPr>
          <w:p>
            <w:pPr>
              <w:ind w:left="740"/>
              <w:spacing w:after="0"/>
              <w:rPr>
                <w:sz w:val="20"/>
                <w:szCs w:val="20"/>
                <w:color w:val="auto"/>
              </w:rPr>
            </w:pPr>
            <w:r>
              <w:rPr>
                <w:rFonts w:ascii="Arial" w:cs="Arial" w:eastAsia="Arial" w:hAnsi="Arial"/>
                <w:sz w:val="18"/>
                <w:szCs w:val="18"/>
                <w:color w:val="auto"/>
              </w:rPr>
              <w:t>II-13</w:t>
            </w:r>
          </w:p>
        </w:tc>
        <w:tc>
          <w:tcPr>
            <w:tcW w:w="3720" w:type="dxa"/>
            <w:vAlign w:val="bottom"/>
            <w:gridSpan w:val="17"/>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5"/>
                <w:szCs w:val="15"/>
                <w:color w:val="auto"/>
              </w:rPr>
            </w:pPr>
          </w:p>
        </w:tc>
        <w:tc>
          <w:tcPr>
            <w:tcW w:w="9700" w:type="dxa"/>
            <w:vAlign w:val="bottom"/>
            <w:tcBorders>
              <w:bottom w:val="single" w:sz="8" w:color="auto"/>
            </w:tcBorders>
            <w:gridSpan w:val="3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3"/>
                <w:szCs w:val="23"/>
                <w:color w:val="auto"/>
              </w:rPr>
            </w:pPr>
          </w:p>
        </w:tc>
        <w:tc>
          <w:tcPr>
            <w:tcW w:w="9300" w:type="dxa"/>
            <w:vAlign w:val="bottom"/>
            <w:tcBorders>
              <w:bottom w:val="single" w:sz="8" w:color="0000EE"/>
            </w:tcBorders>
            <w:gridSpan w:val="20"/>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Form of Dell Inc. Long-Term Cash Incentive and Retention Award for Fiscal 2016 awards under the Dell Technologies Inc. 2012</w:t>
              </w:r>
            </w:hyperlink>
          </w:p>
        </w:tc>
        <w:tc>
          <w:tcPr>
            <w:tcW w:w="400" w:type="dxa"/>
            <w:vAlign w:val="bottom"/>
            <w:gridSpan w:val="12"/>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w w:val="94"/>
              </w:rPr>
            </w:pPr>
            <w:hyperlink r:id="rId183">
              <w:r>
                <w:rPr>
                  <w:rFonts w:ascii="Arial" w:cs="Arial" w:eastAsia="Arial" w:hAnsi="Arial"/>
                  <w:sz w:val="18"/>
                  <w:szCs w:val="18"/>
                  <w:color w:val="0000EE"/>
                  <w:w w:val="94"/>
                </w:rPr>
                <w:t>Long-Term Incentive Plan (incorporated by reference to Exhibit 10.13 to Amendment No. 3 to the Company’s 2016 Form S-4 filed</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with the Commission on April 11, 2016) (Registration No. 333-208524).</w:t>
              </w:r>
            </w:hyperlink>
          </w:p>
        </w:tc>
        <w:tc>
          <w:tcPr>
            <w:tcW w:w="4200" w:type="dxa"/>
            <w:vAlign w:val="bottom"/>
            <w:tcBorders>
              <w:top w:val="single" w:sz="8" w:color="0000EE"/>
            </w:tcBorders>
            <w:gridSpan w:val="17"/>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360" w:type="dxa"/>
            <w:vAlign w:val="bottom"/>
            <w:tcBorders>
              <w:bottom w:val="single" w:sz="8" w:color="0000EE"/>
            </w:tcBorders>
            <w:gridSpan w:val="23"/>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Form of Dell Inc. Long-Term Cash Incentive and Retention Award Agreement, under the Dell Technologies Inc. 2012 Long-Term</w:t>
              </w:r>
            </w:hyperlink>
          </w:p>
        </w:tc>
        <w:tc>
          <w:tcPr>
            <w:tcW w:w="34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Incentive Plan, between Dell Inc. and each of Jeremy Burton, Howard D. Elias and David I. Goulden (incorporated by reference to</w:t>
              </w:r>
            </w:hyperlink>
          </w:p>
        </w:tc>
        <w:tc>
          <w:tcPr>
            <w:tcW w:w="28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Exhibit 10.3 to the Company’s Annual Report on Form 10-K for the fiscal year ended February 3, 2017) (Commission File</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No. 001-37867).</w:t>
              </w:r>
            </w:hyperlink>
          </w:p>
        </w:tc>
        <w:tc>
          <w:tcPr>
            <w:tcW w:w="7640" w:type="dxa"/>
            <w:vAlign w:val="bottom"/>
            <w:tcBorders>
              <w:top w:val="single" w:sz="8" w:color="0000EE"/>
            </w:tcBorders>
            <w:gridSpan w:val="12"/>
          </w:tcPr>
          <w:p>
            <w:pPr>
              <w:spacing w:after="0"/>
              <w:rPr>
                <w:sz w:val="17"/>
                <w:szCs w:val="17"/>
                <w:color w:val="auto"/>
              </w:rPr>
            </w:pPr>
          </w:p>
        </w:tc>
        <w:tc>
          <w:tcPr>
            <w:tcW w:w="860" w:type="dxa"/>
            <w:vAlign w:val="bottom"/>
            <w:gridSpan w:val="19"/>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8920" w:type="dxa"/>
            <w:vAlign w:val="bottom"/>
            <w:tcBorders>
              <w:bottom w:val="single" w:sz="8" w:color="0000EE"/>
            </w:tcBorders>
            <w:gridSpan w:val="14"/>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Form of Dell Inc. Deferred Cash Replacement Agreement under the Dell Technologies Inc. 2012 Long-Term Incentive Plan</w:t>
              </w:r>
            </w:hyperlink>
          </w:p>
        </w:tc>
        <w:tc>
          <w:tcPr>
            <w:tcW w:w="780" w:type="dxa"/>
            <w:vAlign w:val="bottom"/>
            <w:gridSpan w:val="1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(incorporated by reference to Exhibit 10.4 to the Company’s Annual Report on Form 10-K for the fiscal year ended February 3, 2017)</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(Commission File No. 001-37867).</w:t>
              </w:r>
            </w:hyperlink>
          </w:p>
        </w:tc>
        <w:tc>
          <w:tcPr>
            <w:tcW w:w="7100" w:type="dxa"/>
            <w:vAlign w:val="bottom"/>
            <w:tcBorders>
              <w:top w:val="single" w:sz="8" w:color="0000EE"/>
            </w:tcBorders>
            <w:gridSpan w:val="2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5"/>
              </w:rPr>
            </w:pPr>
            <w:hyperlink r:id="rId186">
              <w:r>
                <w:rPr>
                  <w:rFonts w:ascii="Arial" w:cs="Arial" w:eastAsia="Arial" w:hAnsi="Arial"/>
                  <w:sz w:val="18"/>
                  <w:szCs w:val="18"/>
                  <w:color w:val="0000EE"/>
                  <w:w w:val="95"/>
                </w:rPr>
                <w:t>Dell Inc. Annual Bonus Plan (incorporated by reference to Exhibit 10.1 to the Company’s Quarterly Report on Form 10-Q for the</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quarterly period ended May 1, 2020) (Commission File No. 001-37867).</w:t>
              </w:r>
            </w:hyperlink>
          </w:p>
        </w:tc>
        <w:tc>
          <w:tcPr>
            <w:tcW w:w="380" w:type="dxa"/>
            <w:vAlign w:val="bottom"/>
            <w:gridSpan w:val="11"/>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600" w:type="dxa"/>
            <w:vAlign w:val="bottom"/>
            <w:tcBorders>
              <w:bottom w:val="single" w:sz="8" w:color="0000EE"/>
            </w:tcBorders>
            <w:gridSpan w:val="29"/>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Dell Inc. Special Incentive Bonus Plan (incorporated by reference to Exhibit 10.6 to Amendment No. 3 to the Company’s 2016 Form</w:t>
              </w:r>
            </w:hyperlink>
          </w:p>
        </w:tc>
        <w:tc>
          <w:tcPr>
            <w:tcW w:w="1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S-4 filed with the Commission on April 11, 2016) (Registration No. 333-208524).</w:t>
              </w:r>
            </w:hyperlink>
          </w:p>
        </w:tc>
        <w:tc>
          <w:tcPr>
            <w:tcW w:w="3800" w:type="dxa"/>
            <w:vAlign w:val="bottom"/>
            <w:gridSpan w:val="23"/>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160" w:type="dxa"/>
            <w:vAlign w:val="bottom"/>
            <w:tcBorders>
              <w:bottom w:val="single" w:sz="8" w:color="0000EE"/>
            </w:tcBorders>
            <w:gridSpan w:val="17"/>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Employment Agreement, dated October 29, 2013, by and among Dell Inc., the Company and Michael S. Dell (incorporated by</w:t>
              </w:r>
            </w:hyperlink>
          </w:p>
        </w:tc>
        <w:tc>
          <w:tcPr>
            <w:tcW w:w="540" w:type="dxa"/>
            <w:vAlign w:val="bottom"/>
            <w:gridSpan w:val="1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reference to Exhibit 10.7 to Amendment No. 3 to the Company’s 2016 Form S-4 filed with the Commission on April 11, 2016)</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(Registration No. 333-208524).</w:t>
              </w:r>
            </w:hyperlink>
          </w:p>
        </w:tc>
        <w:tc>
          <w:tcPr>
            <w:tcW w:w="520" w:type="dxa"/>
            <w:vAlign w:val="bottom"/>
            <w:gridSpan w:val="14"/>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Dell Inc. Severance Pay Plan for Executive Employees (incorporated by reference to Exhibit 10.14 to the Company’s Annual Report</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on Form 10-K for the fiscal year ended February 3, 2017) (Commission File No. 001-37867).</w:t>
              </w:r>
            </w:hyperlink>
          </w:p>
        </w:tc>
        <w:tc>
          <w:tcPr>
            <w:tcW w:w="160" w:type="dxa"/>
            <w:vAlign w:val="bottom"/>
            <w:gridSpan w:val="5"/>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4"/>
              </w:rPr>
            </w:pPr>
            <w:hyperlink r:id="rId190">
              <w:r>
                <w:rPr>
                  <w:rFonts w:ascii="Arial" w:cs="Arial" w:eastAsia="Arial" w:hAnsi="Arial"/>
                  <w:sz w:val="18"/>
                  <w:szCs w:val="18"/>
                  <w:color w:val="0000EE"/>
                  <w:w w:val="94"/>
                </w:rPr>
                <w:t>Form of Protection of Sensitive Information, Noncompetition and Nonsolicitation Agreement (incorporated by reference to Exhibit</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16</w:t>
              </w:r>
              <w:r>
                <w:rPr>
                  <w:rFonts w:ascii="Arial" w:cs="Arial" w:eastAsia="Arial" w:hAnsi="Arial"/>
                  <w:sz w:val="18"/>
                  <w:szCs w:val="18"/>
                  <w:color w:val="0000EE"/>
                  <w:w w:val="91"/>
                </w:rPr>
                <w:t xml:space="preserve"> to Amendment No. 3 to the Company’s 2016 Form S-4 filed with the Commission on April 11, 2016) (Registration</w:t>
              </w:r>
            </w:hyperlink>
          </w:p>
        </w:tc>
        <w:tc>
          <w:tcPr>
            <w:tcW w:w="700" w:type="dxa"/>
            <w:vAlign w:val="bottom"/>
            <w:tcBorders>
              <w:top w:val="single" w:sz="8" w:color="0000EE"/>
            </w:tcBorders>
            <w:gridSpan w:val="13"/>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No. 333-208524).</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9700" w:type="dxa"/>
            <w:vAlign w:val="bottom"/>
            <w:gridSpan w:val="32"/>
          </w:tcPr>
          <w:p>
            <w:pPr>
              <w:spacing w:after="0"/>
              <w:rPr>
                <w:rFonts w:ascii="Arial" w:cs="Arial" w:eastAsia="Arial" w:hAnsi="Arial"/>
                <w:sz w:val="18"/>
                <w:szCs w:val="18"/>
                <w:color w:val="0000EE"/>
                <w:w w:val="96"/>
              </w:rPr>
            </w:pPr>
            <w:hyperlink r:id="rId191">
              <w:r>
                <w:rPr>
                  <w:rFonts w:ascii="Arial" w:cs="Arial" w:eastAsia="Arial" w:hAnsi="Arial"/>
                  <w:sz w:val="18"/>
                  <w:szCs w:val="18"/>
                  <w:color w:val="0000EE"/>
                  <w:w w:val="96"/>
                </w:rPr>
                <w:t>Form of Dell Technologies Inc. Deferred Cash Award Agreement (incorporated by reference to Exhibit 10.26 to the Company’s</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Annual Report on Form 10-K for the fiscal year ended February 3, 2017) (Commission File No. 001-37867).</w:t>
              </w:r>
            </w:hyperlink>
          </w:p>
        </w:tc>
        <w:tc>
          <w:tcPr>
            <w:tcW w:w="1340" w:type="dxa"/>
            <w:vAlign w:val="bottom"/>
            <w:tcBorders>
              <w:top w:val="single" w:sz="8" w:color="0000EE"/>
            </w:tcBorders>
            <w:gridSpan w:val="7"/>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Amended and Restated Master Transaction Agreement among EMC Corporation, Dell Technologies Inc. and VMware, Inc. dated</w:t>
              </w:r>
            </w:hyperlink>
          </w:p>
        </w:tc>
        <w:tc>
          <w:tcPr>
            <w:tcW w:w="36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January 9, 2018 (incorporated by reference to Exhibit 10.1 to VMware, Inc.’s Annual Report on Form 10-K for the fiscal year ended</w:t>
              </w:r>
            </w:hyperlink>
          </w:p>
        </w:tc>
        <w:tc>
          <w:tcPr>
            <w:tcW w:w="10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February 2, 2018) (Commission File No. 001-33622).</w:t>
              </w:r>
            </w:hyperlink>
          </w:p>
        </w:tc>
        <w:tc>
          <w:tcPr>
            <w:tcW w:w="5780" w:type="dxa"/>
            <w:vAlign w:val="bottom"/>
            <w:gridSpan w:val="26"/>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9580" w:type="dxa"/>
            <w:vAlign w:val="bottom"/>
            <w:tcBorders>
              <w:bottom w:val="single" w:sz="8" w:color="0000EE"/>
            </w:tcBorders>
            <w:gridSpan w:val="28"/>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Form of Indemnification Agreement between the Company and certain members of its Board of Directors (incorporated by reference</w:t>
              </w:r>
            </w:hyperlink>
          </w:p>
        </w:tc>
        <w:tc>
          <w:tcPr>
            <w:tcW w:w="1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to Exhibit 10.1 to the Company’s Quarterly Report on Form 10-Q for the quarter ended October 28, 2022) (Commission File</w:t>
              </w:r>
            </w:hyperlink>
          </w:p>
        </w:tc>
        <w:tc>
          <w:tcPr>
            <w:tcW w:w="720" w:type="dxa"/>
            <w:vAlign w:val="bottom"/>
            <w:gridSpan w:val="1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No. 001-37867).</w:t>
              </w:r>
            </w:hyperlink>
          </w:p>
        </w:tc>
        <w:tc>
          <w:tcPr>
            <w:tcW w:w="8500" w:type="dxa"/>
            <w:vAlign w:val="bottom"/>
            <w:gridSpan w:val="31"/>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4"/>
                <w:szCs w:val="24"/>
                <w:color w:val="auto"/>
              </w:rPr>
            </w:pPr>
          </w:p>
        </w:tc>
        <w:tc>
          <w:tcPr>
            <w:tcW w:w="9500" w:type="dxa"/>
            <w:vAlign w:val="bottom"/>
            <w:tcBorders>
              <w:bottom w:val="single" w:sz="8" w:color="0000EE"/>
            </w:tcBorders>
            <w:gridSpan w:val="26"/>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Form of Indemnification Agreement between EMC Corporation and each of Jeremy Burton, Howard D. Elias and David I. Goulden</w:t>
              </w:r>
            </w:hyperlink>
          </w:p>
        </w:tc>
        <w:tc>
          <w:tcPr>
            <w:tcW w:w="20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(incorporated by reference to Exhibit 10.39 to the Company’s Annual Report on Form 10-K for the fiscal year ended February 3,</w:t>
              </w:r>
            </w:hyperlink>
          </w:p>
        </w:tc>
        <w:tc>
          <w:tcPr>
            <w:tcW w:w="42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2017) (Commission File No. 001-37867).</w:t>
              </w:r>
            </w:hyperlink>
          </w:p>
        </w:tc>
        <w:tc>
          <w:tcPr>
            <w:tcW w:w="6700" w:type="dxa"/>
            <w:vAlign w:val="bottom"/>
            <w:gridSpan w:val="27"/>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9660" w:type="dxa"/>
            <w:vAlign w:val="bottom"/>
            <w:tcBorders>
              <w:bottom w:val="single" w:sz="8" w:color="0000EE"/>
            </w:tcBorders>
            <w:gridSpan w:val="31"/>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Form of Indemnification Agreement between Dell Technologies Inc. and certain of its executive officers (incorporated by reference to</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Exhibit 10.40 to the Company’s Annual Report on Form 10-K for the fiscal year ended February 3, 2017) (Commission File</w:t>
              </w:r>
            </w:hyperlink>
          </w:p>
        </w:tc>
        <w:tc>
          <w:tcPr>
            <w:tcW w:w="760" w:type="dxa"/>
            <w:vAlign w:val="bottom"/>
            <w:gridSpan w:val="1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No. 001-37867).</w:t>
              </w:r>
            </w:hyperlink>
          </w:p>
        </w:tc>
      </w:tr>
      <w:tr>
        <w:trPr>
          <w:trHeight w:val="385"/>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80" w:type="dxa"/>
            <w:vAlign w:val="bottom"/>
            <w:gridSpan w:val="26"/>
          </w:tcPr>
          <w:p>
            <w:pPr>
              <w:ind w:left="80"/>
              <w:spacing w:after="0"/>
              <w:rPr>
                <w:sz w:val="20"/>
                <w:szCs w:val="20"/>
                <w:color w:val="auto"/>
              </w:rPr>
            </w:pPr>
            <w:r>
              <w:rPr>
                <w:rFonts w:ascii="Arial" w:cs="Arial" w:eastAsia="Arial" w:hAnsi="Arial"/>
                <w:sz w:val="18"/>
                <w:szCs w:val="18"/>
                <w:color w:val="auto"/>
              </w:rPr>
              <w:t>II-14</w:t>
            </w: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5"/>
                <w:szCs w:val="15"/>
                <w:color w:val="auto"/>
              </w:rPr>
            </w:pPr>
          </w:p>
        </w:tc>
        <w:tc>
          <w:tcPr>
            <w:tcW w:w="9700" w:type="dxa"/>
            <w:vAlign w:val="bottom"/>
            <w:tcBorders>
              <w:bottom w:val="single" w:sz="8" w:color="auto"/>
            </w:tcBorders>
            <w:gridSpan w:val="26"/>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3"/>
                <w:szCs w:val="23"/>
                <w:color w:val="auto"/>
              </w:rPr>
            </w:pPr>
          </w:p>
        </w:tc>
        <w:tc>
          <w:tcPr>
            <w:tcW w:w="9100" w:type="dxa"/>
            <w:vAlign w:val="bottom"/>
            <w:tcBorders>
              <w:bottom w:val="single" w:sz="8" w:color="0000EE"/>
            </w:tcBorders>
            <w:gridSpan w:val="11"/>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Form of EMC Corporation Deferred Compensation Retirement Plan, as amended and restated, effective as of January 1, 2016</w:t>
              </w:r>
            </w:hyperlink>
          </w:p>
        </w:tc>
        <w:tc>
          <w:tcPr>
            <w:tcW w:w="600" w:type="dxa"/>
            <w:vAlign w:val="bottom"/>
            <w:gridSpan w:val="15"/>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(incorporated by reference to Exhibit 10.41 to the Company’s Annual Report on Form 10-K for the fiscal year ended February 3,</w:t>
              </w:r>
            </w:hyperlink>
          </w:p>
        </w:tc>
        <w:tc>
          <w:tcPr>
            <w:tcW w:w="42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2017) (Commission File No. 001-37867).</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8"/>
              </w:rPr>
            </w:pPr>
            <w:hyperlink r:id="rId198">
              <w:r>
                <w:rPr>
                  <w:rFonts w:ascii="Arial" w:cs="Arial" w:eastAsia="Arial" w:hAnsi="Arial"/>
                  <w:sz w:val="18"/>
                  <w:szCs w:val="18"/>
                  <w:color w:val="0000EE"/>
                  <w:w w:val="98"/>
                </w:rPr>
                <w:t>Form of Dell Deferred Compensation Plan, effective as of January 1, 2017 (incorporated by reference to Exhibit 10.42 to the</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20" w:type="dxa"/>
            <w:vAlign w:val="bottom"/>
            <w:tcBorders>
              <w:top w:val="single" w:sz="8" w:color="0000EE"/>
            </w:tcBorders>
            <w:gridSpan w:val="10"/>
          </w:tcPr>
          <w:p>
            <w:pPr>
              <w:spacing w:after="0" w:line="196" w:lineRule="exact"/>
              <w:rPr>
                <w:rFonts w:ascii="Arial" w:cs="Arial" w:eastAsia="Arial" w:hAnsi="Arial"/>
                <w:sz w:val="18"/>
                <w:szCs w:val="18"/>
                <w:color w:val="0000EE"/>
                <w:w w:val="94"/>
              </w:rPr>
            </w:pPr>
            <w:hyperlink r:id="rId198">
              <w:r>
                <w:rPr>
                  <w:rFonts w:ascii="Arial" w:cs="Arial" w:eastAsia="Arial" w:hAnsi="Arial"/>
                  <w:sz w:val="18"/>
                  <w:szCs w:val="18"/>
                  <w:color w:val="0000EE"/>
                  <w:w w:val="94"/>
                </w:rPr>
                <w:t>Company’s Annual Report on Form 10-K for the fiscal year ended February 3, 2017) (Commission File No. 001-37867).</w:t>
              </w:r>
            </w:hyperlink>
          </w:p>
        </w:tc>
        <w:tc>
          <w:tcPr>
            <w:tcW w:w="680" w:type="dxa"/>
            <w:vAlign w:val="bottom"/>
            <w:gridSpan w:val="16"/>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10.17†</w:t>
            </w:r>
          </w:p>
        </w:tc>
        <w:tc>
          <w:tcPr>
            <w:tcW w:w="560" w:type="dxa"/>
            <w:vAlign w:val="bottom"/>
          </w:tcPr>
          <w:p>
            <w:pPr>
              <w:spacing w:after="0"/>
              <w:rPr>
                <w:sz w:val="24"/>
                <w:szCs w:val="24"/>
                <w:color w:val="auto"/>
              </w:rPr>
            </w:pPr>
          </w:p>
        </w:tc>
        <w:tc>
          <w:tcPr>
            <w:tcW w:w="9580" w:type="dxa"/>
            <w:vAlign w:val="bottom"/>
            <w:tcBorders>
              <w:bottom w:val="single" w:sz="8" w:color="0000EE"/>
            </w:tcBorders>
            <w:gridSpan w:val="22"/>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Form of Protection of Sensitive Information, Noncompetition and Nonsolicitation Agreement between Dell Inc. and each of Howard</w:t>
              </w:r>
            </w:hyperlink>
          </w:p>
        </w:tc>
        <w:tc>
          <w:tcPr>
            <w:tcW w:w="1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D. Elias and William F. Scannell (incorporated by reference to Exhibit 10.47 to the Company’s Annual Report on Form 10-K for the</w:t>
              </w:r>
            </w:hyperlink>
          </w:p>
        </w:tc>
        <w:tc>
          <w:tcPr>
            <w:tcW w:w="1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fiscal year ended February 2, 2018) (Commission File No. 001-37867).</w:t>
              </w:r>
            </w:hyperlink>
          </w:p>
        </w:tc>
        <w:tc>
          <w:tcPr>
            <w:tcW w:w="4560" w:type="dxa"/>
            <w:vAlign w:val="bottom"/>
            <w:gridSpan w:val="24"/>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24"/>
                <w:szCs w:val="24"/>
                <w:color w:val="auto"/>
              </w:rPr>
            </w:pPr>
          </w:p>
        </w:tc>
        <w:tc>
          <w:tcPr>
            <w:tcW w:w="9660" w:type="dxa"/>
            <w:vAlign w:val="bottom"/>
            <w:tcBorders>
              <w:bottom w:val="single" w:sz="8" w:color="0000EE"/>
            </w:tcBorders>
            <w:gridSpan w:val="25"/>
          </w:tcPr>
          <w:p>
            <w:pPr>
              <w:spacing w:after="0"/>
              <w:rPr>
                <w:rFonts w:ascii="Arial" w:cs="Arial" w:eastAsia="Arial" w:hAnsi="Arial"/>
                <w:sz w:val="18"/>
                <w:szCs w:val="18"/>
                <w:color w:val="0000EE"/>
                <w:w w:val="92"/>
              </w:rPr>
            </w:pPr>
            <w:hyperlink r:id="rId200">
              <w:r>
                <w:rPr>
                  <w:rFonts w:ascii="Arial" w:cs="Arial" w:eastAsia="Arial" w:hAnsi="Arial"/>
                  <w:sz w:val="18"/>
                  <w:szCs w:val="18"/>
                  <w:color w:val="0000EE"/>
                  <w:w w:val="92"/>
                </w:rPr>
                <w:t>Offer Letter to Howard D. Elias, dated August 12, 2016 (incorporated by reference to Exhibit 10.49 to the Company’s Annual Report</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on Form 10-K for the fiscal year ended February 2, 2018) (Commission File No. 001-37867).</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5"/>
              </w:rPr>
            </w:pPr>
            <w:hyperlink r:id="rId201">
              <w:r>
                <w:rPr>
                  <w:rFonts w:ascii="Arial" w:cs="Arial" w:eastAsia="Arial" w:hAnsi="Arial"/>
                  <w:sz w:val="18"/>
                  <w:szCs w:val="18"/>
                  <w:color w:val="0000EE"/>
                  <w:w w:val="95"/>
                </w:rPr>
                <w:t>Offer Letter to William F. Scannell, dated August 12, 2016 (incorporated by reference to Exhibit 10.51 to the Company’s Annual</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Report on Form 10-K for the fiscal year ended February 2, 2018) (Commission File No. 001-37867).</w:t>
              </w:r>
            </w:hyperlink>
          </w:p>
        </w:tc>
        <w:tc>
          <w:tcPr>
            <w:tcW w:w="380" w:type="dxa"/>
            <w:vAlign w:val="bottom"/>
            <w:gridSpan w:val="10"/>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10.20†</w:t>
            </w:r>
          </w:p>
        </w:tc>
        <w:tc>
          <w:tcPr>
            <w:tcW w:w="560" w:type="dxa"/>
            <w:vAlign w:val="bottom"/>
          </w:tcPr>
          <w:p>
            <w:pPr>
              <w:spacing w:after="0"/>
              <w:rPr>
                <w:sz w:val="24"/>
                <w:szCs w:val="24"/>
                <w:color w:val="auto"/>
              </w:rPr>
            </w:pPr>
          </w:p>
        </w:tc>
        <w:tc>
          <w:tcPr>
            <w:tcW w:w="9580" w:type="dxa"/>
            <w:vAlign w:val="bottom"/>
            <w:tcBorders>
              <w:bottom w:val="single" w:sz="8" w:color="0000EE"/>
            </w:tcBorders>
            <w:gridSpan w:val="22"/>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Form of Amended and Restated Stock Option Agreement-Performance Vesting Option for grants to executive officers under the Dell</w:t>
              </w:r>
            </w:hyperlink>
          </w:p>
        </w:tc>
        <w:tc>
          <w:tcPr>
            <w:tcW w:w="1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Technologies Inc. 2013 Stock Incentive Plan (incorporated by reference to Exhibit 10.10 to Amendment No. 2 to the Company’s</w:t>
              </w:r>
            </w:hyperlink>
          </w:p>
        </w:tc>
        <w:tc>
          <w:tcPr>
            <w:tcW w:w="440" w:type="dxa"/>
            <w:vAlign w:val="bottom"/>
            <w:gridSpan w:val="1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Registration Statement on Form S-4 filed with the Commission on October 4, 2018) (Registration No. 333-226618).</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6"/>
              </w:rPr>
            </w:pPr>
            <w:hyperlink r:id="rId203">
              <w:r>
                <w:rPr>
                  <w:rFonts w:ascii="Arial" w:cs="Arial" w:eastAsia="Arial" w:hAnsi="Arial"/>
                  <w:sz w:val="18"/>
                  <w:szCs w:val="18"/>
                  <w:color w:val="0000EE"/>
                  <w:w w:val="96"/>
                </w:rPr>
                <w:t>Form of Amended and Restated Stock Option Agreement-Performance Vesting Option for grants to employees under the Dell</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w w:val="95"/>
              </w:rPr>
            </w:pPr>
            <w:hyperlink r:id="rId203">
              <w:r>
                <w:rPr>
                  <w:rFonts w:ascii="Arial" w:cs="Arial" w:eastAsia="Arial" w:hAnsi="Arial"/>
                  <w:sz w:val="18"/>
                  <w:szCs w:val="18"/>
                  <w:color w:val="0000EE"/>
                  <w:w w:val="95"/>
                </w:rPr>
                <w:t>Technologies Inc. 2013 Stock Incentive Plan (incorporated by reference to Exhibit 10.11 to Amendment No. 2 to the Company’s</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Registration Statement on Form S-4 filed with the Commission on October 4, 2018) (Registration No. 333-226618).</w:t>
              </w:r>
            </w:hyperlink>
          </w:p>
        </w:tc>
        <w:tc>
          <w:tcPr>
            <w:tcW w:w="460" w:type="dxa"/>
            <w:vAlign w:val="bottom"/>
            <w:gridSpan w:val="1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7"/>
              </w:rPr>
            </w:pPr>
            <w:hyperlink r:id="rId204">
              <w:r>
                <w:rPr>
                  <w:rFonts w:ascii="Arial" w:cs="Arial" w:eastAsia="Arial" w:hAnsi="Arial"/>
                  <w:sz w:val="18"/>
                  <w:szCs w:val="18"/>
                  <w:color w:val="0000EE"/>
                  <w:w w:val="97"/>
                </w:rPr>
                <w:t>Form of Amended and Restated Stock Option Agreement-Time Vesting Option for grants to executive officers under the Dell</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Technologies Inc. 2013 Stock Incentive Plan (incorporated by reference to Exhibit 10.12 to Amendment No. 2 to the Company’s</w:t>
              </w:r>
            </w:hyperlink>
          </w:p>
        </w:tc>
        <w:tc>
          <w:tcPr>
            <w:tcW w:w="440" w:type="dxa"/>
            <w:vAlign w:val="bottom"/>
            <w:gridSpan w:val="1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Registration Statement on Form S-4 filed with the Commission on October 4, 2018) (Registration No. 333-226618).</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Form of Amended and Restated Stock Option Agreement-Time Vesting Option for grants to employees under the Dell Technologies</w:t>
              </w:r>
            </w:hyperlink>
          </w:p>
        </w:tc>
        <w:tc>
          <w:tcPr>
            <w:tcW w:w="16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Inc. 2013 Stock Incentive Plan (incorporated by reference to Exhibit 10.13 to Amendment No. 2 to the Company’s Registration</w:t>
              </w:r>
            </w:hyperlink>
          </w:p>
        </w:tc>
        <w:tc>
          <w:tcPr>
            <w:tcW w:w="52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Statement on Form S-4 filed with the Commission on October 4, 2018) (Registration No. 333-226618).</w:t>
              </w:r>
            </w:hyperlink>
          </w:p>
        </w:tc>
        <w:tc>
          <w:tcPr>
            <w:tcW w:w="2260" w:type="dxa"/>
            <w:vAlign w:val="bottom"/>
            <w:gridSpan w:val="19"/>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9640" w:type="dxa"/>
            <w:vAlign w:val="bottom"/>
            <w:tcBorders>
              <w:bottom w:val="single" w:sz="8" w:color="0000EE"/>
            </w:tcBorders>
            <w:gridSpan w:val="24"/>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Form of Amended and Restated Dell Performance Award Agreement for grants to executive officers under the Dell Technologies Inc.</w:t>
              </w:r>
            </w:hyperlink>
          </w:p>
        </w:tc>
        <w:tc>
          <w:tcPr>
            <w:tcW w:w="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2013 Stock Incentive Plan (incorporated by reference to Exhibit 10.14 to Amendment No. 2 to the Company’s Registration Statement</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on Form S-4 filed with the Commission on October 4, 2018) (Registration No. 333-226618).</w:t>
              </w:r>
            </w:hyperlink>
          </w:p>
        </w:tc>
        <w:tc>
          <w:tcPr>
            <w:tcW w:w="2900" w:type="dxa"/>
            <w:vAlign w:val="bottom"/>
            <w:tcBorders>
              <w:top w:val="single" w:sz="8" w:color="0000EE"/>
            </w:tcBorders>
            <w:gridSpan w:val="1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10.25†</w:t>
            </w:r>
          </w:p>
        </w:tc>
        <w:tc>
          <w:tcPr>
            <w:tcW w:w="56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Form of Amended and Restated Dell Performance Award Agreement for grants to employees under the Dell Technologies Inc. 2013</w:t>
              </w:r>
            </w:hyperlink>
          </w:p>
        </w:tc>
        <w:tc>
          <w:tcPr>
            <w:tcW w:w="18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w w:val="93"/>
              </w:rPr>
            </w:pPr>
            <w:hyperlink r:id="rId207">
              <w:r>
                <w:rPr>
                  <w:rFonts w:ascii="Arial" w:cs="Arial" w:eastAsia="Arial" w:hAnsi="Arial"/>
                  <w:sz w:val="18"/>
                  <w:szCs w:val="18"/>
                  <w:color w:val="0000EE"/>
                  <w:w w:val="93"/>
                </w:rPr>
                <w:t>Stock Incentive Plan (incorporated by reference to Exhibit 10.15 to Amendment No. 2 to the Company’s Registration Statement on</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Form S-4 filed with the Commission on October 4, 2018) (Registration No. 333-226618).</w:t>
              </w:r>
            </w:hyperlink>
          </w:p>
        </w:tc>
        <w:tc>
          <w:tcPr>
            <w:tcW w:w="2960" w:type="dxa"/>
            <w:vAlign w:val="bottom"/>
            <w:tcBorders>
              <w:top w:val="single" w:sz="8" w:color="0000EE"/>
            </w:tcBorders>
            <w:gridSpan w:val="13"/>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3"/>
              </w:rPr>
            </w:pPr>
            <w:hyperlink r:id="rId208">
              <w:r>
                <w:rPr>
                  <w:rFonts w:ascii="Arial" w:cs="Arial" w:eastAsia="Arial" w:hAnsi="Arial"/>
                  <w:sz w:val="18"/>
                  <w:szCs w:val="18"/>
                  <w:color w:val="0000EE"/>
                  <w:w w:val="93"/>
                </w:rPr>
                <w:t>Form of Amended and Restated Dell Time Award Agreement for grants to executive officers under the Dell Technologies Inc. 2013</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8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Stock Incentive Plan (incorporated by reference to Exhibit 10.16 to Amendment No. 2 to the Company’s Registration Statement on</w:t>
              </w:r>
            </w:hyperlink>
          </w:p>
        </w:tc>
        <w:tc>
          <w:tcPr>
            <w:tcW w:w="22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Form S-4 filed with the Commission on October 4, 2018) (Registration No. 333-226618).</w:t>
              </w:r>
            </w:hyperlink>
          </w:p>
        </w:tc>
        <w:tc>
          <w:tcPr>
            <w:tcW w:w="2980" w:type="dxa"/>
            <w:vAlign w:val="bottom"/>
            <w:tcBorders>
              <w:top w:val="single" w:sz="8" w:color="0000EE"/>
            </w:tcBorders>
            <w:gridSpan w:val="14"/>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60" w:type="dxa"/>
            <w:vAlign w:val="bottom"/>
            <w:gridSpan w:val="25"/>
          </w:tcPr>
          <w:p>
            <w:pPr>
              <w:ind w:left="960"/>
              <w:spacing w:after="0"/>
              <w:rPr>
                <w:sz w:val="20"/>
                <w:szCs w:val="20"/>
                <w:color w:val="auto"/>
              </w:rPr>
            </w:pPr>
            <w:r>
              <w:rPr>
                <w:rFonts w:ascii="Arial" w:cs="Arial" w:eastAsia="Arial" w:hAnsi="Arial"/>
                <w:sz w:val="18"/>
                <w:szCs w:val="18"/>
                <w:color w:val="auto"/>
              </w:rPr>
              <w:t>II-15</w:t>
            </w: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5"/>
                <w:szCs w:val="15"/>
                <w:color w:val="auto"/>
              </w:rPr>
            </w:pPr>
          </w:p>
        </w:tc>
        <w:tc>
          <w:tcPr>
            <w:tcW w:w="9700" w:type="dxa"/>
            <w:vAlign w:val="bottom"/>
            <w:tcBorders>
              <w:bottom w:val="single" w:sz="8" w:color="auto"/>
            </w:tcBorders>
            <w:gridSpan w:val="23"/>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10.27†</w:t>
            </w:r>
          </w:p>
        </w:tc>
        <w:tc>
          <w:tcPr>
            <w:tcW w:w="560" w:type="dxa"/>
            <w:vAlign w:val="bottom"/>
          </w:tcPr>
          <w:p>
            <w:pPr>
              <w:spacing w:after="0"/>
              <w:rPr>
                <w:sz w:val="23"/>
                <w:szCs w:val="23"/>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0"/>
              </w:rPr>
            </w:pPr>
            <w:hyperlink r:id="rId210">
              <w:r>
                <w:rPr>
                  <w:rFonts w:ascii="Arial" w:cs="Arial" w:eastAsia="Arial" w:hAnsi="Arial"/>
                  <w:sz w:val="18"/>
                  <w:szCs w:val="18"/>
                  <w:color w:val="0000EE"/>
                  <w:w w:val="90"/>
                </w:rPr>
                <w:t>Form of Amended and Restated Dell Time Award Agreement for grants to employees under the Dell Technologies Inc. 2013 Stock</w:t>
              </w:r>
            </w:hyperlink>
          </w:p>
        </w:tc>
        <w:tc>
          <w:tcPr>
            <w:tcW w:w="240" w:type="dxa"/>
            <w:vAlign w:val="bottom"/>
            <w:gridSpan w:val="7"/>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Incentive Plan (incorporated by reference to Exhibit 10.17 to Amendment No. 2 to the Company’s Registration Statement on Form</w:t>
              </w:r>
            </w:hyperlink>
          </w:p>
        </w:tc>
        <w:tc>
          <w:tcPr>
            <w:tcW w:w="26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S-4 filed with the Commission on October 4, 2018) (Registration No. 333-226618).</w:t>
              </w:r>
            </w:hyperlink>
          </w:p>
        </w:tc>
        <w:tc>
          <w:tcPr>
            <w:tcW w:w="3680" w:type="dxa"/>
            <w:vAlign w:val="bottom"/>
            <w:gridSpan w:val="20"/>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4"/>
                <w:szCs w:val="24"/>
                <w:color w:val="auto"/>
              </w:rPr>
            </w:pPr>
          </w:p>
        </w:tc>
        <w:tc>
          <w:tcPr>
            <w:tcW w:w="9640" w:type="dxa"/>
            <w:vAlign w:val="bottom"/>
            <w:tcBorders>
              <w:bottom w:val="single" w:sz="8" w:color="0000EE"/>
            </w:tcBorders>
            <w:gridSpan w:val="21"/>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Form of Amended and Restated Dell Deferred Time Award Agreement for Non-Employee Directors under the Dell Technologies Inc.</w:t>
              </w:r>
            </w:hyperlink>
          </w:p>
        </w:tc>
        <w:tc>
          <w:tcPr>
            <w:tcW w:w="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2013 Stock Incentive Plan (incorporated by reference to Exhibit 10.18 to Amendment No. 2 to the Company’s Registration Statement</w:t>
              </w:r>
            </w:hyperlink>
          </w:p>
        </w:tc>
        <w:tc>
          <w:tcPr>
            <w:tcW w:w="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on Form S-4 filed with the Commission on October 4, 2018) (Registration No. 333-226618).</w:t>
              </w:r>
            </w:hyperlink>
          </w:p>
        </w:tc>
        <w:tc>
          <w:tcPr>
            <w:tcW w:w="3020" w:type="dxa"/>
            <w:vAlign w:val="bottom"/>
            <w:gridSpan w:val="19"/>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24"/>
                <w:szCs w:val="24"/>
                <w:color w:val="auto"/>
              </w:rPr>
            </w:pPr>
          </w:p>
        </w:tc>
        <w:tc>
          <w:tcPr>
            <w:tcW w:w="9480" w:type="dxa"/>
            <w:vAlign w:val="bottom"/>
            <w:tcBorders>
              <w:bottom w:val="single" w:sz="8" w:color="0000EE"/>
            </w:tcBorders>
            <w:gridSpan w:val="17"/>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Form of Amended and Restated Stock Option Agreement for Non-Employee Directors (Annual Grant) under the Dell Technologies</w:t>
              </w:r>
            </w:hyperlink>
          </w:p>
        </w:tc>
        <w:tc>
          <w:tcPr>
            <w:tcW w:w="22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Inc. 2013 Stock Incentive Plan (incorporated by reference to Exhibit 10.19 to Amendment No. 2 to the Company’s Registration</w:t>
              </w:r>
            </w:hyperlink>
          </w:p>
        </w:tc>
        <w:tc>
          <w:tcPr>
            <w:tcW w:w="52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Statement on Form S-4 filed with the Commission on October 4, 2018) (Registration No. 333-226618).</w:t>
              </w:r>
            </w:hyperlink>
          </w:p>
        </w:tc>
        <w:tc>
          <w:tcPr>
            <w:tcW w:w="2260" w:type="dxa"/>
            <w:vAlign w:val="bottom"/>
            <w:gridSpan w:val="18"/>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10.30†</w:t>
            </w:r>
          </w:p>
        </w:tc>
        <w:tc>
          <w:tcPr>
            <w:tcW w:w="56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w w:val="98"/>
              </w:rPr>
            </w:pPr>
            <w:hyperlink r:id="rId213">
              <w:r>
                <w:rPr>
                  <w:rFonts w:ascii="Arial" w:cs="Arial" w:eastAsia="Arial" w:hAnsi="Arial"/>
                  <w:sz w:val="18"/>
                  <w:szCs w:val="18"/>
                  <w:color w:val="0000EE"/>
                  <w:w w:val="98"/>
                </w:rPr>
                <w:t>Form of Stock Option Agreement for Non-Employee Directors (Sign-On Grant) under the Dell Technologies Inc. 2013 Stock</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Incentive Plan (incorporated by reference to Exhibit 10.20 to Amendment No. 2 to the Company’s Registration Statement on Form</w:t>
              </w:r>
            </w:hyperlink>
          </w:p>
        </w:tc>
        <w:tc>
          <w:tcPr>
            <w:tcW w:w="26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S-4 filed with the Commission on October 4, 2018) (Registration No. 333-226618).</w:t>
              </w:r>
            </w:hyperlink>
          </w:p>
        </w:tc>
        <w:tc>
          <w:tcPr>
            <w:tcW w:w="3680" w:type="dxa"/>
            <w:vAlign w:val="bottom"/>
            <w:gridSpan w:val="20"/>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rPr>
            </w:pPr>
            <w:hyperlink r:id="rId214">
              <w:r>
                <w:rPr>
                  <w:rFonts w:ascii="Arial" w:cs="Arial" w:eastAsia="Arial" w:hAnsi="Arial"/>
                  <w:sz w:val="18"/>
                  <w:szCs w:val="18"/>
                  <w:color w:val="0000EE"/>
                </w:rPr>
                <w:t>Form of Amended and Restated Stock Option Agreement for grants to executive officers (Rollover Option) under the Dell</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Technologies Inc. 2013 Stock Incentive Plan (incorporated by reference to Exhibit 10.21 to Amendment No. 2 to the Company’s</w:t>
              </w:r>
            </w:hyperlink>
          </w:p>
        </w:tc>
        <w:tc>
          <w:tcPr>
            <w:tcW w:w="440" w:type="dxa"/>
            <w:vAlign w:val="bottom"/>
            <w:gridSpan w:val="1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3"/>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Registration Statement on Form S-4 filed with the Commission on October 4, 2018) (Registration No. 333-226618).</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10.32†</w:t>
            </w:r>
          </w:p>
        </w:tc>
        <w:tc>
          <w:tcPr>
            <w:tcW w:w="56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w w:val="91"/>
              </w:rPr>
            </w:pPr>
            <w:hyperlink r:id="rId215">
              <w:r>
                <w:rPr>
                  <w:rFonts w:ascii="Arial" w:cs="Arial" w:eastAsia="Arial" w:hAnsi="Arial"/>
                  <w:sz w:val="18"/>
                  <w:szCs w:val="18"/>
                  <w:color w:val="0000EE"/>
                  <w:w w:val="91"/>
                </w:rPr>
                <w:t>Dell Technologies Inc. 2013 Stock Incentive Plan (as amended and restated as of July 9, 2019) (incorporated by reference to Exhibit</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62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3"/>
          </w:tcPr>
          <w:p>
            <w:pPr>
              <w:spacing w:after="0" w:line="196"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w:t>
              </w:r>
              <w:r>
                <w:rPr>
                  <w:rFonts w:ascii="Arial" w:cs="Arial" w:eastAsia="Arial" w:hAnsi="Arial"/>
                  <w:sz w:val="18"/>
                  <w:szCs w:val="18"/>
                  <w:color w:val="0000EE"/>
                  <w:w w:val="93"/>
                </w:rPr>
                <w:t xml:space="preserve"> to the Company’s Current Report on Form 8-K filed with the Commission on July 11, 2019) (Commission File No. 001-37867).</w:t>
              </w:r>
            </w:hyperlink>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10.33†</w:t>
            </w:r>
          </w:p>
        </w:tc>
        <w:tc>
          <w:tcPr>
            <w:tcW w:w="560" w:type="dxa"/>
            <w:vAlign w:val="bottom"/>
          </w:tcPr>
          <w:p>
            <w:pPr>
              <w:spacing w:after="0"/>
              <w:rPr>
                <w:sz w:val="24"/>
                <w:szCs w:val="24"/>
                <w:color w:val="auto"/>
              </w:rPr>
            </w:pPr>
          </w:p>
        </w:tc>
        <w:tc>
          <w:tcPr>
            <w:tcW w:w="9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216">
              <w:r>
                <w:rPr>
                  <w:rFonts w:ascii="Arial" w:cs="Arial" w:eastAsia="Arial" w:hAnsi="Arial"/>
                  <w:sz w:val="18"/>
                  <w:szCs w:val="18"/>
                  <w:color w:val="0000EE"/>
                  <w:w w:val="90"/>
                </w:rPr>
                <w:t>Amended and Restated Dell Technologies Inc. Compensation Program for Independent Non-Employee Directors (incorporated by</w:t>
              </w:r>
            </w:hyperlink>
          </w:p>
        </w:tc>
        <w:tc>
          <w:tcPr>
            <w:tcW w:w="240" w:type="dxa"/>
            <w:vAlign w:val="bottom"/>
            <w:tcBorders>
              <w:top w:val="single" w:sz="8" w:color="0000EE"/>
            </w:tcBorders>
            <w:gridSpan w:val="7"/>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reference to Exhibit 10.1 to the Company’s Quarterly Report on Form 10-Q for the quarterly period ended October 30, 2020)</w:t>
              </w:r>
            </w:hyperlink>
          </w:p>
        </w:tc>
        <w:tc>
          <w:tcPr>
            <w:tcW w:w="68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(Commission File No. 001-37867).</w:t>
              </w:r>
            </w:hyperlink>
          </w:p>
        </w:tc>
        <w:tc>
          <w:tcPr>
            <w:tcW w:w="7160" w:type="dxa"/>
            <w:vAlign w:val="bottom"/>
            <w:gridSpan w:val="22"/>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10.34</w:t>
            </w:r>
          </w:p>
        </w:tc>
        <w:tc>
          <w:tcPr>
            <w:tcW w:w="56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Letter Agreement, dated as of July 1, 2018, between the Company and VMware, Inc. (incorporated by reference to Exhibit 10.2 to the</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3"/>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Company’s Current Report on Form 8-K filed with the Commission on July 2, 2018) (Commission File No. 001-37867).</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462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10.35</w:t>
            </w:r>
          </w:p>
        </w:tc>
        <w:tc>
          <w:tcPr>
            <w:tcW w:w="56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w w:val="94"/>
              </w:rPr>
            </w:pPr>
            <w:hyperlink r:id="rId218">
              <w:r>
                <w:rPr>
                  <w:rFonts w:ascii="Arial" w:cs="Arial" w:eastAsia="Arial" w:hAnsi="Arial"/>
                  <w:sz w:val="18"/>
                  <w:szCs w:val="18"/>
                  <w:color w:val="0000EE"/>
                  <w:w w:val="94"/>
                </w:rPr>
                <w:t>Waiver, dated as of November 14, 2018, among the Company and VMware, Inc. (incorporated by reference to Exhibit 10.6 to the</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462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18">
              <w:r>
                <w:rPr>
                  <w:rFonts w:ascii="Arial" w:cs="Arial" w:eastAsia="Arial" w:hAnsi="Arial"/>
                  <w:sz w:val="18"/>
                  <w:szCs w:val="18"/>
                  <w:color w:val="0000EE"/>
                  <w:w w:val="92"/>
                </w:rPr>
                <w:t>Company’s Current Report on Form 8-K/A filed with the Commission on November 15, 2018) (Commission File No. 001-37867).</w:t>
              </w:r>
            </w:hyperlink>
          </w:p>
        </w:tc>
        <w:tc>
          <w:tcPr>
            <w:tcW w:w="280" w:type="dxa"/>
            <w:vAlign w:val="bottom"/>
            <w:gridSpan w:val="9"/>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10.36</w:t>
            </w:r>
          </w:p>
        </w:tc>
        <w:tc>
          <w:tcPr>
            <w:tcW w:w="56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MD Stockholders Agreement, dated as of December 25, 2018, by and among the Company, Denali Intermediate Inc., Dell Inc., EMC</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Corporation, Denali Finance Corp., Dell International L.L.C., Michael S. Dell and the Susan Lieberman Dell Separate Property Trust</w:t>
              </w:r>
            </w:hyperlink>
          </w:p>
        </w:tc>
        <w:tc>
          <w:tcPr>
            <w:tcW w:w="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(incorporated by reference to Exhibit 10.1 to the Company’s Current Report on Form 8-K filed with the Commission on</w:t>
              </w:r>
            </w:hyperlink>
          </w:p>
        </w:tc>
        <w:tc>
          <w:tcPr>
            <w:tcW w:w="900" w:type="dxa"/>
            <w:vAlign w:val="bottom"/>
            <w:tcBorders>
              <w:top w:val="single" w:sz="8" w:color="0000EE"/>
            </w:tcBorders>
            <w:gridSpan w:val="12"/>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December 28, 2018) (Commission File No. 001-37867).</w:t>
              </w:r>
            </w:hyperlink>
          </w:p>
        </w:tc>
        <w:tc>
          <w:tcPr>
            <w:tcW w:w="5640" w:type="dxa"/>
            <w:vAlign w:val="bottom"/>
            <w:gridSpan w:val="21"/>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10.37</w:t>
            </w:r>
          </w:p>
        </w:tc>
        <w:tc>
          <w:tcPr>
            <w:tcW w:w="56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SLP Stockholders Agreement, dated as of December 25, 2018, by and among the Company, Denali Intermediate Inc., Dell Inc., EMC</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Corporation, Denali Finance Corp., Dell International L.L.C., Silver Lake Partners III, L.P., Silver Lake Technology Investors III,</w:t>
              </w:r>
            </w:hyperlink>
          </w:p>
        </w:tc>
        <w:tc>
          <w:tcPr>
            <w:tcW w:w="30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r>
    </w:tbl>
    <w:p>
      <w:pPr>
        <w:spacing w:after="0" w:line="13" w:lineRule="exact"/>
        <w:rPr>
          <w:sz w:val="20"/>
          <w:szCs w:val="20"/>
          <w:color w:val="auto"/>
        </w:rPr>
      </w:pPr>
    </w:p>
    <w:p>
      <w:pPr>
        <w:ind w:left="1440" w:right="220"/>
        <w:spacing w:after="0" w:line="263" w:lineRule="auto"/>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L.P., Silver Lake Partners IV, L.P., Silver Lake Technology Investors IV, L.P. and SLP Denali Co-Invest, L.P. and the other</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stockholders named therein (incorporated by reference to Exhibit 10.2 to the Company’s Current Report on Form 8-K filed with the</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Commission on December 28, 2018) (Commission File No. 001-37867).</w:t>
        </w:r>
      </w:hyperlink>
    </w:p>
    <w:p>
      <w:pPr>
        <w:spacing w:after="0" w:line="116" w:lineRule="exact"/>
        <w:rPr>
          <w:rFonts w:ascii="Arial" w:cs="Arial" w:eastAsia="Arial" w:hAnsi="Arial"/>
          <w:sz w:val="18"/>
          <w:szCs w:val="18"/>
          <w:u w:val="single" w:color="auto"/>
          <w:color w:val="0000EE"/>
        </w:rPr>
      </w:pPr>
    </w:p>
    <w:p>
      <w:pPr>
        <w:jc w:val="center"/>
        <w:ind w:right="-99"/>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140"/>
          </w:cols>
          <w:pgMar w:left="320" w:top="459"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5"/>
                <w:szCs w:val="15"/>
                <w:color w:val="auto"/>
              </w:rPr>
            </w:pPr>
          </w:p>
        </w:tc>
        <w:tc>
          <w:tcPr>
            <w:tcW w:w="9700" w:type="dxa"/>
            <w:vAlign w:val="bottom"/>
            <w:tcBorders>
              <w:bottom w:val="single" w:sz="8" w:color="auto"/>
            </w:tcBorders>
            <w:gridSpan w:val="28"/>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10.38</w:t>
            </w:r>
          </w:p>
        </w:tc>
        <w:tc>
          <w:tcPr>
            <w:tcW w:w="560" w:type="dxa"/>
            <w:vAlign w:val="bottom"/>
          </w:tcPr>
          <w:p>
            <w:pPr>
              <w:spacing w:after="0"/>
              <w:rPr>
                <w:sz w:val="23"/>
                <w:szCs w:val="23"/>
                <w:color w:val="auto"/>
              </w:rPr>
            </w:pPr>
          </w:p>
        </w:tc>
        <w:tc>
          <w:tcPr>
            <w:tcW w:w="9700" w:type="dxa"/>
            <w:vAlign w:val="bottom"/>
            <w:gridSpan w:val="28"/>
          </w:tcPr>
          <w:p>
            <w:pPr>
              <w:spacing w:after="0"/>
              <w:rPr>
                <w:rFonts w:ascii="Arial" w:cs="Arial" w:eastAsia="Arial" w:hAnsi="Arial"/>
                <w:sz w:val="18"/>
                <w:szCs w:val="18"/>
                <w:color w:val="0000EE"/>
                <w:w w:val="90"/>
              </w:rPr>
            </w:pPr>
            <w:hyperlink r:id="rId222">
              <w:r>
                <w:rPr>
                  <w:rFonts w:ascii="Arial" w:cs="Arial" w:eastAsia="Arial" w:hAnsi="Arial"/>
                  <w:sz w:val="18"/>
                  <w:szCs w:val="18"/>
                  <w:color w:val="0000EE"/>
                  <w:w w:val="90"/>
                </w:rPr>
                <w:t>Second Amended and Restated Management Stockholders Agreement, dated as of December 25, 2018, by and among the Company,</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8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222">
              <w:r>
                <w:rPr>
                  <w:rFonts w:ascii="Arial" w:cs="Arial" w:eastAsia="Arial" w:hAnsi="Arial"/>
                  <w:sz w:val="18"/>
                  <w:szCs w:val="18"/>
                  <w:color w:val="0000EE"/>
                  <w:w w:val="92"/>
                </w:rPr>
                <w:t>Michael S. Dell, Susan Lieberman Dell Separate Property Trust, Silver Lake Partners III, L.P., Silver Lake Technology Investors III,</w:t>
              </w:r>
            </w:hyperlink>
          </w:p>
        </w:tc>
        <w:tc>
          <w:tcPr>
            <w:tcW w:w="12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Arial" w:cs="Arial" w:eastAsia="Arial" w:hAnsi="Arial"/>
                <w:sz w:val="18"/>
                <w:szCs w:val="18"/>
                <w:color w:val="0000EE"/>
                <w:w w:val="94"/>
              </w:rPr>
            </w:pPr>
            <w:hyperlink r:id="rId222">
              <w:r>
                <w:rPr>
                  <w:rFonts w:ascii="Arial" w:cs="Arial" w:eastAsia="Arial" w:hAnsi="Arial"/>
                  <w:sz w:val="18"/>
                  <w:szCs w:val="18"/>
                  <w:color w:val="0000EE"/>
                  <w:w w:val="94"/>
                </w:rPr>
                <w:t>L.P., Silver Lake Partners IV, L.P., Silver Lake Technology Investors IV, L.P., SLP Denali Co-Invest, L.P. and the Management</w:t>
              </w:r>
            </w:hyperlink>
          </w:p>
        </w:tc>
        <w:tc>
          <w:tcPr>
            <w:tcW w:w="180" w:type="dxa"/>
            <w:vAlign w:val="bottom"/>
            <w:gridSpan w:val="7"/>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2"/>
              </w:rPr>
            </w:pPr>
            <w:hyperlink r:id="rId222">
              <w:r>
                <w:rPr>
                  <w:rFonts w:ascii="Arial" w:cs="Arial" w:eastAsia="Arial" w:hAnsi="Arial"/>
                  <w:sz w:val="18"/>
                  <w:szCs w:val="18"/>
                  <w:color w:val="0000EE"/>
                  <w:w w:val="92"/>
                </w:rPr>
                <w:t>Stockholders (as defined therein) (incorporated by reference to Exhibit 10.5 to the Company’s Current Report on Form 8-K filed with</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the Commission on December 28, 2018) (Commission File No. 001-37867).</w:t>
              </w:r>
            </w:hyperlink>
          </w:p>
        </w:tc>
        <w:tc>
          <w:tcPr>
            <w:tcW w:w="4120" w:type="dxa"/>
            <w:vAlign w:val="bottom"/>
            <w:tcBorders>
              <w:top w:val="single" w:sz="8" w:color="0000EE"/>
            </w:tcBorders>
            <w:gridSpan w:val="19"/>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10.39</w:t>
            </w:r>
          </w:p>
        </w:tc>
        <w:tc>
          <w:tcPr>
            <w:tcW w:w="56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2"/>
              </w:rPr>
            </w:pPr>
            <w:hyperlink r:id="rId223">
              <w:r>
                <w:rPr>
                  <w:rFonts w:ascii="Arial" w:cs="Arial" w:eastAsia="Arial" w:hAnsi="Arial"/>
                  <w:sz w:val="18"/>
                  <w:szCs w:val="18"/>
                  <w:color w:val="0000EE"/>
                  <w:w w:val="92"/>
                </w:rPr>
                <w:t>Amended and Restated Class C Stockholders Agreement, dated as of December 25, 2018, by and among the Company, Michael S.</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Dell, Susan Lieberman Dell Separate Property Trust, Silver Lake Partners III, L.P., Silver Lake Partners IV, L.P., Silver Lake</w:t>
              </w:r>
            </w:hyperlink>
          </w:p>
        </w:tc>
        <w:tc>
          <w:tcPr>
            <w:tcW w:w="460" w:type="dxa"/>
            <w:vAlign w:val="bottom"/>
            <w:tcBorders>
              <w:top w:val="single" w:sz="8" w:color="0000EE"/>
            </w:tcBorders>
            <w:gridSpan w:val="6"/>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Technology Investors III, L.P., Silver Lake Technology Investors IV, L.P., SLP Denali Co-Invest, L.P. and Venezio Investments Pte.</w:t>
              </w:r>
            </w:hyperlink>
          </w:p>
        </w:tc>
        <w:tc>
          <w:tcPr>
            <w:tcW w:w="24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23">
              <w:r>
                <w:rPr>
                  <w:rFonts w:ascii="Arial" w:cs="Arial" w:eastAsia="Arial" w:hAnsi="Arial"/>
                  <w:sz w:val="18"/>
                  <w:szCs w:val="18"/>
                  <w:color w:val="0000EE"/>
                  <w:w w:val="92"/>
                </w:rPr>
                <w:t>Ltd. (incorporated by reference to Exhibit 10.6 to the Company’s Current Report on Form 8-K filed with the Commission on</w:t>
              </w:r>
            </w:hyperlink>
          </w:p>
        </w:tc>
        <w:tc>
          <w:tcPr>
            <w:tcW w:w="720" w:type="dxa"/>
            <w:vAlign w:val="bottom"/>
            <w:gridSpan w:val="1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December 28, 2018) (Commission File No. 001-37867).</w:t>
              </w:r>
            </w:hyperlink>
          </w:p>
        </w:tc>
        <w:tc>
          <w:tcPr>
            <w:tcW w:w="5640" w:type="dxa"/>
            <w:vAlign w:val="bottom"/>
            <w:gridSpan w:val="25"/>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10.40</w:t>
            </w:r>
          </w:p>
        </w:tc>
        <w:tc>
          <w:tcPr>
            <w:tcW w:w="56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4"/>
              </w:rPr>
            </w:pPr>
            <w:hyperlink r:id="rId224">
              <w:r>
                <w:rPr>
                  <w:rFonts w:ascii="Arial" w:cs="Arial" w:eastAsia="Arial" w:hAnsi="Arial"/>
                  <w:sz w:val="18"/>
                  <w:szCs w:val="18"/>
                  <w:color w:val="0000EE"/>
                  <w:w w:val="94"/>
                </w:rPr>
                <w:t>Second Amended and Restated Class A Stockholders Agreement, dated as of December 25, 2018, by and among the Company,</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24">
              <w:r>
                <w:rPr>
                  <w:rFonts w:ascii="Arial" w:cs="Arial" w:eastAsia="Arial" w:hAnsi="Arial"/>
                  <w:sz w:val="18"/>
                  <w:szCs w:val="18"/>
                  <w:color w:val="0000EE"/>
                  <w:w w:val="91"/>
                </w:rPr>
                <w:t>Michael S. Dell, Susan Lieberman Dell Separate Property Trust, Silver Lake Partners III, L.P., Silver Lake Partners IV, L.P., Silver</w:t>
              </w:r>
            </w:hyperlink>
          </w:p>
        </w:tc>
        <w:tc>
          <w:tcPr>
            <w:tcW w:w="30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5"/>
              </w:rPr>
            </w:pPr>
            <w:hyperlink r:id="rId224">
              <w:r>
                <w:rPr>
                  <w:rFonts w:ascii="Arial" w:cs="Arial" w:eastAsia="Arial" w:hAnsi="Arial"/>
                  <w:sz w:val="18"/>
                  <w:szCs w:val="18"/>
                  <w:color w:val="0000EE"/>
                  <w:w w:val="95"/>
                </w:rPr>
                <w:t>Lake Technology Investors III, L.P., Silver Lake Technology Investors IV, L.P., SLP Denali Co-Invest, L.P. and the New Class A</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4"/>
              </w:rPr>
            </w:pPr>
            <w:hyperlink r:id="rId224">
              <w:r>
                <w:rPr>
                  <w:rFonts w:ascii="Arial" w:cs="Arial" w:eastAsia="Arial" w:hAnsi="Arial"/>
                  <w:sz w:val="18"/>
                  <w:szCs w:val="18"/>
                  <w:color w:val="0000EE"/>
                  <w:w w:val="94"/>
                </w:rPr>
                <w:t>Stockholders party thereto (incorporated by reference to Exhibit 10.7 to the Company’s Current Report on Form 8-K filed with the</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24">
              <w:r>
                <w:rPr>
                  <w:rFonts w:ascii="Arial" w:cs="Arial" w:eastAsia="Arial" w:hAnsi="Arial"/>
                  <w:sz w:val="18"/>
                  <w:szCs w:val="18"/>
                  <w:color w:val="0000EE"/>
                  <w:w w:val="91"/>
                </w:rPr>
                <w:t>Commission on December 28, 2018) (Commission File No. 001-37867).</w:t>
              </w:r>
            </w:hyperlink>
          </w:p>
        </w:tc>
        <w:tc>
          <w:tcPr>
            <w:tcW w:w="4160" w:type="dxa"/>
            <w:vAlign w:val="bottom"/>
            <w:tcBorders>
              <w:top w:val="single" w:sz="8" w:color="0000EE"/>
            </w:tcBorders>
            <w:gridSpan w:val="11"/>
          </w:tcPr>
          <w:p>
            <w:pPr>
              <w:spacing w:after="0"/>
              <w:rPr>
                <w:sz w:val="17"/>
                <w:szCs w:val="17"/>
                <w:color w:val="auto"/>
              </w:rPr>
            </w:pPr>
          </w:p>
        </w:tc>
        <w:tc>
          <w:tcPr>
            <w:tcW w:w="300" w:type="dxa"/>
            <w:vAlign w:val="bottom"/>
            <w:gridSpan w:val="13"/>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10.41†</w:t>
            </w:r>
          </w:p>
        </w:tc>
        <w:tc>
          <w:tcPr>
            <w:tcW w:w="560" w:type="dxa"/>
            <w:vAlign w:val="bottom"/>
          </w:tcPr>
          <w:p>
            <w:pPr>
              <w:spacing w:after="0"/>
              <w:rPr>
                <w:sz w:val="24"/>
                <w:szCs w:val="24"/>
                <w:color w:val="auto"/>
              </w:rPr>
            </w:pPr>
          </w:p>
        </w:tc>
        <w:tc>
          <w:tcPr>
            <w:tcW w:w="9500" w:type="dxa"/>
            <w:vAlign w:val="bottom"/>
            <w:tcBorders>
              <w:bottom w:val="single" w:sz="8" w:color="0000EE"/>
            </w:tcBorders>
            <w:gridSpan w:val="20"/>
          </w:tcPr>
          <w:p>
            <w:pPr>
              <w:spacing w:after="0"/>
              <w:rPr>
                <w:rFonts w:ascii="Arial" w:cs="Arial" w:eastAsia="Arial" w:hAnsi="Arial"/>
                <w:sz w:val="18"/>
                <w:szCs w:val="18"/>
                <w:color w:val="0000EE"/>
                <w:w w:val="91"/>
              </w:rPr>
            </w:pPr>
            <w:hyperlink r:id="rId225">
              <w:r>
                <w:rPr>
                  <w:rFonts w:ascii="Arial" w:cs="Arial" w:eastAsia="Arial" w:hAnsi="Arial"/>
                  <w:sz w:val="18"/>
                  <w:szCs w:val="18"/>
                  <w:color w:val="0000EE"/>
                  <w:w w:val="91"/>
                </w:rPr>
                <w:t>Form of Restricted Stock Unit Agreement under the Dell Technologies Inc. 2013 Stock Incentive Plan (incorporated by reference to</w:t>
              </w:r>
            </w:hyperlink>
          </w:p>
        </w:tc>
        <w:tc>
          <w:tcPr>
            <w:tcW w:w="20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8"/>
              </w:rPr>
            </w:pPr>
            <w:hyperlink r:id="rId225">
              <w:r>
                <w:rPr>
                  <w:rFonts w:ascii="Arial" w:cs="Arial" w:eastAsia="Arial" w:hAnsi="Arial"/>
                  <w:sz w:val="18"/>
                  <w:szCs w:val="18"/>
                  <w:color w:val="0000EE"/>
                  <w:w w:val="98"/>
                </w:rPr>
                <w:t>Exhibit 10.1 to the Company’s Current Report on Form 8-K filed with the Commission on March 19, 2019) (Commission File</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No. 001-37867).</w:t>
              </w:r>
            </w:hyperlink>
          </w:p>
        </w:tc>
        <w:tc>
          <w:tcPr>
            <w:tcW w:w="7920" w:type="dxa"/>
            <w:vAlign w:val="bottom"/>
            <w:tcBorders>
              <w:top w:val="single" w:sz="8" w:color="0000EE"/>
            </w:tcBorders>
            <w:gridSpan w:val="11"/>
          </w:tcPr>
          <w:p>
            <w:pPr>
              <w:spacing w:after="0"/>
              <w:rPr>
                <w:sz w:val="17"/>
                <w:szCs w:val="17"/>
                <w:color w:val="auto"/>
              </w:rPr>
            </w:pPr>
          </w:p>
        </w:tc>
        <w:tc>
          <w:tcPr>
            <w:tcW w:w="580" w:type="dxa"/>
            <w:vAlign w:val="bottom"/>
            <w:gridSpan w:val="16"/>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10.42†</w:t>
            </w:r>
          </w:p>
        </w:tc>
        <w:tc>
          <w:tcPr>
            <w:tcW w:w="560" w:type="dxa"/>
            <w:vAlign w:val="bottom"/>
          </w:tcPr>
          <w:p>
            <w:pPr>
              <w:spacing w:after="0"/>
              <w:rPr>
                <w:sz w:val="24"/>
                <w:szCs w:val="24"/>
                <w:color w:val="auto"/>
              </w:rPr>
            </w:pPr>
          </w:p>
        </w:tc>
        <w:tc>
          <w:tcPr>
            <w:tcW w:w="8840" w:type="dxa"/>
            <w:vAlign w:val="bottom"/>
            <w:tcBorders>
              <w:bottom w:val="single" w:sz="8" w:color="0000EE"/>
            </w:tcBorders>
            <w:gridSpan w:val="9"/>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Form of Performance-Based Restricted Stock Unit Agreement under the Dell Technologies Inc. 2013 Stock Incentive Plan</w:t>
              </w:r>
            </w:hyperlink>
          </w:p>
        </w:tc>
        <w:tc>
          <w:tcPr>
            <w:tcW w:w="860" w:type="dxa"/>
            <w:vAlign w:val="bottom"/>
            <w:gridSpan w:val="1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4"/>
              </w:rPr>
            </w:pPr>
            <w:hyperlink r:id="rId226">
              <w:r>
                <w:rPr>
                  <w:rFonts w:ascii="Arial" w:cs="Arial" w:eastAsia="Arial" w:hAnsi="Arial"/>
                  <w:sz w:val="18"/>
                  <w:szCs w:val="18"/>
                  <w:color w:val="0000EE"/>
                  <w:w w:val="94"/>
                </w:rPr>
                <w:t>(incorporated by reference to Exhibit 10.2 to the Company’s Current Report on Form 8-K filed with the Commission on March 19,</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2019) (Commission File No. 001-37867).</w:t>
              </w:r>
            </w:hyperlink>
          </w:p>
        </w:tc>
        <w:tc>
          <w:tcPr>
            <w:tcW w:w="6420" w:type="dxa"/>
            <w:vAlign w:val="bottom"/>
            <w:tcBorders>
              <w:top w:val="single" w:sz="8" w:color="0000EE"/>
            </w:tcBorders>
            <w:gridSpan w:val="14"/>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10.43†</w:t>
            </w:r>
          </w:p>
        </w:tc>
        <w:tc>
          <w:tcPr>
            <w:tcW w:w="56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4"/>
              </w:rPr>
            </w:pPr>
            <w:hyperlink r:id="rId227">
              <w:r>
                <w:rPr>
                  <w:rFonts w:ascii="Arial" w:cs="Arial" w:eastAsia="Arial" w:hAnsi="Arial"/>
                  <w:sz w:val="18"/>
                  <w:szCs w:val="18"/>
                  <w:color w:val="0000EE"/>
                  <w:w w:val="94"/>
                </w:rPr>
                <w:t>Waiver Letter, dated as of April 7, 2020, between Dell Technologies Inc. and Michael S. Dell (incorporated by reference to Exhibit</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gridSpan w:val="6"/>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2"/>
              </w:rPr>
            </w:pPr>
            <w:hyperlink r:id="rId22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57</w:t>
              </w:r>
              <w:r>
                <w:rPr>
                  <w:rFonts w:ascii="Arial" w:cs="Arial" w:eastAsia="Arial" w:hAnsi="Arial"/>
                  <w:sz w:val="18"/>
                  <w:szCs w:val="18"/>
                  <w:color w:val="0000EE"/>
                  <w:w w:val="92"/>
                </w:rPr>
                <w:t xml:space="preserve"> to the Company’s Annual Report on Form 10-K for the fiscal year ended January 29, 2021) (Commission File No. 001-37867).</w:t>
              </w:r>
            </w:hyperlink>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10.44</w:t>
            </w:r>
          </w:p>
        </w:tc>
        <w:tc>
          <w:tcPr>
            <w:tcW w:w="560" w:type="dxa"/>
            <w:vAlign w:val="bottom"/>
          </w:tcPr>
          <w:p>
            <w:pPr>
              <w:spacing w:after="0"/>
              <w:rPr>
                <w:sz w:val="24"/>
                <w:szCs w:val="24"/>
                <w:color w:val="auto"/>
              </w:rPr>
            </w:pPr>
          </w:p>
        </w:tc>
        <w:tc>
          <w:tcPr>
            <w:tcW w:w="9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r:id="rId228">
              <w:r>
                <w:rPr>
                  <w:rFonts w:ascii="Arial" w:cs="Arial" w:eastAsia="Arial" w:hAnsi="Arial"/>
                  <w:sz w:val="18"/>
                  <w:szCs w:val="18"/>
                  <w:color w:val="0000EE"/>
                  <w:w w:val="91"/>
                </w:rPr>
                <w:t>Commercial Framework Agreement, dated as of November 1, 2021, by and between Dell Technologies Inc. and VMware, Inc.</w:t>
              </w:r>
            </w:hyperlink>
          </w:p>
        </w:tc>
        <w:tc>
          <w:tcPr>
            <w:tcW w:w="440" w:type="dxa"/>
            <w:vAlign w:val="bottom"/>
            <w:tcBorders>
              <w:top w:val="single" w:sz="8" w:color="0000EE"/>
            </w:tcBorders>
            <w:gridSpan w:val="12"/>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2"/>
              </w:rPr>
            </w:pPr>
            <w:hyperlink r:id="rId228">
              <w:r>
                <w:rPr>
                  <w:rFonts w:ascii="Arial" w:cs="Arial" w:eastAsia="Arial" w:hAnsi="Arial"/>
                  <w:sz w:val="18"/>
                  <w:szCs w:val="18"/>
                  <w:color w:val="0000EE"/>
                  <w:w w:val="92"/>
                </w:rPr>
                <w:t>(incorporated by reference to Exhibit 10.1 to the Company’s Current Report on Form 8-K filed with the Commission on November 1,</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2021) (Commission File No. 001-37867).</w:t>
              </w:r>
            </w:hyperlink>
          </w:p>
        </w:tc>
        <w:tc>
          <w:tcPr>
            <w:tcW w:w="6660" w:type="dxa"/>
            <w:vAlign w:val="bottom"/>
            <w:tcBorders>
              <w:top w:val="single" w:sz="8" w:color="0000EE"/>
            </w:tcBorders>
            <w:gridSpan w:val="2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10.45†</w:t>
            </w:r>
          </w:p>
        </w:tc>
        <w:tc>
          <w:tcPr>
            <w:tcW w:w="560" w:type="dxa"/>
            <w:vAlign w:val="bottom"/>
          </w:tcPr>
          <w:p>
            <w:pPr>
              <w:spacing w:after="0"/>
              <w:rPr>
                <w:sz w:val="24"/>
                <w:szCs w:val="24"/>
                <w:color w:val="auto"/>
              </w:rPr>
            </w:pPr>
          </w:p>
        </w:tc>
        <w:tc>
          <w:tcPr>
            <w:tcW w:w="9680" w:type="dxa"/>
            <w:vAlign w:val="bottom"/>
            <w:tcBorders>
              <w:bottom w:val="single" w:sz="8" w:color="0000EE"/>
            </w:tcBorders>
            <w:gridSpan w:val="27"/>
          </w:tcPr>
          <w:p>
            <w:pPr>
              <w:spacing w:after="0"/>
              <w:rPr>
                <w:rFonts w:ascii="Arial" w:cs="Arial" w:eastAsia="Arial" w:hAnsi="Arial"/>
                <w:sz w:val="18"/>
                <w:szCs w:val="18"/>
                <w:color w:val="0000EE"/>
                <w:w w:val="92"/>
              </w:rPr>
            </w:pPr>
            <w:hyperlink r:id="rId229">
              <w:r>
                <w:rPr>
                  <w:rFonts w:ascii="Arial" w:cs="Arial" w:eastAsia="Arial" w:hAnsi="Arial"/>
                  <w:sz w:val="18"/>
                  <w:szCs w:val="18"/>
                  <w:color w:val="0000EE"/>
                  <w:w w:val="92"/>
                </w:rPr>
                <w:t>Dell Technologies Inc. Restricted Stock Unit Agreement with Anthony Charles Whitten (incorporated by reference to Exhibit 10.45 to</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8"/>
              </w:rPr>
            </w:pPr>
            <w:hyperlink r:id="rId229">
              <w:r>
                <w:rPr>
                  <w:rFonts w:ascii="Arial" w:cs="Arial" w:eastAsia="Arial" w:hAnsi="Arial"/>
                  <w:sz w:val="18"/>
                  <w:szCs w:val="18"/>
                  <w:color w:val="0000EE"/>
                  <w:w w:val="98"/>
                </w:rPr>
                <w:t>the Company’s Annual Report on Form 10-K for the fiscal year ended February 3, 2023) (Commission File No. 001-37867).</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gridSpan w:val="6"/>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10.46†</w:t>
            </w:r>
          </w:p>
        </w:tc>
        <w:tc>
          <w:tcPr>
            <w:tcW w:w="560" w:type="dxa"/>
            <w:vAlign w:val="bottom"/>
          </w:tcPr>
          <w:p>
            <w:pPr>
              <w:spacing w:after="0"/>
              <w:rPr>
                <w:sz w:val="24"/>
                <w:szCs w:val="24"/>
                <w:color w:val="auto"/>
              </w:rPr>
            </w:pPr>
          </w:p>
        </w:tc>
        <w:tc>
          <w:tcPr>
            <w:tcW w:w="9360" w:type="dxa"/>
            <w:vAlign w:val="bottom"/>
            <w:tcBorders>
              <w:bottom w:val="single" w:sz="8" w:color="0000EE"/>
            </w:tcBorders>
            <w:gridSpan w:val="14"/>
          </w:tcPr>
          <w:p>
            <w:pPr>
              <w:spacing w:after="0"/>
              <w:rPr>
                <w:rFonts w:ascii="Arial" w:cs="Arial" w:eastAsia="Arial" w:hAnsi="Arial"/>
                <w:sz w:val="18"/>
                <w:szCs w:val="18"/>
                <w:color w:val="0000EE"/>
                <w:w w:val="91"/>
              </w:rPr>
            </w:pPr>
            <w:hyperlink r:id="rId230">
              <w:r>
                <w:rPr>
                  <w:rFonts w:ascii="Arial" w:cs="Arial" w:eastAsia="Arial" w:hAnsi="Arial"/>
                  <w:sz w:val="18"/>
                  <w:szCs w:val="18"/>
                  <w:color w:val="0000EE"/>
                  <w:w w:val="91"/>
                </w:rPr>
                <w:t>Dell Technologies Inc. 2023 Stock Incentive Plan (incorporated by reference to Exhibit 10.1 to the Company’s Current Report on</w:t>
              </w:r>
            </w:hyperlink>
          </w:p>
        </w:tc>
        <w:tc>
          <w:tcPr>
            <w:tcW w:w="340" w:type="dxa"/>
            <w:vAlign w:val="bottom"/>
            <w:gridSpan w:val="1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Form 8-K filed with the Commission on June 22, 2023) (Commission File No. 001-37867).</w:t>
              </w:r>
            </w:hyperlink>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gridSpan w:val="6"/>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720" w:type="dxa"/>
            <w:vAlign w:val="bottom"/>
          </w:tcPr>
          <w:p>
            <w:pPr>
              <w:ind w:left="40"/>
              <w:spacing w:after="0"/>
              <w:rPr>
                <w:sz w:val="20"/>
                <w:szCs w:val="20"/>
                <w:color w:val="auto"/>
              </w:rPr>
            </w:pPr>
            <w:r>
              <w:rPr>
                <w:rFonts w:ascii="Arial" w:cs="Arial" w:eastAsia="Arial" w:hAnsi="Arial"/>
                <w:sz w:val="18"/>
                <w:szCs w:val="18"/>
                <w:color w:val="auto"/>
              </w:rPr>
              <w:t>10.47</w:t>
            </w:r>
          </w:p>
        </w:tc>
        <w:tc>
          <w:tcPr>
            <w:tcW w:w="560" w:type="dxa"/>
            <w:vAlign w:val="bottom"/>
          </w:tcPr>
          <w:p>
            <w:pPr>
              <w:spacing w:after="0"/>
              <w:rPr>
                <w:sz w:val="24"/>
                <w:szCs w:val="24"/>
                <w:color w:val="auto"/>
              </w:rPr>
            </w:pPr>
          </w:p>
        </w:tc>
        <w:tc>
          <w:tcPr>
            <w:tcW w:w="8820" w:type="dxa"/>
            <w:vAlign w:val="bottom"/>
            <w:tcBorders>
              <w:bottom w:val="single" w:sz="8" w:color="0000EE"/>
            </w:tcBorders>
            <w:gridSpan w:val="8"/>
          </w:tcPr>
          <w:p>
            <w:pPr>
              <w:spacing w:after="0"/>
              <w:rPr>
                <w:rFonts w:ascii="Arial" w:cs="Arial" w:eastAsia="Arial" w:hAnsi="Arial"/>
                <w:sz w:val="18"/>
                <w:szCs w:val="18"/>
                <w:color w:val="0000EE"/>
                <w:w w:val="92"/>
              </w:rPr>
            </w:pPr>
            <w:hyperlink r:id="rId231">
              <w:r>
                <w:rPr>
                  <w:rFonts w:ascii="Arial" w:cs="Arial" w:eastAsia="Arial" w:hAnsi="Arial"/>
                  <w:sz w:val="18"/>
                  <w:szCs w:val="18"/>
                  <w:color w:val="0000EE"/>
                  <w:w w:val="92"/>
                </w:rPr>
                <w:t>Credit Agreement, dated as of November 1, 2021, among Dell Technologies Inc., Denali Intermediate Inc., Dell Inc., Dell</w:t>
              </w:r>
            </w:hyperlink>
          </w:p>
        </w:tc>
        <w:tc>
          <w:tcPr>
            <w:tcW w:w="880" w:type="dxa"/>
            <w:vAlign w:val="bottom"/>
            <w:gridSpan w:val="2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International L.L.C., as a borrower, EMC Corporation, as a borrower, JPMorgan Chase Bank, N.A., as administrative agent, and each</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of the lenders and other parties from time to time party thereto (incorporated by reference to Exhibit 10.2 to the Company’s Current</w:t>
              </w:r>
            </w:hyperlink>
          </w:p>
        </w:tc>
        <w:tc>
          <w:tcPr>
            <w:tcW w:w="120" w:type="dxa"/>
            <w:vAlign w:val="bottom"/>
            <w:tcBorders>
              <w:top w:val="single" w:sz="8" w:color="0000EE"/>
            </w:tcBorders>
            <w:gridSpan w:val="4"/>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Report on Form 8-K filed with the Commission on November 1, 2021) (Commission File No. 001-37867).</w:t>
              </w:r>
            </w:hyperlink>
          </w:p>
        </w:tc>
      </w:tr>
      <w:tr>
        <w:trPr>
          <w:trHeight w:val="385"/>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4680" w:type="dxa"/>
            <w:vAlign w:val="bottom"/>
            <w:tcBorders>
              <w:top w:val="single" w:sz="8" w:color="0000EE"/>
            </w:tcBorders>
            <w:gridSpan w:val="5"/>
          </w:tcPr>
          <w:p>
            <w:pPr>
              <w:ind w:left="1000"/>
              <w:spacing w:after="0"/>
              <w:rPr>
                <w:sz w:val="20"/>
                <w:szCs w:val="20"/>
                <w:color w:val="auto"/>
              </w:rPr>
            </w:pPr>
            <w:r>
              <w:rPr>
                <w:rFonts w:ascii="Arial" w:cs="Arial" w:eastAsia="Arial" w:hAnsi="Arial"/>
                <w:sz w:val="18"/>
                <w:szCs w:val="18"/>
                <w:color w:val="auto"/>
              </w:rPr>
              <w:t>II-17</w:t>
            </w:r>
          </w:p>
        </w:tc>
        <w:tc>
          <w:tcPr>
            <w:tcW w:w="2020" w:type="dxa"/>
            <w:vAlign w:val="bottom"/>
            <w:gridSpan w:val="21"/>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15"/>
                <w:szCs w:val="15"/>
                <w:color w:val="auto"/>
              </w:rPr>
            </w:pPr>
          </w:p>
        </w:tc>
        <w:tc>
          <w:tcPr>
            <w:tcW w:w="9680" w:type="dxa"/>
            <w:vAlign w:val="bottom"/>
            <w:tcBorders>
              <w:bottom w:val="single" w:sz="8" w:color="auto"/>
            </w:tcBorders>
            <w:gridSpan w:val="23"/>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ind w:left="80"/>
              <w:spacing w:after="0"/>
              <w:rPr>
                <w:sz w:val="20"/>
                <w:szCs w:val="20"/>
                <w:color w:val="auto"/>
              </w:rPr>
            </w:pPr>
            <w:r>
              <w:rPr>
                <w:rFonts w:ascii="Arial" w:cs="Arial" w:eastAsia="Arial" w:hAnsi="Arial"/>
                <w:sz w:val="18"/>
                <w:szCs w:val="18"/>
                <w:color w:val="auto"/>
              </w:rPr>
              <w:t>10.48</w:t>
            </w:r>
          </w:p>
        </w:tc>
        <w:tc>
          <w:tcPr>
            <w:tcW w:w="620" w:type="dxa"/>
            <w:vAlign w:val="bottom"/>
          </w:tcPr>
          <w:p>
            <w:pPr>
              <w:spacing w:after="0"/>
              <w:rPr>
                <w:sz w:val="23"/>
                <w:szCs w:val="23"/>
                <w:color w:val="auto"/>
              </w:rPr>
            </w:pPr>
          </w:p>
        </w:tc>
        <w:tc>
          <w:tcPr>
            <w:tcW w:w="9400" w:type="dxa"/>
            <w:vAlign w:val="bottom"/>
            <w:tcBorders>
              <w:bottom w:val="single" w:sz="8" w:color="0000EE"/>
            </w:tcBorders>
            <w:gridSpan w:val="18"/>
          </w:tcPr>
          <w:p>
            <w:pPr>
              <w:spacing w:after="0"/>
              <w:rPr>
                <w:rFonts w:ascii="Arial" w:cs="Arial" w:eastAsia="Arial" w:hAnsi="Arial"/>
                <w:sz w:val="18"/>
                <w:szCs w:val="18"/>
                <w:color w:val="0000EE"/>
                <w:w w:val="91"/>
              </w:rPr>
            </w:pPr>
            <w:hyperlink r:id="rId233">
              <w:r>
                <w:rPr>
                  <w:rFonts w:ascii="Arial" w:cs="Arial" w:eastAsia="Arial" w:hAnsi="Arial"/>
                  <w:sz w:val="18"/>
                  <w:szCs w:val="18"/>
                  <w:color w:val="0000EE"/>
                  <w:w w:val="91"/>
                </w:rPr>
                <w:t>First Amendment to the Credit Agreement, dated as of February 8, 2022, among Dell Technologies Inc., Denali Intermediate Inc.,</w:t>
              </w:r>
            </w:hyperlink>
          </w:p>
        </w:tc>
        <w:tc>
          <w:tcPr>
            <w:tcW w:w="280" w:type="dxa"/>
            <w:vAlign w:val="bottom"/>
            <w:gridSpan w:val="5"/>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w w:val="93"/>
              </w:rPr>
            </w:pPr>
            <w:hyperlink r:id="rId233">
              <w:r>
                <w:rPr>
                  <w:rFonts w:ascii="Arial" w:cs="Arial" w:eastAsia="Arial" w:hAnsi="Arial"/>
                  <w:sz w:val="18"/>
                  <w:szCs w:val="18"/>
                  <w:color w:val="0000EE"/>
                  <w:w w:val="93"/>
                </w:rPr>
                <w:t>Dell Inc., Dell International L.L.C., as a borrower, EMC Corporation, as a borrower, JPMorgan Chase Bank, N.A., as administrative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20" w:type="dxa"/>
            <w:vAlign w:val="bottom"/>
            <w:tcBorders>
              <w:top w:val="single" w:sz="8" w:color="0000EE"/>
            </w:tcBorders>
            <w:gridSpan w:val="20"/>
          </w:tcPr>
          <w:p>
            <w:pPr>
              <w:spacing w:after="0" w:line="196" w:lineRule="exact"/>
              <w:rPr>
                <w:rFonts w:ascii="Arial" w:cs="Arial" w:eastAsia="Arial" w:hAnsi="Arial"/>
                <w:sz w:val="18"/>
                <w:szCs w:val="18"/>
                <w:color w:val="0000EE"/>
                <w:w w:val="92"/>
              </w:rPr>
            </w:pPr>
            <w:hyperlink r:id="rId233">
              <w:r>
                <w:rPr>
                  <w:rFonts w:ascii="Arial" w:cs="Arial" w:eastAsia="Arial" w:hAnsi="Arial"/>
                  <w:sz w:val="18"/>
                  <w:szCs w:val="18"/>
                  <w:color w:val="0000EE"/>
                  <w:w w:val="92"/>
                </w:rPr>
                <w:t>agent, and each of the lenders and other parties from time to time party thereto (incorporated by reference to Exhibit 10.47 to the</w:t>
              </w:r>
            </w:hyperlink>
          </w:p>
        </w:tc>
        <w:tc>
          <w:tcPr>
            <w:tcW w:w="1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233">
              <w:r>
                <w:rPr>
                  <w:rFonts w:ascii="Arial" w:cs="Arial" w:eastAsia="Arial" w:hAnsi="Arial"/>
                  <w:sz w:val="18"/>
                  <w:szCs w:val="18"/>
                  <w:color w:val="0000EE"/>
                  <w:w w:val="91"/>
                </w:rPr>
                <w:t>Company’s Annual Report on Form 10-K for the fiscal year ended February 3, 2023) (Commission File No. 001-37867).</w:t>
              </w:r>
            </w:hyperlink>
          </w:p>
        </w:tc>
        <w:tc>
          <w:tcPr>
            <w:tcW w:w="540" w:type="dxa"/>
            <w:vAlign w:val="bottom"/>
            <w:tcBorders>
              <w:top w:val="single" w:sz="8" w:color="0000EE"/>
            </w:tcBorders>
            <w:gridSpan w:val="4"/>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10.49</w:t>
            </w:r>
          </w:p>
        </w:tc>
        <w:tc>
          <w:tcPr>
            <w:tcW w:w="620" w:type="dxa"/>
            <w:vAlign w:val="bottom"/>
          </w:tcPr>
          <w:p>
            <w:pPr>
              <w:spacing w:after="0"/>
              <w:rPr>
                <w:sz w:val="24"/>
                <w:szCs w:val="24"/>
                <w:color w:val="auto"/>
              </w:rPr>
            </w:pPr>
          </w:p>
        </w:tc>
        <w:tc>
          <w:tcPr>
            <w:tcW w:w="9440" w:type="dxa"/>
            <w:vAlign w:val="bottom"/>
            <w:tcBorders>
              <w:bottom w:val="single" w:sz="8" w:color="0000EE"/>
            </w:tcBorders>
            <w:gridSpan w:val="19"/>
          </w:tcPr>
          <w:p>
            <w:pPr>
              <w:spacing w:after="0"/>
              <w:rPr>
                <w:rFonts w:ascii="Arial" w:cs="Arial" w:eastAsia="Arial" w:hAnsi="Arial"/>
                <w:sz w:val="18"/>
                <w:szCs w:val="18"/>
                <w:color w:val="0000EE"/>
                <w:w w:val="91"/>
              </w:rPr>
            </w:pPr>
            <w:hyperlink r:id="rId234">
              <w:r>
                <w:rPr>
                  <w:rFonts w:ascii="Arial" w:cs="Arial" w:eastAsia="Arial" w:hAnsi="Arial"/>
                  <w:sz w:val="18"/>
                  <w:szCs w:val="18"/>
                  <w:color w:val="0000EE"/>
                  <w:w w:val="91"/>
                </w:rPr>
                <w:t>Second Amendment to the Credit Agreement, dated as of November 10, 2022, among Dell Technologies Inc., Denali Intermediate</w:t>
              </w:r>
            </w:hyperlink>
          </w:p>
        </w:tc>
        <w:tc>
          <w:tcPr>
            <w:tcW w:w="24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Inc., Dell Inc., Dell International L.L.C., as a borrower, EMC Corporation, as a borrower, JPMorgan Chase Bank, N.A., as</w:t>
              </w:r>
            </w:hyperlink>
          </w:p>
        </w:tc>
        <w:tc>
          <w:tcPr>
            <w:tcW w:w="860" w:type="dxa"/>
            <w:vAlign w:val="bottom"/>
            <w:gridSpan w:val="9"/>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23"/>
          </w:tcPr>
          <w:p>
            <w:pPr>
              <w:spacing w:after="0" w:line="196" w:lineRule="exact"/>
              <w:rPr>
                <w:rFonts w:ascii="Arial" w:cs="Arial" w:eastAsia="Arial" w:hAnsi="Arial"/>
                <w:sz w:val="18"/>
                <w:szCs w:val="18"/>
                <w:color w:val="0000EE"/>
                <w:w w:val="92"/>
              </w:rPr>
            </w:pPr>
            <w:hyperlink r:id="rId234">
              <w:r>
                <w:rPr>
                  <w:rFonts w:ascii="Arial" w:cs="Arial" w:eastAsia="Arial" w:hAnsi="Arial"/>
                  <w:sz w:val="18"/>
                  <w:szCs w:val="18"/>
                  <w:color w:val="0000EE"/>
                  <w:w w:val="92"/>
                </w:rPr>
                <w:t>administrative agent, and each of the lenders and other parties from time to time party thereto (incorporated by reference to Exhibit</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48</w:t>
              </w:r>
              <w:r>
                <w:rPr>
                  <w:rFonts w:ascii="Arial" w:cs="Arial" w:eastAsia="Arial" w:hAnsi="Arial"/>
                  <w:sz w:val="18"/>
                  <w:szCs w:val="18"/>
                  <w:color w:val="0000EE"/>
                  <w:w w:val="91"/>
                </w:rPr>
                <w:t xml:space="preserve"> to the Company’s Annual Report on Form 10-K for the fiscal year ended February 3, 2023) (Commission File No. 001-37867).</w:t>
              </w:r>
            </w:hyperlink>
          </w:p>
        </w:tc>
        <w:tc>
          <w:tcPr>
            <w:tcW w:w="60" w:type="dxa"/>
            <w:vAlign w:val="bottom"/>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9680" w:type="dxa"/>
            <w:vAlign w:val="bottom"/>
            <w:gridSpan w:val="23"/>
          </w:tcPr>
          <w:p>
            <w:pPr>
              <w:spacing w:after="0"/>
              <w:rPr>
                <w:rFonts w:ascii="Arial" w:cs="Arial" w:eastAsia="Arial" w:hAnsi="Arial"/>
                <w:sz w:val="18"/>
                <w:szCs w:val="18"/>
                <w:color w:val="0000EE"/>
                <w:w w:val="92"/>
              </w:rPr>
            </w:pPr>
            <w:hyperlink r:id="rId235">
              <w:r>
                <w:rPr>
                  <w:rFonts w:ascii="Arial" w:cs="Arial" w:eastAsia="Arial" w:hAnsi="Arial"/>
                  <w:sz w:val="18"/>
                  <w:szCs w:val="18"/>
                  <w:color w:val="0000EE"/>
                  <w:w w:val="92"/>
                </w:rPr>
                <w:t>Subsidiaries of Dell Technologies Inc. (incorporated by reference to Exhibit 21.1 to the Company’s Annual Report on Form 10-K for</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the fiscal year ended February 3, 2023) (Commission File No. 001-37867).</w:t>
              </w:r>
            </w:hyperlink>
          </w:p>
        </w:tc>
        <w:tc>
          <w:tcPr>
            <w:tcW w:w="10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22.1</w:t>
            </w:r>
          </w:p>
        </w:tc>
        <w:tc>
          <w:tcPr>
            <w:tcW w:w="62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rFonts w:ascii="Arial" w:cs="Arial" w:eastAsia="Arial" w:hAnsi="Arial"/>
                <w:sz w:val="18"/>
                <w:szCs w:val="18"/>
                <w:color w:val="0000EE"/>
                <w:w w:val="90"/>
              </w:rPr>
            </w:pPr>
            <w:hyperlink r:id="rId236">
              <w:r>
                <w:rPr>
                  <w:rFonts w:ascii="Arial" w:cs="Arial" w:eastAsia="Arial" w:hAnsi="Arial"/>
                  <w:sz w:val="18"/>
                  <w:szCs w:val="18"/>
                  <w:color w:val="0000EE"/>
                  <w:w w:val="90"/>
                </w:rPr>
                <w:t>List of Guarantor Subsidiaries and Issuers of Guaranteed Securities (incorporated by reference to Exhibit 22.1 to the Company’s</w:t>
              </w:r>
            </w:hyperlink>
          </w:p>
        </w:tc>
        <w:tc>
          <w:tcPr>
            <w:tcW w:w="44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1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Quarterly Report on Form 10-Q for the quarterly period ended May 5, 2023) (Commission File No. 001-37867).</w:t>
              </w:r>
            </w:hyperlink>
          </w:p>
        </w:tc>
        <w:tc>
          <w:tcPr>
            <w:tcW w:w="1580" w:type="dxa"/>
            <w:vAlign w:val="bottom"/>
            <w:gridSpan w:val="12"/>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 of Dell Technologies Inc.</w:t>
            </w: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82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Consent of Simpson Thacher &amp; Bartlett LLP (included as part of Exhibit 5.1).</w:t>
            </w:r>
          </w:p>
        </w:tc>
        <w:tc>
          <w:tcPr>
            <w:tcW w:w="1440" w:type="dxa"/>
            <w:vAlign w:val="bottom"/>
            <w:gridSpan w:val="11"/>
          </w:tcPr>
          <w:p>
            <w:pPr>
              <w:spacing w:after="0"/>
              <w:rPr>
                <w:sz w:val="24"/>
                <w:szCs w:val="24"/>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23.3*</w:t>
            </w:r>
          </w:p>
        </w:tc>
        <w:tc>
          <w:tcPr>
            <w:tcW w:w="620" w:type="dxa"/>
            <w:vAlign w:val="bottom"/>
          </w:tcPr>
          <w:p>
            <w:pPr>
              <w:spacing w:after="0"/>
              <w:rPr>
                <w:sz w:val="24"/>
                <w:szCs w:val="24"/>
                <w:color w:val="auto"/>
              </w:rPr>
            </w:pPr>
          </w:p>
        </w:tc>
        <w:tc>
          <w:tcPr>
            <w:tcW w:w="49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3"/>
              </w:rPr>
              <w:t>Consent of Holland &amp; Knight LLP (included as part of Exhibit 5.2).</w:t>
            </w:r>
          </w:p>
        </w:tc>
        <w:tc>
          <w:tcPr>
            <w:tcW w:w="720" w:type="dxa"/>
            <w:vAlign w:val="bottom"/>
            <w:tcBorders>
              <w:top w:val="single" w:sz="8" w:color="0000EE"/>
            </w:tcBorders>
            <w:gridSpan w:val="2"/>
          </w:tcPr>
          <w:p>
            <w:pPr>
              <w:spacing w:after="0"/>
              <w:rPr>
                <w:sz w:val="24"/>
                <w:szCs w:val="24"/>
                <w:color w:val="auto"/>
              </w:rPr>
            </w:pPr>
          </w:p>
        </w:tc>
        <w:tc>
          <w:tcPr>
            <w:tcW w:w="4060" w:type="dxa"/>
            <w:vAlign w:val="bottom"/>
            <w:gridSpan w:val="16"/>
          </w:tcPr>
          <w:p>
            <w:pPr>
              <w:spacing w:after="0"/>
              <w:rPr>
                <w:sz w:val="24"/>
                <w:szCs w:val="24"/>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Arial" w:cs="Arial" w:eastAsia="Arial" w:hAnsi="Arial"/>
                <w:sz w:val="18"/>
                <w:szCs w:val="18"/>
                <w:color w:val="0000EE"/>
              </w:rPr>
              <w:t>Power of Attorney (included in signature pages of this Registration Statement).</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25.1*</w:t>
            </w:r>
          </w:p>
        </w:tc>
        <w:tc>
          <w:tcPr>
            <w:tcW w:w="620" w:type="dxa"/>
            <w:vAlign w:val="bottom"/>
          </w:tcPr>
          <w:p>
            <w:pPr>
              <w:spacing w:after="0"/>
              <w:rPr>
                <w:sz w:val="24"/>
                <w:szCs w:val="24"/>
                <w:color w:val="auto"/>
              </w:rPr>
            </w:pPr>
          </w:p>
        </w:tc>
        <w:tc>
          <w:tcPr>
            <w:tcW w:w="91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Form T-1 Statement of Eligibility Under the Trust Indenture Act of 1939, as amended, of The Bank of New York Mellon Trust</w:t>
            </w:r>
          </w:p>
        </w:tc>
        <w:tc>
          <w:tcPr>
            <w:tcW w:w="56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Company, N.A. as trustee under the Base Indenture, dated as of December 13, 2021.</w:t>
            </w:r>
          </w:p>
        </w:tc>
        <w:tc>
          <w:tcPr>
            <w:tcW w:w="3600" w:type="dxa"/>
            <w:vAlign w:val="bottom"/>
            <w:gridSpan w:val="14"/>
          </w:tcPr>
          <w:p>
            <w:pPr>
              <w:spacing w:after="0"/>
              <w:rPr>
                <w:sz w:val="17"/>
                <w:szCs w:val="17"/>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21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Form of Letter of Transmittal.</w:t>
            </w:r>
          </w:p>
        </w:tc>
        <w:tc>
          <w:tcPr>
            <w:tcW w:w="7500" w:type="dxa"/>
            <w:vAlign w:val="bottom"/>
            <w:gridSpan w:val="20"/>
          </w:tcPr>
          <w:p>
            <w:pPr>
              <w:spacing w:after="0"/>
              <w:rPr>
                <w:sz w:val="24"/>
                <w:szCs w:val="24"/>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24"/>
                <w:szCs w:val="24"/>
                <w:color w:val="auto"/>
              </w:rPr>
            </w:pPr>
          </w:p>
        </w:tc>
        <w:tc>
          <w:tcPr>
            <w:tcW w:w="68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Form of Letter to Brokers, Dealers, Commercial Banks, Trust Companies and Other Nominees.</w:t>
            </w:r>
          </w:p>
        </w:tc>
        <w:tc>
          <w:tcPr>
            <w:tcW w:w="2800" w:type="dxa"/>
            <w:vAlign w:val="bottom"/>
            <w:gridSpan w:val="13"/>
          </w:tcPr>
          <w:p>
            <w:pPr>
              <w:spacing w:after="0"/>
              <w:rPr>
                <w:sz w:val="24"/>
                <w:szCs w:val="24"/>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99.3*</w:t>
            </w:r>
          </w:p>
        </w:tc>
        <w:tc>
          <w:tcPr>
            <w:tcW w:w="620" w:type="dxa"/>
            <w:vAlign w:val="bottom"/>
          </w:tcPr>
          <w:p>
            <w:pPr>
              <w:spacing w:after="0"/>
              <w:rPr>
                <w:sz w:val="24"/>
                <w:szCs w:val="24"/>
                <w:color w:val="auto"/>
              </w:rPr>
            </w:pPr>
          </w:p>
        </w:tc>
        <w:tc>
          <w:tcPr>
            <w:tcW w:w="1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Form of Letter to Clients.</w:t>
            </w:r>
          </w:p>
        </w:tc>
        <w:tc>
          <w:tcPr>
            <w:tcW w:w="7820" w:type="dxa"/>
            <w:vAlign w:val="bottom"/>
            <w:gridSpan w:val="21"/>
          </w:tcPr>
          <w:p>
            <w:pPr>
              <w:spacing w:after="0"/>
              <w:rPr>
                <w:sz w:val="24"/>
                <w:szCs w:val="24"/>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99.4*</w:t>
            </w:r>
          </w:p>
        </w:tc>
        <w:tc>
          <w:tcPr>
            <w:tcW w:w="620" w:type="dxa"/>
            <w:vAlign w:val="bottom"/>
          </w:tcPr>
          <w:p>
            <w:pPr>
              <w:spacing w:after="0"/>
              <w:rPr>
                <w:sz w:val="24"/>
                <w:szCs w:val="24"/>
                <w:color w:val="auto"/>
              </w:rPr>
            </w:pPr>
          </w:p>
        </w:tc>
        <w:tc>
          <w:tcPr>
            <w:tcW w:w="29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Form of Notice of Guaranteed Delivery.</w:t>
            </w:r>
          </w:p>
        </w:tc>
        <w:tc>
          <w:tcPr>
            <w:tcW w:w="6780" w:type="dxa"/>
            <w:vAlign w:val="bottom"/>
            <w:gridSpan w:val="1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Arial" w:cs="Arial" w:eastAsia="Arial" w:hAnsi="Arial"/>
                <w:sz w:val="18"/>
                <w:szCs w:val="18"/>
                <w:color w:val="0000EE"/>
              </w:rPr>
              <w:t>Filing Fee Table.</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5440" w:right="2580" w:hanging="5324"/>
        <w:spacing w:after="0" w:line="433"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 in which directors or executive officers participate. II-18</w:t>
      </w:r>
    </w:p>
    <w:p>
      <w:pPr>
        <w:sectPr>
          <w:pgSz w:w="11900" w:h="16838" w:orient="portrait"/>
          <w:cols w:equalWidth="0" w:num="1">
            <w:col w:w="11140"/>
          </w:cols>
          <w:pgMar w:left="320" w:top="459"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Round Rock, Texas, on the 15th day of August, 2023.</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DELL INTERNATIONAL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DELL INC., its Sole Member</w:t>
      </w:r>
    </w:p>
    <w:p>
      <w:pPr>
        <w:spacing w:after="0" w:line="225" w:lineRule="exact"/>
        <w:rPr>
          <w:sz w:val="20"/>
          <w:szCs w:val="20"/>
          <w:color w:val="auto"/>
        </w:rPr>
      </w:pPr>
    </w:p>
    <w:p>
      <w:pPr>
        <w:ind w:left="6740"/>
        <w:spacing w:after="0"/>
        <w:tabs>
          <w:tab w:leader="none" w:pos="7220" w:val="left"/>
        </w:tabs>
        <w:rPr>
          <w:sz w:val="20"/>
          <w:szCs w:val="20"/>
          <w:color w:val="auto"/>
        </w:rPr>
      </w:pPr>
      <w:r>
        <w:rPr>
          <w:rFonts w:ascii="Arial" w:cs="Arial" w:eastAsia="Arial" w:hAnsi="Arial"/>
          <w:sz w:val="18"/>
          <w:szCs w:val="18"/>
          <w:color w:val="auto"/>
        </w:rPr>
        <w:t>By:</w:t>
        <w:tab/>
        <w:t>/s/ Christopher Garcia</w:t>
      </w:r>
    </w:p>
    <w:p>
      <w:pPr>
        <w:spacing w:after="0" w:line="23" w:lineRule="exact"/>
        <w:rPr>
          <w:sz w:val="20"/>
          <w:szCs w:val="20"/>
          <w:color w:val="auto"/>
        </w:rPr>
      </w:pPr>
    </w:p>
    <w:tbl>
      <w:tblPr>
        <w:tblLayout w:type="fixed"/>
        <w:tblInd w:w="7040" w:type="dxa"/>
        <w:tblCellMar>
          <w:top w:w="0" w:type="dxa"/>
          <w:left w:w="0" w:type="dxa"/>
          <w:bottom w:w="0" w:type="dxa"/>
          <w:right w:w="0" w:type="dxa"/>
        </w:tblCellMar>
      </w:tblPr>
      <w:tr>
        <w:trPr>
          <w:trHeight w:val="195"/>
        </w:trPr>
        <w:tc>
          <w:tcPr>
            <w:tcW w:w="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3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Christopher Garcia</w:t>
            </w:r>
          </w:p>
        </w:tc>
      </w:tr>
      <w:tr>
        <w:trPr>
          <w:trHeight w:val="216"/>
        </w:trPr>
        <w:tc>
          <w:tcPr>
            <w:tcW w:w="780" w:type="dxa"/>
            <w:vAlign w:val="bottom"/>
          </w:tcPr>
          <w:p>
            <w:pPr>
              <w:ind w:left="200"/>
              <w:spacing w:after="0"/>
              <w:rPr>
                <w:sz w:val="20"/>
                <w:szCs w:val="20"/>
                <w:color w:val="auto"/>
              </w:rPr>
            </w:pPr>
            <w:r>
              <w:rPr>
                <w:rFonts w:ascii="Arial" w:cs="Arial" w:eastAsia="Arial" w:hAnsi="Arial"/>
                <w:sz w:val="18"/>
                <w:szCs w:val="18"/>
                <w:color w:val="auto"/>
              </w:rPr>
              <w:t>Title:</w:t>
            </w:r>
          </w:p>
        </w:tc>
        <w:tc>
          <w:tcPr>
            <w:tcW w:w="3320" w:type="dxa"/>
            <w:vAlign w:val="bottom"/>
          </w:tcPr>
          <w:p>
            <w:pPr>
              <w:ind w:left="120"/>
              <w:spacing w:after="0"/>
              <w:rPr>
                <w:sz w:val="20"/>
                <w:szCs w:val="20"/>
                <w:color w:val="auto"/>
              </w:rPr>
            </w:pPr>
            <w:r>
              <w:rPr>
                <w:rFonts w:ascii="Arial" w:cs="Arial" w:eastAsia="Arial" w:hAnsi="Arial"/>
                <w:sz w:val="18"/>
                <w:szCs w:val="18"/>
                <w:color w:val="auto"/>
              </w:rPr>
              <w:t>Senior Vice President and Assistant</w:t>
            </w:r>
          </w:p>
        </w:tc>
      </w:tr>
      <w:tr>
        <w:trPr>
          <w:trHeight w:val="230"/>
        </w:trPr>
        <w:tc>
          <w:tcPr>
            <w:tcW w:w="78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Each person whose signature appears below hereby appoints Yvonne McGill, Richard J. Rothberg and Christopher Garcia,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15th day of August,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S. Dell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Michael S. Dell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Yvonne McGill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6"/>
              </w:rPr>
              <w:t>Yvonne McGill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Brunilda Rios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Accounting Officer US</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Brunilda Rios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Round Rock, Texas, on the 15th day of August, 2023.</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EMC CORPORATION</w:t>
      </w:r>
    </w:p>
    <w:p>
      <w:pPr>
        <w:spacing w:after="0" w:line="225" w:lineRule="exact"/>
        <w:rPr>
          <w:sz w:val="20"/>
          <w:szCs w:val="20"/>
          <w:color w:val="auto"/>
        </w:rPr>
      </w:pPr>
    </w:p>
    <w:p>
      <w:pPr>
        <w:ind w:left="6740"/>
        <w:spacing w:after="0"/>
        <w:tabs>
          <w:tab w:leader="none" w:pos="7220" w:val="left"/>
        </w:tabs>
        <w:rPr>
          <w:sz w:val="20"/>
          <w:szCs w:val="20"/>
          <w:color w:val="auto"/>
        </w:rPr>
      </w:pPr>
      <w:r>
        <w:rPr>
          <w:rFonts w:ascii="Arial" w:cs="Arial" w:eastAsia="Arial" w:hAnsi="Arial"/>
          <w:sz w:val="18"/>
          <w:szCs w:val="18"/>
          <w:color w:val="auto"/>
        </w:rPr>
        <w:t>By:</w:t>
        <w:tab/>
        <w:t>/s/ Christopher Garcia</w:t>
      </w:r>
    </w:p>
    <w:p>
      <w:pPr>
        <w:spacing w:after="0" w:line="23" w:lineRule="exact"/>
        <w:rPr>
          <w:sz w:val="20"/>
          <w:szCs w:val="20"/>
          <w:color w:val="auto"/>
        </w:rPr>
      </w:pPr>
    </w:p>
    <w:tbl>
      <w:tblPr>
        <w:tblLayout w:type="fixed"/>
        <w:tblInd w:w="7040" w:type="dxa"/>
        <w:tblCellMar>
          <w:top w:w="0" w:type="dxa"/>
          <w:left w:w="0" w:type="dxa"/>
          <w:bottom w:w="0" w:type="dxa"/>
          <w:right w:w="0" w:type="dxa"/>
        </w:tblCellMar>
      </w:tblPr>
      <w:tr>
        <w:trPr>
          <w:trHeight w:val="195"/>
        </w:trPr>
        <w:tc>
          <w:tcPr>
            <w:tcW w:w="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3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Christopher Garcia</w:t>
            </w:r>
          </w:p>
        </w:tc>
      </w:tr>
      <w:tr>
        <w:trPr>
          <w:trHeight w:val="216"/>
        </w:trPr>
        <w:tc>
          <w:tcPr>
            <w:tcW w:w="780" w:type="dxa"/>
            <w:vAlign w:val="bottom"/>
          </w:tcPr>
          <w:p>
            <w:pPr>
              <w:ind w:left="200"/>
              <w:spacing w:after="0"/>
              <w:rPr>
                <w:sz w:val="20"/>
                <w:szCs w:val="20"/>
                <w:color w:val="auto"/>
              </w:rPr>
            </w:pPr>
            <w:r>
              <w:rPr>
                <w:rFonts w:ascii="Arial" w:cs="Arial" w:eastAsia="Arial" w:hAnsi="Arial"/>
                <w:sz w:val="18"/>
                <w:szCs w:val="18"/>
                <w:color w:val="auto"/>
              </w:rPr>
              <w:t>Title:</w:t>
            </w:r>
          </w:p>
        </w:tc>
        <w:tc>
          <w:tcPr>
            <w:tcW w:w="3320" w:type="dxa"/>
            <w:vAlign w:val="bottom"/>
          </w:tcPr>
          <w:p>
            <w:pPr>
              <w:ind w:left="120"/>
              <w:spacing w:after="0"/>
              <w:rPr>
                <w:sz w:val="20"/>
                <w:szCs w:val="20"/>
                <w:color w:val="auto"/>
              </w:rPr>
            </w:pPr>
            <w:r>
              <w:rPr>
                <w:rFonts w:ascii="Arial" w:cs="Arial" w:eastAsia="Arial" w:hAnsi="Arial"/>
                <w:sz w:val="18"/>
                <w:szCs w:val="18"/>
                <w:color w:val="auto"/>
              </w:rPr>
              <w:t>Senior Vice President and Assistant</w:t>
            </w:r>
          </w:p>
        </w:tc>
      </w:tr>
      <w:tr>
        <w:trPr>
          <w:trHeight w:val="230"/>
        </w:trPr>
        <w:tc>
          <w:tcPr>
            <w:tcW w:w="78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Each person whose signature appears below hereby appoints Yvonne McGill, Richard J. Rothberg and Christopher Garcia,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15th day of August,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S. Dell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Michael S. Dell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Yvonne McGill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6"/>
              </w:rPr>
              <w:t>Yvonne McGill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Brunilda Rios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Accounting Officer US</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Brunilda Rios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Garcia</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0"/>
              </w:rPr>
              <w:t>Christopher Garcia</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Round Rock, Texas, on the 15th day of August, 2023.</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DELL INC.</w:t>
      </w:r>
    </w:p>
    <w:p>
      <w:pPr>
        <w:spacing w:after="0" w:line="225" w:lineRule="exact"/>
        <w:rPr>
          <w:sz w:val="20"/>
          <w:szCs w:val="20"/>
          <w:color w:val="auto"/>
        </w:rPr>
      </w:pPr>
    </w:p>
    <w:p>
      <w:pPr>
        <w:ind w:left="6740"/>
        <w:spacing w:after="0"/>
        <w:tabs>
          <w:tab w:leader="none" w:pos="7220" w:val="left"/>
        </w:tabs>
        <w:rPr>
          <w:sz w:val="20"/>
          <w:szCs w:val="20"/>
          <w:color w:val="auto"/>
        </w:rPr>
      </w:pPr>
      <w:r>
        <w:rPr>
          <w:rFonts w:ascii="Arial" w:cs="Arial" w:eastAsia="Arial" w:hAnsi="Arial"/>
          <w:sz w:val="18"/>
          <w:szCs w:val="18"/>
          <w:color w:val="auto"/>
        </w:rPr>
        <w:t>By:</w:t>
        <w:tab/>
        <w:t>/s/ Christopher Garcia</w:t>
      </w:r>
    </w:p>
    <w:p>
      <w:pPr>
        <w:spacing w:after="0" w:line="23" w:lineRule="exact"/>
        <w:rPr>
          <w:sz w:val="20"/>
          <w:szCs w:val="20"/>
          <w:color w:val="auto"/>
        </w:rPr>
      </w:pPr>
    </w:p>
    <w:tbl>
      <w:tblPr>
        <w:tblLayout w:type="fixed"/>
        <w:tblInd w:w="7040" w:type="dxa"/>
        <w:tblCellMar>
          <w:top w:w="0" w:type="dxa"/>
          <w:left w:w="0" w:type="dxa"/>
          <w:bottom w:w="0" w:type="dxa"/>
          <w:right w:w="0" w:type="dxa"/>
        </w:tblCellMar>
      </w:tblPr>
      <w:tr>
        <w:trPr>
          <w:trHeight w:val="195"/>
        </w:trPr>
        <w:tc>
          <w:tcPr>
            <w:tcW w:w="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3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Christopher Garcia</w:t>
            </w:r>
          </w:p>
        </w:tc>
      </w:tr>
      <w:tr>
        <w:trPr>
          <w:trHeight w:val="216"/>
        </w:trPr>
        <w:tc>
          <w:tcPr>
            <w:tcW w:w="780" w:type="dxa"/>
            <w:vAlign w:val="bottom"/>
          </w:tcPr>
          <w:p>
            <w:pPr>
              <w:ind w:left="200"/>
              <w:spacing w:after="0"/>
              <w:rPr>
                <w:sz w:val="20"/>
                <w:szCs w:val="20"/>
                <w:color w:val="auto"/>
              </w:rPr>
            </w:pPr>
            <w:r>
              <w:rPr>
                <w:rFonts w:ascii="Arial" w:cs="Arial" w:eastAsia="Arial" w:hAnsi="Arial"/>
                <w:sz w:val="18"/>
                <w:szCs w:val="18"/>
                <w:color w:val="auto"/>
              </w:rPr>
              <w:t>Title:</w:t>
            </w:r>
          </w:p>
        </w:tc>
        <w:tc>
          <w:tcPr>
            <w:tcW w:w="3320" w:type="dxa"/>
            <w:vAlign w:val="bottom"/>
          </w:tcPr>
          <w:p>
            <w:pPr>
              <w:ind w:left="120"/>
              <w:spacing w:after="0"/>
              <w:rPr>
                <w:sz w:val="20"/>
                <w:szCs w:val="20"/>
                <w:color w:val="auto"/>
              </w:rPr>
            </w:pPr>
            <w:r>
              <w:rPr>
                <w:rFonts w:ascii="Arial" w:cs="Arial" w:eastAsia="Arial" w:hAnsi="Arial"/>
                <w:sz w:val="18"/>
                <w:szCs w:val="18"/>
                <w:color w:val="auto"/>
              </w:rPr>
              <w:t>Senior Vice President and Assistant</w:t>
            </w:r>
          </w:p>
        </w:tc>
      </w:tr>
      <w:tr>
        <w:trPr>
          <w:trHeight w:val="230"/>
        </w:trPr>
        <w:tc>
          <w:tcPr>
            <w:tcW w:w="78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Each person whose signature appears below hereby appoints Yvonne McGill, Richard J. Rothberg and Christopher Garcia,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15th day of August,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S. Dell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Michael S. Dell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Yvonne McGill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6"/>
              </w:rPr>
              <w:t>Yvonne McGill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Brunilda Rios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Accounting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Brunilda Rios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Garcia</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0"/>
              </w:rPr>
              <w:t>Christopher Garcia</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Round Rock, Texas, on the 15th day of August, 2023.</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DELL TECHNOLOGIES INC.</w:t>
      </w:r>
    </w:p>
    <w:p>
      <w:pPr>
        <w:spacing w:after="0" w:line="225" w:lineRule="exact"/>
        <w:rPr>
          <w:sz w:val="20"/>
          <w:szCs w:val="20"/>
          <w:color w:val="auto"/>
        </w:rPr>
      </w:pPr>
    </w:p>
    <w:p>
      <w:pPr>
        <w:ind w:left="6740"/>
        <w:spacing w:after="0"/>
        <w:tabs>
          <w:tab w:leader="none" w:pos="7220" w:val="left"/>
        </w:tabs>
        <w:rPr>
          <w:sz w:val="20"/>
          <w:szCs w:val="20"/>
          <w:color w:val="auto"/>
        </w:rPr>
      </w:pPr>
      <w:r>
        <w:rPr>
          <w:rFonts w:ascii="Arial" w:cs="Arial" w:eastAsia="Arial" w:hAnsi="Arial"/>
          <w:sz w:val="18"/>
          <w:szCs w:val="18"/>
          <w:color w:val="auto"/>
        </w:rPr>
        <w:t>By:</w:t>
        <w:tab/>
        <w:t>/s/ Michael S. Dell</w:t>
      </w:r>
    </w:p>
    <w:p>
      <w:pPr>
        <w:spacing w:after="0" w:line="23" w:lineRule="exact"/>
        <w:rPr>
          <w:sz w:val="20"/>
          <w:szCs w:val="20"/>
          <w:color w:val="auto"/>
        </w:rPr>
      </w:pPr>
    </w:p>
    <w:tbl>
      <w:tblPr>
        <w:tblLayout w:type="fixed"/>
        <w:tblInd w:w="7040" w:type="dxa"/>
        <w:tblCellMar>
          <w:top w:w="0" w:type="dxa"/>
          <w:left w:w="0" w:type="dxa"/>
          <w:bottom w:w="0" w:type="dxa"/>
          <w:right w:w="0" w:type="dxa"/>
        </w:tblCellMar>
      </w:tblPr>
      <w:tr>
        <w:trPr>
          <w:trHeight w:val="195"/>
        </w:trPr>
        <w:tc>
          <w:tcPr>
            <w:tcW w:w="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3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Michael S. Dell</w:t>
            </w:r>
          </w:p>
        </w:tc>
      </w:tr>
      <w:tr>
        <w:trPr>
          <w:trHeight w:val="230"/>
        </w:trPr>
        <w:tc>
          <w:tcPr>
            <w:tcW w:w="780" w:type="dxa"/>
            <w:vAlign w:val="bottom"/>
          </w:tcPr>
          <w:p>
            <w:pPr>
              <w:ind w:left="200"/>
              <w:spacing w:after="0"/>
              <w:rPr>
                <w:sz w:val="20"/>
                <w:szCs w:val="20"/>
                <w:color w:val="auto"/>
              </w:rPr>
            </w:pPr>
            <w:r>
              <w:rPr>
                <w:rFonts w:ascii="Arial" w:cs="Arial" w:eastAsia="Arial" w:hAnsi="Arial"/>
                <w:sz w:val="18"/>
                <w:szCs w:val="18"/>
                <w:color w:val="auto"/>
              </w:rPr>
              <w:t>Title:</w:t>
            </w:r>
          </w:p>
        </w:tc>
        <w:tc>
          <w:tcPr>
            <w:tcW w:w="332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Each person whose signature appears below hereby appoints Yvonne McGill, Richard J. Rothberg and Christopher Garcia,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15th day of August,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S. Dell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Michael S. Dell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Yvonne McGill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6"/>
              </w:rPr>
              <w:t>Yvonne McGill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Brunilda Rios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Accounting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Brunilda Rios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W. Dorman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2"/>
              </w:rPr>
              <w:t>David W. Dorman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Egon Durban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0"/>
              </w:rPr>
              <w:t>Egon Durban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Grain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2"/>
              </w:rPr>
              <w:t>David Grain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D. Green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4"/>
              </w:rPr>
              <w:t>William D. Green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Ellen J. Kullman</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2"/>
              </w:rPr>
              <w:t>Ellen J. Kullman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Simon Patterson</w:t>
            </w:r>
          </w:p>
        </w:tc>
        <w:tc>
          <w:tcPr>
            <w:tcW w:w="3400" w:type="dxa"/>
            <w:vAlign w:val="bottom"/>
          </w:tcPr>
          <w:p>
            <w:pPr>
              <w:ind w:left="2800"/>
              <w:spacing w:after="0"/>
              <w:rPr>
                <w:sz w:val="20"/>
                <w:szCs w:val="20"/>
                <w:color w:val="auto"/>
              </w:rPr>
            </w:pPr>
            <w:r>
              <w:rPr>
                <w:rFonts w:ascii="Arial" w:cs="Arial" w:eastAsia="Arial" w:hAnsi="Arial"/>
                <w:sz w:val="18"/>
                <w:szCs w:val="18"/>
                <w:color w:val="auto"/>
                <w:w w:val="91"/>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0"/>
              </w:rPr>
              <w:t>Simon Patterson</w:t>
            </w:r>
          </w:p>
        </w:tc>
        <w:tc>
          <w:tcPr>
            <w:tcW w:w="34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Lynn Vojvodich Radakovich</w:t>
            </w:r>
          </w:p>
        </w:tc>
        <w:tc>
          <w:tcPr>
            <w:tcW w:w="3400" w:type="dxa"/>
            <w:vAlign w:val="bottom"/>
          </w:tcPr>
          <w:p>
            <w:pPr>
              <w:ind w:left="2800"/>
              <w:spacing w:after="0"/>
              <w:rPr>
                <w:sz w:val="20"/>
                <w:szCs w:val="20"/>
                <w:color w:val="auto"/>
              </w:rPr>
            </w:pPr>
            <w:r>
              <w:rPr>
                <w:rFonts w:ascii="Arial" w:cs="Arial" w:eastAsia="Arial" w:hAnsi="Arial"/>
                <w:sz w:val="18"/>
                <w:szCs w:val="18"/>
                <w:color w:val="auto"/>
                <w:w w:val="91"/>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2"/>
              </w:rPr>
              <w:t>Lynn Vojvodich Radakovich</w:t>
            </w:r>
          </w:p>
        </w:tc>
        <w:tc>
          <w:tcPr>
            <w:tcW w:w="3400" w:type="dxa"/>
            <w:vAlign w:val="bottom"/>
          </w:tcPr>
          <w:p>
            <w:pPr>
              <w:spacing w:after="0"/>
              <w:rPr>
                <w:sz w:val="19"/>
                <w:szCs w:val="19"/>
                <w:color w:val="auto"/>
              </w:rPr>
            </w:pPr>
          </w:p>
        </w:tc>
      </w:tr>
    </w:tbl>
    <w:p>
      <w:pPr>
        <w:sectPr>
          <w:pgSz w:w="11900" w:h="16838" w:orient="portrait"/>
          <w:cols w:equalWidth="0" w:num="1">
            <w:col w:w="10139"/>
          </w:cols>
          <w:pgMar w:left="320" w:top="459"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Round Rock, Texas, on the 15th day of August, 2023.</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DENALI INTERMEDIATE INC.</w:t>
      </w:r>
    </w:p>
    <w:p>
      <w:pPr>
        <w:spacing w:after="0" w:line="225" w:lineRule="exact"/>
        <w:rPr>
          <w:sz w:val="20"/>
          <w:szCs w:val="20"/>
          <w:color w:val="auto"/>
        </w:rPr>
      </w:pPr>
    </w:p>
    <w:p>
      <w:pPr>
        <w:ind w:left="6740"/>
        <w:spacing w:after="0"/>
        <w:tabs>
          <w:tab w:leader="none" w:pos="7220" w:val="left"/>
        </w:tabs>
        <w:rPr>
          <w:sz w:val="20"/>
          <w:szCs w:val="20"/>
          <w:color w:val="auto"/>
        </w:rPr>
      </w:pPr>
      <w:r>
        <w:rPr>
          <w:rFonts w:ascii="Arial" w:cs="Arial" w:eastAsia="Arial" w:hAnsi="Arial"/>
          <w:sz w:val="18"/>
          <w:szCs w:val="18"/>
          <w:color w:val="auto"/>
        </w:rPr>
        <w:t>By:</w:t>
        <w:tab/>
        <w:t>/s/ Christopher Garcia</w:t>
      </w:r>
    </w:p>
    <w:p>
      <w:pPr>
        <w:spacing w:after="0" w:line="23" w:lineRule="exact"/>
        <w:rPr>
          <w:sz w:val="20"/>
          <w:szCs w:val="20"/>
          <w:color w:val="auto"/>
        </w:rPr>
      </w:pPr>
    </w:p>
    <w:tbl>
      <w:tblPr>
        <w:tblLayout w:type="fixed"/>
        <w:tblInd w:w="7040" w:type="dxa"/>
        <w:tblCellMar>
          <w:top w:w="0" w:type="dxa"/>
          <w:left w:w="0" w:type="dxa"/>
          <w:bottom w:w="0" w:type="dxa"/>
          <w:right w:w="0" w:type="dxa"/>
        </w:tblCellMar>
      </w:tblPr>
      <w:tr>
        <w:trPr>
          <w:trHeight w:val="195"/>
        </w:trPr>
        <w:tc>
          <w:tcPr>
            <w:tcW w:w="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w:t>
            </w:r>
          </w:p>
        </w:tc>
        <w:tc>
          <w:tcPr>
            <w:tcW w:w="3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Christopher Garcia</w:t>
            </w:r>
          </w:p>
        </w:tc>
      </w:tr>
      <w:tr>
        <w:trPr>
          <w:trHeight w:val="216"/>
        </w:trPr>
        <w:tc>
          <w:tcPr>
            <w:tcW w:w="780" w:type="dxa"/>
            <w:vAlign w:val="bottom"/>
          </w:tcPr>
          <w:p>
            <w:pPr>
              <w:ind w:left="200"/>
              <w:spacing w:after="0"/>
              <w:rPr>
                <w:sz w:val="20"/>
                <w:szCs w:val="20"/>
                <w:color w:val="auto"/>
              </w:rPr>
            </w:pPr>
            <w:r>
              <w:rPr>
                <w:rFonts w:ascii="Arial" w:cs="Arial" w:eastAsia="Arial" w:hAnsi="Arial"/>
                <w:sz w:val="18"/>
                <w:szCs w:val="18"/>
                <w:color w:val="auto"/>
              </w:rPr>
              <w:t>Title:</w:t>
            </w:r>
          </w:p>
        </w:tc>
        <w:tc>
          <w:tcPr>
            <w:tcW w:w="3320" w:type="dxa"/>
            <w:vAlign w:val="bottom"/>
          </w:tcPr>
          <w:p>
            <w:pPr>
              <w:ind w:left="120"/>
              <w:spacing w:after="0"/>
              <w:rPr>
                <w:sz w:val="20"/>
                <w:szCs w:val="20"/>
                <w:color w:val="auto"/>
              </w:rPr>
            </w:pPr>
            <w:r>
              <w:rPr>
                <w:rFonts w:ascii="Arial" w:cs="Arial" w:eastAsia="Arial" w:hAnsi="Arial"/>
                <w:sz w:val="18"/>
                <w:szCs w:val="18"/>
                <w:color w:val="auto"/>
              </w:rPr>
              <w:t>Senior Vice President and Assistant</w:t>
            </w:r>
          </w:p>
        </w:tc>
      </w:tr>
      <w:tr>
        <w:trPr>
          <w:trHeight w:val="230"/>
        </w:trPr>
        <w:tc>
          <w:tcPr>
            <w:tcW w:w="78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Each person whose signature appears below hereby appoints Yvonne McGill, Richard J. Rothberg and Christopher Garcia,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15th day of August,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S. Dell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Michael S. Dell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Yvonne McGill</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6"/>
              </w:rPr>
              <w:t>Yvonne McGill</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Brunilda Rios</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Accounting Officer US</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3"/>
              </w:rPr>
              <w:t>Brunilda Rios</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Garcia</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90"/>
              </w:rPr>
              <w:t>Christopher Garcia</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Simpson Thacher &amp; Bartlett </w:t>
      </w:r>
      <w:r>
        <w:rPr>
          <w:rFonts w:ascii="Arial" w:cs="Arial" w:eastAsia="Arial" w:hAnsi="Arial"/>
          <w:sz w:val="14"/>
          <w:szCs w:val="14"/>
          <w:color w:val="auto"/>
        </w:rPr>
        <w:t>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4"/>
          <w:szCs w:val="14"/>
          <w:color w:val="auto"/>
        </w:rPr>
        <w:t>LEXINGTON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w:t>
      </w:r>
      <w:r>
        <w:rPr>
          <w:rFonts w:ascii="Arial" w:cs="Arial" w:eastAsia="Arial" w:hAnsi="Arial"/>
          <w:sz w:val="17"/>
          <w:szCs w:val="17"/>
          <w:color w:val="auto"/>
        </w:rPr>
        <w:t>,</w:t>
      </w:r>
      <w:r>
        <w:rPr>
          <w:rFonts w:ascii="Arial" w:cs="Arial" w:eastAsia="Arial" w:hAnsi="Arial"/>
          <w:sz w:val="15"/>
          <w:szCs w:val="15"/>
          <w:color w:val="auto"/>
        </w:rPr>
        <w:t xml:space="preserve"> NY </w:t>
      </w:r>
      <w:r>
        <w:rPr>
          <w:rFonts w:ascii="Arial" w:cs="Arial" w:eastAsia="Arial" w:hAnsi="Arial"/>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TELEPHONE</w:t>
      </w:r>
      <w:r>
        <w:rPr>
          <w:rFonts w:ascii="Arial" w:cs="Arial" w:eastAsia="Arial" w:hAnsi="Arial"/>
          <w:sz w:val="17"/>
          <w:szCs w:val="17"/>
          <w:color w:val="auto"/>
        </w:rPr>
        <w:t>: +1-212-455-2000</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FACSIMILE</w:t>
      </w:r>
      <w:r>
        <w:rPr>
          <w:rFonts w:ascii="Arial" w:cs="Arial" w:eastAsia="Arial" w:hAnsi="Arial"/>
          <w:sz w:val="17"/>
          <w:szCs w:val="17"/>
          <w:color w:val="auto"/>
        </w:rPr>
        <w:t>: +1-212-455-2502</w:t>
      </w:r>
    </w:p>
    <w:p>
      <w:pPr>
        <w:spacing w:after="0" w:line="249"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Direct Dial Number</w:t>
      </w:r>
      <w:r>
        <w:rPr>
          <w:sz w:val="20"/>
          <w:szCs w:val="20"/>
          <w:color w:val="auto"/>
        </w:rPr>
        <w:tab/>
      </w:r>
      <w:r>
        <w:rPr>
          <w:rFonts w:ascii="Arial" w:cs="Arial" w:eastAsia="Arial" w:hAnsi="Arial"/>
          <w:sz w:val="16"/>
          <w:szCs w:val="16"/>
          <w:color w:val="auto"/>
        </w:rPr>
        <w:t>E-mail Address</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August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Dell International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176 South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Hopkinton, Massachusetts 01748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We have acted as counsel to Dell International L.L.C, a Delaware limited liability company (“Dell International”), EMC Corporation, a Massachusetts corporation (“EMC” and, together with Dell International, the “Issuers”), and the guarantors listed in Schedule I to this opinion letter (collectively, the “Guarantors”) in connection with the Registration Statement on Form S-4 (the “Registration Statement”) filed by the Issuers and the Guarantors with the Securities and Exchange Commission (the “Commission”) under the Securities Act of 1933, as amended, relating to the issuance by the Issuers of (i) up to $962,390,000 aggregate principal amount of 3.375% Senior Notes due 2041 (the “2041 Exchange Securities”) and the issuance by the Guarantors of guarantees (the “2041 Exchange Guarantees”) with respect to the 2041 Exchange Securities and (ii) up to $1,094,877,000 aggregate principal amount of 3.450% Senior Notes due 2051 (the “2051 Exchange Securities” and, together with the 2041 Exchange Securities, the “Exchange Securities”) and the issuance by the Guarantors of guarantees (the “2051 Exchange Guarantees” and, together with the 2041 Exchange Guarantees, the “Exchange Guarantees”) with respect to the 2051 Exchange Securities. The Exchange Securities and the Exchange Guarantees will be issued under an indenture, dated as of December 13, 2021 (as amended and/or supplemented to the date hereof, the “Indenture”), among the Issuers, the Guarantors and The Bank of New York Mellon Trust Company, N.A., as trustee (the “Trustee”).</w:t>
      </w:r>
    </w:p>
    <w:p>
      <w:pPr>
        <w:sectPr>
          <w:pgSz w:w="11900" w:h="16838" w:orient="portrait"/>
          <w:cols w:equalWidth="0" w:num="1">
            <w:col w:w="11020"/>
          </w:cols>
          <w:pgMar w:left="440" w:top="121" w:right="4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Dell International L.L.C.</w:t>
            </w:r>
          </w:p>
        </w:tc>
        <w:tc>
          <w:tcPr>
            <w:tcW w:w="41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EMC Corporation</w:t>
            </w:r>
          </w:p>
        </w:tc>
        <w:tc>
          <w:tcPr>
            <w:tcW w:w="4120" w:type="dxa"/>
            <w:vAlign w:val="bottom"/>
          </w:tcPr>
          <w:p>
            <w:pPr>
              <w:jc w:val="right"/>
              <w:ind w:right="1910"/>
              <w:spacing w:after="0"/>
              <w:rPr>
                <w:sz w:val="20"/>
                <w:szCs w:val="20"/>
                <w:color w:val="auto"/>
              </w:rPr>
            </w:pPr>
            <w:r>
              <w:rPr>
                <w:rFonts w:ascii="Arial" w:cs="Arial" w:eastAsia="Arial" w:hAnsi="Arial"/>
                <w:sz w:val="18"/>
                <w:szCs w:val="18"/>
                <w:color w:val="auto"/>
              </w:rPr>
              <w:t>-2-</w:t>
            </w:r>
          </w:p>
        </w:tc>
        <w:tc>
          <w:tcPr>
            <w:tcW w:w="3180" w:type="dxa"/>
            <w:vAlign w:val="bottom"/>
          </w:tcPr>
          <w:p>
            <w:pPr>
              <w:ind w:left="1980"/>
              <w:spacing w:after="0"/>
              <w:rPr>
                <w:sz w:val="20"/>
                <w:szCs w:val="20"/>
                <w:color w:val="auto"/>
              </w:rPr>
            </w:pPr>
            <w:r>
              <w:rPr>
                <w:rFonts w:ascii="Arial" w:cs="Arial" w:eastAsia="Arial" w:hAnsi="Arial"/>
                <w:sz w:val="18"/>
                <w:szCs w:val="18"/>
                <w:color w:val="auto"/>
                <w:w w:val="89"/>
              </w:rPr>
              <w:t>August 15, 2023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60" w:firstLine="440"/>
        <w:spacing w:after="0" w:line="286" w:lineRule="auto"/>
        <w:rPr>
          <w:sz w:val="20"/>
          <w:szCs w:val="20"/>
          <w:color w:val="auto"/>
        </w:rPr>
      </w:pPr>
      <w:r>
        <w:rPr>
          <w:rFonts w:ascii="Arial" w:cs="Arial" w:eastAsia="Arial" w:hAnsi="Arial"/>
          <w:sz w:val="17"/>
          <w:szCs w:val="17"/>
          <w:color w:val="auto"/>
        </w:rPr>
        <w:t>The 2041 Exchange Securities and the related Exchange Guarantees will be offered by the Issuers and the Guarantors in exchange for their outstanding 3.375% Senior Notes due 2041 and the 2051 Exchange Securities and the related Exchange Guarantees will be offered by the Issuers and the Guarantors in exchange for their outstanding 3.450% Senior Notes due 2051, in each case, guaranteed by the Guarantors.</w:t>
      </w:r>
    </w:p>
    <w:p>
      <w:pPr>
        <w:spacing w:after="0" w:line="165"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We have examined the Registration Statement and the Indenture (including the form of Exchange Securities and Exchange Guarantees set forth therein), which is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Issuers and the Guarantors and have made such other investigations as we have deemed relevant and necessary in connection with the opinions hereinafter set forth.</w:t>
      </w:r>
    </w:p>
    <w:p>
      <w:pPr>
        <w:spacing w:after="0" w:line="17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In rendering the opinions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ectPr>
          <w:pgSz w:w="11900" w:h="16838" w:orient="portrait"/>
          <w:cols w:equalWidth="0" w:num="1">
            <w:col w:w="11020"/>
          </w:cols>
          <w:pgMar w:left="440" w:top="274"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Dell International L.L.C.</w:t>
            </w:r>
          </w:p>
        </w:tc>
        <w:tc>
          <w:tcPr>
            <w:tcW w:w="41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EMC Corporation</w:t>
            </w:r>
          </w:p>
        </w:tc>
        <w:tc>
          <w:tcPr>
            <w:tcW w:w="4120" w:type="dxa"/>
            <w:vAlign w:val="bottom"/>
          </w:tcPr>
          <w:p>
            <w:pPr>
              <w:jc w:val="right"/>
              <w:ind w:right="1910"/>
              <w:spacing w:after="0"/>
              <w:rPr>
                <w:sz w:val="20"/>
                <w:szCs w:val="20"/>
                <w:color w:val="auto"/>
              </w:rPr>
            </w:pPr>
            <w:r>
              <w:rPr>
                <w:rFonts w:ascii="Arial" w:cs="Arial" w:eastAsia="Arial" w:hAnsi="Arial"/>
                <w:sz w:val="18"/>
                <w:szCs w:val="18"/>
                <w:color w:val="auto"/>
              </w:rPr>
              <w:t>-3-</w:t>
            </w:r>
          </w:p>
        </w:tc>
        <w:tc>
          <w:tcPr>
            <w:tcW w:w="3180" w:type="dxa"/>
            <w:vAlign w:val="bottom"/>
          </w:tcPr>
          <w:p>
            <w:pPr>
              <w:ind w:left="1980"/>
              <w:spacing w:after="0"/>
              <w:rPr>
                <w:sz w:val="20"/>
                <w:szCs w:val="20"/>
                <w:color w:val="auto"/>
              </w:rPr>
            </w:pPr>
            <w:r>
              <w:rPr>
                <w:rFonts w:ascii="Arial" w:cs="Arial" w:eastAsia="Arial" w:hAnsi="Arial"/>
                <w:sz w:val="18"/>
                <w:szCs w:val="18"/>
                <w:color w:val="auto"/>
                <w:w w:val="89"/>
              </w:rPr>
              <w:t>August 15, 2023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40" w:firstLine="440"/>
        <w:spacing w:after="0" w:line="290" w:lineRule="auto"/>
        <w:rPr>
          <w:sz w:val="20"/>
          <w:szCs w:val="20"/>
          <w:color w:val="auto"/>
        </w:rPr>
      </w:pPr>
      <w:r>
        <w:rPr>
          <w:rFonts w:ascii="Arial" w:cs="Arial" w:eastAsia="Arial" w:hAnsi="Arial"/>
          <w:sz w:val="16"/>
          <w:szCs w:val="16"/>
          <w:color w:val="auto"/>
        </w:rPr>
        <w:t>In rendering the opinions set forth below, we have assumed further that (1) EMC is validly existing and in good standing under the law of the jurisdiction in which it is organized and has duly authorized, executed, issued and delivered the Indenture and the Exchange Securities in accordance with its organizational documents and the law of the jurisdiction in which it is organized, (2) the execution, issuance, delivery and performance by EMC of the Indenture and the Exchange Securities do not constitute a breach or violation of its organizational documents or violate the law of the jurisdiction in which it is organized or any other jurisdiction (except that no such assumption is made with respect to the law of the State of New York, the Delaware General Corporation Law and the Delaware Limited Liability Company Act) and (3) the execution, issuance, delivery and performance by each of the Issuers and the Guarantors of the Indenture, the Exchange Securities and the Exchange Guarantees, as applicable, do not constitute a breach or default under any agreement or instrument which is binding upon any of the Issuers or the Guarantors.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117" w:lineRule="exact"/>
        <w:rPr>
          <w:sz w:val="20"/>
          <w:szCs w:val="20"/>
          <w:color w:val="auto"/>
        </w:rPr>
      </w:pPr>
    </w:p>
    <w:p>
      <w:pPr>
        <w:ind w:left="440" w:right="60" w:firstLine="419"/>
        <w:spacing w:after="0" w:line="263" w:lineRule="auto"/>
        <w:tabs>
          <w:tab w:leader="none" w:pos="10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When the Exchange Securities have been duly executed, authenticated, issued and delivered in accordance with the provisions of the Indenture pursuant to the exchange offer described in the Registration Statement, the Exchange Securities will constitute valid and legally binding obligations of the Issuers enforceable against the Issuers in accordance with their terms.</w:t>
      </w:r>
    </w:p>
    <w:p>
      <w:pPr>
        <w:spacing w:after="0" w:line="75" w:lineRule="exact"/>
        <w:rPr>
          <w:rFonts w:ascii="Arial" w:cs="Arial" w:eastAsia="Arial" w:hAnsi="Arial"/>
          <w:sz w:val="18"/>
          <w:szCs w:val="18"/>
          <w:color w:val="auto"/>
        </w:rPr>
      </w:pPr>
    </w:p>
    <w:p>
      <w:pPr>
        <w:ind w:left="440" w:right="20" w:firstLine="419"/>
        <w:spacing w:after="0" w:line="259" w:lineRule="auto"/>
        <w:tabs>
          <w:tab w:leader="none" w:pos="10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When (a) the Exchange Securities have been duly executed, authenticated, issued and delivered in accordance with the provisions of the Indenture pursuant to the exchange offer described in the Registration Statement and (b) the Exchange Guarantees have been duly issued, the Exchange Guarantees will constitute valid and legally binding obligations of the Guarantors enforceable against the Guarantors in accordance with their terms.</w:t>
      </w:r>
    </w:p>
    <w:p>
      <w:pPr>
        <w:sectPr>
          <w:pgSz w:w="11900" w:h="16838" w:orient="portrait"/>
          <w:cols w:equalWidth="0" w:num="1">
            <w:col w:w="11020"/>
          </w:cols>
          <w:pgMar w:left="440" w:top="274"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Dell International L.L.C.</w:t>
            </w:r>
          </w:p>
        </w:tc>
        <w:tc>
          <w:tcPr>
            <w:tcW w:w="41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EMC Corporation</w:t>
            </w:r>
          </w:p>
        </w:tc>
        <w:tc>
          <w:tcPr>
            <w:tcW w:w="4120" w:type="dxa"/>
            <w:vAlign w:val="bottom"/>
          </w:tcPr>
          <w:p>
            <w:pPr>
              <w:jc w:val="right"/>
              <w:ind w:right="1910"/>
              <w:spacing w:after="0"/>
              <w:rPr>
                <w:sz w:val="20"/>
                <w:szCs w:val="20"/>
                <w:color w:val="auto"/>
              </w:rPr>
            </w:pPr>
            <w:r>
              <w:rPr>
                <w:rFonts w:ascii="Arial" w:cs="Arial" w:eastAsia="Arial" w:hAnsi="Arial"/>
                <w:sz w:val="18"/>
                <w:szCs w:val="18"/>
                <w:color w:val="auto"/>
              </w:rPr>
              <w:t>-4-</w:t>
            </w:r>
          </w:p>
        </w:tc>
        <w:tc>
          <w:tcPr>
            <w:tcW w:w="3180" w:type="dxa"/>
            <w:vAlign w:val="bottom"/>
          </w:tcPr>
          <w:p>
            <w:pPr>
              <w:ind w:left="1980"/>
              <w:spacing w:after="0"/>
              <w:rPr>
                <w:sz w:val="20"/>
                <w:szCs w:val="20"/>
                <w:color w:val="auto"/>
              </w:rPr>
            </w:pPr>
            <w:r>
              <w:rPr>
                <w:rFonts w:ascii="Arial" w:cs="Arial" w:eastAsia="Arial" w:hAnsi="Arial"/>
                <w:sz w:val="18"/>
                <w:szCs w:val="18"/>
                <w:color w:val="auto"/>
                <w:w w:val="89"/>
              </w:rPr>
              <w:t>August 15, 2023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right="120" w:firstLine="440"/>
        <w:spacing w:after="0" w:line="279" w:lineRule="auto"/>
        <w:rPr>
          <w:sz w:val="20"/>
          <w:szCs w:val="20"/>
          <w:color w:val="auto"/>
        </w:rPr>
      </w:pPr>
      <w:r>
        <w:rPr>
          <w:rFonts w:ascii="Arial" w:cs="Arial" w:eastAsia="Arial" w:hAnsi="Arial"/>
          <w:sz w:val="17"/>
          <w:szCs w:val="17"/>
          <w:color w:val="auto"/>
        </w:rPr>
        <w:t>Our opinions set forth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Section 13.15 of the Indenture relating to the severability of provisions of the Indenture.</w:t>
      </w:r>
    </w:p>
    <w:p>
      <w:pPr>
        <w:spacing w:after="0" w:line="171"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In connection with Section 13.08 of the Indenture whereby the parties submit to the jurisdiction of the courts of the United States of America located in The City of New York, we note the limitations of 28 U.S.C. Sections 1331 and 1332 on subject matter jurisdiction of the U.S. federal courts.</w:t>
      </w:r>
    </w:p>
    <w:p>
      <w:pPr>
        <w:spacing w:after="0" w:line="12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We do not express any opinion herein concerning any law other than the law of the State of New York, the Delaware General Corporation Law and the Delaware Limited Liability Company Act. We expressly disclaim coverage of any other Delaware law, except judicial decisions interpreting the Delaware General Corporation Law and the Delaware Limited Liability Company Act.</w:t>
      </w:r>
    </w:p>
    <w:p>
      <w:pPr>
        <w:sectPr>
          <w:pgSz w:w="11900" w:h="16838" w:orient="portrait"/>
          <w:cols w:equalWidth="0" w:num="1">
            <w:col w:w="11020"/>
          </w:cols>
          <w:pgMar w:left="440" w:top="274"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Dell International L.L.C.</w:t>
            </w:r>
          </w:p>
        </w:tc>
        <w:tc>
          <w:tcPr>
            <w:tcW w:w="41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EMC Corporation</w:t>
            </w:r>
          </w:p>
        </w:tc>
        <w:tc>
          <w:tcPr>
            <w:tcW w:w="4120" w:type="dxa"/>
            <w:vAlign w:val="bottom"/>
          </w:tcPr>
          <w:p>
            <w:pPr>
              <w:jc w:val="right"/>
              <w:ind w:right="1910"/>
              <w:spacing w:after="0"/>
              <w:rPr>
                <w:sz w:val="20"/>
                <w:szCs w:val="20"/>
                <w:color w:val="auto"/>
              </w:rPr>
            </w:pPr>
            <w:r>
              <w:rPr>
                <w:rFonts w:ascii="Arial" w:cs="Arial" w:eastAsia="Arial" w:hAnsi="Arial"/>
                <w:sz w:val="18"/>
                <w:szCs w:val="18"/>
                <w:color w:val="auto"/>
              </w:rPr>
              <w:t>-5-</w:t>
            </w:r>
          </w:p>
        </w:tc>
        <w:tc>
          <w:tcPr>
            <w:tcW w:w="3180" w:type="dxa"/>
            <w:vAlign w:val="bottom"/>
          </w:tcPr>
          <w:p>
            <w:pPr>
              <w:ind w:left="1980"/>
              <w:spacing w:after="0"/>
              <w:rPr>
                <w:sz w:val="20"/>
                <w:szCs w:val="20"/>
                <w:color w:val="auto"/>
              </w:rPr>
            </w:pPr>
            <w:r>
              <w:rPr>
                <w:rFonts w:ascii="Arial" w:cs="Arial" w:eastAsia="Arial" w:hAnsi="Arial"/>
                <w:sz w:val="18"/>
                <w:szCs w:val="18"/>
                <w:color w:val="auto"/>
                <w:w w:val="89"/>
              </w:rPr>
              <w:t>August 15, 2023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540" w:firstLine="440"/>
        <w:spacing w:after="0" w:line="277" w:lineRule="auto"/>
        <w:rPr>
          <w:sz w:val="20"/>
          <w:szCs w:val="20"/>
          <w:color w:val="auto"/>
        </w:rPr>
      </w:pPr>
      <w:r>
        <w:rPr>
          <w:rFonts w:ascii="Arial" w:cs="Arial" w:eastAsia="Arial" w:hAnsi="Arial"/>
          <w:sz w:val="18"/>
          <w:szCs w:val="18"/>
          <w:color w:val="auto"/>
        </w:rPr>
        <w:t>We hereby consent to the filing of this opinion letter as Exhibit 5 to the Registration Statement and to the use of our name under the caption “Legal Matters” in the prospectus included in the Registration Statement.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SIMPSON THACHER &amp; BARTLETT LLP</w:t>
      </w:r>
    </w:p>
    <w:p>
      <w:pPr>
        <w:sectPr>
          <w:pgSz w:w="11900" w:h="16838" w:orient="portrait"/>
          <w:cols w:equalWidth="0" w:num="1">
            <w:col w:w="11020"/>
          </w:cols>
          <w:pgMar w:left="440" w:top="274" w:right="439" w:bottom="1440" w:gutter="0" w:footer="0" w:header="0"/>
        </w:sectPr>
      </w:pPr>
    </w:p>
    <w:bookmarkStart w:id="98" w:name="page99"/>
    <w:bookmarkEnd w:id="98"/>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color w:val="auto"/>
        </w:rPr>
        <w:t>DELAWARE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Denali Intermediate Inc.</w:t>
      </w:r>
    </w:p>
    <w:p>
      <w:pPr>
        <w:sectPr>
          <w:pgSz w:w="11900" w:h="16838" w:orient="portrait"/>
          <w:cols w:equalWidth="0" w:num="1">
            <w:col w:w="10019"/>
          </w:cols>
          <w:pgMar w:left="440" w:top="27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5.2</w:t>
      </w:r>
    </w:p>
    <w:p>
      <w:pPr>
        <w:spacing w:after="0" w:line="121"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August 15, 2023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EMC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176 South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Hopkinton, MA 01748</w:t>
      </w:r>
    </w:p>
    <w:p>
      <w:pPr>
        <w:spacing w:after="0" w:line="11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Re:</w:t>
        <w:tab/>
        <w:t>Dell International L.L.C. and EMC Corporation –</w:t>
      </w:r>
    </w:p>
    <w:p>
      <w:pPr>
        <w:spacing w:after="0" w:line="23" w:lineRule="exact"/>
        <w:rPr>
          <w:sz w:val="20"/>
          <w:szCs w:val="20"/>
          <w:color w:val="auto"/>
        </w:rPr>
      </w:pPr>
    </w:p>
    <w:p>
      <w:pPr>
        <w:ind w:left="964"/>
        <w:spacing w:after="0"/>
        <w:rPr>
          <w:sz w:val="20"/>
          <w:szCs w:val="20"/>
          <w:color w:val="auto"/>
        </w:rPr>
      </w:pPr>
      <w:r>
        <w:rPr>
          <w:rFonts w:ascii="Arial" w:cs="Arial" w:eastAsia="Arial" w:hAnsi="Arial"/>
          <w:sz w:val="18"/>
          <w:szCs w:val="18"/>
          <w:color w:val="auto"/>
        </w:rPr>
        <w:t>Registration Statement on Form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117475</wp:posOffset>
            </wp:positionV>
            <wp:extent cx="37420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50">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160" w:firstLine="440"/>
        <w:spacing w:after="0" w:line="287" w:lineRule="auto"/>
        <w:rPr>
          <w:sz w:val="20"/>
          <w:szCs w:val="20"/>
          <w:color w:val="auto"/>
        </w:rPr>
      </w:pPr>
      <w:r>
        <w:rPr>
          <w:rFonts w:ascii="Arial" w:cs="Arial" w:eastAsia="Arial" w:hAnsi="Arial"/>
          <w:sz w:val="16"/>
          <w:szCs w:val="16"/>
          <w:color w:val="auto"/>
        </w:rPr>
        <w:t>We have acted as special local counsel with respect to the laws of the Commonwealth of Massachusetts to EMC Corporation, a Massachusetts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together with Dell International L.L.C., a Delaware limited liability company, the “</w:t>
      </w:r>
      <w:r>
        <w:rPr>
          <w:rFonts w:ascii="Arial" w:cs="Arial" w:eastAsia="Arial" w:hAnsi="Arial"/>
          <w:sz w:val="16"/>
          <w:szCs w:val="16"/>
          <w:b w:val="1"/>
          <w:bCs w:val="1"/>
          <w:color w:val="auto"/>
        </w:rPr>
        <w:t>Issuers</w:t>
      </w:r>
      <w:r>
        <w:rPr>
          <w:rFonts w:ascii="Arial" w:cs="Arial" w:eastAsia="Arial" w:hAnsi="Arial"/>
          <w:sz w:val="16"/>
          <w:szCs w:val="16"/>
          <w:color w:val="auto"/>
        </w:rPr>
        <w:t>”), in connection with the the issuance of (i) up to $962,390,000 aggregate principal amount of the Issuers’ 3.375% Senior Notes due 2041 (the “</w:t>
      </w:r>
      <w:r>
        <w:rPr>
          <w:rFonts w:ascii="Arial" w:cs="Arial" w:eastAsia="Arial" w:hAnsi="Arial"/>
          <w:sz w:val="16"/>
          <w:szCs w:val="16"/>
          <w:b w:val="1"/>
          <w:bCs w:val="1"/>
          <w:color w:val="auto"/>
        </w:rPr>
        <w:t>2041 Exchange Notes</w:t>
      </w:r>
      <w:r>
        <w:rPr>
          <w:rFonts w:ascii="Arial" w:cs="Arial" w:eastAsia="Arial" w:hAnsi="Arial"/>
          <w:sz w:val="16"/>
          <w:szCs w:val="16"/>
          <w:color w:val="auto"/>
        </w:rPr>
        <w:t>”) and</w:t>
      </w:r>
    </w:p>
    <w:p>
      <w:pPr>
        <w:spacing w:after="0" w:line="2" w:lineRule="exact"/>
        <w:rPr>
          <w:sz w:val="20"/>
          <w:szCs w:val="20"/>
          <w:color w:val="auto"/>
        </w:rPr>
      </w:pPr>
    </w:p>
    <w:p>
      <w:pPr>
        <w:ind w:left="4" w:hanging="4"/>
        <w:spacing w:after="0" w:line="290" w:lineRule="auto"/>
        <w:tabs>
          <w:tab w:leader="none" w:pos="2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up to $1,094,877,000 aggregate principal amount of the Issuers’ 3.450% Senior Notes due 2051 (the “</w:t>
      </w:r>
      <w:r>
        <w:rPr>
          <w:rFonts w:ascii="Arial" w:cs="Arial" w:eastAsia="Arial" w:hAnsi="Arial"/>
          <w:sz w:val="16"/>
          <w:szCs w:val="16"/>
          <w:b w:val="1"/>
          <w:bCs w:val="1"/>
          <w:color w:val="auto"/>
        </w:rPr>
        <w:t>2051 Exchange Notes</w:t>
      </w:r>
      <w:r>
        <w:rPr>
          <w:rFonts w:ascii="Arial" w:cs="Arial" w:eastAsia="Arial" w:hAnsi="Arial"/>
          <w:sz w:val="16"/>
          <w:szCs w:val="16"/>
          <w:color w:val="auto"/>
        </w:rPr>
        <w:t>” and together with the 2041 Exchange Notes, the “</w:t>
      </w:r>
      <w:r>
        <w:rPr>
          <w:rFonts w:ascii="Arial" w:cs="Arial" w:eastAsia="Arial" w:hAnsi="Arial"/>
          <w:sz w:val="16"/>
          <w:szCs w:val="16"/>
          <w:b w:val="1"/>
          <w:bCs w:val="1"/>
          <w:color w:val="auto"/>
        </w:rPr>
        <w:t>Exchange Notes</w:t>
      </w:r>
      <w:r>
        <w:rPr>
          <w:rFonts w:ascii="Arial" w:cs="Arial" w:eastAsia="Arial" w:hAnsi="Arial"/>
          <w:sz w:val="16"/>
          <w:szCs w:val="16"/>
          <w:color w:val="auto"/>
        </w:rPr>
        <w:t>”). Each series of Exchange Notes is to be issued (the “</w:t>
      </w:r>
      <w:r>
        <w:rPr>
          <w:rFonts w:ascii="Arial" w:cs="Arial" w:eastAsia="Arial" w:hAnsi="Arial"/>
          <w:sz w:val="16"/>
          <w:szCs w:val="16"/>
          <w:b w:val="1"/>
          <w:bCs w:val="1"/>
          <w:color w:val="auto"/>
        </w:rPr>
        <w:t>Exchange Offer</w:t>
      </w:r>
      <w:r>
        <w:rPr>
          <w:rFonts w:ascii="Arial" w:cs="Arial" w:eastAsia="Arial" w:hAnsi="Arial"/>
          <w:sz w:val="16"/>
          <w:szCs w:val="16"/>
          <w:color w:val="auto"/>
        </w:rPr>
        <w:t>”) in exchange for the corresponding series of the issued and outstanding notes (the “</w:t>
      </w:r>
      <w:r>
        <w:rPr>
          <w:rFonts w:ascii="Arial" w:cs="Arial" w:eastAsia="Arial" w:hAnsi="Arial"/>
          <w:sz w:val="16"/>
          <w:szCs w:val="16"/>
          <w:b w:val="1"/>
          <w:bCs w:val="1"/>
          <w:color w:val="auto"/>
        </w:rPr>
        <w:t>Outstanding Notes</w:t>
      </w:r>
      <w:r>
        <w:rPr>
          <w:rFonts w:ascii="Arial" w:cs="Arial" w:eastAsia="Arial" w:hAnsi="Arial"/>
          <w:sz w:val="16"/>
          <w:szCs w:val="16"/>
          <w:color w:val="auto"/>
        </w:rPr>
        <w:t>”) of the Issuers and the guarantees thereof by the Guarantors, in each case in a like principal amount, at the same coupon rate and subject to the same maturity date, as contemplated by the registration rights agreement dated as of December 13, 2021 (in respect of the Outstanding Notes issued pursuant to the Indenture)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in each case by and among the Issuers, the Guarantors and the initial purchasers of Outstanding Notes set forth therein.</w:t>
      </w:r>
    </w:p>
    <w:p>
      <w:pPr>
        <w:spacing w:after="0" w:line="164"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Capitalized terms in this letter that are not otherwise defined have the meanings ascribed to them in the Indenture, dated as of December 13, 2021 (the “</w:t>
      </w:r>
      <w:r>
        <w:rPr>
          <w:rFonts w:ascii="Arial" w:cs="Arial" w:eastAsia="Arial" w:hAnsi="Arial"/>
          <w:sz w:val="16"/>
          <w:szCs w:val="16"/>
          <w:b w:val="1"/>
          <w:bCs w:val="1"/>
          <w:color w:val="auto"/>
        </w:rPr>
        <w:t>Base Indenture</w:t>
      </w:r>
      <w:r>
        <w:rPr>
          <w:rFonts w:ascii="Arial" w:cs="Arial" w:eastAsia="Arial" w:hAnsi="Arial"/>
          <w:sz w:val="16"/>
          <w:szCs w:val="16"/>
          <w:color w:val="auto"/>
        </w:rPr>
        <w:t>”), among the Issuers, the Guarantors and The Bank of New York Mellon Trust Company, N.A.,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as supplemented by the 2041 Notes Supplemental Indenture No. 1, dated as of December 13, 2021 and the 2051 Notes Supplemental Indenture No. 1, dated as of December 13, 2021 (collectively, the “</w:t>
      </w:r>
      <w:r>
        <w:rPr>
          <w:rFonts w:ascii="Arial" w:cs="Arial" w:eastAsia="Arial" w:hAnsi="Arial"/>
          <w:sz w:val="16"/>
          <w:szCs w:val="16"/>
          <w:b w:val="1"/>
          <w:bCs w:val="1"/>
          <w:color w:val="auto"/>
        </w:rPr>
        <w:t>Notes Supplemental Indentures</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157"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100" w:name="page101"/>
    <w:bookmarkEnd w:id="100"/>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acted as Massachusetts local counsel to the Company solely in connection with the rendering of the within opinions, and have not otherwise represented the Company (or any other person or entity) in connection with the preparation of the Registration Statement (as defined below), or any other transactions contemplated by the Registration Statement (as defined below).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Documents Reviewed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opinion letter, we have examined and are relying upon copies or drafts of the following:</w:t>
      </w:r>
    </w:p>
    <w:p>
      <w:pPr>
        <w:spacing w:after="0" w:line="131" w:lineRule="exact"/>
        <w:rPr>
          <w:sz w:val="20"/>
          <w:szCs w:val="20"/>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26" w:lineRule="exact"/>
        <w:rPr>
          <w:rFonts w:ascii="Arial" w:cs="Arial" w:eastAsia="Arial" w:hAnsi="Arial"/>
          <w:sz w:val="18"/>
          <w:szCs w:val="18"/>
          <w:color w:val="auto"/>
        </w:rPr>
      </w:pPr>
    </w:p>
    <w:p>
      <w:pPr>
        <w:ind w:left="960" w:right="40" w:hanging="532"/>
        <w:spacing w:after="0" w:line="282"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global certificates evidencing the Outstanding Notes, executed by the Issuers and registered in the name of Cede &amp; Co.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Note Certificates</w:t>
      </w:r>
      <w:r>
        <w:rPr>
          <w:rFonts w:ascii="Arial" w:cs="Arial" w:eastAsia="Arial" w:hAnsi="Arial"/>
          <w:sz w:val="18"/>
          <w:szCs w:val="18"/>
          <w:color w:val="auto"/>
        </w:rPr>
        <w:t>”) delivered by the Issuers to the Trustee for authentication and delivery;</w:t>
      </w:r>
    </w:p>
    <w:p>
      <w:pPr>
        <w:spacing w:after="0" w:line="67" w:lineRule="exact"/>
        <w:rPr>
          <w:rFonts w:ascii="Arial" w:cs="Arial" w:eastAsia="Arial" w:hAnsi="Arial"/>
          <w:sz w:val="18"/>
          <w:szCs w:val="18"/>
          <w:color w:val="auto"/>
        </w:rPr>
      </w:pPr>
    </w:p>
    <w:p>
      <w:pPr>
        <w:ind w:left="960" w:right="140" w:hanging="532"/>
        <w:spacing w:after="0" w:line="282"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forms of global certificates evidencing the Exchange Notes (the “</w:t>
      </w:r>
      <w:r>
        <w:rPr>
          <w:rFonts w:ascii="Arial" w:cs="Arial" w:eastAsia="Arial" w:hAnsi="Arial"/>
          <w:sz w:val="18"/>
          <w:szCs w:val="18"/>
          <w:b w:val="1"/>
          <w:bCs w:val="1"/>
          <w:color w:val="auto"/>
        </w:rPr>
        <w:t>Exchange Note Certificates</w:t>
      </w:r>
      <w:r>
        <w:rPr>
          <w:rFonts w:ascii="Arial" w:cs="Arial" w:eastAsia="Arial" w:hAnsi="Arial"/>
          <w:sz w:val="18"/>
          <w:szCs w:val="18"/>
          <w:color w:val="auto"/>
        </w:rPr>
        <w:t>”), in each case in the form set forth in the Indenture attached as an exhibit to the Registration Statement;</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Registration Rights Agreement; and</w:t>
      </w:r>
    </w:p>
    <w:p>
      <w:pPr>
        <w:spacing w:after="0" w:line="126" w:lineRule="exact"/>
        <w:rPr>
          <w:rFonts w:ascii="Arial" w:cs="Arial" w:eastAsia="Arial" w:hAnsi="Arial"/>
          <w:sz w:val="18"/>
          <w:szCs w:val="18"/>
          <w:color w:val="auto"/>
        </w:rPr>
      </w:pPr>
    </w:p>
    <w:p>
      <w:pPr>
        <w:ind w:left="960" w:right="60" w:hanging="532"/>
        <w:spacing w:after="0" w:line="312" w:lineRule="auto"/>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Registration Statement on Form S-4 to be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the date hereof under the Securities Act (such registration statement being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documents referred to in items (1), (2), (3) and (4) above are referred to herein collectively as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rendering the opinions set forth below, we have also examined and, as to corporate matters, are relying solely upon the following:</w:t>
      </w:r>
    </w:p>
    <w:p>
      <w:pPr>
        <w:spacing w:after="0" w:line="131" w:lineRule="exact"/>
        <w:rPr>
          <w:sz w:val="20"/>
          <w:szCs w:val="20"/>
          <w:color w:val="auto"/>
        </w:rPr>
      </w:pPr>
    </w:p>
    <w:p>
      <w:pPr>
        <w:ind w:left="960" w:hanging="532"/>
        <w:spacing w:after="0" w:line="259"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Articles of Organization of the Company, filed with the Secretary of the Commonwealth of The Commonwealth of Massachusetts (the “</w:t>
      </w:r>
      <w:r>
        <w:rPr>
          <w:rFonts w:ascii="Arial" w:cs="Arial" w:eastAsia="Arial" w:hAnsi="Arial"/>
          <w:sz w:val="18"/>
          <w:szCs w:val="18"/>
          <w:b w:val="1"/>
          <w:bCs w:val="1"/>
          <w:color w:val="auto"/>
        </w:rPr>
        <w:t>Secretary of the Commonwealth</w:t>
      </w:r>
      <w:r>
        <w:rPr>
          <w:rFonts w:ascii="Arial" w:cs="Arial" w:eastAsia="Arial" w:hAnsi="Arial"/>
          <w:sz w:val="18"/>
          <w:szCs w:val="18"/>
          <w:color w:val="auto"/>
        </w:rPr>
        <w:t>”) on August 23, 1979, as amended and restated on May 1, 2013, as amended through the date hereof as certified by the Secretary of the Commonwealth as of August 11, 2023, and as certified pursuant to the Assistant Secretary’s Certificate described below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60" w:right="580" w:hanging="532"/>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amended through the date hereof, and as certified pursuant to, the Assistant Secretary’s Certificate described below (together with the Articles, the “</w:t>
      </w:r>
      <w:r>
        <w:rPr>
          <w:rFonts w:ascii="Arial" w:cs="Arial" w:eastAsia="Arial" w:hAnsi="Arial"/>
          <w:sz w:val="18"/>
          <w:szCs w:val="18"/>
          <w:b w:val="1"/>
          <w:bCs w:val="1"/>
          <w:color w:val="auto"/>
        </w:rPr>
        <w:t>Organizational Documents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certificate, dated as of the date hereof, as to the Organizational Documents and Resolutions (as defined below), containing incumbency certifications as to the Company, and as to other matters executed by Christopher Garcia, Assistant Secretary and Senior Vice President of the Company, dated August 15, 2023 (the “</w:t>
      </w:r>
      <w:r>
        <w:rPr>
          <w:rFonts w:ascii="Arial" w:cs="Arial" w:eastAsia="Arial" w:hAnsi="Arial"/>
          <w:sz w:val="18"/>
          <w:szCs w:val="18"/>
          <w:b w:val="1"/>
          <w:bCs w:val="1"/>
          <w:color w:val="auto"/>
        </w:rPr>
        <w:t>Assistant Secretary’s Certificate</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1" w:name="page102"/>
    <w:bookmarkEnd w:id="101"/>
    <w:p>
      <w:pPr>
        <w:ind w:left="960" w:right="38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the Secretary of the Commonwealth, dated August 10, 2023, with regard to the legal existence and good standing of the Company (the “</w:t>
      </w:r>
      <w:r>
        <w:rPr>
          <w:rFonts w:ascii="Arial" w:cs="Arial" w:eastAsia="Arial" w:hAnsi="Arial"/>
          <w:sz w:val="18"/>
          <w:szCs w:val="18"/>
          <w:b w:val="1"/>
          <w:bCs w:val="1"/>
          <w:color w:val="auto"/>
        </w:rPr>
        <w:t>Status Certificate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Unanimous Written Consent of the Board of Directors of the Company, dated as of December 6, 2021, with respect to the Issuance and the Transaction Documents (the “</w:t>
      </w:r>
      <w:r>
        <w:rPr>
          <w:rFonts w:ascii="Arial" w:cs="Arial" w:eastAsia="Arial" w:hAnsi="Arial"/>
          <w:sz w:val="17"/>
          <w:szCs w:val="17"/>
          <w:b w:val="1"/>
          <w:bCs w:val="1"/>
          <w:color w:val="auto"/>
        </w:rPr>
        <w:t>2021 Resolutions</w:t>
      </w:r>
      <w:r>
        <w:rPr>
          <w:rFonts w:ascii="Arial" w:cs="Arial" w:eastAsia="Arial" w:hAnsi="Arial"/>
          <w:sz w:val="17"/>
          <w:szCs w:val="17"/>
          <w:color w:val="auto"/>
        </w:rPr>
        <w:t>”) certified pursuant to the Assistant Secretary’s Certificate; and</w:t>
      </w:r>
    </w:p>
    <w:p>
      <w:pPr>
        <w:spacing w:after="0" w:line="51" w:lineRule="exact"/>
        <w:rPr>
          <w:rFonts w:ascii="Arial" w:cs="Arial" w:eastAsia="Arial" w:hAnsi="Arial"/>
          <w:sz w:val="17"/>
          <w:szCs w:val="17"/>
          <w:color w:val="auto"/>
        </w:rPr>
      </w:pPr>
    </w:p>
    <w:p>
      <w:pPr>
        <w:ind w:left="960" w:right="140" w:hanging="532"/>
        <w:spacing w:after="0" w:line="263"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Unanimous Written Consent of the Board of Directors of the Company, dated as of August 15, 2023, with respect to the Issuance and the Transaction Documents (the “</w:t>
      </w:r>
      <w:r>
        <w:rPr>
          <w:rFonts w:ascii="Arial" w:cs="Arial" w:eastAsia="Arial" w:hAnsi="Arial"/>
          <w:sz w:val="18"/>
          <w:szCs w:val="18"/>
          <w:b w:val="1"/>
          <w:bCs w:val="1"/>
          <w:color w:val="auto"/>
        </w:rPr>
        <w:t>2023 Resolutions</w:t>
      </w:r>
      <w:r>
        <w:rPr>
          <w:rFonts w:ascii="Arial" w:cs="Arial" w:eastAsia="Arial" w:hAnsi="Arial"/>
          <w:sz w:val="18"/>
          <w:szCs w:val="18"/>
          <w:color w:val="auto"/>
        </w:rPr>
        <w:t>” and together with the 2021 Resolution, the “</w:t>
      </w:r>
      <w:r>
        <w:rPr>
          <w:rFonts w:ascii="Arial" w:cs="Arial" w:eastAsia="Arial" w:hAnsi="Arial"/>
          <w:sz w:val="18"/>
          <w:szCs w:val="18"/>
          <w:b w:val="1"/>
          <w:bCs w:val="1"/>
          <w:color w:val="auto"/>
        </w:rPr>
        <w:t>Resolutions</w:t>
      </w:r>
      <w:r>
        <w:rPr>
          <w:rFonts w:ascii="Arial" w:cs="Arial" w:eastAsia="Arial" w:hAnsi="Arial"/>
          <w:sz w:val="18"/>
          <w:szCs w:val="18"/>
          <w:color w:val="auto"/>
        </w:rPr>
        <w:t>”) certified pursuant to the Assistant Secretary’s Certificate.</w:t>
      </w:r>
    </w:p>
    <w:p>
      <w:pPr>
        <w:spacing w:after="0" w:line="180"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The documents listed as items (a) through (f) above are hereafter referred to as the “</w:t>
      </w:r>
      <w:r>
        <w:rPr>
          <w:rFonts w:ascii="Arial" w:cs="Arial" w:eastAsia="Arial" w:hAnsi="Arial"/>
          <w:sz w:val="18"/>
          <w:szCs w:val="18"/>
          <w:b w:val="1"/>
          <w:bCs w:val="1"/>
          <w:color w:val="auto"/>
        </w:rPr>
        <w:t>Related Documents</w:t>
      </w:r>
      <w:r>
        <w:rPr>
          <w:rFonts w:ascii="Arial" w:cs="Arial" w:eastAsia="Arial" w:hAnsi="Arial"/>
          <w:sz w:val="18"/>
          <w:szCs w:val="18"/>
          <w:color w:val="auto"/>
        </w:rPr>
        <w:t>.” The Transaction Documents and the Related Documents are hereafter collectively referred to as the “</w:t>
      </w:r>
      <w:r>
        <w:rPr>
          <w:rFonts w:ascii="Arial" w:cs="Arial" w:eastAsia="Arial" w:hAnsi="Arial"/>
          <w:sz w:val="18"/>
          <w:szCs w:val="18"/>
          <w:b w:val="1"/>
          <w:bCs w:val="1"/>
          <w:color w:val="auto"/>
        </w:rPr>
        <w:t>Documents</w:t>
      </w:r>
      <w:r>
        <w:rPr>
          <w:rFonts w:ascii="Arial" w:cs="Arial" w:eastAsia="Arial" w:hAnsi="Arial"/>
          <w:sz w:val="18"/>
          <w:szCs w:val="18"/>
          <w:color w:val="auto"/>
        </w:rPr>
        <w:t>”. Except as may be otherwise specifically noted in this opinion letter, the opinions expressed herein relate solely to the Transaction Documents and as applicable only to the Company, and not to any other documents, including any documents that are referred to in, incorporated by reference into, or listed as attachments, exhibits, or schedules to any of the Documents, or to any other person or entity.</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With your consent, we have assumed that certificates of public officials dated earlier than the date of this opinion letter remain accurate from such earlier dates through and including the date of this opinion letter. As to matters of fact underlying the opinions expressed herein, we have relied on the representations and warranties made by the parties in the Documents and we have relied on the statements of public officials contained in the Related Documents. We have made no independent investigation of the accuracy or completeness of such matters of fact.</w:t>
      </w:r>
    </w:p>
    <w:p>
      <w:pPr>
        <w:spacing w:after="0" w:line="171" w:lineRule="exact"/>
        <w:rPr>
          <w:sz w:val="20"/>
          <w:szCs w:val="20"/>
          <w:color w:val="auto"/>
        </w:rPr>
      </w:pPr>
    </w:p>
    <w:p>
      <w:pPr>
        <w:jc w:val="both"/>
        <w:ind w:right="460" w:firstLine="440"/>
        <w:spacing w:after="0" w:line="279" w:lineRule="auto"/>
        <w:rPr>
          <w:sz w:val="20"/>
          <w:szCs w:val="20"/>
          <w:color w:val="auto"/>
        </w:rPr>
      </w:pPr>
      <w:r>
        <w:rPr>
          <w:rFonts w:ascii="Arial" w:cs="Arial" w:eastAsia="Arial" w:hAnsi="Arial"/>
          <w:sz w:val="17"/>
          <w:szCs w:val="17"/>
          <w:color w:val="auto"/>
        </w:rPr>
        <w:t>Except to the extent expressly set forth herein, and with your permission, we have not undertaken any independent investigation (including without limitation review of the books, records, or files of the Company or review of any governmental records or court dockets) to determine the existence or absence of any facts or other information, and no inference as to our knowledge of the existence or absence of any such facts or other information should be drawn from the fact of our representation of the Company as special local counsel.</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Assumptions and Qualification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rendering the opinions herein, we have relied, without independent investigation, upon the following assumptions and qualifications:</w:t>
      </w:r>
    </w:p>
    <w:p>
      <w:pPr>
        <w:spacing w:after="0" w:line="129" w:lineRule="exact"/>
        <w:rPr>
          <w:sz w:val="20"/>
          <w:szCs w:val="20"/>
          <w:color w:val="auto"/>
        </w:rPr>
      </w:pPr>
    </w:p>
    <w:p>
      <w:pPr>
        <w:ind w:right="20" w:firstLine="436"/>
        <w:spacing w:after="0" w:line="263"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document submitted to us for review is accurate and complete, each such document that is an original is authentic, each such document that is a copy or a draft conforms to an authentic original, and all signatures on each such document (whether manual, electronic, or otherwise) are valid and genuine;</w:t>
      </w:r>
    </w:p>
    <w:p>
      <w:pPr>
        <w:spacing w:after="0" w:line="75" w:lineRule="exact"/>
        <w:rPr>
          <w:rFonts w:ascii="Arial" w:cs="Arial" w:eastAsia="Arial" w:hAnsi="Arial"/>
          <w:sz w:val="18"/>
          <w:szCs w:val="18"/>
          <w:color w:val="auto"/>
        </w:rPr>
      </w:pPr>
    </w:p>
    <w:p>
      <w:pPr>
        <w:ind w:right="200" w:firstLine="436"/>
        <w:spacing w:after="0" w:line="342" w:lineRule="auto"/>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are no agreements or understandings among the parties, written or oral, and there is no usage of trade or course of prior dealing among the parties that would, in any case, define the terms of, supplement, amend, modify, terminate, release, or satisfy the Transaction Documents;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02" w:name="page103"/>
    <w:bookmarkEnd w:id="102"/>
    <w:p>
      <w:pPr>
        <w:ind w:left="620" w:hanging="184"/>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natural person executing the Transaction Documents or any document referred to herein is legally competent to do so;</w:t>
      </w:r>
    </w:p>
    <w:p>
      <w:pPr>
        <w:spacing w:after="0" w:line="225" w:lineRule="exact"/>
        <w:rPr>
          <w:rFonts w:ascii="Arial" w:cs="Arial" w:eastAsia="Arial" w:hAnsi="Arial"/>
          <w:sz w:val="18"/>
          <w:szCs w:val="18"/>
          <w:color w:val="auto"/>
        </w:rPr>
      </w:pPr>
    </w:p>
    <w:p>
      <w:pPr>
        <w:ind w:right="60" w:firstLine="436"/>
        <w:spacing w:after="0" w:line="263"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who has taken any action relevant to any of our opinions in the capacity of director, officer, manager, member, or partner was duly elected or appointed to or otherwise occupied that director, officer, manager, member, or partner position and held that position when such action was taken;</w:t>
      </w:r>
    </w:p>
    <w:p>
      <w:pPr>
        <w:spacing w:after="0" w:line="183" w:lineRule="exact"/>
        <w:rPr>
          <w:rFonts w:ascii="Arial" w:cs="Arial" w:eastAsia="Arial" w:hAnsi="Arial"/>
          <w:sz w:val="18"/>
          <w:szCs w:val="18"/>
          <w:color w:val="auto"/>
        </w:rPr>
      </w:pPr>
    </w:p>
    <w:p>
      <w:pPr>
        <w:ind w:right="680" w:firstLine="436"/>
        <w:spacing w:after="0" w:line="277"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entering into of the Transaction Documents by the Company is necessary or convenient to carry out the business and affairs of the Company;</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do not express any opinion with respect to the effect on the opinions stated herein of any bankruptcy, insolvency, reorganization,</w:t>
      </w:r>
    </w:p>
    <w:p>
      <w:pPr>
        <w:spacing w:after="0" w:line="34" w:lineRule="exact"/>
        <w:rPr>
          <w:rFonts w:ascii="Arial" w:cs="Arial" w:eastAsia="Arial" w:hAnsi="Arial"/>
          <w:sz w:val="17"/>
          <w:szCs w:val="17"/>
          <w:color w:val="auto"/>
        </w:rPr>
      </w:pPr>
    </w:p>
    <w:p>
      <w:pPr>
        <w:ind w:right="180"/>
        <w:spacing w:after="0" w:line="290" w:lineRule="auto"/>
        <w:rPr>
          <w:rFonts w:ascii="Arial" w:cs="Arial" w:eastAsia="Arial" w:hAnsi="Arial"/>
          <w:sz w:val="17"/>
          <w:szCs w:val="17"/>
          <w:color w:val="auto"/>
        </w:rPr>
      </w:pPr>
      <w:r>
        <w:rPr>
          <w:rFonts w:ascii="Arial" w:cs="Arial" w:eastAsia="Arial" w:hAnsi="Arial"/>
          <w:sz w:val="17"/>
          <w:szCs w:val="17"/>
          <w:color w:val="auto"/>
        </w:rPr>
        <w:t>moratorium, fraudulent transfer, preference and other similar laws or governmental orders affecting creditors’ rights generally, and the opinions stated herein are limited by such laws and by general principles of equity (regardless of whether enforcement is sought in equity or at law);</w:t>
      </w:r>
    </w:p>
    <w:p>
      <w:pPr>
        <w:spacing w:after="0" w:line="161" w:lineRule="exact"/>
        <w:rPr>
          <w:rFonts w:ascii="Arial" w:cs="Arial" w:eastAsia="Arial" w:hAnsi="Arial"/>
          <w:sz w:val="17"/>
          <w:szCs w:val="17"/>
          <w:color w:val="auto"/>
        </w:rPr>
      </w:pPr>
    </w:p>
    <w:p>
      <w:pPr>
        <w:ind w:right="20" w:firstLine="436"/>
        <w:spacing w:after="0" w:line="263"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to the extent expressly stated in the opinions contained herein, we do not express any opinion with respect to the effect on the opinions stated herein of (i) the compliance or non-compliance of any party to any of the Transaction Documents with any laws, rules or regulations applicable to such party or (ii) the legal status or legal capacity of any party to any of the Transaction Documents;</w:t>
      </w:r>
    </w:p>
    <w:p>
      <w:pPr>
        <w:spacing w:after="0" w:line="183" w:lineRule="exact"/>
        <w:rPr>
          <w:rFonts w:ascii="Arial" w:cs="Arial" w:eastAsia="Arial" w:hAnsi="Arial"/>
          <w:sz w:val="18"/>
          <w:szCs w:val="18"/>
          <w:color w:val="auto"/>
        </w:rPr>
      </w:pPr>
    </w:p>
    <w:p>
      <w:pPr>
        <w:jc w:val="both"/>
        <w:ind w:firstLine="436"/>
        <w:spacing w:after="0" w:line="263"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Agreements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83" w:lineRule="exact"/>
        <w:rPr>
          <w:rFonts w:ascii="Arial" w:cs="Arial" w:eastAsia="Arial" w:hAnsi="Arial"/>
          <w:sz w:val="18"/>
          <w:szCs w:val="18"/>
          <w:color w:val="auto"/>
        </w:rPr>
      </w:pPr>
    </w:p>
    <w:p>
      <w:pPr>
        <w:ind w:right="40" w:firstLine="436"/>
        <w:spacing w:after="0" w:line="263"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securities, banking, usury, antifraud, consumer credit, debt collection, privacy, derivatives or commodities laws, rules or regulations, Regulations T, U or X of the Board of Governors of the Federal Reserve System or laws, rules or regulations relating to national security; and</w:t>
      </w:r>
    </w:p>
    <w:p>
      <w:pPr>
        <w:spacing w:after="0" w:line="183" w:lineRule="exact"/>
        <w:rPr>
          <w:rFonts w:ascii="Arial" w:cs="Arial" w:eastAsia="Arial" w:hAnsi="Arial"/>
          <w:sz w:val="18"/>
          <w:szCs w:val="18"/>
          <w:color w:val="auto"/>
        </w:rPr>
      </w:pPr>
    </w:p>
    <w:p>
      <w:pPr>
        <w:ind w:right="440" w:firstLine="436"/>
        <w:spacing w:after="0" w:line="277" w:lineRule="auto"/>
        <w:tabs>
          <w:tab w:leader="none" w:pos="7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assumed that each of the Transaction Agreements constitutes the valid and binding obligation of each party to such Transaction Agreement, enforceable against such party in accordance with its terms.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Opinions</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Based upon and subject to the foregoing and subject to the exceptions, qualifications, and limitations hereinafter set forth, and having regard for legal considerations that we deem relevant, we are of the opinion that:</w:t>
      </w:r>
    </w:p>
    <w:p>
      <w:pPr>
        <w:spacing w:after="0" w:line="62" w:lineRule="exact"/>
        <w:rPr>
          <w:sz w:val="20"/>
          <w:szCs w:val="20"/>
          <w:color w:val="auto"/>
        </w:rPr>
      </w:pPr>
    </w:p>
    <w:p>
      <w:pPr>
        <w:ind w:right="640" w:firstLine="436"/>
        <w:spacing w:after="0" w:line="263"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solely on (i) our review of the Organizational Documents and Assistant Secretary’s Certificate and (ii) our review of the Status Certificate, the Company has legal existence under the MBCA (as defined below) and is in good standing with the office of the Secretary of the Commonwealth.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03" w:name="page104"/>
    <w:bookmarkEnd w:id="103"/>
    <w:p>
      <w:pPr>
        <w:ind w:right="900" w:firstLine="436"/>
        <w:spacing w:after="0" w:line="277"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the corporate power and authority under the MBCA to execute and deliver the Exchange Note Certificates and to consummate the issuance of the Exchange Notes under the MBCA.</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issuance of the Exchange Note Certificates has been duly authorized by all requisite corporate action on the part of the Company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MBCA.</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This opinion letter is based as to matters of law solely on the official statutory compilation of the Massachusetts Business Corporations Act (Massachusetts General Laws Chapter 156D, the “</w:t>
      </w:r>
      <w:r>
        <w:rPr>
          <w:rFonts w:ascii="Arial" w:cs="Arial" w:eastAsia="Arial" w:hAnsi="Arial"/>
          <w:sz w:val="18"/>
          <w:szCs w:val="18"/>
          <w:b w:val="1"/>
          <w:bCs w:val="1"/>
          <w:color w:val="auto"/>
        </w:rPr>
        <w:t>MBCA</w:t>
      </w:r>
      <w:r>
        <w:rPr>
          <w:rFonts w:ascii="Arial" w:cs="Arial" w:eastAsia="Arial" w:hAnsi="Arial"/>
          <w:sz w:val="18"/>
          <w:szCs w:val="18"/>
          <w:color w:val="auto"/>
        </w:rPr>
        <w:t>”). Our review of the MBCA is limited to such provisions as we have deemed appropriate in connection with the opinions expressed herein, and is without regard to judicial interpretations thereof or any regulations thereunder, or any other laws of The Commonwealth of Massachusetts. We have neither examined nor do we express any opinion with respect to any other Massachusetts laws, rules, or regulations.</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Our opinion on each legal issue addressed herein represents our judgment concerning how that issue would be resolved were it to be considered by the highest court of the jurisdiction upon whose law our opinion on that issue is based. The manner in which any particular issue would be treated in any actual court case would depend in part on facts and circumstances particular to the case, and our opinions are not a guaranty of an outcome of any legal dispute which may arise with regard to the Transaction Documents.</w:t>
      </w:r>
    </w:p>
    <w:p>
      <w:pPr>
        <w:spacing w:after="0" w:line="18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opinion letter speaks as of the date hereof. We disclaim any obligation to provide you with any subsequent opinion or advice by reason of any future changes or events which may affect or alter any opinion rendered herein. This opinion letter is limited to the matters stated herein, and no opinion is implied or to be inferred beyond the matters stated herein.</w:t>
      </w:r>
    </w:p>
    <w:p>
      <w:pPr>
        <w:spacing w:after="0" w:line="184"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This opinion letter is being delivered to you and may be relied upon only by you in connection with the Transaction Documents. This opinion letter may not be relied upon by, furnished to, referred to, quoted, in whole or part, by, or filed with, any other person, or used for any other purpose, without our prior written consent.</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reference to our firm under the heading “Legal Matters” in the prospectus forming a part of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Holland &amp; Knight LLP</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HOLLAND &amp; KNIGHT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S-4 of Dell Technologies Inc. of our report dated March 30, 2023 relating to the financial statements and the effectiveness of internal control over financial reporting, which appears in Dell Technologies Inc.’s Annual Report on Form 10-K for the year ended February 3, 2023.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15, 2023</w:t>
      </w:r>
    </w:p>
    <w:p>
      <w:pPr>
        <w:sectPr>
          <w:pgSz w:w="11900" w:h="16838" w:orient="portrait"/>
          <w:cols w:equalWidth="0" w:num="1">
            <w:col w:w="11020"/>
          </w:cols>
          <w:pgMar w:left="440" w:top="121"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right="180" w:hanging="424"/>
        <w:spacing w:after="0" w:line="256" w:lineRule="auto"/>
        <w:tabs>
          <w:tab w:leader="none" w:pos="424" w:val="left"/>
        </w:tabs>
        <w:numPr>
          <w:ilvl w:val="0"/>
          <w:numId w:val="79"/>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214630</wp:posOffset>
            </wp:positionV>
            <wp:extent cx="1474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TRUST COMPANY, N.A.</w:t>
      </w: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584"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95-3571558</w:t>
            </w:r>
          </w:p>
        </w:tc>
      </w:tr>
      <w:tr>
        <w:trPr>
          <w:trHeight w:val="149"/>
        </w:trPr>
        <w:tc>
          <w:tcPr>
            <w:tcW w:w="5860" w:type="dxa"/>
            <w:vAlign w:val="bottom"/>
            <w:gridSpan w:val="3"/>
          </w:tcPr>
          <w:p>
            <w:pPr>
              <w:jc w:val="center"/>
              <w:ind w:right="348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144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8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4"/>
              </w:rPr>
              <w:t>if not a U.S. national bank)</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9"/>
              </w:rPr>
              <w:t>333 South Hope Street</w:t>
            </w:r>
          </w:p>
        </w:tc>
        <w:tc>
          <w:tcPr>
            <w:tcW w:w="1440" w:type="dxa"/>
            <w:vAlign w:val="bottom"/>
          </w:tcPr>
          <w:p>
            <w:pPr>
              <w:spacing w:after="0"/>
              <w:rPr>
                <w:sz w:val="24"/>
                <w:szCs w:val="24"/>
                <w:color w:val="auto"/>
              </w:rPr>
            </w:pPr>
          </w:p>
        </w:tc>
      </w:tr>
      <w:tr>
        <w:trPr>
          <w:trHeight w:val="216"/>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9"/>
              </w:rPr>
              <w:t>Suite 2525</w:t>
            </w:r>
          </w:p>
        </w:tc>
        <w:tc>
          <w:tcPr>
            <w:tcW w:w="1440" w:type="dxa"/>
            <w:vAlign w:val="bottom"/>
          </w:tcPr>
          <w:p>
            <w:pPr>
              <w:spacing w:after="0"/>
              <w:rPr>
                <w:sz w:val="18"/>
                <w:szCs w:val="18"/>
                <w:color w:val="auto"/>
              </w:rPr>
            </w:pPr>
          </w:p>
        </w:tc>
      </w:tr>
      <w:tr>
        <w:trPr>
          <w:trHeight w:val="212"/>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9"/>
              </w:rPr>
              <w:t>Los Angeles, California</w:t>
            </w:r>
          </w:p>
        </w:tc>
        <w:tc>
          <w:tcPr>
            <w:tcW w:w="1440" w:type="dxa"/>
            <w:vAlign w:val="bottom"/>
          </w:tcPr>
          <w:p>
            <w:pPr>
              <w:jc w:val="center"/>
              <w:ind w:left="281"/>
              <w:spacing w:after="0"/>
              <w:rPr>
                <w:sz w:val="20"/>
                <w:szCs w:val="20"/>
                <w:color w:val="auto"/>
              </w:rPr>
            </w:pPr>
            <w:r>
              <w:rPr>
                <w:rFonts w:ascii="Arial" w:cs="Arial" w:eastAsia="Arial" w:hAnsi="Arial"/>
                <w:sz w:val="18"/>
                <w:szCs w:val="18"/>
                <w:b w:val="1"/>
                <w:bCs w:val="1"/>
                <w:color w:val="auto"/>
                <w:w w:val="87"/>
              </w:rPr>
              <w:t>90071</w:t>
            </w:r>
          </w:p>
        </w:tc>
      </w:tr>
      <w:tr>
        <w:trPr>
          <w:trHeight w:val="186"/>
        </w:trPr>
        <w:tc>
          <w:tcPr>
            <w:tcW w:w="58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49"/>
        </w:trPr>
        <w:tc>
          <w:tcPr>
            <w:tcW w:w="27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3"/>
        </w:trPr>
        <w:tc>
          <w:tcPr>
            <w:tcW w:w="5860" w:type="dxa"/>
            <w:vAlign w:val="bottom"/>
            <w:gridSpan w:val="3"/>
          </w:tcPr>
          <w:p>
            <w:pPr>
              <w:jc w:val="center"/>
              <w:ind w:left="1900"/>
              <w:spacing w:after="0"/>
              <w:rPr>
                <w:sz w:val="20"/>
                <w:szCs w:val="20"/>
                <w:color w:val="auto"/>
              </w:rPr>
            </w:pPr>
            <w:r>
              <w:rPr>
                <w:rFonts w:ascii="Arial" w:cs="Arial" w:eastAsia="Arial" w:hAnsi="Arial"/>
                <w:sz w:val="18"/>
                <w:szCs w:val="18"/>
                <w:b w:val="1"/>
                <w:bCs w:val="1"/>
                <w:color w:val="auto"/>
              </w:rPr>
              <w:t>DELL INTERNATIONAL L.L.C.</w:t>
            </w:r>
          </w:p>
        </w:tc>
        <w:tc>
          <w:tcPr>
            <w:tcW w:w="1440" w:type="dxa"/>
            <w:vAlign w:val="bottom"/>
          </w:tcPr>
          <w:p>
            <w:pPr>
              <w:spacing w:after="0"/>
              <w:rPr>
                <w:sz w:val="24"/>
                <w:szCs w:val="24"/>
                <w:color w:val="auto"/>
              </w:rPr>
            </w:pPr>
          </w:p>
        </w:tc>
      </w:tr>
      <w:tr>
        <w:trPr>
          <w:trHeight w:val="186"/>
        </w:trPr>
        <w:tc>
          <w:tcPr>
            <w:tcW w:w="5860" w:type="dxa"/>
            <w:vAlign w:val="bottom"/>
            <w:gridSpan w:val="3"/>
          </w:tcPr>
          <w:p>
            <w:pPr>
              <w:jc w:val="center"/>
              <w:ind w:left="192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440" w:type="dxa"/>
            <w:vAlign w:val="bottom"/>
          </w:tcPr>
          <w:p>
            <w:pPr>
              <w:spacing w:after="0"/>
              <w:rPr>
                <w:sz w:val="16"/>
                <w:szCs w:val="16"/>
                <w:color w:val="auto"/>
              </w:rPr>
            </w:pPr>
          </w:p>
        </w:tc>
      </w:tr>
      <w:tr>
        <w:trPr>
          <w:trHeight w:val="336"/>
        </w:trPr>
        <w:tc>
          <w:tcPr>
            <w:tcW w:w="27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0"/>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81-3562797</w:t>
            </w:r>
          </w:p>
        </w:tc>
      </w:tr>
      <w:tr>
        <w:trPr>
          <w:trHeight w:val="148"/>
        </w:trPr>
        <w:tc>
          <w:tcPr>
            <w:tcW w:w="5860" w:type="dxa"/>
            <w:vAlign w:val="bottom"/>
            <w:gridSpan w:val="3"/>
          </w:tcPr>
          <w:p>
            <w:pPr>
              <w:jc w:val="center"/>
              <w:ind w:right="34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8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3"/>
              </w:rPr>
              <w:t>One Dell Way</w:t>
            </w:r>
          </w:p>
        </w:tc>
        <w:tc>
          <w:tcPr>
            <w:tcW w:w="1440" w:type="dxa"/>
            <w:vAlign w:val="bottom"/>
          </w:tcPr>
          <w:p>
            <w:pPr>
              <w:spacing w:after="0"/>
              <w:rPr>
                <w:sz w:val="24"/>
                <w:szCs w:val="24"/>
                <w:color w:val="auto"/>
              </w:rPr>
            </w:pPr>
          </w:p>
        </w:tc>
      </w:tr>
      <w:tr>
        <w:trPr>
          <w:trHeight w:val="225"/>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8"/>
              </w:rPr>
              <w:t>Round Rock, Texas</w:t>
            </w:r>
          </w:p>
        </w:tc>
        <w:tc>
          <w:tcPr>
            <w:tcW w:w="1440" w:type="dxa"/>
            <w:vAlign w:val="bottom"/>
          </w:tcPr>
          <w:p>
            <w:pPr>
              <w:jc w:val="center"/>
              <w:ind w:left="281"/>
              <w:spacing w:after="0"/>
              <w:rPr>
                <w:sz w:val="20"/>
                <w:szCs w:val="20"/>
                <w:color w:val="auto"/>
              </w:rPr>
            </w:pPr>
            <w:r>
              <w:rPr>
                <w:rFonts w:ascii="Arial" w:cs="Arial" w:eastAsia="Arial" w:hAnsi="Arial"/>
                <w:sz w:val="18"/>
                <w:szCs w:val="18"/>
                <w:b w:val="1"/>
                <w:bCs w:val="1"/>
                <w:color w:val="auto"/>
                <w:w w:val="87"/>
              </w:rPr>
              <w:t>78682</w:t>
            </w:r>
          </w:p>
        </w:tc>
      </w:tr>
      <w:tr>
        <w:trPr>
          <w:trHeight w:val="186"/>
        </w:trPr>
        <w:tc>
          <w:tcPr>
            <w:tcW w:w="58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27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3"/>
        </w:trPr>
        <w:tc>
          <w:tcPr>
            <w:tcW w:w="2760" w:type="dxa"/>
            <w:vAlign w:val="bottom"/>
          </w:tcPr>
          <w:p>
            <w:pPr>
              <w:spacing w:after="0"/>
              <w:rPr>
                <w:sz w:val="24"/>
                <w:szCs w:val="24"/>
                <w:color w:val="auto"/>
              </w:rPr>
            </w:pPr>
          </w:p>
        </w:tc>
        <w:tc>
          <w:tcPr>
            <w:tcW w:w="31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rPr>
              <w:t>EMC CORPORATION</w:t>
            </w:r>
          </w:p>
        </w:tc>
        <w:tc>
          <w:tcPr>
            <w:tcW w:w="1440" w:type="dxa"/>
            <w:vAlign w:val="bottom"/>
          </w:tcPr>
          <w:p>
            <w:pPr>
              <w:spacing w:after="0"/>
              <w:rPr>
                <w:sz w:val="24"/>
                <w:szCs w:val="24"/>
                <w:color w:val="auto"/>
              </w:rPr>
            </w:pPr>
          </w:p>
        </w:tc>
      </w:tr>
      <w:tr>
        <w:trPr>
          <w:trHeight w:val="186"/>
        </w:trPr>
        <w:tc>
          <w:tcPr>
            <w:tcW w:w="5860" w:type="dxa"/>
            <w:vAlign w:val="bottom"/>
            <w:gridSpan w:val="3"/>
          </w:tcPr>
          <w:p>
            <w:pPr>
              <w:jc w:val="center"/>
              <w:ind w:left="192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440" w:type="dxa"/>
            <w:vAlign w:val="bottom"/>
          </w:tcPr>
          <w:p>
            <w:pPr>
              <w:spacing w:after="0"/>
              <w:rPr>
                <w:sz w:val="16"/>
                <w:szCs w:val="16"/>
                <w:color w:val="auto"/>
              </w:rPr>
            </w:pPr>
          </w:p>
        </w:tc>
      </w:tr>
      <w:tr>
        <w:trPr>
          <w:trHeight w:val="349"/>
        </w:trPr>
        <w:tc>
          <w:tcPr>
            <w:tcW w:w="27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57"/>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6"/>
              </w:rPr>
              <w:t>Massachusetts</w:t>
            </w:r>
          </w:p>
        </w:tc>
        <w:tc>
          <w:tcPr>
            <w:tcW w:w="144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04-2680009</w:t>
            </w:r>
          </w:p>
        </w:tc>
      </w:tr>
      <w:tr>
        <w:trPr>
          <w:trHeight w:val="149"/>
        </w:trPr>
        <w:tc>
          <w:tcPr>
            <w:tcW w:w="5860" w:type="dxa"/>
            <w:vAlign w:val="bottom"/>
            <w:gridSpan w:val="3"/>
          </w:tcPr>
          <w:p>
            <w:pPr>
              <w:jc w:val="center"/>
              <w:ind w:right="34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8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0"/>
              </w:rPr>
              <w:t>176 South Street</w:t>
            </w:r>
          </w:p>
        </w:tc>
        <w:tc>
          <w:tcPr>
            <w:tcW w:w="1440" w:type="dxa"/>
            <w:vAlign w:val="bottom"/>
          </w:tcPr>
          <w:p>
            <w:pPr>
              <w:spacing w:after="0"/>
              <w:rPr>
                <w:sz w:val="24"/>
                <w:szCs w:val="24"/>
                <w:color w:val="auto"/>
              </w:rPr>
            </w:pPr>
          </w:p>
        </w:tc>
      </w:tr>
      <w:tr>
        <w:trPr>
          <w:trHeight w:val="212"/>
        </w:trPr>
        <w:tc>
          <w:tcPr>
            <w:tcW w:w="5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9"/>
              </w:rPr>
              <w:t>Hopkinton, Massachusetts</w:t>
            </w:r>
          </w:p>
        </w:tc>
        <w:tc>
          <w:tcPr>
            <w:tcW w:w="1440" w:type="dxa"/>
            <w:vAlign w:val="bottom"/>
          </w:tcPr>
          <w:p>
            <w:pPr>
              <w:jc w:val="center"/>
              <w:ind w:left="281"/>
              <w:spacing w:after="0"/>
              <w:rPr>
                <w:sz w:val="20"/>
                <w:szCs w:val="20"/>
                <w:color w:val="auto"/>
              </w:rPr>
            </w:pPr>
            <w:r>
              <w:rPr>
                <w:rFonts w:ascii="Arial" w:cs="Arial" w:eastAsia="Arial" w:hAnsi="Arial"/>
                <w:sz w:val="18"/>
                <w:szCs w:val="18"/>
                <w:b w:val="1"/>
                <w:bCs w:val="1"/>
                <w:color w:val="auto"/>
                <w:w w:val="87"/>
              </w:rPr>
              <w:t>01748</w:t>
            </w:r>
          </w:p>
        </w:tc>
      </w:tr>
      <w:tr>
        <w:trPr>
          <w:trHeight w:val="186"/>
        </w:trPr>
        <w:tc>
          <w:tcPr>
            <w:tcW w:w="58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63"/>
        </w:trPr>
        <w:tc>
          <w:tcPr>
            <w:tcW w:w="27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3"/>
        </w:trPr>
        <w:tc>
          <w:tcPr>
            <w:tcW w:w="2760" w:type="dxa"/>
            <w:vAlign w:val="bottom"/>
          </w:tcPr>
          <w:p>
            <w:pPr>
              <w:spacing w:after="0"/>
              <w:rPr>
                <w:sz w:val="24"/>
                <w:szCs w:val="24"/>
                <w:color w:val="auto"/>
              </w:rPr>
            </w:pPr>
          </w:p>
        </w:tc>
        <w:tc>
          <w:tcPr>
            <w:tcW w:w="31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2"/>
              </w:rPr>
              <w:t>Dell Inc.</w:t>
            </w:r>
          </w:p>
        </w:tc>
        <w:tc>
          <w:tcPr>
            <w:tcW w:w="1440" w:type="dxa"/>
            <w:vAlign w:val="bottom"/>
          </w:tcPr>
          <w:p>
            <w:pPr>
              <w:spacing w:after="0"/>
              <w:rPr>
                <w:sz w:val="24"/>
                <w:szCs w:val="24"/>
                <w:color w:val="auto"/>
              </w:rPr>
            </w:pPr>
          </w:p>
        </w:tc>
      </w:tr>
      <w:tr>
        <w:trPr>
          <w:trHeight w:val="186"/>
        </w:trPr>
        <w:tc>
          <w:tcPr>
            <w:tcW w:w="5860" w:type="dxa"/>
            <w:vAlign w:val="bottom"/>
            <w:gridSpan w:val="3"/>
          </w:tcPr>
          <w:p>
            <w:pPr>
              <w:jc w:val="center"/>
              <w:ind w:left="19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40" w:type="dxa"/>
            <w:vAlign w:val="bottom"/>
          </w:tcPr>
          <w:p>
            <w:pPr>
              <w:spacing w:after="0"/>
              <w:rPr>
                <w:sz w:val="16"/>
                <w:szCs w:val="16"/>
                <w:color w:val="auto"/>
              </w:rPr>
            </w:pPr>
          </w:p>
        </w:tc>
      </w:tr>
      <w:tr>
        <w:trPr>
          <w:trHeight w:val="336"/>
        </w:trPr>
        <w:tc>
          <w:tcPr>
            <w:tcW w:w="27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024"/>
          </w:cols>
          <w:pgMar w:left="436" w:top="121" w:right="439" w:bottom="352"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91"/>
              </w:rPr>
              <w:t>74-2487834</w:t>
            </w:r>
          </w:p>
        </w:tc>
      </w:tr>
      <w:tr>
        <w:trPr>
          <w:trHeight w:val="148"/>
        </w:trPr>
        <w:tc>
          <w:tcPr>
            <w:tcW w:w="75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right="17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3"/>
              </w:rPr>
              <w:t>One Dell Way</w:t>
            </w:r>
          </w:p>
        </w:tc>
        <w:tc>
          <w:tcPr>
            <w:tcW w:w="3500" w:type="dxa"/>
            <w:vAlign w:val="bottom"/>
          </w:tcPr>
          <w:p>
            <w:pPr>
              <w:spacing w:after="0"/>
              <w:rPr>
                <w:sz w:val="24"/>
                <w:szCs w:val="24"/>
                <w:color w:val="auto"/>
              </w:rPr>
            </w:pPr>
          </w:p>
        </w:tc>
      </w:tr>
      <w:tr>
        <w:trPr>
          <w:trHeight w:val="2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8"/>
              </w:rPr>
              <w:t>Round Rock, Texas</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87"/>
              </w:rPr>
              <w:t>78682</w:t>
            </w:r>
          </w:p>
        </w:tc>
      </w:tr>
      <w:tr>
        <w:trPr>
          <w:trHeight w:val="186"/>
        </w:trPr>
        <w:tc>
          <w:tcPr>
            <w:tcW w:w="75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5"/>
              </w:rPr>
              <w:t>(Zip code)</w:t>
            </w:r>
          </w:p>
        </w:tc>
      </w:tr>
      <w:tr>
        <w:trPr>
          <w:trHeight w:val="349"/>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8"/>
              </w:rPr>
              <w:t>Dell Technologies Inc.</w:t>
            </w:r>
          </w:p>
        </w:tc>
        <w:tc>
          <w:tcPr>
            <w:tcW w:w="3500" w:type="dxa"/>
            <w:vAlign w:val="bottom"/>
          </w:tcPr>
          <w:p>
            <w:pPr>
              <w:spacing w:after="0"/>
              <w:rPr>
                <w:sz w:val="24"/>
                <w:szCs w:val="24"/>
                <w:color w:val="auto"/>
              </w:rPr>
            </w:pPr>
          </w:p>
        </w:tc>
      </w:tr>
      <w:tr>
        <w:trPr>
          <w:trHeight w:val="186"/>
        </w:trPr>
        <w:tc>
          <w:tcPr>
            <w:tcW w:w="7520" w:type="dxa"/>
            <w:vAlign w:val="bottom"/>
            <w:gridSpan w:val="3"/>
          </w:tcPr>
          <w:p>
            <w:pPr>
              <w:jc w:val="center"/>
              <w:ind w:left="341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50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70"/>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91"/>
              </w:rPr>
              <w:t>80-0890963</w:t>
            </w:r>
          </w:p>
        </w:tc>
      </w:tr>
      <w:tr>
        <w:trPr>
          <w:trHeight w:val="148"/>
        </w:trPr>
        <w:tc>
          <w:tcPr>
            <w:tcW w:w="75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right="17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3"/>
              </w:rPr>
              <w:t>One Dell Way</w:t>
            </w:r>
          </w:p>
        </w:tc>
        <w:tc>
          <w:tcPr>
            <w:tcW w:w="3500" w:type="dxa"/>
            <w:vAlign w:val="bottom"/>
          </w:tcPr>
          <w:p>
            <w:pPr>
              <w:spacing w:after="0"/>
              <w:rPr>
                <w:sz w:val="24"/>
                <w:szCs w:val="24"/>
                <w:color w:val="auto"/>
              </w:rPr>
            </w:pPr>
          </w:p>
        </w:tc>
      </w:tr>
      <w:tr>
        <w:trPr>
          <w:trHeight w:val="2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8"/>
              </w:rPr>
              <w:t>Round Rock, Texas</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87"/>
              </w:rPr>
              <w:t>78682</w:t>
            </w:r>
          </w:p>
        </w:tc>
      </w:tr>
      <w:tr>
        <w:trPr>
          <w:trHeight w:val="186"/>
        </w:trPr>
        <w:tc>
          <w:tcPr>
            <w:tcW w:w="75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5"/>
              </w:rPr>
              <w:t>(Zip code)</w:t>
            </w: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3"/>
              </w:rPr>
              <w:t>Denali Intermediate Inc.</w:t>
            </w:r>
          </w:p>
        </w:tc>
        <w:tc>
          <w:tcPr>
            <w:tcW w:w="3500" w:type="dxa"/>
            <w:vAlign w:val="bottom"/>
          </w:tcPr>
          <w:p>
            <w:pPr>
              <w:spacing w:after="0"/>
              <w:rPr>
                <w:sz w:val="24"/>
                <w:szCs w:val="24"/>
                <w:color w:val="auto"/>
              </w:rPr>
            </w:pPr>
          </w:p>
        </w:tc>
      </w:tr>
      <w:tr>
        <w:trPr>
          <w:trHeight w:val="186"/>
        </w:trPr>
        <w:tc>
          <w:tcPr>
            <w:tcW w:w="7520" w:type="dxa"/>
            <w:vAlign w:val="bottom"/>
            <w:gridSpan w:val="3"/>
          </w:tcPr>
          <w:p>
            <w:pPr>
              <w:jc w:val="center"/>
              <w:ind w:left="341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500" w:type="dxa"/>
            <w:vAlign w:val="bottom"/>
          </w:tcPr>
          <w:p>
            <w:pPr>
              <w:spacing w:after="0"/>
              <w:rPr>
                <w:sz w:val="16"/>
                <w:szCs w:val="16"/>
                <w:color w:val="auto"/>
              </w:rPr>
            </w:pP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57"/>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91"/>
              </w:rPr>
              <w:t>38-3897772</w:t>
            </w:r>
          </w:p>
        </w:tc>
      </w:tr>
      <w:tr>
        <w:trPr>
          <w:trHeight w:val="148"/>
        </w:trPr>
        <w:tc>
          <w:tcPr>
            <w:tcW w:w="752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right="17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3"/>
              </w:rPr>
              <w:t>One Dell Way</w:t>
            </w:r>
          </w:p>
        </w:tc>
        <w:tc>
          <w:tcPr>
            <w:tcW w:w="3500" w:type="dxa"/>
            <w:vAlign w:val="bottom"/>
          </w:tcPr>
          <w:p>
            <w:pPr>
              <w:spacing w:after="0"/>
              <w:rPr>
                <w:sz w:val="24"/>
                <w:szCs w:val="24"/>
                <w:color w:val="auto"/>
              </w:rPr>
            </w:pPr>
          </w:p>
        </w:tc>
      </w:tr>
      <w:tr>
        <w:trPr>
          <w:trHeight w:val="212"/>
        </w:trPr>
        <w:tc>
          <w:tcPr>
            <w:tcW w:w="752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8"/>
              </w:rPr>
              <w:t>Round Rock, Texas</w:t>
            </w:r>
          </w:p>
        </w:tc>
        <w:tc>
          <w:tcPr>
            <w:tcW w:w="3500" w:type="dxa"/>
            <w:vAlign w:val="bottom"/>
          </w:tcPr>
          <w:p>
            <w:pPr>
              <w:jc w:val="center"/>
              <w:ind w:right="1781"/>
              <w:spacing w:after="0"/>
              <w:rPr>
                <w:sz w:val="20"/>
                <w:szCs w:val="20"/>
                <w:color w:val="auto"/>
              </w:rPr>
            </w:pPr>
            <w:r>
              <w:rPr>
                <w:rFonts w:ascii="Arial" w:cs="Arial" w:eastAsia="Arial" w:hAnsi="Arial"/>
                <w:sz w:val="18"/>
                <w:szCs w:val="18"/>
                <w:b w:val="1"/>
                <w:bCs w:val="1"/>
                <w:color w:val="auto"/>
                <w:w w:val="87"/>
              </w:rPr>
              <w:t>78682</w:t>
            </w:r>
          </w:p>
        </w:tc>
      </w:tr>
      <w:tr>
        <w:trPr>
          <w:trHeight w:val="186"/>
        </w:trPr>
        <w:tc>
          <w:tcPr>
            <w:tcW w:w="75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right="1781"/>
              <w:spacing w:after="0"/>
              <w:rPr>
                <w:sz w:val="20"/>
                <w:szCs w:val="20"/>
                <w:color w:val="auto"/>
              </w:rPr>
            </w:pPr>
            <w:r>
              <w:rPr>
                <w:rFonts w:ascii="Arial" w:cs="Arial" w:eastAsia="Arial" w:hAnsi="Arial"/>
                <w:sz w:val="14"/>
                <w:szCs w:val="14"/>
                <w:b w:val="1"/>
                <w:bCs w:val="1"/>
                <w:color w:val="auto"/>
                <w:w w:val="95"/>
              </w:rPr>
              <w:t>(Zip code)</w:t>
            </w:r>
          </w:p>
        </w:tc>
      </w:tr>
      <w:tr>
        <w:trPr>
          <w:trHeight w:val="363"/>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07"/>
        </w:trPr>
        <w:tc>
          <w:tcPr>
            <w:tcW w:w="75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90"/>
              </w:rPr>
              <w:t>3.375% Senior Notes due 2041</w:t>
            </w:r>
          </w:p>
        </w:tc>
        <w:tc>
          <w:tcPr>
            <w:tcW w:w="3500" w:type="dxa"/>
            <w:vAlign w:val="bottom"/>
          </w:tcPr>
          <w:p>
            <w:pPr>
              <w:spacing w:after="0"/>
              <w:rPr>
                <w:sz w:val="24"/>
                <w:szCs w:val="24"/>
                <w:color w:val="auto"/>
              </w:rPr>
            </w:pPr>
          </w:p>
        </w:tc>
      </w:tr>
      <w:tr>
        <w:trPr>
          <w:trHeight w:val="216"/>
        </w:trPr>
        <w:tc>
          <w:tcPr>
            <w:tcW w:w="75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90"/>
              </w:rPr>
              <w:t>3.450% Senior Notes due 2051</w:t>
            </w:r>
          </w:p>
        </w:tc>
        <w:tc>
          <w:tcPr>
            <w:tcW w:w="3500" w:type="dxa"/>
            <w:vAlign w:val="bottom"/>
          </w:tcPr>
          <w:p>
            <w:pPr>
              <w:spacing w:after="0"/>
              <w:rPr>
                <w:sz w:val="18"/>
                <w:szCs w:val="18"/>
                <w:color w:val="auto"/>
              </w:rPr>
            </w:pPr>
          </w:p>
        </w:tc>
      </w:tr>
      <w:tr>
        <w:trPr>
          <w:trHeight w:val="216"/>
        </w:trPr>
        <w:tc>
          <w:tcPr>
            <w:tcW w:w="75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89"/>
              </w:rPr>
              <w:t>Guarantees of 3.375% Senior Notes due 2041</w:t>
            </w:r>
          </w:p>
        </w:tc>
        <w:tc>
          <w:tcPr>
            <w:tcW w:w="3500" w:type="dxa"/>
            <w:vAlign w:val="bottom"/>
          </w:tcPr>
          <w:p>
            <w:pPr>
              <w:spacing w:after="0"/>
              <w:rPr>
                <w:sz w:val="18"/>
                <w:szCs w:val="18"/>
                <w:color w:val="auto"/>
              </w:rPr>
            </w:pPr>
          </w:p>
        </w:tc>
      </w:tr>
      <w:tr>
        <w:trPr>
          <w:trHeight w:val="212"/>
        </w:trPr>
        <w:tc>
          <w:tcPr>
            <w:tcW w:w="7520" w:type="dxa"/>
            <w:vAlign w:val="bottom"/>
            <w:gridSpan w:val="3"/>
          </w:tcPr>
          <w:p>
            <w:pPr>
              <w:jc w:val="center"/>
              <w:ind w:left="3418"/>
              <w:spacing w:after="0"/>
              <w:rPr>
                <w:sz w:val="20"/>
                <w:szCs w:val="20"/>
                <w:color w:val="auto"/>
              </w:rPr>
            </w:pPr>
            <w:r>
              <w:rPr>
                <w:rFonts w:ascii="Arial" w:cs="Arial" w:eastAsia="Arial" w:hAnsi="Arial"/>
                <w:sz w:val="18"/>
                <w:szCs w:val="18"/>
                <w:b w:val="1"/>
                <w:bCs w:val="1"/>
                <w:color w:val="auto"/>
                <w:w w:val="89"/>
              </w:rPr>
              <w:t>Guarantees of 3.450% Senior Notes due 2051</w:t>
            </w:r>
          </w:p>
        </w:tc>
        <w:tc>
          <w:tcPr>
            <w:tcW w:w="3500" w:type="dxa"/>
            <w:vAlign w:val="bottom"/>
          </w:tcPr>
          <w:p>
            <w:pPr>
              <w:spacing w:after="0"/>
              <w:rPr>
                <w:sz w:val="18"/>
                <w:szCs w:val="18"/>
                <w:color w:val="auto"/>
              </w:rPr>
            </w:pPr>
          </w:p>
        </w:tc>
      </w:tr>
      <w:tr>
        <w:trPr>
          <w:trHeight w:val="186"/>
        </w:trPr>
        <w:tc>
          <w:tcPr>
            <w:tcW w:w="4340" w:type="dxa"/>
            <w:vAlign w:val="bottom"/>
          </w:tcPr>
          <w:p>
            <w:pPr>
              <w:spacing w:after="0"/>
              <w:rPr>
                <w:sz w:val="16"/>
                <w:szCs w:val="16"/>
                <w:color w:val="auto"/>
              </w:rPr>
            </w:pPr>
          </w:p>
        </w:tc>
        <w:tc>
          <w:tcPr>
            <w:tcW w:w="31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(Title of the indenture securities)</w:t>
            </w:r>
          </w:p>
        </w:tc>
        <w:tc>
          <w:tcPr>
            <w:tcW w:w="350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135" w:right="439" w:bottom="1440" w:gutter="0" w:footer="0" w:header="0"/>
        </w:sectPr>
      </w:pPr>
    </w:p>
    <w:bookmarkStart w:id="107" w:name="page108"/>
    <w:bookmarkEnd w:id="107"/>
    <w:p>
      <w:pPr>
        <w:ind w:left="424" w:hanging="424"/>
        <w:spacing w:after="0"/>
        <w:tabs>
          <w:tab w:leader="none" w:pos="42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44"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380" w:type="dxa"/>
            <w:vAlign w:val="bottom"/>
            <w:tcBorders>
              <w:bottom w:val="single" w:sz="8" w:color="auto"/>
            </w:tcBorders>
          </w:tcPr>
          <w:p>
            <w:pPr>
              <w:ind w:left="2500"/>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5"/>
                <w:szCs w:val="15"/>
                <w:color w:val="auto"/>
              </w:rPr>
            </w:pPr>
          </w:p>
        </w:tc>
        <w:tc>
          <w:tcPr>
            <w:tcW w:w="508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Address</w:t>
            </w:r>
          </w:p>
        </w:tc>
      </w:tr>
      <w:tr>
        <w:trPr>
          <w:trHeight w:val="195"/>
        </w:trPr>
        <w:tc>
          <w:tcPr>
            <w:tcW w:w="2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w w:val="95"/>
              </w:rPr>
              <w:t>Comptroller of the Currency United States Department of the Treasury</w:t>
            </w:r>
          </w:p>
        </w:tc>
        <w:tc>
          <w:tcPr>
            <w:tcW w:w="10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Federal Reserve Bank</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San Francisco, CA 94105</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Washington, DC 20429</w:t>
            </w:r>
          </w:p>
        </w:tc>
      </w:tr>
    </w:tbl>
    <w:p>
      <w:pPr>
        <w:spacing w:after="0" w:line="103" w:lineRule="exact"/>
        <w:rPr>
          <w:sz w:val="20"/>
          <w:szCs w:val="20"/>
          <w:color w:val="auto"/>
        </w:rPr>
      </w:pPr>
    </w:p>
    <w:p>
      <w:pPr>
        <w:ind w:left="964" w:hanging="532"/>
        <w:spacing w:after="0"/>
        <w:tabs>
          <w:tab w:leader="none" w:pos="96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Yes.</w:t>
      </w:r>
    </w:p>
    <w:p>
      <w:pPr>
        <w:spacing w:after="0" w:line="127" w:lineRule="exact"/>
        <w:rPr>
          <w:sz w:val="20"/>
          <w:szCs w:val="20"/>
          <w:color w:val="auto"/>
        </w:rPr>
      </w:pPr>
    </w:p>
    <w:p>
      <w:pPr>
        <w:ind w:left="424" w:hanging="424"/>
        <w:spacing w:after="0"/>
        <w:tabs>
          <w:tab w:leader="none" w:pos="42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44" w:right="5120"/>
        <w:spacing w:after="0" w:line="38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ind w:left="424" w:hanging="424"/>
        <w:spacing w:after="0"/>
        <w:tabs>
          <w:tab w:leader="none" w:pos="42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44" w:right="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71" w:lineRule="exact"/>
        <w:rPr>
          <w:rFonts w:ascii="Arial" w:cs="Arial" w:eastAsia="Arial" w:hAnsi="Arial"/>
          <w:sz w:val="18"/>
          <w:szCs w:val="18"/>
          <w:b w:val="1"/>
          <w:bCs w:val="1"/>
          <w:color w:val="auto"/>
        </w:rPr>
      </w:pPr>
    </w:p>
    <w:p>
      <w:pPr>
        <w:ind w:left="964" w:right="220" w:hanging="532"/>
        <w:spacing w:after="0" w:line="263" w:lineRule="auto"/>
        <w:tabs>
          <w:tab w:leader="none" w:pos="96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9" w:lineRule="exact"/>
        <w:rPr>
          <w:rFonts w:ascii="Arial" w:cs="Arial" w:eastAsia="Arial" w:hAnsi="Arial"/>
          <w:sz w:val="18"/>
          <w:szCs w:val="18"/>
          <w:color w:val="auto"/>
        </w:rPr>
      </w:pPr>
    </w:p>
    <w:p>
      <w:pPr>
        <w:ind w:left="964" w:right="880" w:hanging="532"/>
        <w:spacing w:after="0" w:line="277" w:lineRule="auto"/>
        <w:tabs>
          <w:tab w:leader="none" w:pos="96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copy of certificate of authority of the trustee to commence business. (Exhibit 2 to Form T-1 filed with Registration Statement No.333-121948).</w:t>
      </w:r>
    </w:p>
    <w:p>
      <w:pPr>
        <w:spacing w:after="0" w:line="75" w:lineRule="exact"/>
        <w:rPr>
          <w:rFonts w:ascii="Arial" w:cs="Arial" w:eastAsia="Arial" w:hAnsi="Arial"/>
          <w:sz w:val="18"/>
          <w:szCs w:val="18"/>
          <w:color w:val="auto"/>
        </w:rPr>
      </w:pPr>
    </w:p>
    <w:p>
      <w:pPr>
        <w:ind w:left="964" w:right="500" w:hanging="532"/>
        <w:spacing w:after="0" w:line="277" w:lineRule="auto"/>
        <w:tabs>
          <w:tab w:leader="none" w:pos="96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No.333-152875).</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2"/>
          <w:numId w:val="8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24"/>
          </w:cols>
          <w:pgMar w:left="436" w:top="270" w:right="439" w:bottom="1440" w:gutter="0" w:footer="0" w:header="0"/>
        </w:sectPr>
      </w:pPr>
    </w:p>
    <w:bookmarkStart w:id="108" w:name="page109"/>
    <w:bookmarkEnd w:id="108"/>
    <w:p>
      <w:pPr>
        <w:ind w:left="532" w:hanging="532"/>
        <w:spacing w:after="0"/>
        <w:tabs>
          <w:tab w:leader="none" w:pos="532"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existing by-laws of the trustee (Exhibit 4 to Form T-1 filed with Registration Statement No. 333-229762).</w:t>
      </w:r>
    </w:p>
    <w:p>
      <w:pPr>
        <w:spacing w:after="0" w:line="131" w:lineRule="exact"/>
        <w:rPr>
          <w:sz w:val="20"/>
          <w:szCs w:val="20"/>
          <w:color w:val="auto"/>
        </w:rPr>
      </w:pPr>
    </w:p>
    <w:p>
      <w:pPr>
        <w:ind w:left="532" w:hanging="532"/>
        <w:spacing w:after="0"/>
        <w:tabs>
          <w:tab w:leader="none" w:pos="53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333-152875).</w:t>
      </w:r>
    </w:p>
    <w:p>
      <w:pPr>
        <w:spacing w:after="0" w:line="153" w:lineRule="exact"/>
        <w:rPr>
          <w:rFonts w:ascii="Arial" w:cs="Arial" w:eastAsia="Arial" w:hAnsi="Arial"/>
          <w:sz w:val="16"/>
          <w:szCs w:val="16"/>
          <w:color w:val="auto"/>
        </w:rPr>
      </w:pPr>
    </w:p>
    <w:p>
      <w:pPr>
        <w:ind w:left="532" w:right="380" w:hanging="532"/>
        <w:spacing w:after="0" w:line="277" w:lineRule="auto"/>
        <w:tabs>
          <w:tab w:leader="none" w:pos="5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102" w:lineRule="exact"/>
        <w:rPr>
          <w:rFonts w:ascii="Arial" w:cs="Arial" w:eastAsia="Arial" w:hAnsi="Arial"/>
          <w:sz w:val="18"/>
          <w:szCs w:val="18"/>
          <w:color w:val="auto"/>
        </w:rPr>
      </w:pPr>
    </w:p>
    <w:p>
      <w:pPr>
        <w:ind w:left="5032" w:hanging="106"/>
        <w:spacing w:after="0"/>
        <w:tabs>
          <w:tab w:leader="none" w:pos="50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72"/>
          </w:cols>
          <w:pgMar w:left="868" w:top="274" w:right="459" w:bottom="1440" w:gutter="0" w:footer="0" w:header="0"/>
        </w:sectPr>
      </w:pPr>
    </w:p>
    <w:bookmarkStart w:id="109" w:name="page110"/>
    <w:bookmarkEnd w:id="109"/>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New York, and State of New York, on the 10th day of August, 2023.</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N.A.</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Marie A. Hattinger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Marie A. Hattinger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720"/>
          </w:cols>
          <w:pgMar w:left="440" w:top="274" w:right="7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 333 South Hope Street, Suite 2525, Los Angeles, CA 90071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close of business March 31, 2023,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Dollar amounts</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in thousands</w:t>
            </w:r>
          </w:p>
        </w:tc>
        <w:tc>
          <w:tcPr>
            <w:tcW w:w="0" w:type="dxa"/>
            <w:vAlign w:val="bottom"/>
          </w:tcPr>
          <w:p>
            <w:pPr>
              <w:spacing w:after="0"/>
              <w:rPr>
                <w:sz w:val="1"/>
                <w:szCs w:val="1"/>
                <w:color w:val="auto"/>
              </w:rPr>
            </w:pPr>
          </w:p>
        </w:tc>
      </w:tr>
      <w:tr>
        <w:trPr>
          <w:trHeight w:val="156"/>
        </w:trPr>
        <w:tc>
          <w:tcPr>
            <w:tcW w:w="100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shd w:val="clear" w:color="auto" w:fill="CCEEFF"/>
          </w:tcPr>
          <w:p>
            <w:pPr>
              <w:spacing w:after="0" w:line="20" w:lineRule="exact"/>
              <w:rPr>
                <w:sz w:val="1"/>
                <w:szCs w:val="1"/>
                <w:color w:val="auto"/>
              </w:rPr>
            </w:pPr>
          </w:p>
        </w:tc>
        <w:tc>
          <w:tcPr>
            <w:tcW w:w="9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Noninterest-bearing balances and currency and coin</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Interest-bearing balances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524,227</w:t>
            </w: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Held-to-maturity securities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Available-for-sale debt securities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Federal funds sold in domestic offices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 purchased under agreements to resell</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Loans and lease financing receivables: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Loans and leases held for sale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Loans and leases, held for investment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9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Allowance for loan and lease losses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Loans and leases held for investment, net of allowance</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116,025</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$ 1,514,786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ind w:left="546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1" w:name="page112"/>
    <w:bookmarkEnd w:id="1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Deposits:</w:t>
            </w:r>
          </w:p>
        </w:tc>
        <w:tc>
          <w:tcPr>
            <w:tcW w:w="916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101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 domestic offices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ind w:left="720"/>
              <w:spacing w:after="0"/>
              <w:rPr>
                <w:sz w:val="20"/>
                <w:szCs w:val="20"/>
                <w:color w:val="auto"/>
              </w:rPr>
            </w:pPr>
            <w:r>
              <w:rPr>
                <w:rFonts w:ascii="Arial" w:cs="Arial" w:eastAsia="Arial" w:hAnsi="Arial"/>
                <w:sz w:val="18"/>
                <w:szCs w:val="18"/>
                <w:color w:val="auto"/>
              </w:rPr>
              <w:t>Noninterest-bearing</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Interest-bearing</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Federal funds purchased in domestic offices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tcPr>
          <w:p>
            <w:pPr>
              <w:ind w:left="720"/>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Subordinated notes and debentures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286,970</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288,049</w:t>
            </w: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5"/>
        </w:trPr>
        <w:tc>
          <w:tcPr>
            <w:tcW w:w="10180" w:type="dxa"/>
            <w:vAlign w:val="bottom"/>
            <w:gridSpan w:val="3"/>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325,877</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Not available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899,862</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tcPr>
          <w:p>
            <w:pPr>
              <w:spacing w:after="0"/>
              <w:rPr>
                <w:sz w:val="20"/>
                <w:szCs w:val="20"/>
                <w:color w:val="auto"/>
              </w:rPr>
            </w:pPr>
            <w:r>
              <w:rPr>
                <w:rFonts w:ascii="Arial" w:cs="Arial" w:eastAsia="Arial" w:hAnsi="Arial"/>
                <w:sz w:val="18"/>
                <w:szCs w:val="18"/>
                <w:color w:val="auto"/>
              </w:rPr>
              <w:t>Not available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bank equity capital</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1,226,737</w:t>
            </w:r>
          </w:p>
        </w:tc>
        <w:tc>
          <w:tcPr>
            <w:tcW w:w="40" w:type="dxa"/>
            <w:vAlign w:val="bottom"/>
            <w:shd w:val="clear" w:color="auto" w:fill="CCEEFF"/>
          </w:tcPr>
          <w:p>
            <w:pPr>
              <w:spacing w:after="0"/>
              <w:rPr>
                <w:sz w:val="18"/>
                <w:szCs w:val="18"/>
                <w:color w:val="auto"/>
              </w:rPr>
            </w:pPr>
          </w:p>
        </w:tc>
      </w:tr>
      <w:tr>
        <w:trPr>
          <w:trHeight w:val="216"/>
        </w:trPr>
        <w:tc>
          <w:tcPr>
            <w:tcW w:w="10180" w:type="dxa"/>
            <w:vAlign w:val="bottom"/>
            <w:gridSpan w:val="3"/>
          </w:tcPr>
          <w:p>
            <w:pPr>
              <w:ind w:left="360"/>
              <w:spacing w:after="0"/>
              <w:rPr>
                <w:sz w:val="20"/>
                <w:szCs w:val="20"/>
                <w:color w:val="auto"/>
              </w:rPr>
            </w:pPr>
            <w:r>
              <w:rPr>
                <w:rFonts w:ascii="Arial" w:cs="Arial" w:eastAsia="Arial" w:hAnsi="Arial"/>
                <w:sz w:val="18"/>
                <w:szCs w:val="18"/>
                <w:color w:val="auto"/>
              </w:rPr>
              <w:t>Noncontrolling (minority) interests in consolidated subsidiaries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1,226,737</w:t>
            </w:r>
          </w:p>
        </w:tc>
        <w:tc>
          <w:tcPr>
            <w:tcW w:w="40" w:type="dxa"/>
            <w:vAlign w:val="bottom"/>
            <w:shd w:val="clear" w:color="auto" w:fill="CCEEFF"/>
          </w:tcPr>
          <w:p>
            <w:pPr>
              <w:spacing w:after="0"/>
              <w:rPr>
                <w:sz w:val="18"/>
                <w:szCs w:val="18"/>
                <w:color w:val="auto"/>
              </w:rPr>
            </w:pPr>
          </w:p>
        </w:tc>
      </w:tr>
      <w:tr>
        <w:trPr>
          <w:trHeight w:val="223"/>
        </w:trPr>
        <w:tc>
          <w:tcPr>
            <w:tcW w:w="10180" w:type="dxa"/>
            <w:vAlign w:val="bottom"/>
            <w:gridSpan w:val="3"/>
          </w:tcPr>
          <w:p>
            <w:pPr>
              <w:spacing w:after="0"/>
              <w:rPr>
                <w:sz w:val="20"/>
                <w:szCs w:val="20"/>
                <w:color w:val="auto"/>
              </w:rPr>
            </w:pPr>
            <w:r>
              <w:rPr>
                <w:rFonts w:ascii="Arial" w:cs="Arial" w:eastAsia="Arial" w:hAnsi="Arial"/>
                <w:sz w:val="18"/>
                <w:szCs w:val="18"/>
                <w:color w:val="auto"/>
              </w:rPr>
              <w:t>Total liabilities and equity capital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1,514,786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4" w:lineRule="exact"/>
        <w:rPr>
          <w:sz w:val="20"/>
          <w:szCs w:val="20"/>
          <w:color w:val="auto"/>
        </w:rPr>
      </w:pPr>
    </w:p>
    <w:p>
      <w:pPr>
        <w:ind w:left="440"/>
        <w:spacing w:after="0"/>
        <w:tabs>
          <w:tab w:leader="none" w:pos="2140" w:val="left"/>
          <w:tab w:leader="none" w:pos="2600" w:val="left"/>
        </w:tabs>
        <w:rPr>
          <w:sz w:val="20"/>
          <w:szCs w:val="20"/>
          <w:color w:val="auto"/>
        </w:rPr>
      </w:pPr>
      <w:r>
        <w:rPr>
          <w:rFonts w:ascii="Arial" w:cs="Arial" w:eastAsia="Arial" w:hAnsi="Arial"/>
          <w:sz w:val="18"/>
          <w:szCs w:val="18"/>
          <w:color w:val="auto"/>
        </w:rPr>
        <w:t>Matthew J. McNulty</w:t>
        <w:tab/>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020"/>
          </w:cols>
          <w:pgMar w:left="440" w:top="256" w:right="439" w:bottom="1440" w:gutter="0" w:footer="0" w:header="0"/>
        </w:sect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Antonio I. Portuondo, President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Loretta A. Lundberg, Managing Director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Jon M. Pocchia, Managing Director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3380" w:space="560"/>
            <w:col w:w="60" w:space="160"/>
            <w:col w:w="6860"/>
          </w:cols>
          <w:pgMar w:left="440" w:top="256" w:right="43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20"/>
          </w:cols>
          <w:pgMar w:left="440" w:top="256" w:right="4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DELL INTERNATIONAL L.L.C.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EMC CORPORATION</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LETTER OF TRANSMITTAL</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320"/>
        <w:spacing w:after="0" w:line="266" w:lineRule="auto"/>
        <w:rPr>
          <w:sz w:val="20"/>
          <w:szCs w:val="20"/>
          <w:color w:val="auto"/>
        </w:rPr>
      </w:pPr>
      <w:r>
        <w:rPr>
          <w:rFonts w:ascii="Arial" w:cs="Arial" w:eastAsia="Arial" w:hAnsi="Arial"/>
          <w:sz w:val="18"/>
          <w:szCs w:val="18"/>
          <w:b w:val="1"/>
          <w:bCs w:val="1"/>
          <w:color w:val="auto"/>
        </w:rPr>
        <w:t>UP TO $962,390,000 AGGREGATE PRINCIPAL AMOUNT OF THEIR 3.375% SENIOR NOTES DUE 2041, WHICH HAVE BEEN REGISTERED UNDER THE SECURITIES ACT OF 1933, AS AMENDED, FOR ANY AND ALL OF THEIR OUTSTANDING UNREGISTERED 3.375% SENIOR NOTES DUE 2041</w:t>
      </w:r>
    </w:p>
    <w:p>
      <w:pPr>
        <w:spacing w:after="0" w:line="17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20"/>
        <w:spacing w:after="0" w:line="266" w:lineRule="auto"/>
        <w:rPr>
          <w:sz w:val="20"/>
          <w:szCs w:val="20"/>
          <w:color w:val="auto"/>
        </w:rPr>
      </w:pPr>
      <w:r>
        <w:rPr>
          <w:rFonts w:ascii="Arial" w:cs="Arial" w:eastAsia="Arial" w:hAnsi="Arial"/>
          <w:sz w:val="18"/>
          <w:szCs w:val="18"/>
          <w:b w:val="1"/>
          <w:bCs w:val="1"/>
          <w:color w:val="auto"/>
        </w:rPr>
        <w:t>UP TO $1,094,877,000 AGGREGATE PRINCIPAL AMOUNT OF THEIR 3.450% SENIOR NOTES DUE 2051, WHICH HAVE BEEN REGISTERED UNDER THE SECURITIES ACT OF 1933, AS AMENDED, FOR ANY AND ALL OF THEIR OUTSTANDING UNREGISTERED 3.450% SENIOR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138430</wp:posOffset>
            </wp:positionV>
            <wp:extent cx="6998970" cy="6299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67">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3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THE EXCHANGE OFFER WILL EXPIRE AT 5:00 P.M., NEW YORK CITY</w:t>
      </w:r>
    </w:p>
    <w:p>
      <w:pPr>
        <w:spacing w:after="0" w:line="27" w:lineRule="exact"/>
        <w:rPr>
          <w:sz w:val="20"/>
          <w:szCs w:val="20"/>
          <w:color w:val="auto"/>
        </w:rPr>
      </w:pPr>
    </w:p>
    <w:p>
      <w:pPr>
        <w:ind w:left="2360"/>
        <w:spacing w:after="0"/>
        <w:tabs>
          <w:tab w:leader="none" w:pos="3940" w:val="left"/>
        </w:tabs>
        <w:rPr>
          <w:sz w:val="20"/>
          <w:szCs w:val="20"/>
          <w:color w:val="auto"/>
        </w:rPr>
      </w:pPr>
      <w:r>
        <w:rPr>
          <w:rFonts w:ascii="Arial" w:cs="Arial" w:eastAsia="Arial" w:hAnsi="Arial"/>
          <w:sz w:val="18"/>
          <w:szCs w:val="18"/>
          <w:b w:val="1"/>
          <w:bCs w:val="1"/>
          <w:color w:val="auto"/>
        </w:rPr>
        <w:t>TIME, ON</w:t>
      </w:r>
      <w:r>
        <w:rPr>
          <w:sz w:val="20"/>
          <w:szCs w:val="20"/>
          <w:color w:val="auto"/>
        </w:rPr>
        <w:tab/>
      </w:r>
      <w:r>
        <w:rPr>
          <w:rFonts w:ascii="Arial" w:cs="Arial" w:eastAsia="Arial" w:hAnsi="Arial"/>
          <w:sz w:val="17"/>
          <w:szCs w:val="17"/>
          <w:b w:val="1"/>
          <w:bCs w:val="1"/>
          <w:color w:val="auto"/>
        </w:rPr>
        <w:t>, 2023 (THE “EXPIRATION DATE”), UNLESS THE</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EXCHANGE OFFER IS EXTENDED. TENDERS MAY BE WITHDRAWN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PRIOR TO 5:00 P.M., NEW YORK CITY TIME, ON THE EXPIRATION DATE.</w:t>
      </w:r>
    </w:p>
    <w:p>
      <w:pPr>
        <w:sectPr>
          <w:pgSz w:w="11900" w:h="16838" w:orient="portrait"/>
          <w:cols w:equalWidth="0" w:num="1">
            <w:col w:w="10720"/>
          </w:cols>
          <w:pgMar w:left="740" w:top="121" w:right="4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Exchange Agent for the Exchange Offer 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New York Mellon Trust Company, N.A.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 as Exchange Agent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BNY Mellon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Trust Operations- Reorganization Unit</w:t>
      </w:r>
    </w:p>
    <w:p>
      <w:pPr>
        <w:jc w:val="center"/>
        <w:spacing w:after="0" w:line="181" w:lineRule="auto"/>
        <w:rPr>
          <w:sz w:val="20"/>
          <w:szCs w:val="20"/>
          <w:color w:val="auto"/>
        </w:rPr>
      </w:pPr>
      <w:r>
        <w:rPr>
          <w:rFonts w:ascii="Arial" w:cs="Arial" w:eastAsia="Arial" w:hAnsi="Arial"/>
          <w:sz w:val="18"/>
          <w:szCs w:val="18"/>
          <w:color w:val="auto"/>
        </w:rPr>
        <w:t>2001 Bryan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TX 75201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Tiffany Castor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315-414-3034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732-667-9408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CT_Reorg_Unit_Inquiries@bnymellon.com</w:t>
      </w:r>
    </w:p>
    <w:p>
      <w:pPr>
        <w:spacing w:after="0" w:line="207"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TO A NUMBER OTHER THAN AS SET FORTH ABOVE WILL NOT CONSTITUTE A VALID DELIVERY. THIS LETTER OF TRANSMITTAL, INCLUDING THE ACCOMPANYING INSTRUCTIONS, SHOULD BE READ CAREFULLY BEFORE THIS LETTER OF TRANSMITTAL IS COMPLETED.</w:t>
      </w:r>
    </w:p>
    <w:p>
      <w:pPr>
        <w:spacing w:after="0" w:line="184"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Holders of Outstanding Notes (as defined below) should complete this Letter of Transmittal either if Outstanding Notes are to be forwarded herewith or if tenders of Outstanding Notes are to be made by book-entry transfer to an account maintained by the Exchange Agent at the book-entry transfer facility specified by the holder pursuant to the procedures set forth in “The Exchange Offer—Book-Entry Delivery Procedures” and “The Exchange Offer—Procedures for Tendering Outstanding Notes” in the Prospectus (as defined below) and an Agent’s Message (as defined below) is not delivered. If tender is being made by book-entry transfer, the holder must have an Agent’s Message delivered in lieu of this Letter of Transmittal.</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Holders of Outstanding Notes whose certificates for such Outstanding Notes are not immediately available or who cannot deliver their certificates and all other required documents to the Exchange Agent on or prior to the Expiration Date or who cannot complete the procedures for book-entry transfer on a timely basis, must tender their Outstanding Notes according to the guaranteed delivery procedures set forth in “The Exchange Offer— Guaranteed Delivery Procedures” in the Prospectus.</w:t>
      </w:r>
    </w:p>
    <w:p>
      <w:pPr>
        <w:spacing w:after="0" w:line="18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Unless the context otherwise requires, the term “holder” for purposes of this Letter of Transmittal means any person in whose name Outstanding Notes are registered or any other person who has obtained a properly completed bond power from the registered holder or any person whose Outstanding Notes are held of record by The Depository Trust Company (“DTC”).</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undersigned acknowledges receipt of the Prospectus dated , 2023 (as it may be amended or supplemented from time to time, the “Prospectus”) of Dell International L.L.C., a Delaware limited liability company, and EMC Corporation, a Massachusetts corporation (the “Issuers”), the Issuers’ direct and indirect parent companies, Dell Technologies Inc., a Delaware corporation (“Dell Technologies”), Dell Inc., a Delaware corporation (“Dell”), and Denali Intermediate Inc., a Delaware corporation (“Denali Intermediate” and, together with Dell Technologies and Dell, the “Guarantors”), and this Letter of Transmittal (the “Letter of Transmittal”), which together constitute the Issuers’ offer (the “Exchange Offer”) to exchange (i) an aggregate principal amount of up to $962,390,000 of the Issuers’ 3.375% Senior Notes due 2041 (the “2041 Exchange Notes”) and (ii) an aggregate principal amount of up to $1,094,877,000 of the Issuers’ 3.450% Senior Notes due 2051 (the “2051 Exchange Notes” and, together with the 2041 Exchange Notes, the “Exchange Notes”), which have each been registered under the Securities Act of 1933, as amended (the “Securities Act”), for, respectively, an equal aggregate principal amount of the Issuers’ outstanding unregistered 3.375% Senior Notes due 2041 (the “2041 Outstanding Notes”) and the Issuers’ outstanding unregistered 3.450% Senior Notes due 2051 (the “2051 Outstanding Notes” and, together with the 2041 Outstanding Notes, the “Outstanding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14" w:name="page115"/>
    <w:bookmarkEnd w:id="114"/>
    <w:p>
      <w:pPr>
        <w:ind w:left="4" w:right="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Outstanding Notes are fully and unconditionally guaranteed (the “Outstanding Guarantees”) on a joint and several senior unsecured basis by the Guarantors and the Exchange Notes will be fully and unconditionally guaranteed (the “New Guarantees”) on a joint and several senior unsecured basis by the Guarantors. Upon the terms and subject to the conditions set forth in the Prospectus and this Letter of Transmittal, the Guarantors offer to issue the New Guarantees with respect to the related Exchange Notes issued in the Exchange Offer in exchange for the Outstanding Guarantees of the Outstanding Notes for which such Exchange Notes are issued in the Exchange Offer. Throughout this Letter of Transmittal, unless the context otherwise requires and whether so expressed or not, references to the “Exchange Offer” include the Guarantors’ offer to exchange the New Guarantees for the Outstanding Guarantees, references to the “Exchange Notes” include the related New Guarantees and references to the “Outstanding Notes” include the related Outstanding Guarantees.</w:t>
      </w:r>
    </w:p>
    <w:p>
      <w:pPr>
        <w:spacing w:after="0" w:line="178"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For each Outstanding Note accepted for exchange, the holder of such Outstanding Note will receive a corresponding Exchange Note having a principal amount equal to that of the surrendered Outstanding Note.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Capitalized terms used but not defined herein shall have the same meaning given them in the Prospectus.</w:t>
      </w:r>
    </w:p>
    <w:p>
      <w:pPr>
        <w:spacing w:after="0" w:line="221"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b w:val="1"/>
          <w:bCs w:val="1"/>
          <w:color w:val="auto"/>
        </w:rPr>
        <w:t>YOUR BANK OR BROKER CAN ASSIST YOU IN COMPLETING THIS FORM. THE INSTRUCTIONS INCLUDED WITH THIS LETTER OF TRANSMITTAL MUST BE FOLLOWED. QUESTIONS AND REQUESTS FOR ASSISTANCE OR FOR ADDITIONAL COPIES OF THE PROSPECTUS AND THIS LETTER OF TRANSMITTAL MAY BE DIRECTED TO THE EXCHANGE AGENT, WHOSE ADDRESS AND TELEPHONE NUMBER APPEAR ON THE FRONT PAGE OF THIS LETTER OF TRANSMITTAL.</w:t>
      </w:r>
    </w:p>
    <w:p>
      <w:pPr>
        <w:spacing w:after="0" w:line="184"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The undersigned has completed the appropriate boxes below and signed this Letter of Transmittal to indicate the action that the undersigned desires to take with respect to the Exchange Offer.</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PLEASE READ THE ENTIRE LETTER OF TRANSMITTAL AND THE PROSPECTUS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CAREFULLY BEFORE CHECKING ANY BOX BELOW.</w:t>
      </w:r>
    </w:p>
    <w:p>
      <w:pPr>
        <w:spacing w:after="0" w:line="21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List below the Outstanding Notes to which this Letter of Transmittal relates. If the space provided below is inadequate, the certificate numbers and aggregate principal amounts of Outstanding Notes should be listed on a separate signed schedule affixed hereto.</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All Tendering Holders Complete Box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437630" cy="12433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0">
                      <a:extLst>
                        <a:ext uri="{28A0092B-C50C-407E-A947-70E740481C1C}"/>
                      </a:extLst>
                    </a:blip>
                    <a:srcRect/>
                    <a:stretch>
                      <a:fillRect/>
                    </a:stretch>
                  </pic:blipFill>
                  <pic:spPr bwMode="auto">
                    <a:xfrm>
                      <a:off x="0" y="0"/>
                      <a:ext cx="6437630" cy="1243330"/>
                    </a:xfrm>
                    <a:prstGeom prst="rect">
                      <a:avLst/>
                    </a:prstGeom>
                    <a:noFill/>
                  </pic:spPr>
                </pic:pic>
              </a:graphicData>
            </a:graphic>
          </wp:anchor>
        </w:drawing>
      </w:r>
    </w:p>
    <w:p>
      <w:pPr>
        <w:spacing w:after="0" w:line="300" w:lineRule="exact"/>
        <w:rPr>
          <w:sz w:val="20"/>
          <w:szCs w:val="20"/>
          <w:color w:val="auto"/>
        </w:rPr>
      </w:pPr>
    </w:p>
    <w:p>
      <w:pPr>
        <w:jc w:val="center"/>
        <w:ind w:right="876"/>
        <w:spacing w:after="0"/>
        <w:rPr>
          <w:sz w:val="20"/>
          <w:szCs w:val="20"/>
          <w:color w:val="auto"/>
        </w:rPr>
      </w:pPr>
      <w:r>
        <w:rPr>
          <w:rFonts w:ascii="Arial" w:cs="Arial" w:eastAsia="Arial" w:hAnsi="Arial"/>
          <w:sz w:val="18"/>
          <w:szCs w:val="18"/>
          <w:b w:val="1"/>
          <w:bCs w:val="1"/>
          <w:color w:val="auto"/>
        </w:rPr>
        <w:t>Box 1</w:t>
      </w:r>
    </w:p>
    <w:p>
      <w:pPr>
        <w:spacing w:after="0" w:line="27" w:lineRule="exact"/>
        <w:rPr>
          <w:sz w:val="20"/>
          <w:szCs w:val="20"/>
          <w:color w:val="auto"/>
        </w:rPr>
      </w:pPr>
    </w:p>
    <w:p>
      <w:pPr>
        <w:jc w:val="center"/>
        <w:ind w:right="876"/>
        <w:spacing w:after="0"/>
        <w:rPr>
          <w:sz w:val="20"/>
          <w:szCs w:val="20"/>
          <w:color w:val="auto"/>
        </w:rPr>
      </w:pPr>
      <w:r>
        <w:rPr>
          <w:rFonts w:ascii="Arial" w:cs="Arial" w:eastAsia="Arial" w:hAnsi="Arial"/>
          <w:sz w:val="18"/>
          <w:szCs w:val="18"/>
          <w:b w:val="1"/>
          <w:bCs w:val="1"/>
          <w:color w:val="auto"/>
        </w:rPr>
        <w:t>Description of Outstanding Notes Tendered Herewith*</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39"/>
        </w:trPr>
        <w:tc>
          <w:tcPr>
            <w:tcW w:w="39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Aggregate</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Certificate or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520" w:type="dxa"/>
            <w:vAlign w:val="bottom"/>
            <w:vMerge w:val="restart"/>
          </w:tcPr>
          <w:p>
            <w:pPr>
              <w:jc w:val="center"/>
              <w:ind w:left="1164"/>
              <w:spacing w:after="0"/>
              <w:rPr>
                <w:sz w:val="20"/>
                <w:szCs w:val="20"/>
                <w:color w:val="auto"/>
              </w:rPr>
            </w:pPr>
            <w:r>
              <w:rPr>
                <w:rFonts w:ascii="Arial" w:cs="Arial" w:eastAsia="Arial" w:hAnsi="Arial"/>
                <w:sz w:val="14"/>
                <w:szCs w:val="14"/>
                <w:b w:val="1"/>
                <w:bCs w:val="1"/>
                <w:color w:val="auto"/>
                <w:w w:val="87"/>
              </w:rPr>
              <w:t>Series of</w:t>
            </w:r>
          </w:p>
        </w:tc>
        <w:tc>
          <w:tcPr>
            <w:tcW w:w="1300" w:type="dxa"/>
            <w:vAlign w:val="bottom"/>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3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Name(s) and Address(es) of Registered Holder(s)</w:t>
            </w:r>
          </w:p>
        </w:tc>
        <w:tc>
          <w:tcPr>
            <w:tcW w:w="252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Represented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920" w:type="dxa"/>
            <w:vAlign w:val="bottom"/>
            <w:vMerge w:val="continue"/>
          </w:tcPr>
          <w:p>
            <w:pPr>
              <w:spacing w:after="0"/>
              <w:rPr>
                <w:sz w:val="12"/>
                <w:szCs w:val="12"/>
                <w:color w:val="auto"/>
              </w:rPr>
            </w:pPr>
          </w:p>
        </w:tc>
        <w:tc>
          <w:tcPr>
            <w:tcW w:w="2520" w:type="dxa"/>
            <w:vAlign w:val="bottom"/>
          </w:tcPr>
          <w:p>
            <w:pPr>
              <w:jc w:val="center"/>
              <w:ind w:left="116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Number(s)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by</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149"/>
        </w:trPr>
        <w:tc>
          <w:tcPr>
            <w:tcW w:w="39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(Please fill in, if blank,</w:t>
            </w:r>
          </w:p>
        </w:tc>
        <w:tc>
          <w:tcPr>
            <w:tcW w:w="2520" w:type="dxa"/>
            <w:vAlign w:val="bottom"/>
          </w:tcPr>
          <w:p>
            <w:pPr>
              <w:jc w:val="center"/>
              <w:ind w:left="1164"/>
              <w:spacing w:after="0" w:line="149" w:lineRule="exact"/>
              <w:rPr>
                <w:sz w:val="20"/>
                <w:szCs w:val="20"/>
                <w:color w:val="auto"/>
              </w:rPr>
            </w:pPr>
            <w:r>
              <w:rPr>
                <w:rFonts w:ascii="Arial" w:cs="Arial" w:eastAsia="Arial" w:hAnsi="Arial"/>
                <w:sz w:val="14"/>
                <w:szCs w:val="14"/>
                <w:b w:val="1"/>
                <w:bCs w:val="1"/>
                <w:color w:val="auto"/>
                <w:w w:val="88"/>
              </w:rPr>
              <w:t>Notes Being</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Being</w:t>
            </w:r>
          </w:p>
        </w:tc>
        <w:tc>
          <w:tcPr>
            <w:tcW w:w="0" w:type="dxa"/>
            <w:vAlign w:val="bottom"/>
          </w:tcPr>
          <w:p>
            <w:pPr>
              <w:spacing w:after="0"/>
              <w:rPr>
                <w:sz w:val="1"/>
                <w:szCs w:val="1"/>
                <w:color w:val="auto"/>
              </w:rPr>
            </w:pPr>
          </w:p>
        </w:tc>
      </w:tr>
      <w:tr>
        <w:trPr>
          <w:trHeight w:val="185"/>
        </w:trPr>
        <w:tc>
          <w:tcPr>
            <w:tcW w:w="3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exactly as name(s) appear(s) on Certificate(s))</w:t>
            </w:r>
          </w:p>
        </w:tc>
        <w:tc>
          <w:tcPr>
            <w:tcW w:w="2520" w:type="dxa"/>
            <w:vAlign w:val="bottom"/>
            <w:tcBorders>
              <w:bottom w:val="single" w:sz="8" w:color="auto"/>
            </w:tcBorders>
          </w:tcPr>
          <w:p>
            <w:pPr>
              <w:jc w:val="center"/>
              <w:ind w:left="1164"/>
              <w:spacing w:after="0"/>
              <w:rPr>
                <w:sz w:val="20"/>
                <w:szCs w:val="20"/>
                <w:color w:val="auto"/>
              </w:rPr>
            </w:pPr>
            <w:r>
              <w:rPr>
                <w:rFonts w:ascii="Arial" w:cs="Arial" w:eastAsia="Arial" w:hAnsi="Arial"/>
                <w:sz w:val="14"/>
                <w:szCs w:val="14"/>
                <w:b w:val="1"/>
                <w:bCs w:val="1"/>
                <w:color w:val="auto"/>
                <w:w w:val="88"/>
              </w:rPr>
              <w:t>Tendered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Tendered***</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2520" w:type="dxa"/>
            <w:vAlign w:val="bottom"/>
          </w:tcPr>
          <w:p>
            <w:pPr>
              <w:ind w:left="78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4" w:right="420" w:hanging="424"/>
        <w:spacing w:after="0" w:line="258"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space provided is inadequate, list the certificate numbers and principal amount of Outstanding Notes on a separate signed schedule and attach the list to this Letter of Transmittal.</w:t>
      </w:r>
    </w:p>
    <w:p>
      <w:pPr>
        <w:spacing w:after="0" w:line="1" w:lineRule="exact"/>
        <w:rPr>
          <w:sz w:val="20"/>
          <w:szCs w:val="20"/>
          <w:color w:val="auto"/>
        </w:rPr>
      </w:pPr>
    </w:p>
    <w:p>
      <w:pPr>
        <w:ind w:left="424" w:hanging="424"/>
        <w:spacing w:after="0"/>
        <w:tabs>
          <w:tab w:leader="none" w:pos="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Need not be completed by book-entry holders.</w:t>
      </w:r>
    </w:p>
    <w:p>
      <w:pPr>
        <w:spacing w:after="0" w:line="9" w:lineRule="exact"/>
        <w:rPr>
          <w:rFonts w:ascii="Arial" w:cs="Arial" w:eastAsia="Arial" w:hAnsi="Arial"/>
          <w:sz w:val="18"/>
          <w:szCs w:val="18"/>
          <w:color w:val="auto"/>
        </w:rPr>
      </w:pPr>
    </w:p>
    <w:p>
      <w:pPr>
        <w:ind w:left="424" w:right="80" w:hanging="424"/>
        <w:spacing w:after="0" w:line="255"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minimum permitted tender is $2,000 in principal amount. All tenders must be in minimum denominations of $2,000 and integral multiples of $1,000 in excess thereof in principal amount. Unless otherwise indicated in this column, the holder will be deemed to have tendered the full aggregate principal amount represented by such Outstanding Notes. See Instruction 2.</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15" w:name="page116"/>
    <w:bookmarkEnd w:id="115"/>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465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71">
                      <a:extLst>
                        <a:ext uri="{28A0092B-C50C-407E-A947-70E740481C1C}"/>
                      </a:extLst>
                    </a:blip>
                    <a:srcRect/>
                    <a:stretch>
                      <a:fillRect/>
                    </a:stretch>
                  </pic:blipFill>
                  <pic:spPr bwMode="auto">
                    <a:xfrm>
                      <a:off x="0" y="0"/>
                      <a:ext cx="7174865" cy="1465580"/>
                    </a:xfrm>
                    <a:prstGeom prst="rect">
                      <a:avLst/>
                    </a:prstGeom>
                    <a:noFill/>
                  </pic:spPr>
                </pic:pic>
              </a:graphicData>
            </a:graphic>
          </wp:anchor>
        </w:drawing>
        <w:t>Box 2</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Book-Entry Transfer</w:t>
      </w:r>
    </w:p>
    <w:p>
      <w:pPr>
        <w:spacing w:after="0" w:line="45" w:lineRule="exact"/>
        <w:rPr>
          <w:sz w:val="20"/>
          <w:szCs w:val="20"/>
          <w:color w:val="auto"/>
        </w:rPr>
      </w:pPr>
    </w:p>
    <w:p>
      <w:pPr>
        <w:ind w:left="520" w:right="1020" w:hanging="359"/>
        <w:spacing w:after="0" w:line="245"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CHECK HERE IF TENDERED OUTSTANDING NOTES ARE BEING DELIVERED BY BOOK-ENTRY TRANSFER MADE TO THE ACCOUNT MAINTAINED BY THE EXCHANGE AGENT AND COMPLETE THE FOLLOWING:</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of Tendering Institution:</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 Number:</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Transaction Code Number:</w:t>
      </w:r>
    </w:p>
    <w:p>
      <w:pPr>
        <w:spacing w:after="0" w:line="333"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Holders of Outstanding Notes that are tendering by book-entry transfer to the Exchange Agent’s account at DTC can execute the tender through DTC’s Automated Tender Offer Program (“ATOP”) for which the transaction will be eligible. DTC participants that are accepting the Exchange Offer must transmit their acceptances to DTC, which will verify the acceptance and execute a book-entry delivery to the Exchange Agent’s account at DTC. DTC will then send a computer-generated message (an “Agent’s Message”) to the Exchange Agent for its acceptance in which the holder of the Outstanding Notes acknowledges and agrees to be bound by the terms of, and makes the representations and warranties contained in, this Letter of Transmittal, and the DTC participant confirms on behalf of itself and the beneficial owners of such Outstanding Notes all provisions of this Letter of Transmittal (including any representations and warranties) applicable to it and such beneficial owner as fully as if it had completed the information required herein and executed and transmitted this Letter of Transmittal to the Exchange Agent. Each DTC participant transmitting an acceptance of the Exchange Offer with respect to a series of Outstanding Notes through the ATOP procedures will be deemed to have agreed to be bound by the terms of this Letter of Transmittal. Delivery of an Agent’s Message by DTC will satisfy the terms of the Exchange Offer with respect to such series of Outstanding Notes as to execution and delivery of a Letter of Transmittal by the participant identified in the Agent’s Message. DTC participants may also accept the Exchange Offer by submitting a Notice of Guaranteed Delivery through ATOP.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6437630" cy="2211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72">
                      <a:extLst>
                        <a:ext uri="{28A0092B-C50C-407E-A947-70E740481C1C}"/>
                      </a:extLst>
                    </a:blip>
                    <a:srcRect/>
                    <a:stretch>
                      <a:fillRect/>
                    </a:stretch>
                  </pic:blipFill>
                  <pic:spPr bwMode="auto">
                    <a:xfrm>
                      <a:off x="0" y="0"/>
                      <a:ext cx="6437630" cy="2211705"/>
                    </a:xfrm>
                    <a:prstGeom prst="rect">
                      <a:avLst/>
                    </a:prstGeom>
                    <a:noFill/>
                  </pic:spPr>
                </pic:pic>
              </a:graphicData>
            </a:graphic>
          </wp:anchor>
        </w:drawing>
      </w:r>
    </w:p>
    <w:p>
      <w:pPr>
        <w:spacing w:after="0" w:line="238"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Box 3</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Notice of Guaranteed Delivery</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(See Instruction 1 below)</w:t>
      </w:r>
    </w:p>
    <w:p>
      <w:pPr>
        <w:spacing w:after="0" w:line="72" w:lineRule="exact"/>
        <w:rPr>
          <w:sz w:val="20"/>
          <w:szCs w:val="20"/>
          <w:color w:val="auto"/>
        </w:rPr>
      </w:pPr>
    </w:p>
    <w:p>
      <w:pPr>
        <w:ind w:left="520" w:right="1180" w:hanging="359"/>
        <w:spacing w:after="0" w:line="24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CHECK HERE IF TENDERED OUTSTANDING NOTES ARE BEING DELIVERED PURSUANT TO A NOTICE OF GUARANTEED DELIVERY PREVIOUSLY SENT TO THE EXCHANGE AGENT AND COMPLETE THE FOLLOWING:</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Name(s) of Registered Holder(s):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Description of Outstanding Notes being delivered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pursuant to a Notice of Guaranteed Delivery:</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Window Ticket Number (if any):</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of Eligible Guarantor Institution that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Guaranteed Delivery:</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of Execution of Notice of Guaranteed Delivery:</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440" w:top="337" w:right="599" w:bottom="1440" w:gutter="0" w:footer="0" w:header="0"/>
        </w:sectPr>
      </w:pPr>
    </w:p>
    <w:bookmarkStart w:id="116" w:name="page117"/>
    <w:bookmarkEnd w:id="116"/>
    <w:p>
      <w:pPr>
        <w:ind w:lef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972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73">
                      <a:extLst>
                        <a:ext uri="{28A0092B-C50C-407E-A947-70E740481C1C}"/>
                      </a:extLst>
                    </a:blip>
                    <a:srcRect/>
                    <a:stretch>
                      <a:fillRect/>
                    </a:stretch>
                  </pic:blipFill>
                  <pic:spPr bwMode="auto">
                    <a:xfrm>
                      <a:off x="0" y="0"/>
                      <a:ext cx="7174865" cy="1097280"/>
                    </a:xfrm>
                    <a:prstGeom prst="rect">
                      <a:avLst/>
                    </a:prstGeom>
                    <a:noFill/>
                  </pic:spPr>
                </pic:pic>
              </a:graphicData>
            </a:graphic>
          </wp:anchor>
        </w:drawing>
        <w:t>IF GUARANTEED DELIVERY IS TO BE MADE BY BOOK-ENTRY TRANSFER:</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of Tendering</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Institution:</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 Number:</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6437630" cy="857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74">
                      <a:extLst>
                        <a:ext uri="{28A0092B-C50C-407E-A947-70E740481C1C}"/>
                      </a:extLst>
                    </a:blip>
                    <a:srcRect/>
                    <a:stretch>
                      <a:fillRect/>
                    </a:stretch>
                  </pic:blipFill>
                  <pic:spPr bwMode="auto">
                    <a:xfrm>
                      <a:off x="0" y="0"/>
                      <a:ext cx="6437630" cy="857250"/>
                    </a:xfrm>
                    <a:prstGeom prst="rect">
                      <a:avLst/>
                    </a:prstGeom>
                    <a:noFill/>
                  </pic:spPr>
                </pic:pic>
              </a:graphicData>
            </a:graphic>
          </wp:anchor>
        </w:drawing>
      </w:r>
    </w:p>
    <w:p>
      <w:pPr>
        <w:spacing w:after="0" w:line="33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Box 4</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Return of Non-Exchanged Outstanding Notes</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Tendered by Book-Entry Transfer</w:t>
      </w:r>
    </w:p>
    <w:p>
      <w:pPr>
        <w:spacing w:after="0" w:line="72" w:lineRule="exact"/>
        <w:rPr>
          <w:sz w:val="20"/>
          <w:szCs w:val="20"/>
          <w:color w:val="auto"/>
        </w:rPr>
      </w:pPr>
    </w:p>
    <w:p>
      <w:pPr>
        <w:ind w:left="520" w:right="1440" w:hanging="359"/>
        <w:spacing w:after="0" w:line="24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CHECK HERE IF OUTSTANDING NOTES TENDERED BY BOOK-ENTRY TRANSFER AND NON-EXCHANGED OUTSTANDING NOTES ARE TO BE RETURNED BY CREDITING THE ACCOUNT NUMBER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6437630" cy="12172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75">
                      <a:extLst>
                        <a:ext uri="{28A0092B-C50C-407E-A947-70E740481C1C}"/>
                      </a:extLst>
                    </a:blip>
                    <a:srcRect/>
                    <a:stretch>
                      <a:fillRect/>
                    </a:stretch>
                  </pic:blipFill>
                  <pic:spPr bwMode="auto">
                    <a:xfrm>
                      <a:off x="0" y="0"/>
                      <a:ext cx="6437630" cy="1217295"/>
                    </a:xfrm>
                    <a:prstGeom prst="rect">
                      <a:avLst/>
                    </a:prstGeom>
                    <a:noFill/>
                  </pic:spPr>
                </pic:pic>
              </a:graphicData>
            </a:graphic>
          </wp:anchor>
        </w:drawing>
      </w:r>
    </w:p>
    <w:p>
      <w:pPr>
        <w:spacing w:after="0" w:line="35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Box 5</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Participating Broker-Dealer</w:t>
      </w:r>
    </w:p>
    <w:p>
      <w:pPr>
        <w:spacing w:after="0" w:line="72" w:lineRule="exact"/>
        <w:rPr>
          <w:sz w:val="20"/>
          <w:szCs w:val="20"/>
          <w:color w:val="auto"/>
        </w:rPr>
      </w:pPr>
    </w:p>
    <w:p>
      <w:pPr>
        <w:jc w:val="both"/>
        <w:ind w:left="520" w:right="1300" w:hanging="359"/>
        <w:spacing w:after="0" w:line="23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CHECK HERE IF YOU ARE A BROKER-DEALER WHO ACQUIRED THE OUTSTANDING NOTES FOR YOUR OWN ACCOUNT AS A RESULT OF MARKET-MAKING OR OTHER TRADING ACTIVITIES AND WISH TO RECEIVE TEN (10) ADDITIONAL COPIES OF THE PROSPECTUS AND OF ANY AMENDMENTS OR SUPPLEMENTS THERETO.</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Address:</w:t>
      </w:r>
    </w:p>
    <w:p>
      <w:pPr>
        <w:spacing w:after="0" w:line="333"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If the undersigned is not a broker-dealer, the undersigned represents that it is acquiring the Exchange Notes in the ordinary course of its business, it is not engaged in and does not intend to engage in, and has no arrangement or understanding with any person to participate in a distribution of the Exchange Notes. If the undersigned is a broker-dealer that will receive Exchange Notes for its own account in exchange for Outstanding Notes, it represents that the Outstanding Notes to be exchanged for the Exchanged Notes were acquired by it as a result of market-making activities or other trading activities and it acknowledges that it will deliver a prospectus meeting the requirements of the Securities Act in connection with any resale or transfer of such Exchange Notes; however, by so acknowledging and by delivering a prospectus, the undersigned will not be deemed to admit that it is an “underwriter” within the meaning of the Securities Act. A broker-dealer may not participate in the Exchange Offer with respect to Outstanding Notes acquired other than as a result of market-making activities or other trading activities. Any broker-dealer who purchased Outstanding Notes from the Issuers to resell pursuant to Rule 144A under the Securities Act or any other available exemption under the Securities Act must comply with the registration and prospectus delivery requirements under the Securities 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382" w:right="49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READ THE ACCOMPANYING INSTRUCTIONS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Upon the terms and subject to the conditions of the Exchange Offer, the undersigned hereby tenders to the Issuers the aggregate principal amount of the Outstanding Notes indicated above. Subject to, and effective upon, the acceptance for exchange of all or any portion of the Outstanding Notes tendered herewith in accordance with the terms and conditions of the Exchange Offer (including, if the Exchange Offer is extended or amended, the terms and conditions of any such extension or amendment), the undersigned hereby exchanges, assigns and transfers to, or upon the order of, the Issuers all right, title and interest in and to such Outstanding Notes as are being tendered herewith.</w:t>
      </w:r>
    </w:p>
    <w:p>
      <w:pPr>
        <w:spacing w:after="0" w:line="176"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The undersigned hereby irrevocably constitutes and appoints the Exchange Agent as its true and lawful agent and attorney-in-fact of the undersigned (with full knowledge that the Exchange Agent also acts as the agent of the Issuers, in connection with the Exchange Offer) with respect to the tendered Outstanding Notes, with full power of substitution and resubstitution (such power of attorney being deemed an irrevocable power coupled with an interest) to (1) deliver certificates representing such Outstanding Notes, or transfer ownership of such Outstanding Notes on the account books maintained by the book-entry transfer facility specified by the holder(s) of the Outstanding Notes, together, in each such case, with all accompanying evidences of transfer and authenticity to, or upon the order of, the Issuers, (2) present and deliver such Outstanding Notes for transfer on the books of the Issuers, (3) receive all benefits or otherwise exercise all rights and incidents of beneficial ownership of such Outstanding Notes and (4) otherwise cause the Outstanding Notes to be assigned, transferred and exchanged, all in accordance with the terms of the Exchange Offer.</w:t>
      </w:r>
    </w:p>
    <w:p>
      <w:pPr>
        <w:spacing w:after="0" w:line="16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The undersigned hereby represents and warrants that (a) the undersigned has full power and authority to tender, exchange, assign and transfer the Outstanding Notes tendered hereby, (b) when such tendered Outstanding Notes are accepted for exchange, the Issuers will acquire good and unencumbered title thereto, free and clear of all liens, restrictions, charges and encumbrances and (c) the Outstanding Notes tendered for exchange are not subject to any adverse claims or proxies when the same are accepted by the Issuers. The undersigned hereby further represents that any Exchange Notes acquired in exchange for Outstanding Notes tendered hereby will have been acquired in the ordinary course of business of the person receiving such Exchange Notes, whether or not such person is the undersigned, that neither the holder of such Outstanding Notes nor any such other person is engaged in, or intends to engage in, a distribution of such Exchange Notes within the meaning of the Securities Act, or has an arrangement or understanding with any person to participate in the distribution of such Exchange Notes, and that neither the holder of such Outstanding Notes nor any such other person is an “affiliate,” as such term is defined in Rule 405 under the Securities Act, of the Issuers or any Guarantor.</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The undersigned also acknowledges that the Exchange Offer is being made based on the Issuers’ understanding of an interpretation by the staff of the Securities and Exchange Commission (the “SEC”) as set forth in no-action letters issued to third parties, including </w:t>
      </w:r>
      <w:r>
        <w:rPr>
          <w:rFonts w:ascii="Arial" w:cs="Arial" w:eastAsia="Arial" w:hAnsi="Arial"/>
          <w:sz w:val="17"/>
          <w:szCs w:val="17"/>
          <w:i w:val="1"/>
          <w:iCs w:val="1"/>
          <w:color w:val="auto"/>
        </w:rPr>
        <w:t>Morgan Stanley &amp; Co., Inc.</w:t>
      </w:r>
      <w:r>
        <w:rPr>
          <w:rFonts w:ascii="Arial" w:cs="Arial" w:eastAsia="Arial" w:hAnsi="Arial"/>
          <w:sz w:val="17"/>
          <w:szCs w:val="17"/>
          <w:color w:val="auto"/>
        </w:rPr>
        <w:t xml:space="preserve"> (available June 5, 1991), </w:t>
      </w:r>
      <w:r>
        <w:rPr>
          <w:rFonts w:ascii="Arial" w:cs="Arial" w:eastAsia="Arial" w:hAnsi="Arial"/>
          <w:sz w:val="17"/>
          <w:szCs w:val="17"/>
          <w:i w:val="1"/>
          <w:iCs w:val="1"/>
          <w:color w:val="auto"/>
        </w:rPr>
        <w:t>Exxon Capital Holdings Corp.</w:t>
      </w:r>
      <w:r>
        <w:rPr>
          <w:rFonts w:ascii="Arial" w:cs="Arial" w:eastAsia="Arial" w:hAnsi="Arial"/>
          <w:sz w:val="17"/>
          <w:szCs w:val="17"/>
          <w:color w:val="auto"/>
        </w:rPr>
        <w:t xml:space="preserve"> (available May 13, 1988), as interpreted in the SEC’s letter to </w:t>
      </w:r>
      <w:r>
        <w:rPr>
          <w:rFonts w:ascii="Arial" w:cs="Arial" w:eastAsia="Arial" w:hAnsi="Arial"/>
          <w:sz w:val="17"/>
          <w:szCs w:val="17"/>
          <w:i w:val="1"/>
          <w:iCs w:val="1"/>
          <w:color w:val="auto"/>
        </w:rPr>
        <w:t>Shearman &amp; Sterling</w:t>
      </w:r>
      <w:r>
        <w:rPr>
          <w:rFonts w:ascii="Arial" w:cs="Arial" w:eastAsia="Arial" w:hAnsi="Arial"/>
          <w:sz w:val="17"/>
          <w:szCs w:val="17"/>
          <w:color w:val="auto"/>
        </w:rPr>
        <w:t xml:space="preserve"> (available July 2, 1993), or similar no-action letters, that the Exchange Notes issued in exchange for the Outstanding Notes pursuant to the Exchange Offer may be offered for resale, resold and otherwise transferred by each holder thereof (other than a broker-dealer who acquires such Exchange Notes directly from the Issuers for resale pursuant to Rule 144A under the Securities Act or any other available exemption under the Securities Act or any such holder that is an “affiliate” of the Issuers or the Guarantors within the meaning of Rule 405 under the Securities Act), without compliance with the registration and prospectus delivery provisions of the Securities Act, provided that such Exchange Notes are acquired in the ordinary course of such holder’s business and such holder is not engaged in, and does not intend to engage in, a distribution of such Exchange Notes and has no arrangement or understanding with any person to participate in the distribution of such Exchange Notes. If a holder of the Outstanding Notes is an affiliate of the Issuers or the Guarantors, is not acquiring the Exchange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18" w:name="page119"/>
    <w:bookmarkEnd w:id="11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in the ordinary course of its business, is engaged in or intends to engage in a distribution of the Exchange Notes or has any arrangement or understanding with respect to the distribution of the Exchange Notes to be acquired pursuant to the Exchange Offer, such holder (x) may not rely on the applicable interpretations of the staff of the SEC and (y) must comply with the registration and prospectus delivery requirements of the Securities Act in connection with any secondary resale transaction. If the undersigned is a broker-dealer that will receive the Exchange Notes for its own account in exchange for the Outstanding Notes, it represents that the Outstanding Notes to be exchanged for the Exchange Notes were acquired by it as a result of market-making activities or other trading activities and acknowledges that it will deliver a prospectus meeting the requirements of the Securities Act in connection with any resale or transfer of such Exchange Notes; however, by so acknowledging and by delivering a prospectus, the undersigned will not be deemed to admit that it is an “underwriter” within the meaning of the Securities Act.</w:t>
      </w:r>
    </w:p>
    <w:p>
      <w:pPr>
        <w:spacing w:after="0" w:line="178"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undersigned will, upon request, execute and deliver any additional documents deemed by the Issuers or the Exchange Agent to be necessary or desirable to complete the exchange, assignment and transfer of the tendered Outstanding Notes or transfer ownership of such Outstanding Notes on the account books maintained by the book-entry transfer facility.</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undersigned further agrees that (i) acceptance of any and all validly tendered 2041 Outstanding Notes by the Issuers and the issuance of 2041 Exchange Notes in exchange therefor, acceptance of any and all validly tendered June 2051 Outstanding Notes by the Issuers and the issuance of June 2051 Exchange Notes in exchange therefor, in each case, shall constitute performance in full by the Issuers and the Guarantors of their obligations under the Registration Rights Agreement, dated as of December 13, 2021, as amended, among the Issuers, the Guarantors, and the representatives of the initial purchasers, relating to such Outstanding Notes, and that the Issuers shall have no further obligations or liabilities under such Registration Rights Agreement except as provided in Section 8 (Indemnification and Contribution) of such agreement. The undersigned will comply with its obligations under the Registration Rights Agreement.</w:t>
      </w:r>
    </w:p>
    <w:p>
      <w:pPr>
        <w:spacing w:after="0" w:line="17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Exchange Offer is subject to certain conditions as set forth in the Prospectus under the caption “The Exchange Offer—Conditions to the Exchange Offer.” The undersigned recognizes that as a result of these conditions (which may be waived, in whole or in part, by the Issuers), as more particularly set forth in the Prospectus, the Issuers may not be required to exchange any of the Outstanding Notes tendered hereby and, in such event, the Outstanding Notes not exchanged will be returned to the undersigned at the address shown above, promptly following the expiration or termination of the Exchange Offer. In addition, the Issuers may amend the Exchange Offer at any time prior to the Expiration Date if any of the conditions set forth under “The Exchange Offer—Conditions to the Exchange Offer” occur.</w:t>
      </w:r>
    </w:p>
    <w:p>
      <w:pPr>
        <w:spacing w:after="0" w:line="178"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All authority herein conferred or agreed to be conferred in this Letter of Transmittal shall survive the death or incapacity of the undersigned and every obligation of the undersigned hereunder shall be binding upon the successors, assigns, heirs, executors, administrators, trustees in bankruptcy and legal representatives of the undersigned. Tendered Outstanding Notes may be withdrawn at any time prior to the Expiration Date in accordance with the procedures set forth in the terms of this Letter of Transmittal. Unless otherwise indicated herein in the box entitled “Special Delivery Instructions” below, please deliver the Exchange Notes (and, if applicable, substitute certificates representing the Outstanding Notes for any Outstanding Notes not exchanged) in the name of the undersigned or, in the case of a book-entry delivery of the Outstanding Notes, please credit the account indicated above. Similarly, unless otherwise indicated under the box entitled “Special Delivery Instructions” below, please send the Exchange Notes (and, if applicable, substitute certificates representing the Outstanding Notes for any Outstanding Notes not exchanged) to the undersigned at the address shown above in the box entitled “Description of Outstanding Notes Tendered Herewith.”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9" w:name="page120"/>
    <w:bookmarkEnd w:id="119"/>
    <w:p>
      <w:pPr>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BY COMPLETING THE BOX ENTITLED “DESCRIPTION OF OUTSTANDING NOTES TENDERED HEREWITH” ABOVE AND SIGNING THIS LETTER, WILL BE DEEMED TO HAVE TENDERED THE OUTSTANDING NOTES AS SET FORTH IN SUCH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140335</wp:posOffset>
            </wp:positionV>
            <wp:extent cx="6858000" cy="28721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9">
                      <a:extLst>
                        <a:ext uri="{28A0092B-C50C-407E-A947-70E740481C1C}"/>
                      </a:extLst>
                    </a:blip>
                    <a:srcRect/>
                    <a:stretch>
                      <a:fillRect/>
                    </a:stretch>
                  </pic:blipFill>
                  <pic:spPr bwMode="auto">
                    <a:xfrm>
                      <a:off x="0" y="0"/>
                      <a:ext cx="6858000" cy="2872105"/>
                    </a:xfrm>
                    <a:prstGeom prst="rect">
                      <a:avLst/>
                    </a:prstGeom>
                    <a:noFill/>
                  </pic:spPr>
                </pic:pic>
              </a:graphicData>
            </a:graphic>
          </wp:anchor>
        </w:drawing>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Box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REGISTRATION INSTRUCTIONS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Instructions 4 and 5)</w:t>
      </w:r>
    </w:p>
    <w:p>
      <w:pPr>
        <w:spacing w:after="0" w:line="224"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color w:val="auto"/>
        </w:rPr>
        <w:t>To be completed ONLY if certificates for the Outstanding Notes not tendered and/or certificates for the Exchange Notes are to be issued in the name of someone other than the registered holder(s) of the Outstanding Notes whose name(s) appear(s) above.</w:t>
      </w:r>
    </w:p>
    <w:p>
      <w:pPr>
        <w:spacing w:after="0" w:line="18" w:lineRule="exact"/>
        <w:rPr>
          <w:sz w:val="20"/>
          <w:szCs w:val="20"/>
          <w:color w:val="auto"/>
        </w:rPr>
      </w:pPr>
    </w:p>
    <w:tbl>
      <w:tblPr>
        <w:tblLayout w:type="fixed"/>
        <w:tblInd w:w="260" w:type="dxa"/>
        <w:tblCellMar>
          <w:top w:w="0" w:type="dxa"/>
          <w:left w:w="0" w:type="dxa"/>
          <w:bottom w:w="0" w:type="dxa"/>
          <w:right w:w="0" w:type="dxa"/>
        </w:tblCellMar>
      </w:tblPr>
      <w:tr>
        <w:trPr>
          <w:trHeight w:val="221"/>
        </w:trPr>
        <w:tc>
          <w:tcPr>
            <w:tcW w:w="2280" w:type="dxa"/>
            <w:vAlign w:val="bottom"/>
            <w:gridSpan w:val="4"/>
          </w:tcPr>
          <w:p>
            <w:pPr>
              <w:spacing w:after="0"/>
              <w:rPr>
                <w:sz w:val="20"/>
                <w:szCs w:val="20"/>
                <w:color w:val="auto"/>
              </w:rPr>
            </w:pPr>
            <w:r>
              <w:rPr>
                <w:rFonts w:ascii="Arial" w:cs="Arial" w:eastAsia="Arial" w:hAnsi="Arial"/>
                <w:sz w:val="18"/>
                <w:szCs w:val="18"/>
                <w:color w:val="auto"/>
              </w:rPr>
              <w:t>Issue:</w:t>
            </w:r>
          </w:p>
        </w:tc>
        <w:tc>
          <w:tcPr>
            <w:tcW w:w="814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Outstanding Notes not tendered to:</w:t>
            </w:r>
          </w:p>
        </w:tc>
        <w:tc>
          <w:tcPr>
            <w:tcW w:w="0" w:type="dxa"/>
            <w:vAlign w:val="bottom"/>
          </w:tcPr>
          <w:p>
            <w:pPr>
              <w:spacing w:after="0"/>
              <w:rPr>
                <w:sz w:val="1"/>
                <w:szCs w:val="1"/>
                <w:color w:val="auto"/>
              </w:rPr>
            </w:pPr>
          </w:p>
        </w:tc>
      </w:tr>
      <w:tr>
        <w:trPr>
          <w:trHeight w:val="303"/>
        </w:trPr>
        <w:tc>
          <w:tcPr>
            <w:tcW w:w="2280" w:type="dxa"/>
            <w:vAlign w:val="bottom"/>
            <w:gridSpan w:val="4"/>
            <w:vMerge w:val="restart"/>
          </w:tcPr>
          <w:p>
            <w:pPr>
              <w:spacing w:after="0"/>
              <w:rPr>
                <w:sz w:val="20"/>
                <w:szCs w:val="20"/>
                <w:color w:val="auto"/>
              </w:rPr>
            </w:pPr>
            <w:r>
              <w:rPr>
                <w:rFonts w:ascii="Arial" w:cs="Arial" w:eastAsia="Arial" w:hAnsi="Arial"/>
                <w:sz w:val="18"/>
                <w:szCs w:val="18"/>
                <w:color w:val="auto"/>
              </w:rPr>
              <w:t>Name(s):</w:t>
            </w:r>
          </w:p>
        </w:tc>
        <w:tc>
          <w:tcPr>
            <w:tcW w:w="814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Exchange Notes to:</w:t>
            </w:r>
          </w:p>
        </w:tc>
        <w:tc>
          <w:tcPr>
            <w:tcW w:w="0" w:type="dxa"/>
            <w:vAlign w:val="bottom"/>
          </w:tcPr>
          <w:p>
            <w:pPr>
              <w:spacing w:after="0"/>
              <w:rPr>
                <w:sz w:val="1"/>
                <w:szCs w:val="1"/>
                <w:color w:val="auto"/>
              </w:rPr>
            </w:pPr>
          </w:p>
        </w:tc>
      </w:tr>
      <w:tr>
        <w:trPr>
          <w:trHeight w:val="183"/>
        </w:trPr>
        <w:tc>
          <w:tcPr>
            <w:tcW w:w="2280" w:type="dxa"/>
            <w:vAlign w:val="bottom"/>
            <w:gridSpan w:val="4"/>
            <w:vMerge w:val="continue"/>
          </w:tcPr>
          <w:p>
            <w:pPr>
              <w:spacing w:after="0"/>
              <w:rPr>
                <w:sz w:val="15"/>
                <w:szCs w:val="15"/>
                <w:color w:val="auto"/>
              </w:rPr>
            </w:pPr>
          </w:p>
        </w:tc>
        <w:tc>
          <w:tcPr>
            <w:tcW w:w="8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14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(Please Print or Type)</w:t>
            </w:r>
          </w:p>
        </w:tc>
        <w:tc>
          <w:tcPr>
            <w:tcW w:w="0" w:type="dxa"/>
            <w:vAlign w:val="bottom"/>
          </w:tcPr>
          <w:p>
            <w:pPr>
              <w:spacing w:after="0"/>
              <w:rPr>
                <w:sz w:val="1"/>
                <w:szCs w:val="1"/>
                <w:color w:val="auto"/>
              </w:rPr>
            </w:pPr>
          </w:p>
        </w:tc>
      </w:tr>
      <w:tr>
        <w:trPr>
          <w:trHeight w:val="215"/>
        </w:trPr>
        <w:tc>
          <w:tcPr>
            <w:tcW w:w="228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8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14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(Include Zip Code)</w:t>
            </w:r>
          </w:p>
        </w:tc>
        <w:tc>
          <w:tcPr>
            <w:tcW w:w="0" w:type="dxa"/>
            <w:vAlign w:val="bottom"/>
          </w:tcPr>
          <w:p>
            <w:pPr>
              <w:spacing w:after="0"/>
              <w:rPr>
                <w:sz w:val="1"/>
                <w:szCs w:val="1"/>
                <w:color w:val="auto"/>
              </w:rPr>
            </w:pPr>
          </w:p>
        </w:tc>
      </w:tr>
      <w:tr>
        <w:trPr>
          <w:trHeight w:val="309"/>
        </w:trPr>
        <w:tc>
          <w:tcPr>
            <w:tcW w:w="2280" w:type="dxa"/>
            <w:vAlign w:val="bottom"/>
            <w:gridSpan w:val="4"/>
          </w:tcPr>
          <w:p>
            <w:pPr>
              <w:spacing w:after="0"/>
              <w:rPr>
                <w:sz w:val="20"/>
                <w:szCs w:val="20"/>
                <w:color w:val="auto"/>
              </w:rPr>
            </w:pPr>
            <w:r>
              <w:rPr>
                <w:rFonts w:ascii="Arial" w:cs="Arial" w:eastAsia="Arial" w:hAnsi="Arial"/>
                <w:sz w:val="18"/>
                <w:szCs w:val="18"/>
                <w:color w:val="auto"/>
              </w:rPr>
              <w:t>Daytime Area Code and</w:t>
            </w:r>
          </w:p>
        </w:tc>
        <w:tc>
          <w:tcPr>
            <w:tcW w:w="8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gridSpan w:val="4"/>
          </w:tcPr>
          <w:p>
            <w:pPr>
              <w:spacing w:after="0"/>
              <w:rPr>
                <w:sz w:val="20"/>
                <w:szCs w:val="20"/>
                <w:color w:val="auto"/>
              </w:rPr>
            </w:pPr>
            <w:r>
              <w:rPr>
                <w:rFonts w:ascii="Arial" w:cs="Arial" w:eastAsia="Arial" w:hAnsi="Arial"/>
                <w:sz w:val="18"/>
                <w:szCs w:val="18"/>
                <w:color w:val="auto"/>
              </w:rPr>
              <w:t>Telephone</w:t>
            </w:r>
          </w:p>
        </w:tc>
        <w:tc>
          <w:tcPr>
            <w:tcW w:w="8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Number:</w:t>
            </w:r>
          </w:p>
        </w:tc>
        <w:tc>
          <w:tcPr>
            <w:tcW w:w="1460" w:type="dxa"/>
            <w:vAlign w:val="bottom"/>
            <w:tcBorders>
              <w:bottom w:val="single" w:sz="8" w:color="auto"/>
            </w:tcBorders>
            <w:gridSpan w:val="3"/>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280" w:type="dxa"/>
            <w:vAlign w:val="bottom"/>
            <w:gridSpan w:val="4"/>
          </w:tcPr>
          <w:p>
            <w:pPr>
              <w:spacing w:after="0"/>
              <w:rPr>
                <w:sz w:val="20"/>
                <w:szCs w:val="20"/>
                <w:color w:val="auto"/>
              </w:rPr>
            </w:pPr>
            <w:r>
              <w:rPr>
                <w:rFonts w:ascii="Arial" w:cs="Arial" w:eastAsia="Arial" w:hAnsi="Arial"/>
                <w:sz w:val="18"/>
                <w:szCs w:val="18"/>
                <w:color w:val="auto"/>
              </w:rPr>
              <w:t>Taxpayer Identification or</w:t>
            </w:r>
          </w:p>
        </w:tc>
        <w:tc>
          <w:tcPr>
            <w:tcW w:w="8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80" w:type="dxa"/>
            <w:vAlign w:val="bottom"/>
            <w:gridSpan w:val="4"/>
          </w:tcPr>
          <w:p>
            <w:pPr>
              <w:spacing w:after="0"/>
              <w:rPr>
                <w:sz w:val="20"/>
                <w:szCs w:val="20"/>
                <w:color w:val="auto"/>
              </w:rPr>
            </w:pPr>
            <w:r>
              <w:rPr>
                <w:rFonts w:ascii="Arial" w:cs="Arial" w:eastAsia="Arial" w:hAnsi="Arial"/>
                <w:sz w:val="18"/>
                <w:szCs w:val="18"/>
                <w:color w:val="auto"/>
              </w:rPr>
              <w:t>Social</w:t>
            </w:r>
          </w:p>
        </w:tc>
        <w:tc>
          <w:tcPr>
            <w:tcW w:w="8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gridSpan w:val="3"/>
          </w:tcPr>
          <w:p>
            <w:pPr>
              <w:spacing w:after="0"/>
              <w:rPr>
                <w:sz w:val="20"/>
                <w:szCs w:val="20"/>
                <w:color w:val="auto"/>
              </w:rPr>
            </w:pPr>
            <w:r>
              <w:rPr>
                <w:rFonts w:ascii="Arial" w:cs="Arial" w:eastAsia="Arial" w:hAnsi="Arial"/>
                <w:sz w:val="18"/>
                <w:szCs w:val="18"/>
                <w:color w:val="auto"/>
              </w:rPr>
              <w:t>Security Number:</w:t>
            </w:r>
          </w:p>
        </w:tc>
        <w:tc>
          <w:tcPr>
            <w:tcW w:w="58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325755</wp:posOffset>
            </wp:positionV>
            <wp:extent cx="6858000" cy="2871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80">
                      <a:extLst>
                        <a:ext uri="{28A0092B-C50C-407E-A947-70E740481C1C}"/>
                      </a:extLst>
                    </a:blip>
                    <a:srcRect/>
                    <a:stretch>
                      <a:fillRect/>
                    </a:stretch>
                  </pic:blipFill>
                  <pic:spPr bwMode="auto">
                    <a:xfrm>
                      <a:off x="0" y="0"/>
                      <a:ext cx="6858000" cy="287147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Box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DELIVERY INSTRUCTIONS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Instructions 4 and 5)</w:t>
      </w:r>
    </w:p>
    <w:p>
      <w:pPr>
        <w:spacing w:after="0" w:line="116"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color w:val="auto"/>
        </w:rPr>
        <w:t>To be completed ONLY if certificates for the Outstanding Notes not tendered and/or certificates for the Exchange Notes are to be sent to someone other than the registered holder(s) of the Outstanding Notes whose name(s) appear(s) above.</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800" w:type="dxa"/>
            <w:vAlign w:val="bottom"/>
            <w:gridSpan w:val="4"/>
          </w:tcPr>
          <w:p>
            <w:pPr>
              <w:ind w:left="140"/>
              <w:spacing w:after="0"/>
              <w:rPr>
                <w:sz w:val="20"/>
                <w:szCs w:val="20"/>
                <w:color w:val="auto"/>
              </w:rPr>
            </w:pPr>
            <w:r>
              <w:rPr>
                <w:rFonts w:ascii="Arial" w:cs="Arial" w:eastAsia="Arial" w:hAnsi="Arial"/>
                <w:sz w:val="18"/>
                <w:szCs w:val="18"/>
                <w:color w:val="auto"/>
              </w:rPr>
              <w:t>Issue:</w:t>
            </w:r>
          </w:p>
        </w:tc>
        <w:tc>
          <w:tcPr>
            <w:tcW w:w="7760" w:type="dxa"/>
            <w:vAlign w:val="bottom"/>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Outstanding Notes not tendered to:</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960" w:type="dxa"/>
            <w:vAlign w:val="bottom"/>
            <w:gridSpan w:val="2"/>
            <w:vMerge w:val="restart"/>
          </w:tcPr>
          <w:p>
            <w:pPr>
              <w:ind w:left="140"/>
              <w:spacing w:after="0"/>
              <w:rPr>
                <w:sz w:val="20"/>
                <w:szCs w:val="20"/>
                <w:color w:val="auto"/>
              </w:rPr>
            </w:pPr>
            <w:r>
              <w:rPr>
                <w:rFonts w:ascii="Arial" w:cs="Arial" w:eastAsia="Arial" w:hAnsi="Arial"/>
                <w:sz w:val="18"/>
                <w:szCs w:val="18"/>
                <w:color w:val="auto"/>
              </w:rPr>
              <w:t>Name(s):</w:t>
            </w:r>
          </w:p>
        </w:tc>
        <w:tc>
          <w:tcPr>
            <w:tcW w:w="1840" w:type="dxa"/>
            <w:vAlign w:val="bottom"/>
            <w:gridSpan w:val="2"/>
            <w:vMerge w:val="restart"/>
          </w:tcPr>
          <w:p>
            <w:pPr>
              <w:spacing w:after="0"/>
              <w:rPr>
                <w:sz w:val="24"/>
                <w:szCs w:val="24"/>
                <w:color w:val="auto"/>
              </w:rPr>
            </w:pPr>
          </w:p>
        </w:tc>
        <w:tc>
          <w:tcPr>
            <w:tcW w:w="7760" w:type="dxa"/>
            <w:vAlign w:val="bottom"/>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Exchange Notes to:</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gridSpan w:val="2"/>
            <w:vMerge w:val="continue"/>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7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800" w:type="dxa"/>
            <w:vAlign w:val="bottom"/>
            <w:gridSpan w:val="4"/>
            <w:vMerge w:val="restart"/>
          </w:tcPr>
          <w:p>
            <w:pPr>
              <w:ind w:left="140"/>
              <w:spacing w:after="0"/>
              <w:rPr>
                <w:sz w:val="20"/>
                <w:szCs w:val="20"/>
                <w:color w:val="auto"/>
              </w:rPr>
            </w:pPr>
            <w:r>
              <w:rPr>
                <w:rFonts w:ascii="Arial" w:cs="Arial" w:eastAsia="Arial" w:hAnsi="Arial"/>
                <w:sz w:val="18"/>
                <w:szCs w:val="18"/>
                <w:color w:val="auto"/>
              </w:rPr>
              <w:t>Address:</w:t>
            </w:r>
          </w:p>
        </w:tc>
        <w:tc>
          <w:tcPr>
            <w:tcW w:w="7760" w:type="dxa"/>
            <w:vAlign w:val="bottom"/>
          </w:tcPr>
          <w:p>
            <w:pPr>
              <w:ind w:left="760"/>
              <w:spacing w:after="0"/>
              <w:rPr>
                <w:sz w:val="20"/>
                <w:szCs w:val="20"/>
                <w:color w:val="auto"/>
              </w:rPr>
            </w:pPr>
            <w:r>
              <w:rPr>
                <w:rFonts w:ascii="Arial" w:cs="Arial" w:eastAsia="Arial" w:hAnsi="Arial"/>
                <w:sz w:val="18"/>
                <w:szCs w:val="18"/>
                <w:color w:val="auto"/>
              </w:rPr>
              <w:t>(Please Print or Type)</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gridSpan w:val="4"/>
            <w:vMerge w:val="continue"/>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7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(Include Zip Code)</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0" w:type="dxa"/>
            <w:vAlign w:val="bottom"/>
            <w:gridSpan w:val="4"/>
          </w:tcPr>
          <w:p>
            <w:pPr>
              <w:ind w:left="140"/>
              <w:spacing w:after="0"/>
              <w:rPr>
                <w:sz w:val="20"/>
                <w:szCs w:val="20"/>
                <w:color w:val="auto"/>
              </w:rPr>
            </w:pPr>
            <w:r>
              <w:rPr>
                <w:rFonts w:ascii="Arial" w:cs="Arial" w:eastAsia="Arial" w:hAnsi="Arial"/>
                <w:sz w:val="18"/>
                <w:szCs w:val="18"/>
                <w:color w:val="auto"/>
              </w:rPr>
              <w:t>Daytime Area Code and</w:t>
            </w:r>
          </w:p>
        </w:tc>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gridSpan w:val="4"/>
          </w:tcPr>
          <w:p>
            <w:pPr>
              <w:ind w:left="140"/>
              <w:spacing w:after="0"/>
              <w:rPr>
                <w:sz w:val="20"/>
                <w:szCs w:val="20"/>
                <w:color w:val="auto"/>
              </w:rPr>
            </w:pPr>
            <w:r>
              <w:rPr>
                <w:rFonts w:ascii="Arial" w:cs="Arial" w:eastAsia="Arial" w:hAnsi="Arial"/>
                <w:sz w:val="18"/>
                <w:szCs w:val="18"/>
                <w:color w:val="auto"/>
              </w:rPr>
              <w:t>Telephone</w:t>
            </w: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ind w:left="140"/>
              <w:spacing w:after="0"/>
              <w:rPr>
                <w:sz w:val="20"/>
                <w:szCs w:val="20"/>
                <w:color w:val="auto"/>
              </w:rPr>
            </w:pPr>
            <w:r>
              <w:rPr>
                <w:rFonts w:ascii="Arial" w:cs="Arial" w:eastAsia="Arial" w:hAnsi="Arial"/>
                <w:sz w:val="18"/>
                <w:szCs w:val="18"/>
                <w:color w:val="auto"/>
              </w:rPr>
              <w:t>Number:</w:t>
            </w:r>
          </w:p>
        </w:tc>
        <w:tc>
          <w:tcPr>
            <w:tcW w:w="1840" w:type="dxa"/>
            <w:vAlign w:val="bottom"/>
            <w:tcBorders>
              <w:bottom w:val="single" w:sz="8" w:color="auto"/>
            </w:tcBorders>
            <w:gridSpan w:val="2"/>
          </w:tcPr>
          <w:p>
            <w:pPr>
              <w:spacing w:after="0"/>
              <w:rPr>
                <w:sz w:val="20"/>
                <w:szCs w:val="20"/>
                <w:color w:val="auto"/>
              </w:rPr>
            </w:pPr>
          </w:p>
        </w:tc>
        <w:tc>
          <w:tcPr>
            <w:tcW w:w="7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800" w:type="dxa"/>
            <w:vAlign w:val="bottom"/>
            <w:gridSpan w:val="4"/>
          </w:tcPr>
          <w:p>
            <w:pPr>
              <w:ind w:left="140"/>
              <w:spacing w:after="0"/>
              <w:rPr>
                <w:sz w:val="20"/>
                <w:szCs w:val="20"/>
                <w:color w:val="auto"/>
              </w:rPr>
            </w:pPr>
            <w:r>
              <w:rPr>
                <w:rFonts w:ascii="Arial" w:cs="Arial" w:eastAsia="Arial" w:hAnsi="Arial"/>
                <w:sz w:val="18"/>
                <w:szCs w:val="18"/>
                <w:color w:val="auto"/>
              </w:rPr>
              <w:t>Taxpayer Identification or</w:t>
            </w:r>
          </w:p>
        </w:tc>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gridSpan w:val="4"/>
          </w:tcPr>
          <w:p>
            <w:pPr>
              <w:ind w:left="140"/>
              <w:spacing w:after="0"/>
              <w:rPr>
                <w:sz w:val="20"/>
                <w:szCs w:val="20"/>
                <w:color w:val="auto"/>
              </w:rPr>
            </w:pPr>
            <w:r>
              <w:rPr>
                <w:rFonts w:ascii="Arial" w:cs="Arial" w:eastAsia="Arial" w:hAnsi="Arial"/>
                <w:sz w:val="18"/>
                <w:szCs w:val="18"/>
                <w:color w:val="auto"/>
              </w:rPr>
              <w:t>Social</w:t>
            </w:r>
          </w:p>
        </w:tc>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0" w:type="dxa"/>
            <w:vAlign w:val="bottom"/>
            <w:gridSpan w:val="4"/>
          </w:tcPr>
          <w:p>
            <w:pPr>
              <w:ind w:left="140"/>
              <w:spacing w:after="0"/>
              <w:rPr>
                <w:sz w:val="20"/>
                <w:szCs w:val="20"/>
                <w:color w:val="auto"/>
              </w:rPr>
            </w:pPr>
            <w:r>
              <w:rPr>
                <w:rFonts w:ascii="Arial" w:cs="Arial" w:eastAsia="Arial" w:hAnsi="Arial"/>
                <w:sz w:val="18"/>
                <w:szCs w:val="18"/>
                <w:color w:val="auto"/>
              </w:rPr>
              <w:t>Security Number:</w:t>
            </w: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776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60" w:type="dxa"/>
            <w:vAlign w:val="bottom"/>
          </w:tcPr>
          <w:p>
            <w:pPr>
              <w:ind w:left="25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120" w:name="page121"/>
    <w:bookmarkEnd w:id="120"/>
    <w:p>
      <w:pPr>
        <w:ind w:left="5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6805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81">
                      <a:extLst>
                        <a:ext uri="{28A0092B-C50C-407E-A947-70E740481C1C}"/>
                      </a:extLst>
                    </a:blip>
                    <a:srcRect/>
                    <a:stretch>
                      <a:fillRect/>
                    </a:stretch>
                  </pic:blipFill>
                  <pic:spPr bwMode="auto">
                    <a:xfrm>
                      <a:off x="0" y="0"/>
                      <a:ext cx="7174865" cy="4680585"/>
                    </a:xfrm>
                    <a:prstGeom prst="rect">
                      <a:avLst/>
                    </a:prstGeom>
                    <a:noFill/>
                  </pic:spPr>
                </pic:pic>
              </a:graphicData>
            </a:graphic>
          </wp:anchor>
        </w:drawing>
        <w:t>Box 8</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TENDERING HOLDER(S) SIGN HERE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accompanying Internal Revenue Service (“IRS”) Form W-9 or applicable IRS Form W-8)</w:t>
      </w:r>
    </w:p>
    <w:p>
      <w:pPr>
        <w:spacing w:after="0" w:line="11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Must be signed by the registered holder(s) (which term, for the purposes described herein, shall include the book-entry transfer facility whose name appears on a security listing as the owner of the Outstanding Notes) of the Outstanding Notes exactly as their name(s) appear(s) on the Outstanding Notes hereby tendered or by any person(s) authorized to become the registered holder(s) by properly completed bond powers or endorsements and documents transmitted herewith. If signature is by a trustee, executor, administrator, guardian, attorney-in-fact, officer of a corporation or other person acting in a fiduciary or representative capacity, please set forth the full title of such person. See Instruction 4.</w:t>
      </w:r>
    </w:p>
    <w:p>
      <w:pPr>
        <w:spacing w:after="0" w:line="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(Signature(s) of 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3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(Please Print or Type)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(Including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Number:</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GUARANTEE OF SIGNATURE(S)</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(If Required—See Instruction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Address of Firm:</w:t>
      </w:r>
    </w:p>
    <w:p>
      <w:pPr>
        <w:spacing w:after="0" w:line="3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(Include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00"/>
          </w:cols>
          <w:pgMar w:left="700" w:top="378" w:right="999" w:bottom="1440" w:gutter="0" w:footer="0" w:header="0"/>
        </w:sectPr>
      </w:pPr>
    </w:p>
    <w:bookmarkStart w:id="121" w:name="page122"/>
    <w:bookmarkEnd w:id="12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Please do not send certificates for Outstanding Notes or Letters of Transmittal directly to the Issuers. Your certificates for Outstanding Notes, together with your signed and completed Letter of Transmittal and any required supporting documents, should be mailed or otherwise delivered to the Exchange Agent at the address set forth on the first page hereof. The method of delivery of Outstanding Notes, this Letter of Transmittal and all other required documents is at your sole option and risk and the delivery will be deemed made only when actually received by the Exchange Agent. If delivery is by mail, registered mail with return receipt requested, properly insured, or overnight or hand delivery service is recommended. In all cases, sufficient time should be allowed to ensure timely delivery.</w:t>
      </w:r>
    </w:p>
    <w:p>
      <w:pPr>
        <w:spacing w:after="0" w:line="174" w:lineRule="exact"/>
        <w:rPr>
          <w:sz w:val="20"/>
          <w:szCs w:val="20"/>
          <w:color w:val="auto"/>
        </w:rPr>
      </w:pPr>
    </w:p>
    <w:p>
      <w:pPr>
        <w:ind w:left="4" w:firstLine="436"/>
        <w:spacing w:after="0" w:line="273" w:lineRule="auto"/>
        <w:tabs>
          <w:tab w:leader="none" w:pos="624"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of this Letter of Transmittal and Certificates; Guaranteed Delivery Procedures. </w:t>
      </w:r>
      <w:r>
        <w:rPr>
          <w:rFonts w:ascii="Arial" w:cs="Arial" w:eastAsia="Arial" w:hAnsi="Arial"/>
          <w:sz w:val="17"/>
          <w:szCs w:val="17"/>
          <w:color w:val="auto"/>
        </w:rPr>
        <w:t>A holder of Outstanding Notes (which term,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purposes described herein, shall include the book-entry transfer facility whose name appears on a security listing as the owner of the Outstanding Notes) may tender the same by (i) properly completing and signing this Letter of Transmittal or a facsimile hereof (all references in the Prospectus to the Letter of Transmittal shall be deemed to include a facsimile thereof) and delivering the same, together with the certificate or certificates, if applicable, representing the Outstanding Notes being tendered and any required signature guarantees and any other documents required by this Letter of Transmittal, to the Exchange Agent at its address set forth above on or prior to the Expiration Date, (ii) complying with the procedure for book-entry transfer described below or (iii) complying with the guaranteed delivery procedures described below.</w:t>
      </w:r>
    </w:p>
    <w:p>
      <w:pPr>
        <w:spacing w:after="0" w:line="176"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6"/>
          <w:szCs w:val="16"/>
          <w:color w:val="auto"/>
        </w:rPr>
        <w:t>Holders of Outstanding Notes that are tendering by book-entry transfer to the Exchange Agent’s account at DTC can execute the tender through DTC’s Automated Tender Offer Program (“ATOP”) for which the transaction will be eligible. DTC participants that are accepting the Exchange Offer must transmit their acceptance to DTC, which will verify the acceptance and execute a book-entry delivery to the Exchange Agent’s account at DTC. DTC will then send a computer-generated message (an “Agent’s Message”) to the Exchange Agent for its acceptance in which the holder of the Outstanding Notes acknowledges and agrees to be bound by the terms of, and makes the representations and warranties contained in, this Letter of Transmittal, and the DTC participant confirms on behalf of itself and the beneficial owners of such Outstanding Notes all provisions of this Letter of Transmittal (including any representations and warranties) applicable to it and such beneficial owner as fully as if it had completed the information required herein and executed and transmitted this Letter of Transmittal to the Exchange Agent. Each DTC participant transmitting an acceptance of the Exchange Offer through the ATOP procedures will be deemed to have agreed to be bound by the terms of this Letter of Transmittal.</w:t>
      </w:r>
    </w:p>
    <w:p>
      <w:pPr>
        <w:spacing w:after="0" w:line="162"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b w:val="1"/>
          <w:bCs w:val="1"/>
          <w:color w:val="auto"/>
        </w:rPr>
        <w:t>Delivery of an Agent’s Message by DTC will satisfy the terms of the Exchange Offer as to execution and delivery of a Letter of Transmittal by the participant identified in the Agent’s Message. DTC participants may also accept the Exchange Offer by submitting a Notice of Guaranteed Delivery through ATOP.</w:t>
      </w:r>
    </w:p>
    <w:p>
      <w:pPr>
        <w:spacing w:after="0" w:line="180" w:lineRule="exact"/>
        <w:rPr>
          <w:sz w:val="20"/>
          <w:szCs w:val="20"/>
          <w:color w:val="auto"/>
        </w:rPr>
      </w:pPr>
    </w:p>
    <w:p>
      <w:pPr>
        <w:ind w:left="4" w:right="340" w:firstLine="440"/>
        <w:spacing w:after="0" w:line="291" w:lineRule="auto"/>
        <w:rPr>
          <w:sz w:val="20"/>
          <w:szCs w:val="20"/>
          <w:color w:val="auto"/>
        </w:rPr>
      </w:pPr>
      <w:r>
        <w:rPr>
          <w:rFonts w:ascii="Arial" w:cs="Arial" w:eastAsia="Arial" w:hAnsi="Arial"/>
          <w:sz w:val="16"/>
          <w:szCs w:val="16"/>
          <w:color w:val="auto"/>
        </w:rPr>
        <w:t>Holders who wish to tender their Outstanding Notes and (i) whose Outstanding Notes are not immediately available or (ii) who cannot deliver their Outstanding Notes, this Letter of Transmittal and all other required documents to the Exchange Agent on or prior to the Expiration Date or</w:t>
      </w:r>
    </w:p>
    <w:p>
      <w:pPr>
        <w:ind w:left="4" w:hanging="4"/>
        <w:spacing w:after="0" w:line="295" w:lineRule="auto"/>
        <w:tabs>
          <w:tab w:leader="none" w:pos="319"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who cannot comply with the book-entry transfer procedures on a timely basis, must tender their Outstanding Notes pursuant to the guaranteed delivery procedure set forth in “The Exchange Offer—Guaranteed Delivery Procedures” in the Prospectus and by completing Box 3 above. Holders may tender their Outstanding Notes if: (i) the tender is made by or through an Eligible Guarantor Institution (as defined below); (ii) the Exchange Agent receives (by facsimile transmission, mail or hand delivery), on or prior to the Expiration Date, a properly completed and duly executed Notice of</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122" w:name="page123"/>
    <w:bookmarkEnd w:id="12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Guaranteed Delivery in the form provided with this Letter of Transmittal that (a) sets forth the name and address of the holder of Outstanding Notes, if applicable, the certificate number(s) of the Outstanding Notes to be tendered and the principal amount of Outstanding Notes tendered; (b) states that the tender is being made thereby; and (c) guarantees that, within two New York Stock Exchange trading days after the Expiration Date, the Letter of Transmittal, or a facsimile thereof, together with the Outstanding Notes or a book-entry confirmation, and any other documents required by the Letter of Transmittal, will be deposited by the Eligible Guarantor Institution with the Exchange Agent; or (iii) the Exchange Agent receives a properly completed and executed Letter of Transmittal, or facsimile thereof and the certificate(s) representing all tendered Outstanding Notes in proper form or a confirmation of book-entry transfer of the Outstanding Notes into the Exchange Agent’s account at the appropriate book-entry transfer facility and all other documents required by this Letter of Transmittal within two New York Stock Exchange trading days after the Expiration Date.</w:t>
      </w:r>
    </w:p>
    <w:p>
      <w:pPr>
        <w:spacing w:after="0" w:line="165"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Any Holder who wishes to tender Outstanding Notes pursuant to the guaranteed delivery procedures described above must ensure that the Exchange Agent receives the Notice of Guaranteed Delivery relating to such Outstanding Notes prior to the Expiration Date. Failure to complete the guaranteed delivery procedures outlined above will not, of itself, affect the validity or effect a revocation of any Letter of Transmittal form properly completed and executed by a holder who attempted to use the guaranteed delivery procedures.</w:t>
      </w:r>
    </w:p>
    <w:p>
      <w:pPr>
        <w:spacing w:after="0" w:line="17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 alternative, conditional, irregular or contingent tenders will be accepted. Each tendering holder, by execution of this Letter of Transmittal (or facsimile thereof), shall waive any right to receive notice of the acceptance of the Outstanding Notes for exchange.</w:t>
      </w:r>
    </w:p>
    <w:p>
      <w:pPr>
        <w:spacing w:after="0" w:line="166" w:lineRule="exact"/>
        <w:rPr>
          <w:sz w:val="20"/>
          <w:szCs w:val="20"/>
          <w:color w:val="auto"/>
        </w:rPr>
      </w:pPr>
    </w:p>
    <w:p>
      <w:pPr>
        <w:ind w:right="60" w:firstLine="436"/>
        <w:spacing w:after="0" w:line="292" w:lineRule="auto"/>
        <w:tabs>
          <w:tab w:leader="none" w:pos="6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Partial Tenders; Withdrawals. </w:t>
      </w:r>
      <w:r>
        <w:rPr>
          <w:rFonts w:ascii="Arial" w:cs="Arial" w:eastAsia="Arial" w:hAnsi="Arial"/>
          <w:sz w:val="16"/>
          <w:szCs w:val="16"/>
          <w:color w:val="auto"/>
        </w:rPr>
        <w:t>Tenders of Outstanding Notes will be accepted only in the minimum principal amount of $2,000 and integral</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multiples of $1,000 in excess thereof. If less than the entire principal amount of Outstanding Notes evidenced by a submitted certificate is tendered, the tendering holder(s) must fill in the aggregate principal amount of Outstanding Notes tendered in the column entitled “Description of Outstanding Notes Tendered Herewith” in Box 1 above. A newly issued certificate for the Outstanding Notes submitted but not tendered will be sent to such holder promptly after the Expiration Date, unless otherwise provided in the appropriate box on this Letter of Transmittal. All Outstanding Notes delivered to the Exchange Agent will be deemed to have been tendered in full unless otherwise clearly indicated. Outstanding Notes tendered pursuant to the Exchange Offer may be withdrawn at any time prior to the Expiration Date, after which tenders of Outstanding Notes are irrevocable.</w:t>
      </w:r>
    </w:p>
    <w:p>
      <w:pPr>
        <w:spacing w:after="0" w:line="16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To be effective with respect to the tender of Outstanding Notes, a written notice of withdrawal (which may be by facsimile or letter) must: (i) be received by the Exchange Agent at the address for the Exchange Agent set forth above before the Issuers notify the Exchange Agent that it has accepted the tender of Outstanding Notes pursuant to the Exchange Offer; (ii) specify the name of the person who tendered the Outstanding Notes to be withdrawn; (iii) identify the Outstanding Notes to be withdrawn (including the principal amount of such Outstanding Notes, or, if applicable, the certificate numbers shown on the particular certificates evidencing such Outstanding Notes and the principal amount of Outstanding Notes represented by such certificates); (iv) include a statement that such holder is withdrawing its election to have such Outstanding Notes exchanged; (v) specify the name in which any such Outstanding Notes are to be registered, if different from that of the withdrawing holder; and (vi) be signed by the holder in the same manner as the original signature on this Letter of Transmittal (including any required signature guarantee). The Exchange Agent will return the properly withdrawn Outstanding Notes promptly following receipt of notice of withdrawal. If Outstanding Notes have been tendered pursuant to the procedure for book-entry transfer, any notice of withdrawal must specify the name and number of the account at the book-entry transfer facility to be credited with the withdrawn Outstanding Notes or otherwise comply with the book-entry transfer facility’s procedures. All questions as to the validity, form and eligibility of notices of withdrawals, including time of receipt, will be determined by the Issuers, and such determination will be final and binding on all parties.</w:t>
      </w:r>
    </w:p>
    <w:p>
      <w:pPr>
        <w:spacing w:after="0" w:line="18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Any Outstanding Notes so withdrawn will be deemed not to have been validly tendered for exchange for purposes of the Exchange Offer. Any Outstanding Notes which have been tendered for exchange but which 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23" w:name="page124"/>
    <w:bookmarkEnd w:id="1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accepted for exchange for any reason will be returned to the holder thereof without cost to such holder (or, in the case of Outstanding Notes tendered by book-entry transfer into the Exchange Agent’s account at the book entry transfer facility pursuant to the book-entry transfer procedures described above, such Outstanding Notes will be credited to an account with such book-entry transfer facility specified by the holder) promptly after withdrawal, rejection of tender or termination of the Exchange Offer. Properly withdrawn Outstanding Notes may be retendered by following one of the procedures described under the caption “The Exchange Offer—Procedures for Tendering Outstanding Notes” in the Prospectus at any time prior to the Expiration Date.</w:t>
      </w:r>
    </w:p>
    <w:p>
      <w:pPr>
        <w:spacing w:after="0" w:line="192"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Neither the Issuers, any affiliate or assigns of the Issuers, the Exchange Agent nor any other person will be under any duty to give any notification of any irregularities in any notice of withdrawal or incur any liability for failure to give such notification (even if such notice is given to other persons).</w:t>
      </w:r>
    </w:p>
    <w:p>
      <w:pPr>
        <w:spacing w:after="0" w:line="120" w:lineRule="exact"/>
        <w:rPr>
          <w:sz w:val="20"/>
          <w:szCs w:val="20"/>
          <w:color w:val="auto"/>
        </w:rPr>
      </w:pPr>
    </w:p>
    <w:p>
      <w:pPr>
        <w:ind w:right="140" w:firstLine="436"/>
        <w:spacing w:after="0" w:line="256" w:lineRule="auto"/>
        <w:tabs>
          <w:tab w:leader="none" w:pos="6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Beneficial Owner Instructions. </w:t>
      </w:r>
      <w:r>
        <w:rPr>
          <w:rFonts w:ascii="Arial" w:cs="Arial" w:eastAsia="Arial" w:hAnsi="Arial"/>
          <w:sz w:val="18"/>
          <w:szCs w:val="18"/>
          <w:color w:val="auto"/>
        </w:rPr>
        <w:t>Only a holder of Outstanding Notes (i.e., a person in whose name Outstanding Notes are registered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registrar of, or, in the case of Outstanding Notes held through book-entry, such book-entry transfer facility specified by the holder), or the legal representative or attorney-in-fact of a holder, may execute and deliver this Letter of Transmittal. Any beneficial owner of Outstanding Notes who wishes to accept the Exchange Offer must arrange promptly for the appropriate holder to execute and deliver this Letter of Transmittal on his or her behalf through the execution and delivery to the appropriate holder of the “Instructions to Registered Holder from Beneficial Owner” form accompanying this Letter of Transmittal.</w:t>
      </w:r>
    </w:p>
    <w:p>
      <w:pPr>
        <w:spacing w:after="0" w:line="187" w:lineRule="exact"/>
        <w:rPr>
          <w:rFonts w:ascii="Arial" w:cs="Arial" w:eastAsia="Arial" w:hAnsi="Arial"/>
          <w:sz w:val="18"/>
          <w:szCs w:val="18"/>
          <w:b w:val="1"/>
          <w:bCs w:val="1"/>
          <w:color w:val="auto"/>
        </w:rPr>
      </w:pPr>
    </w:p>
    <w:p>
      <w:pPr>
        <w:jc w:val="both"/>
        <w:ind w:right="20" w:firstLine="436"/>
        <w:spacing w:after="0" w:line="303" w:lineRule="auto"/>
        <w:tabs>
          <w:tab w:leader="none" w:pos="6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Signature on this Letter of Transmittal; Written Instruments and Endorsements; Guarantee of Signatures. </w:t>
      </w:r>
      <w:r>
        <w:rPr>
          <w:rFonts w:ascii="Arial" w:cs="Arial" w:eastAsia="Arial" w:hAnsi="Arial"/>
          <w:sz w:val="16"/>
          <w:szCs w:val="16"/>
          <w:color w:val="auto"/>
        </w:rPr>
        <w:t>If this Letter of Transmittal is</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registered holder(s) (which term, for the purposes described herein, shall include the book-entry transfer facility whose name appears on a security listing as the owner of the Outstanding Notes) of the Outstanding Notes tendered hereby, the signature must correspond exactly with the name(s) as written on the face of the certificates (or on such security listing) without alteration, addition, enlargement or any change whatsoever.</w:t>
      </w:r>
    </w:p>
    <w:p>
      <w:pPr>
        <w:spacing w:after="0" w:line="15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If any of the Outstanding Notes tendered hereby are owned of record by two or more joint owners, all such owners must sign this Letter of Transmittal.</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If a number of Outstanding Notes registered in different names are tendered, it will be necessary to complete, sign and submit as many separate copies of this Letter of Transmittal (or facsimiles thereof) as there are different registrations of Outstanding Notes.</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When this Letter of Transmittal is signed by the registered holder(s) of Outstanding Notes (which term, for the purposes described herein, shall include the book-entry transfer facility whose name appears on a security listing as the owner of the Outstanding Notes) listed and tendered hereby, no endorsements of certificates or separate written instruments of transfer or exchange are required. If, however, this Letter of Transmittal is signed by a person other than the registered holder(s) of the Outstanding Notes listed or the Exchange Notes are to be issued, or any untendered Outstanding Notes are to be reissued, to a person other than the registered holder(s) of the Outstanding Notes, such Outstanding Notes must be endorsed or accompanied by separate written instruments of transfer or exchange in form satisfactory to the Issuers and duly executed by the registered holder, in each case signed exactly as the name or names of the registered holder(s) appear(s) on the Outstanding Notes and the signatures on such certificates must be guaranteed by an Eligible Guarantor Institution. 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Issuers, submit proper evidence satisfactory to the Issuers, in the Issuers’ sole discretion, of such persons’ authority to so act.</w:t>
      </w:r>
    </w:p>
    <w:p>
      <w:pPr>
        <w:spacing w:after="0" w:line="178"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Endorsements on certificates for the Outstanding Notes or signatures on bond powers required by this Instruction 4 must be guaranteed by a member firm of a registered national securities exchange or of the Financial Industry Regulatory Authority, Inc., a commercial bank or trust company having an office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24" w:name="page125"/>
    <w:bookmarkEnd w:id="124"/>
    <w:p>
      <w:pPr>
        <w:ind w:righ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correspondent in the United States or another “eligible guarantor institution” within the meaning of Rule 17Ad-15 under the Securities Exchange Act of 1934, as amended (an “Eligible Guarantor Institution”).</w:t>
      </w:r>
    </w:p>
    <w:p>
      <w:pPr>
        <w:spacing w:after="0" w:line="16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Signatures on this Letter of Transmittal must be guaranteed by an Eligible Guarantor Institution, unless Outstanding Notes are tendered: (i) by a registered holder (which term, for the purposes described herein, shall include the book-entry transfer facility whose name appears on a security listing as the owner of the Outstanding Notes) who has not completed the box entitled “Special Registration Instructions” or “Special Delivery Instructions” on this Letter of Transmittal; or (ii) for the account of an Eligible Guarantor Institution.</w:t>
      </w:r>
    </w:p>
    <w:p>
      <w:pPr>
        <w:spacing w:after="0" w:line="183" w:lineRule="exact"/>
        <w:rPr>
          <w:sz w:val="20"/>
          <w:szCs w:val="20"/>
          <w:color w:val="auto"/>
        </w:rPr>
      </w:pPr>
    </w:p>
    <w:p>
      <w:pPr>
        <w:ind w:right="120" w:firstLine="436"/>
        <w:spacing w:after="0" w:line="298" w:lineRule="auto"/>
        <w:tabs>
          <w:tab w:leader="none" w:pos="62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Registration and Delivery Instructions. </w:t>
      </w:r>
      <w:r>
        <w:rPr>
          <w:rFonts w:ascii="Arial" w:cs="Arial" w:eastAsia="Arial" w:hAnsi="Arial"/>
          <w:sz w:val="16"/>
          <w:szCs w:val="16"/>
          <w:color w:val="auto"/>
        </w:rPr>
        <w:t>Tendering holders should indicate, in the applicable Box 6 or Box 7, the name and address</w:t>
      </w:r>
      <w:r>
        <w:rPr>
          <w:rFonts w:ascii="Arial" w:cs="Arial" w:eastAsia="Arial" w:hAnsi="Arial"/>
          <w:sz w:val="16"/>
          <w:szCs w:val="16"/>
          <w:b w:val="1"/>
          <w:bCs w:val="1"/>
          <w:color w:val="auto"/>
        </w:rPr>
        <w:t xml:space="preserve"> </w:t>
      </w:r>
      <w:r>
        <w:rPr>
          <w:rFonts w:ascii="Arial" w:cs="Arial" w:eastAsia="Arial" w:hAnsi="Arial"/>
          <w:sz w:val="16"/>
          <w:szCs w:val="16"/>
          <w:color w:val="auto"/>
        </w:rPr>
        <w:t>in/to which the Exchange Notes and/or certificates for Outstanding Notes not exchanged are to be issued or sent, if different from the name(s) and address(es) of the person signing this Letter of Transmittal. In the case of issuance in a different name, the tax identification number or social security number of the person named must also be indicated. A holder tendering the Outstanding Notes by book-entry transfer may request that the Outstanding Notes not exchanged be credited to such account maintained at the book-entry transfer facility as such holder may designate. See Box 4.</w:t>
      </w:r>
    </w:p>
    <w:p>
      <w:pPr>
        <w:spacing w:after="0" w:line="158"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If no such instructions are given, the Exchange Notes (and any Outstanding Notes not tendered or not accepted) will be issued in the name of and sent to the holder signing this Letter of Transmittal or deposited into such holder’s account at the applicable book-entry transfer facility.</w:t>
      </w:r>
    </w:p>
    <w:p>
      <w:pPr>
        <w:spacing w:after="0" w:line="142" w:lineRule="exact"/>
        <w:rPr>
          <w:sz w:val="20"/>
          <w:szCs w:val="20"/>
          <w:color w:val="auto"/>
        </w:rPr>
      </w:pPr>
    </w:p>
    <w:p>
      <w:pPr>
        <w:ind w:firstLine="436"/>
        <w:spacing w:after="0" w:line="256" w:lineRule="auto"/>
        <w:tabs>
          <w:tab w:leader="none" w:pos="6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Taxes. </w:t>
      </w:r>
      <w:r>
        <w:rPr>
          <w:rFonts w:ascii="Arial" w:cs="Arial" w:eastAsia="Arial" w:hAnsi="Arial"/>
          <w:sz w:val="18"/>
          <w:szCs w:val="18"/>
          <w:color w:val="auto"/>
        </w:rPr>
        <w:t>The Issuers shall pay all transfer taxes, if any, applicable to the transfer and exchange of the Outstanding Notes to them 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order pursuant to the Exchange Offer. If, however, the Exchange Notes are delivered to or issued in the name of a person other than the registered holder, or if a transfer tax is imposed for any reason other than the transfer and exchange of Outstanding Notes to the Issuers or the Issuers’ order pursuant to the Exchange Offer, the amount of any such transfer taxes (whether imposed on the registered holder or any other person) will be payable by the tendering holder. If satisfactory evidence of payment of such taxes or exemption therefrom is not submitted herewith, the amount of such transfer taxes will be billed directly to such tendering holder.</w:t>
      </w:r>
    </w:p>
    <w:p>
      <w:pPr>
        <w:spacing w:after="0" w:line="19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Except as provided in this Instruction 6, it will not be necessary for transfer tax stamps to be affixed to the Outstanding Notes listed in this Letter of Transmittal.</w:t>
      </w:r>
    </w:p>
    <w:p>
      <w:pPr>
        <w:spacing w:after="0" w:line="166" w:lineRule="exact"/>
        <w:rPr>
          <w:sz w:val="20"/>
          <w:szCs w:val="20"/>
          <w:color w:val="auto"/>
        </w:rPr>
      </w:pPr>
    </w:p>
    <w:p>
      <w:pPr>
        <w:ind w:right="20" w:firstLine="436"/>
        <w:spacing w:after="0" w:line="282" w:lineRule="auto"/>
        <w:tabs>
          <w:tab w:leader="none" w:pos="6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r>
        <w:rPr>
          <w:rFonts w:ascii="Arial" w:cs="Arial" w:eastAsia="Arial" w:hAnsi="Arial"/>
          <w:sz w:val="18"/>
          <w:szCs w:val="18"/>
          <w:color w:val="auto"/>
        </w:rPr>
        <w:t>. The Issuers reserve the absolute right to waive, in whole or in part, any of the conditions to the Exchange Offer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Prospectus.</w:t>
      </w:r>
    </w:p>
    <w:p>
      <w:pPr>
        <w:spacing w:after="0" w:line="161" w:lineRule="exact"/>
        <w:rPr>
          <w:rFonts w:ascii="Arial" w:cs="Arial" w:eastAsia="Arial" w:hAnsi="Arial"/>
          <w:sz w:val="18"/>
          <w:szCs w:val="18"/>
          <w:b w:val="1"/>
          <w:bCs w:val="1"/>
          <w:color w:val="auto"/>
        </w:rPr>
      </w:pPr>
    </w:p>
    <w:p>
      <w:pPr>
        <w:jc w:val="both"/>
        <w:ind w:right="60" w:firstLine="436"/>
        <w:spacing w:after="0" w:line="261" w:lineRule="auto"/>
        <w:tabs>
          <w:tab w:leader="none" w:pos="6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Mutilated, Lost, Stolen or Destroyed Securities. </w:t>
      </w:r>
      <w:r>
        <w:rPr>
          <w:rFonts w:ascii="Arial" w:cs="Arial" w:eastAsia="Arial" w:hAnsi="Arial"/>
          <w:sz w:val="18"/>
          <w:szCs w:val="18"/>
          <w:color w:val="auto"/>
        </w:rPr>
        <w:t>Any holder whose Outstanding Notes have been mutilated, lost, stolen or destroyed, should</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contact the Exchange Agent at the address set forth on the first page hereof for further instructions. The holder will then be instructed as to the steps that must be taken in order to replace the certificate(s). This Letter of Transmittal and related documents cannot be processed until the procedures for replacing lost, destroyed or stolen certificate(s) have been completed.</w:t>
      </w:r>
    </w:p>
    <w:p>
      <w:pPr>
        <w:spacing w:after="0" w:line="179" w:lineRule="exact"/>
        <w:rPr>
          <w:rFonts w:ascii="Arial" w:cs="Arial" w:eastAsia="Arial" w:hAnsi="Arial"/>
          <w:sz w:val="18"/>
          <w:szCs w:val="18"/>
          <w:b w:val="1"/>
          <w:bCs w:val="1"/>
          <w:color w:val="auto"/>
        </w:rPr>
      </w:pPr>
    </w:p>
    <w:p>
      <w:pPr>
        <w:ind w:firstLine="436"/>
        <w:spacing w:after="0" w:line="273" w:lineRule="auto"/>
        <w:tabs>
          <w:tab w:leader="none" w:pos="62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Conditional Tenders; No Notice of Irregularities. </w:t>
      </w:r>
      <w:r>
        <w:rPr>
          <w:rFonts w:ascii="Arial" w:cs="Arial" w:eastAsia="Arial" w:hAnsi="Arial"/>
          <w:sz w:val="17"/>
          <w:szCs w:val="17"/>
          <w:color w:val="auto"/>
        </w:rPr>
        <w:t>No alternative, conditional, irregular or contingent tenders will be accepted. All</w:t>
      </w:r>
      <w:r>
        <w:rPr>
          <w:rFonts w:ascii="Arial" w:cs="Arial" w:eastAsia="Arial" w:hAnsi="Arial"/>
          <w:sz w:val="17"/>
          <w:szCs w:val="17"/>
          <w:b w:val="1"/>
          <w:bCs w:val="1"/>
          <w:color w:val="auto"/>
        </w:rPr>
        <w:t xml:space="preserve"> </w:t>
      </w:r>
      <w:r>
        <w:rPr>
          <w:rFonts w:ascii="Arial" w:cs="Arial" w:eastAsia="Arial" w:hAnsi="Arial"/>
          <w:sz w:val="17"/>
          <w:szCs w:val="17"/>
          <w:color w:val="auto"/>
        </w:rPr>
        <w:t>tendering holders, by execution of this Letter of Transmittal, shall waive any right to receive notice of the acceptance of their Outstanding Notes for exchange. The Issuers reserve the right, in the Issuers’ reasonable judgment, to waive any defects, irregularities or conditions of tender as to particular Outstanding Notes. The Issuers’ interpretation of the terms and conditions of the Exchange Offer (including the instructions in this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is under 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25" w:name="page126"/>
    <w:bookmarkEnd w:id="12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to give such notice nor shall they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 promptly following the Expiration Date.</w:t>
      </w:r>
    </w:p>
    <w:p>
      <w:pPr>
        <w:spacing w:after="0" w:line="183" w:lineRule="exact"/>
        <w:rPr>
          <w:sz w:val="20"/>
          <w:szCs w:val="20"/>
          <w:color w:val="auto"/>
        </w:rPr>
      </w:pPr>
    </w:p>
    <w:p>
      <w:pPr>
        <w:ind w:right="80" w:firstLine="436"/>
        <w:spacing w:after="0" w:line="266" w:lineRule="auto"/>
        <w:tabs>
          <w:tab w:leader="none" w:pos="71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Requests for Assistance or Additional Copies. </w:t>
      </w:r>
      <w:r>
        <w:rPr>
          <w:rFonts w:ascii="Arial" w:cs="Arial" w:eastAsia="Arial" w:hAnsi="Arial"/>
          <w:sz w:val="18"/>
          <w:szCs w:val="18"/>
          <w:color w:val="auto"/>
        </w:rPr>
        <w:t>Questions relating to the procedure for tendering, as well as requests for additional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Prospectus and this Letter of Transmittal, may be directed to the Exchange Agent at the address and telephone number set forth on the first page hereof.</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IMPORTANT: THIS LETTER OF TRANSMITTAL OR A FACSIMILE OR COPY THEREOF (TOGETHER WITH CERTIFICATES OF OUTSTANDING NOTES OR CONFIRMATION OF BOOK-ENTRY TRANSFER AND ALL OTHER REQUIRED DOCUMENTS) OR A NOTICE OF GUARANTEED DELIVERY MUST BE RECEIVED BY THE EXCHANGE AGENT ON OR PRIOR TO THE EXPIRATION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TAX INFORMATION</w:t>
      </w:r>
    </w:p>
    <w:p>
      <w:pPr>
        <w:spacing w:after="0" w:line="22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Under U.S. federal income tax law, a tendering holder whose Outstanding Notes are accepted for exchange may be subject to backup withholding unless the holder provides the Exchange Agent with either (i) such holder’s correct taxpayer identification number (“TIN”) on the IRS Form W-9 attached hereto, certifying (A) that the TIN provided on the IRS Form W-9 is correct (or such holder is awaiting a TIN), (B) that the holder of Outstanding Notes is not subject to backup withholding because (x) such holder of Outstanding Notes is exempt from backup withholding, (y) such holder of Outstanding Notes has not been notified by the IRS that he or she is subject to backup withholding as a result of a failure to report all interest or dividends or (z) the IRS has notified the holder of Outstanding Notes that he or she is no longer subject to backup withholding and (C) that the holder of Outstanding Notes is a U.S. person (including a U.S. resident alien); or (ii) an adequate basis for exemption from backup withholding. If such holder of Outstanding Notes is an individual, the TIN is such holder’s social security number. If the Exchange Agent is not provided with the correct TIN, the holder of Outstanding Notes may also be subject to certain penalties imposed by the IRS and any reportable payments that are made to such holder may be subject to backup withholding (see below).</w:t>
      </w:r>
    </w:p>
    <w:p>
      <w:pPr>
        <w:spacing w:after="0" w:line="18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Certain holders of Outstanding Notes (including, among others, generally all corporations and certain foreign holders) are not subject to these backup withholding and reporting requirements. However, to avoid erroneous backup withholding, exempt U.S. holders of Outstanding Notes should complete the IRS Form W-9. In order for a foreign holder to qualify as an exempt recipient, the holder must submit an IRS Form W-8BEN (or other applicable IRS Form W-8), signed under penalties of perjury, attesting to that holder’s exempt status. An IRS Form W-8BEN (or other applicable IRS Form W-8) can be obtained from the Exchange Agent or at the IRS website at www.irs.gov. Holders are encouraged to consult their own tax advisors to determine whether they are exempt from these backup withholding and reporting requirements. See the instructions to IRS Form W-9 for additional information.</w:t>
      </w:r>
    </w:p>
    <w:p>
      <w:pPr>
        <w:spacing w:after="0" w:line="19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If backup withholding applies, the Exchange Agent is required to withhold 24% of any reportable payments made to the holder of Outstanding Notes or other payee. Backup withholding is not an additional tax. Rather, the tax liability of persons subject to backup withholding will be reduced by the amount of tax withheld. If withholding results in an overpayment of taxes, a refund may be obtained from the IRS, provided the required information is furnished. The Exchange Agent cannot refund amounts withheld by reason of backup withholding.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27" w:name="page128"/>
    <w:bookmarkEnd w:id="127"/>
    <w:tbl>
      <w:tblPr>
        <w:tblLayout w:type="fixed"/>
        <w:tblInd w:w="4" w:type="dxa"/>
        <w:tblCellMar>
          <w:top w:w="0" w:type="dxa"/>
          <w:left w:w="0" w:type="dxa"/>
          <w:bottom w:w="0" w:type="dxa"/>
          <w:right w:w="0" w:type="dxa"/>
        </w:tblCellMar>
      </w:tblPr>
      <w:tr>
        <w:trPr>
          <w:trHeight w:val="442"/>
        </w:trPr>
        <w:tc>
          <w:tcPr>
            <w:tcW w:w="19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color w:val="auto"/>
              </w:rPr>
              <w:t xml:space="preserve">Form   </w:t>
            </w:r>
            <w:r>
              <w:rPr>
                <w:rFonts w:ascii="Arial" w:cs="Arial" w:eastAsia="Arial" w:hAnsi="Arial"/>
                <w:sz w:val="35"/>
                <w:szCs w:val="35"/>
                <w:color w:val="auto"/>
              </w:rPr>
              <w:t>W-9</w:t>
            </w:r>
          </w:p>
        </w:tc>
        <w:tc>
          <w:tcPr>
            <w:tcW w:w="7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9"/>
              </w:rPr>
              <w:t>Request for Taxpayer</w:t>
            </w:r>
          </w:p>
        </w:tc>
        <w:tc>
          <w:tcPr>
            <w:tcW w:w="1740" w:type="dxa"/>
            <w:vAlign w:val="bottom"/>
            <w:tcBorders>
              <w:top w:val="single" w:sz="8" w:color="auto"/>
            </w:tcBorders>
            <w:vMerge w:val="restart"/>
          </w:tcPr>
          <w:p>
            <w:pPr>
              <w:ind w:left="200"/>
              <w:spacing w:after="0"/>
              <w:rPr>
                <w:sz w:val="20"/>
                <w:szCs w:val="20"/>
                <w:color w:val="auto"/>
              </w:rPr>
            </w:pPr>
            <w:r>
              <w:rPr>
                <w:rFonts w:ascii="Arial" w:cs="Arial" w:eastAsia="Arial" w:hAnsi="Arial"/>
                <w:sz w:val="15"/>
                <w:szCs w:val="15"/>
                <w:b w:val="1"/>
                <w:bCs w:val="1"/>
                <w:color w:val="auto"/>
              </w:rPr>
              <w:t>Give Form to the</w:t>
            </w:r>
          </w:p>
        </w:tc>
        <w:tc>
          <w:tcPr>
            <w:tcW w:w="0" w:type="dxa"/>
            <w:vAlign w:val="bottom"/>
          </w:tcPr>
          <w:p>
            <w:pPr>
              <w:spacing w:after="0"/>
              <w:rPr>
                <w:sz w:val="1"/>
                <w:szCs w:val="1"/>
                <w:color w:val="auto"/>
              </w:rPr>
            </w:pPr>
          </w:p>
        </w:tc>
      </w:tr>
      <w:tr>
        <w:trPr>
          <w:trHeight w:val="165"/>
        </w:trPr>
        <w:tc>
          <w:tcPr>
            <w:tcW w:w="19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(Rev. October 2018)</w:t>
            </w:r>
          </w:p>
        </w:tc>
        <w:tc>
          <w:tcPr>
            <w:tcW w:w="7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4"/>
              </w:rPr>
              <w:t>Identification Number and Certification</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ind w:left="140"/>
              <w:spacing w:after="0" w:line="135" w:lineRule="exact"/>
              <w:rPr>
                <w:sz w:val="20"/>
                <w:szCs w:val="20"/>
                <w:color w:val="auto"/>
              </w:rPr>
            </w:pPr>
            <w:r>
              <w:rPr>
                <w:rFonts w:ascii="Arial" w:cs="Arial" w:eastAsia="Arial" w:hAnsi="Arial"/>
                <w:sz w:val="13"/>
                <w:szCs w:val="13"/>
                <w:color w:val="auto"/>
              </w:rPr>
              <w:t>Department of the Treasury</w:t>
            </w:r>
          </w:p>
        </w:tc>
        <w:tc>
          <w:tcPr>
            <w:tcW w:w="7380" w:type="dxa"/>
            <w:vAlign w:val="bottom"/>
            <w:tcBorders>
              <w:right w:val="single" w:sz="8" w:color="auto"/>
            </w:tcBorders>
            <w:vMerge w:val="continue"/>
          </w:tcPr>
          <w:p>
            <w:pPr>
              <w:spacing w:after="0"/>
              <w:rPr>
                <w:sz w:val="11"/>
                <w:szCs w:val="11"/>
                <w:color w:val="auto"/>
              </w:rPr>
            </w:pPr>
          </w:p>
        </w:tc>
        <w:tc>
          <w:tcPr>
            <w:tcW w:w="1740" w:type="dxa"/>
            <w:vAlign w:val="bottom"/>
          </w:tcPr>
          <w:p>
            <w:pPr>
              <w:ind w:left="200"/>
              <w:spacing w:after="0" w:line="135" w:lineRule="exact"/>
              <w:rPr>
                <w:sz w:val="20"/>
                <w:szCs w:val="20"/>
                <w:color w:val="auto"/>
              </w:rPr>
            </w:pPr>
            <w:r>
              <w:rPr>
                <w:rFonts w:ascii="Arial" w:cs="Arial" w:eastAsia="Arial" w:hAnsi="Arial"/>
                <w:sz w:val="15"/>
                <w:szCs w:val="15"/>
                <w:b w:val="1"/>
                <w:bCs w:val="1"/>
                <w:color w:val="auto"/>
              </w:rPr>
              <w:t>requester. Do not</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3"/>
                <w:szCs w:val="13"/>
                <w:color w:val="auto"/>
              </w:rPr>
              <w:t>Internal Revenue Service</w:t>
            </w:r>
          </w:p>
        </w:tc>
        <w:tc>
          <w:tcPr>
            <w:tcW w:w="7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 xml:space="preserve">u </w:t>
            </w:r>
            <w:r>
              <w:rPr>
                <w:rFonts w:ascii="Arial" w:cs="Arial" w:eastAsia="Arial" w:hAnsi="Arial"/>
                <w:sz w:val="14"/>
                <w:szCs w:val="14"/>
                <w:b w:val="1"/>
                <w:bCs w:val="1"/>
                <w:color w:val="auto"/>
                <w:w w:val="92"/>
              </w:rPr>
              <w:t>Go to</w:t>
            </w:r>
            <w:r>
              <w:rPr>
                <w:rFonts w:ascii="Arial" w:cs="Arial" w:eastAsia="Arial" w:hAnsi="Arial"/>
                <w:sz w:val="11"/>
                <w:szCs w:val="11"/>
                <w:color w:val="auto"/>
                <w:w w:val="92"/>
              </w:rPr>
              <w:t xml:space="preserve"> </w:t>
            </w:r>
            <w:r>
              <w:rPr>
                <w:rFonts w:ascii="Arial" w:cs="Arial" w:eastAsia="Arial" w:hAnsi="Arial"/>
                <w:sz w:val="14"/>
                <w:szCs w:val="14"/>
                <w:b w:val="1"/>
                <w:bCs w:val="1"/>
                <w:i w:val="1"/>
                <w:iCs w:val="1"/>
                <w:color w:val="auto"/>
                <w:w w:val="92"/>
              </w:rPr>
              <w:t>www.irs.gov/FormW9</w:t>
            </w:r>
            <w:r>
              <w:rPr>
                <w:rFonts w:ascii="Arial" w:cs="Arial" w:eastAsia="Arial" w:hAnsi="Arial"/>
                <w:sz w:val="11"/>
                <w:szCs w:val="11"/>
                <w:color w:val="auto"/>
                <w:w w:val="92"/>
              </w:rPr>
              <w:t xml:space="preserve"> </w:t>
            </w:r>
            <w:r>
              <w:rPr>
                <w:rFonts w:ascii="Arial" w:cs="Arial" w:eastAsia="Arial" w:hAnsi="Arial"/>
                <w:sz w:val="14"/>
                <w:szCs w:val="14"/>
                <w:b w:val="1"/>
                <w:bCs w:val="1"/>
                <w:color w:val="auto"/>
                <w:w w:val="92"/>
              </w:rPr>
              <w:t>for instructions and the latest information.</w:t>
            </w:r>
          </w:p>
        </w:tc>
        <w:tc>
          <w:tcPr>
            <w:tcW w:w="174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send to the IRS.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6995160" cy="23914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90">
                      <a:extLst>
                        <a:ext uri="{28A0092B-C50C-407E-A947-70E740481C1C}"/>
                      </a:extLst>
                    </a:blip>
                    <a:srcRect/>
                    <a:stretch>
                      <a:fillRect/>
                    </a:stretch>
                  </pic:blipFill>
                  <pic:spPr bwMode="auto">
                    <a:xfrm>
                      <a:off x="0" y="0"/>
                      <a:ext cx="6995160" cy="2391410"/>
                    </a:xfrm>
                    <a:prstGeom prst="rect">
                      <a:avLst/>
                    </a:prstGeom>
                    <a:noFill/>
                  </pic:spPr>
                </pic:pic>
              </a:graphicData>
            </a:graphic>
          </wp:anchor>
        </w:drawing>
      </w:r>
    </w:p>
    <w:p>
      <w:pPr>
        <w:ind w:left="884"/>
        <w:spacing w:after="0"/>
        <w:rPr>
          <w:sz w:val="20"/>
          <w:szCs w:val="20"/>
          <w:color w:val="auto"/>
        </w:rPr>
      </w:pPr>
      <w:r>
        <w:rPr>
          <w:rFonts w:ascii="Arial" w:cs="Arial" w:eastAsia="Arial" w:hAnsi="Arial"/>
          <w:sz w:val="13"/>
          <w:szCs w:val="13"/>
          <w:b w:val="1"/>
          <w:bCs w:val="1"/>
          <w:color w:val="auto"/>
        </w:rPr>
        <w:t>1</w:t>
      </w:r>
      <w:r>
        <w:rPr>
          <w:rFonts w:ascii="Arial" w:cs="Arial" w:eastAsia="Arial" w:hAnsi="Arial"/>
          <w:sz w:val="13"/>
          <w:szCs w:val="13"/>
          <w:color w:val="auto"/>
        </w:rPr>
        <w:t xml:space="preserve">   Name (as shown on your income tax return). Name is required on this line; do not leave this line blank.</w:t>
      </w:r>
    </w:p>
    <w:p>
      <w:pPr>
        <w:spacing w:after="0" w:line="162" w:lineRule="exact"/>
        <w:rPr>
          <w:sz w:val="20"/>
          <w:szCs w:val="20"/>
          <w:color w:val="auto"/>
        </w:rPr>
      </w:pPr>
    </w:p>
    <w:p>
      <w:pPr>
        <w:ind w:left="884"/>
        <w:spacing w:after="0"/>
        <w:rPr>
          <w:sz w:val="20"/>
          <w:szCs w:val="20"/>
          <w:color w:val="auto"/>
        </w:rPr>
      </w:pPr>
      <w:r>
        <w:rPr>
          <w:rFonts w:ascii="Arial" w:cs="Arial" w:eastAsia="Arial" w:hAnsi="Arial"/>
          <w:sz w:val="13"/>
          <w:szCs w:val="13"/>
          <w:b w:val="1"/>
          <w:bCs w:val="1"/>
          <w:color w:val="auto"/>
        </w:rPr>
        <w:t>2</w:t>
      </w:r>
      <w:r>
        <w:rPr>
          <w:rFonts w:ascii="Arial" w:cs="Arial" w:eastAsia="Arial" w:hAnsi="Arial"/>
          <w:sz w:val="13"/>
          <w:szCs w:val="13"/>
          <w:color w:val="auto"/>
        </w:rPr>
        <w:t xml:space="preserve">   Business name/disregarded entity name, if different from above</w:t>
      </w:r>
    </w:p>
    <w:p>
      <w:pPr>
        <w:spacing w:after="0" w:line="154" w:lineRule="exact"/>
        <w:rPr>
          <w:sz w:val="20"/>
          <w:szCs w:val="20"/>
          <w:color w:val="auto"/>
        </w:rPr>
      </w:pPr>
    </w:p>
    <w:tbl>
      <w:tblPr>
        <w:tblLayout w:type="fixed"/>
        <w:tblInd w:w="144" w:type="dxa"/>
        <w:tblCellMar>
          <w:top w:w="0" w:type="dxa"/>
          <w:left w:w="0" w:type="dxa"/>
          <w:bottom w:w="0" w:type="dxa"/>
          <w:right w:w="0" w:type="dxa"/>
        </w:tblCellMar>
      </w:tblPr>
      <w:tr>
        <w:trPr>
          <w:trHeight w:val="134"/>
        </w:trPr>
        <w:tc>
          <w:tcPr>
            <w:tcW w:w="680" w:type="dxa"/>
            <w:vAlign w:val="bottom"/>
          </w:tcPr>
          <w:p>
            <w:pPr>
              <w:spacing w:after="0"/>
              <w:rPr>
                <w:sz w:val="11"/>
                <w:szCs w:val="11"/>
                <w:color w:val="auto"/>
              </w:rPr>
            </w:pPr>
          </w:p>
        </w:tc>
        <w:tc>
          <w:tcPr>
            <w:tcW w:w="6440" w:type="dxa"/>
            <w:vAlign w:val="bottom"/>
            <w:tcBorders>
              <w:top w:val="single" w:sz="8" w:color="auto"/>
            </w:tcBorders>
            <w:gridSpan w:val="6"/>
            <w:vMerge w:val="restart"/>
          </w:tcPr>
          <w:p>
            <w:pPr>
              <w:ind w:left="60"/>
              <w:spacing w:after="0"/>
              <w:rPr>
                <w:sz w:val="20"/>
                <w:szCs w:val="20"/>
                <w:color w:val="auto"/>
              </w:rPr>
            </w:pPr>
            <w:r>
              <w:rPr>
                <w:rFonts w:ascii="Arial" w:cs="Arial" w:eastAsia="Arial" w:hAnsi="Arial"/>
                <w:sz w:val="13"/>
                <w:szCs w:val="13"/>
                <w:b w:val="1"/>
                <w:bCs w:val="1"/>
                <w:color w:val="auto"/>
                <w:w w:val="98"/>
              </w:rPr>
              <w:t>3</w:t>
            </w:r>
            <w:r>
              <w:rPr>
                <w:rFonts w:ascii="Arial" w:cs="Arial" w:eastAsia="Arial" w:hAnsi="Arial"/>
                <w:sz w:val="13"/>
                <w:szCs w:val="13"/>
                <w:color w:val="auto"/>
                <w:w w:val="98"/>
              </w:rPr>
              <w:t>  Check appropriate box for federal tax classification of the person whose name is entered on line 1. Check only</w:t>
            </w:r>
          </w:p>
        </w:tc>
        <w:tc>
          <w:tcPr>
            <w:tcW w:w="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4"/>
          </w:tcPr>
          <w:p>
            <w:pPr>
              <w:ind w:left="600"/>
              <w:spacing w:after="0" w:line="134" w:lineRule="exact"/>
              <w:rPr>
                <w:sz w:val="20"/>
                <w:szCs w:val="20"/>
                <w:color w:val="auto"/>
              </w:rPr>
            </w:pPr>
            <w:r>
              <w:rPr>
                <w:rFonts w:ascii="Arial" w:cs="Arial" w:eastAsia="Arial" w:hAnsi="Arial"/>
                <w:sz w:val="13"/>
                <w:szCs w:val="13"/>
                <w:b w:val="1"/>
                <w:bCs w:val="1"/>
                <w:color w:val="auto"/>
                <w:w w:val="93"/>
              </w:rPr>
              <w:t xml:space="preserve">4 </w:t>
            </w:r>
            <w:r>
              <w:rPr>
                <w:rFonts w:ascii="Arial" w:cs="Arial" w:eastAsia="Arial" w:hAnsi="Arial"/>
                <w:sz w:val="13"/>
                <w:szCs w:val="13"/>
                <w:color w:val="auto"/>
                <w:w w:val="93"/>
              </w:rPr>
              <w:t>Exemptions (codes apply only 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644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80" w:type="dxa"/>
            <w:vAlign w:val="bottom"/>
            <w:gridSpan w:val="4"/>
            <w:vMerge w:val="restart"/>
          </w:tcPr>
          <w:p>
            <w:pPr>
              <w:ind w:left="600"/>
              <w:spacing w:after="0" w:line="135" w:lineRule="exact"/>
              <w:rPr>
                <w:sz w:val="20"/>
                <w:szCs w:val="20"/>
                <w:color w:val="auto"/>
              </w:rPr>
            </w:pPr>
            <w:r>
              <w:rPr>
                <w:rFonts w:ascii="Arial" w:cs="Arial" w:eastAsia="Arial" w:hAnsi="Arial"/>
                <w:sz w:val="13"/>
                <w:szCs w:val="13"/>
                <w:color w:val="auto"/>
                <w:w w:val="92"/>
              </w:rPr>
              <w:t>certain entities, not individuals; see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Arial" w:cs="Arial" w:eastAsia="Arial" w:hAnsi="Arial"/>
                <w:sz w:val="13"/>
                <w:szCs w:val="13"/>
                <w:color w:val="auto"/>
              </w:rPr>
              <w:t>one of the following seven boxes.</w:t>
            </w:r>
          </w:p>
        </w:tc>
        <w:tc>
          <w:tcPr>
            <w:tcW w:w="1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380" w:type="dxa"/>
            <w:vAlign w:val="bottom"/>
            <w:vMerge w:val="restart"/>
          </w:tcPr>
          <w:p>
            <w:pPr>
              <w:ind w:left="18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C Corporation</w:t>
            </w:r>
          </w:p>
        </w:tc>
        <w:tc>
          <w:tcPr>
            <w:tcW w:w="1340" w:type="dxa"/>
            <w:vAlign w:val="bottom"/>
            <w:vMerge w:val="restart"/>
          </w:tcPr>
          <w:p>
            <w:pPr>
              <w:ind w:left="1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S Corporation</w:t>
            </w:r>
          </w:p>
        </w:tc>
        <w:tc>
          <w:tcPr>
            <w:tcW w:w="1220" w:type="dxa"/>
            <w:vAlign w:val="bottom"/>
            <w:vMerge w:val="restart"/>
          </w:tcPr>
          <w:p>
            <w:pPr>
              <w:ind w:left="1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Partnership</w:t>
            </w:r>
          </w:p>
        </w:tc>
        <w:tc>
          <w:tcPr>
            <w:tcW w:w="160" w:type="dxa"/>
            <w:vAlign w:val="bottom"/>
          </w:tcPr>
          <w:p>
            <w:pPr>
              <w:spacing w:after="0"/>
              <w:rPr>
                <w:sz w:val="10"/>
                <w:szCs w:val="10"/>
                <w:color w:val="auto"/>
              </w:rPr>
            </w:pPr>
          </w:p>
        </w:tc>
        <w:tc>
          <w:tcPr>
            <w:tcW w:w="26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Trust/estate</w:t>
            </w:r>
          </w:p>
        </w:tc>
        <w:tc>
          <w:tcPr>
            <w:tcW w:w="2480" w:type="dxa"/>
            <w:vAlign w:val="bottom"/>
            <w:gridSpan w:val="4"/>
          </w:tcPr>
          <w:p>
            <w:pPr>
              <w:ind w:left="600"/>
              <w:spacing w:after="0" w:line="123" w:lineRule="exact"/>
              <w:rPr>
                <w:sz w:val="20"/>
                <w:szCs w:val="20"/>
                <w:color w:val="auto"/>
              </w:rPr>
            </w:pPr>
            <w:r>
              <w:rPr>
                <w:rFonts w:ascii="Arial" w:cs="Arial" w:eastAsia="Arial" w:hAnsi="Arial"/>
                <w:sz w:val="13"/>
                <w:szCs w:val="13"/>
                <w:color w:val="auto"/>
              </w:rPr>
              <w:t>instructions on page 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080" w:type="dxa"/>
            <w:vAlign w:val="bottom"/>
          </w:tcPr>
          <w:p>
            <w:pPr>
              <w:ind w:left="60"/>
              <w:spacing w:after="0" w:line="124"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lndividual/sole proprietor or</w:t>
            </w:r>
          </w:p>
        </w:tc>
        <w:tc>
          <w:tcPr>
            <w:tcW w:w="13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jc w:val="center"/>
              <w:spacing w:after="0"/>
              <w:rPr>
                <w:sz w:val="20"/>
                <w:szCs w:val="20"/>
                <w:color w:val="auto"/>
              </w:rPr>
            </w:pPr>
            <w:r>
              <w:rPr>
                <w:rFonts w:ascii="Arial" w:cs="Arial" w:eastAsia="Arial" w:hAnsi="Arial"/>
                <w:sz w:val="14"/>
                <w:szCs w:val="14"/>
                <w:color w:val="auto"/>
                <w:w w:val="97"/>
              </w:rPr>
              <w:t>Print or</w:t>
            </w:r>
          </w:p>
        </w:tc>
        <w:tc>
          <w:tcPr>
            <w:tcW w:w="2080" w:type="dxa"/>
            <w:vAlign w:val="bottom"/>
          </w:tcPr>
          <w:p>
            <w:pPr>
              <w:ind w:left="340"/>
              <w:spacing w:after="0"/>
              <w:rPr>
                <w:sz w:val="20"/>
                <w:szCs w:val="20"/>
                <w:color w:val="auto"/>
              </w:rPr>
            </w:pPr>
            <w:r>
              <w:rPr>
                <w:rFonts w:ascii="Arial" w:cs="Arial" w:eastAsia="Arial" w:hAnsi="Arial"/>
                <w:sz w:val="13"/>
                <w:szCs w:val="13"/>
                <w:color w:val="auto"/>
              </w:rPr>
              <w:t>single-member LLC</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gridSpan w:val="4"/>
            <w:vMerge w:val="restart"/>
          </w:tcPr>
          <w:p>
            <w:pPr>
              <w:ind w:left="600"/>
              <w:spacing w:after="0"/>
              <w:rPr>
                <w:sz w:val="20"/>
                <w:szCs w:val="20"/>
                <w:color w:val="auto"/>
              </w:rPr>
            </w:pPr>
            <w:r>
              <w:rPr>
                <w:rFonts w:ascii="Arial" w:cs="Arial" w:eastAsia="Arial" w:hAnsi="Arial"/>
                <w:sz w:val="13"/>
                <w:szCs w:val="13"/>
                <w:color w:val="auto"/>
              </w:rPr>
              <w:t>Exempt payee code (if any)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0"/>
              </w:rPr>
              <w:t>type</w:t>
            </w:r>
          </w:p>
        </w:tc>
        <w:tc>
          <w:tcPr>
            <w:tcW w:w="6020" w:type="dxa"/>
            <w:vAlign w:val="bottom"/>
            <w:gridSpan w:val="4"/>
            <w:vMerge w:val="restart"/>
          </w:tcPr>
          <w:p>
            <w:pPr>
              <w:ind w:left="60"/>
              <w:spacing w:after="0" w:line="173" w:lineRule="exact"/>
              <w:rPr>
                <w:sz w:val="20"/>
                <w:szCs w:val="20"/>
                <w:color w:val="auto"/>
              </w:rPr>
            </w:pPr>
            <w:r>
              <w:rPr>
                <w:rFonts w:ascii="MS PGothic" w:cs="MS PGothic" w:eastAsia="MS PGothic" w:hAnsi="MS PGothic"/>
                <w:sz w:val="15"/>
                <w:szCs w:val="15"/>
                <w:color w:val="auto"/>
                <w:w w:val="96"/>
              </w:rPr>
              <w:t>☐</w:t>
            </w:r>
            <w:r>
              <w:rPr>
                <w:rFonts w:ascii="Arial" w:cs="Arial" w:eastAsia="Arial" w:hAnsi="Arial"/>
                <w:sz w:val="13"/>
                <w:szCs w:val="13"/>
                <w:color w:val="auto"/>
                <w:w w:val="96"/>
              </w:rPr>
              <w:t xml:space="preserve"> Limited liability company. Enter the tax classification (C=C corporation, S=S corporation, P=partnership)</w:t>
            </w: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6020" w:type="dxa"/>
            <w:vAlign w:val="bottom"/>
            <w:gridSpan w:val="4"/>
            <w:vMerge w:val="continue"/>
          </w:tcPr>
          <w:p>
            <w:pPr>
              <w:spacing w:after="0"/>
              <w:rPr>
                <w:sz w:val="10"/>
                <w:szCs w:val="10"/>
                <w:color w:val="auto"/>
              </w:rPr>
            </w:pPr>
          </w:p>
        </w:tc>
        <w:tc>
          <w:tcPr>
            <w:tcW w:w="160" w:type="dxa"/>
            <w:vAlign w:val="bottom"/>
          </w:tcPr>
          <w:p>
            <w:pPr>
              <w:ind w:left="40"/>
              <w:spacing w:after="0"/>
              <w:rPr>
                <w:sz w:val="20"/>
                <w:szCs w:val="20"/>
                <w:color w:val="auto"/>
              </w:rPr>
            </w:pPr>
            <w:r>
              <w:rPr>
                <w:rFonts w:ascii="Arial" w:cs="Arial" w:eastAsia="Arial" w:hAnsi="Arial"/>
                <w:sz w:val="10"/>
                <w:szCs w:val="10"/>
                <w:color w:val="auto"/>
              </w:rPr>
              <w:t>u</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80" w:type="dxa"/>
            <w:vAlign w:val="bottom"/>
          </w:tcPr>
          <w:p>
            <w:pPr>
              <w:jc w:val="center"/>
              <w:spacing w:after="0" w:line="76" w:lineRule="exact"/>
              <w:rPr>
                <w:sz w:val="20"/>
                <w:szCs w:val="20"/>
                <w:color w:val="auto"/>
              </w:rPr>
            </w:pPr>
            <w:r>
              <w:rPr>
                <w:rFonts w:ascii="Arial" w:cs="Arial" w:eastAsia="Arial" w:hAnsi="Arial"/>
                <w:sz w:val="8"/>
                <w:szCs w:val="8"/>
                <w:color w:val="auto"/>
              </w:rPr>
              <w:t>See</w:t>
            </w:r>
          </w:p>
        </w:tc>
        <w:tc>
          <w:tcPr>
            <w:tcW w:w="644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Note</w:t>
            </w:r>
            <w:r>
              <w:rPr>
                <w:rFonts w:ascii="Arial" w:cs="Arial" w:eastAsia="Arial" w:hAnsi="Arial"/>
                <w:sz w:val="13"/>
                <w:szCs w:val="13"/>
                <w:color w:val="auto"/>
              </w:rPr>
              <w:t>: Check the appropriate box in the line above for the tax classification of the single-member owner. Do not</w:t>
            </w:r>
          </w:p>
        </w:tc>
        <w:tc>
          <w:tcPr>
            <w:tcW w:w="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80" w:type="dxa"/>
            <w:vAlign w:val="bottom"/>
            <w:gridSpan w:val="4"/>
            <w:vMerge w:val="restart"/>
          </w:tcPr>
          <w:p>
            <w:pPr>
              <w:ind w:left="600"/>
              <w:spacing w:after="0"/>
              <w:rPr>
                <w:sz w:val="20"/>
                <w:szCs w:val="20"/>
                <w:color w:val="auto"/>
              </w:rPr>
            </w:pPr>
            <w:r>
              <w:rPr>
                <w:rFonts w:ascii="Arial" w:cs="Arial" w:eastAsia="Arial" w:hAnsi="Arial"/>
                <w:sz w:val="13"/>
                <w:szCs w:val="13"/>
                <w:color w:val="auto"/>
                <w:w w:val="96"/>
              </w:rPr>
              <w:t>Exemption from FATCA reporting</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680" w:type="dxa"/>
            <w:vAlign w:val="bottom"/>
          </w:tcPr>
          <w:p>
            <w:pPr>
              <w:jc w:val="center"/>
              <w:spacing w:after="0" w:line="141" w:lineRule="exact"/>
              <w:rPr>
                <w:sz w:val="20"/>
                <w:szCs w:val="20"/>
                <w:color w:val="auto"/>
              </w:rPr>
            </w:pPr>
            <w:r>
              <w:rPr>
                <w:rFonts w:ascii="Arial" w:cs="Arial" w:eastAsia="Arial" w:hAnsi="Arial"/>
                <w:sz w:val="14"/>
                <w:szCs w:val="14"/>
                <w:color w:val="auto"/>
                <w:w w:val="97"/>
              </w:rPr>
              <w:t>Specific</w:t>
            </w:r>
          </w:p>
        </w:tc>
        <w:tc>
          <w:tcPr>
            <w:tcW w:w="64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Instructions</w:t>
            </w:r>
          </w:p>
        </w:tc>
        <w:tc>
          <w:tcPr>
            <w:tcW w:w="6440" w:type="dxa"/>
            <w:vAlign w:val="bottom"/>
            <w:gridSpan w:val="6"/>
            <w:vMerge w:val="restart"/>
          </w:tcPr>
          <w:p>
            <w:pPr>
              <w:ind w:left="60"/>
              <w:spacing w:after="0"/>
              <w:rPr>
                <w:sz w:val="20"/>
                <w:szCs w:val="20"/>
                <w:color w:val="auto"/>
              </w:rPr>
            </w:pPr>
            <w:r>
              <w:rPr>
                <w:rFonts w:ascii="Arial" w:cs="Arial" w:eastAsia="Arial" w:hAnsi="Arial"/>
                <w:sz w:val="13"/>
                <w:szCs w:val="13"/>
                <w:color w:val="auto"/>
                <w:w w:val="99"/>
              </w:rPr>
              <w:t>check LLC if the LLC is classified as a single-member LLC that is disregarded from the owner unless the owner</w:t>
            </w: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Arial" w:cs="Arial" w:eastAsia="Arial" w:hAnsi="Arial"/>
                <w:sz w:val="13"/>
                <w:szCs w:val="13"/>
                <w:color w:val="auto"/>
                <w:w w:val="92"/>
              </w:rPr>
              <w:t>code (if any)</w:t>
            </w:r>
          </w:p>
        </w:tc>
        <w:tc>
          <w:tcPr>
            <w:tcW w:w="1180" w:type="dxa"/>
            <w:vAlign w:val="bottom"/>
            <w:tcBorders>
              <w:bottom w:val="single" w:sz="8" w:color="auto"/>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680" w:type="dxa"/>
            <w:vAlign w:val="bottom"/>
            <w:vMerge w:val="continue"/>
          </w:tcPr>
          <w:p>
            <w:pPr>
              <w:spacing w:after="0"/>
              <w:rPr>
                <w:sz w:val="2"/>
                <w:szCs w:val="2"/>
                <w:color w:val="auto"/>
              </w:rPr>
            </w:pPr>
          </w:p>
        </w:tc>
        <w:tc>
          <w:tcPr>
            <w:tcW w:w="6440" w:type="dxa"/>
            <w:vAlign w:val="bottom"/>
            <w:gridSpan w:val="6"/>
            <w:vMerge w:val="continue"/>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680" w:type="dxa"/>
            <w:vAlign w:val="bottom"/>
          </w:tcPr>
          <w:p>
            <w:pPr>
              <w:jc w:val="center"/>
              <w:spacing w:after="0" w:line="137" w:lineRule="exact"/>
              <w:rPr>
                <w:sz w:val="20"/>
                <w:szCs w:val="20"/>
                <w:color w:val="auto"/>
              </w:rPr>
            </w:pPr>
            <w:r>
              <w:rPr>
                <w:rFonts w:ascii="Arial" w:cs="Arial" w:eastAsia="Arial" w:hAnsi="Arial"/>
                <w:sz w:val="14"/>
                <w:szCs w:val="14"/>
                <w:color w:val="auto"/>
                <w:w w:val="90"/>
              </w:rPr>
              <w:t>on page 3.</w:t>
            </w:r>
          </w:p>
        </w:tc>
        <w:tc>
          <w:tcPr>
            <w:tcW w:w="6020" w:type="dxa"/>
            <w:vAlign w:val="bottom"/>
            <w:gridSpan w:val="4"/>
          </w:tcPr>
          <w:p>
            <w:pPr>
              <w:ind w:left="60"/>
              <w:spacing w:after="0" w:line="136" w:lineRule="exact"/>
              <w:rPr>
                <w:sz w:val="20"/>
                <w:szCs w:val="20"/>
                <w:color w:val="auto"/>
              </w:rPr>
            </w:pPr>
            <w:r>
              <w:rPr>
                <w:rFonts w:ascii="Arial" w:cs="Arial" w:eastAsia="Arial" w:hAnsi="Arial"/>
                <w:sz w:val="13"/>
                <w:szCs w:val="13"/>
                <w:color w:val="auto"/>
                <w:w w:val="95"/>
              </w:rPr>
              <w:t xml:space="preserve">of the LLC is another LLC that is </w:t>
            </w:r>
            <w:r>
              <w:rPr>
                <w:rFonts w:ascii="Arial" w:cs="Arial" w:eastAsia="Arial" w:hAnsi="Arial"/>
                <w:sz w:val="13"/>
                <w:szCs w:val="13"/>
                <w:b w:val="1"/>
                <w:bCs w:val="1"/>
                <w:color w:val="auto"/>
                <w:w w:val="95"/>
              </w:rPr>
              <w:t>not</w:t>
            </w:r>
            <w:r>
              <w:rPr>
                <w:rFonts w:ascii="Arial" w:cs="Arial" w:eastAsia="Arial" w:hAnsi="Arial"/>
                <w:sz w:val="13"/>
                <w:szCs w:val="13"/>
                <w:color w:val="auto"/>
                <w:w w:val="95"/>
              </w:rPr>
              <w:t xml:space="preserve"> disregarded from the owner for U.S. federal tax purposes. Otherwise, a</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6440" w:type="dxa"/>
            <w:vAlign w:val="bottom"/>
            <w:gridSpan w:val="6"/>
          </w:tcPr>
          <w:p>
            <w:pPr>
              <w:ind w:left="60"/>
              <w:spacing w:after="0" w:line="137" w:lineRule="exact"/>
              <w:rPr>
                <w:sz w:val="20"/>
                <w:szCs w:val="20"/>
                <w:color w:val="auto"/>
              </w:rPr>
            </w:pPr>
            <w:r>
              <w:rPr>
                <w:rFonts w:ascii="Arial" w:cs="Arial" w:eastAsia="Arial" w:hAnsi="Arial"/>
                <w:sz w:val="13"/>
                <w:szCs w:val="13"/>
                <w:color w:val="auto"/>
                <w:w w:val="98"/>
              </w:rPr>
              <w:t>single-member LLC that is disregarded from the owner should check the appropriate box for the tax classification</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80" w:type="dxa"/>
            <w:vAlign w:val="bottom"/>
            <w:gridSpan w:val="4"/>
          </w:tcPr>
          <w:p>
            <w:pPr>
              <w:ind w:left="600"/>
              <w:spacing w:after="0" w:line="137" w:lineRule="exact"/>
              <w:rPr>
                <w:sz w:val="20"/>
                <w:szCs w:val="20"/>
                <w:color w:val="auto"/>
              </w:rPr>
            </w:pPr>
            <w:r>
              <w:rPr>
                <w:rFonts w:ascii="Arial" w:cs="Arial" w:eastAsia="Arial" w:hAnsi="Arial"/>
                <w:sz w:val="13"/>
                <w:szCs w:val="13"/>
                <w:i w:val="1"/>
                <w:iCs w:val="1"/>
                <w:color w:val="auto"/>
              </w:rPr>
              <w:t>(Applies to accounts maintained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2080" w:type="dxa"/>
            <w:vAlign w:val="bottom"/>
          </w:tcPr>
          <w:p>
            <w:pPr>
              <w:ind w:left="60"/>
              <w:spacing w:after="0"/>
              <w:rPr>
                <w:sz w:val="20"/>
                <w:szCs w:val="20"/>
                <w:color w:val="auto"/>
              </w:rPr>
            </w:pPr>
            <w:r>
              <w:rPr>
                <w:rFonts w:ascii="Arial" w:cs="Arial" w:eastAsia="Arial" w:hAnsi="Arial"/>
                <w:sz w:val="13"/>
                <w:szCs w:val="13"/>
                <w:color w:val="auto"/>
              </w:rPr>
              <w:t>of its owner.</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gridSpan w:val="4"/>
          </w:tcPr>
          <w:p>
            <w:pPr>
              <w:ind w:left="600"/>
              <w:spacing w:after="0"/>
              <w:rPr>
                <w:sz w:val="20"/>
                <w:szCs w:val="20"/>
                <w:color w:val="auto"/>
              </w:rPr>
            </w:pPr>
            <w:r>
              <w:rPr>
                <w:rFonts w:ascii="Arial" w:cs="Arial" w:eastAsia="Arial" w:hAnsi="Arial"/>
                <w:sz w:val="13"/>
                <w:szCs w:val="13"/>
                <w:i w:val="1"/>
                <w:iCs w:val="1"/>
                <w:color w:val="auto"/>
              </w:rPr>
              <w:t>outside the U.S.)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064" w:hanging="173"/>
        <w:spacing w:after="0"/>
        <w:tabs>
          <w:tab w:leader="none" w:pos="1064" w:val="left"/>
        </w:tabs>
        <w:numPr>
          <w:ilvl w:val="0"/>
          <w:numId w:val="97"/>
        </w:numPr>
        <w:rPr>
          <w:rFonts w:ascii="MS PGothic" w:cs="MS PGothic" w:eastAsia="MS PGothic" w:hAnsi="MS PGothic"/>
          <w:sz w:val="15"/>
          <w:szCs w:val="15"/>
          <w:color w:val="auto"/>
        </w:rPr>
      </w:pPr>
      <w:r>
        <w:rPr>
          <w:rFonts w:ascii="Arial" w:cs="Arial" w:eastAsia="Arial" w:hAnsi="Arial"/>
          <w:sz w:val="13"/>
          <w:szCs w:val="13"/>
          <w:color w:val="auto"/>
        </w:rPr>
        <w:t xml:space="preserve">Other (see instructions) </w:t>
      </w:r>
      <w:r>
        <w:rPr>
          <w:rFonts w:ascii="Arial" w:cs="Arial" w:eastAsia="Arial" w:hAnsi="Arial"/>
          <w:sz w:val="10"/>
          <w:szCs w:val="10"/>
          <w:color w:val="auto"/>
        </w:rPr>
        <w:t>u</w:t>
      </w:r>
    </w:p>
    <w:p>
      <w:pPr>
        <w:spacing w:after="0" w:line="100" w:lineRule="exact"/>
        <w:rPr>
          <w:sz w:val="20"/>
          <w:szCs w:val="20"/>
          <w:color w:val="auto"/>
        </w:rPr>
      </w:pPr>
    </w:p>
    <w:tbl>
      <w:tblPr>
        <w:tblLayout w:type="fixed"/>
        <w:tblInd w:w="884" w:type="dxa"/>
        <w:tblCellMar>
          <w:top w:w="0" w:type="dxa"/>
          <w:left w:w="0" w:type="dxa"/>
          <w:bottom w:w="0" w:type="dxa"/>
          <w:right w:w="0" w:type="dxa"/>
        </w:tblCellMar>
      </w:tblPr>
      <w:tr>
        <w:trPr>
          <w:trHeight w:val="213"/>
        </w:trPr>
        <w:tc>
          <w:tcPr>
            <w:tcW w:w="4400" w:type="dxa"/>
            <w:vAlign w:val="bottom"/>
          </w:tcPr>
          <w:p>
            <w:pPr>
              <w:spacing w:after="0"/>
              <w:rPr>
                <w:sz w:val="20"/>
                <w:szCs w:val="20"/>
                <w:color w:val="auto"/>
              </w:rPr>
            </w:pPr>
            <w:r>
              <w:rPr>
                <w:rFonts w:ascii="Arial" w:cs="Arial" w:eastAsia="Arial" w:hAnsi="Arial"/>
                <w:sz w:val="13"/>
                <w:szCs w:val="13"/>
                <w:b w:val="1"/>
                <w:bCs w:val="1"/>
                <w:color w:val="auto"/>
              </w:rPr>
              <w:t xml:space="preserve">5 </w:t>
            </w:r>
            <w:r>
              <w:rPr>
                <w:rFonts w:ascii="Arial" w:cs="Arial" w:eastAsia="Arial" w:hAnsi="Arial"/>
                <w:sz w:val="13"/>
                <w:szCs w:val="13"/>
                <w:color w:val="auto"/>
              </w:rPr>
              <w:t>Address (number, street, and apt. or suite no.) See instructions.</w:t>
            </w:r>
          </w:p>
        </w:tc>
        <w:tc>
          <w:tcPr>
            <w:tcW w:w="3100" w:type="dxa"/>
            <w:vAlign w:val="bottom"/>
          </w:tcPr>
          <w:p>
            <w:pPr>
              <w:ind w:left="900"/>
              <w:spacing w:after="0"/>
              <w:rPr>
                <w:sz w:val="20"/>
                <w:szCs w:val="20"/>
                <w:color w:val="auto"/>
              </w:rPr>
            </w:pPr>
            <w:r>
              <w:rPr>
                <w:rFonts w:ascii="Arial" w:cs="Arial" w:eastAsia="Arial" w:hAnsi="Arial"/>
                <w:sz w:val="13"/>
                <w:szCs w:val="13"/>
                <w:color w:val="auto"/>
                <w:w w:val="91"/>
              </w:rPr>
              <w:t>Requester’s name and address (optional)</w:t>
            </w:r>
          </w:p>
        </w:tc>
      </w:tr>
    </w:tbl>
    <w:p>
      <w:pPr>
        <w:spacing w:after="0" w:line="190" w:lineRule="exact"/>
        <w:rPr>
          <w:sz w:val="20"/>
          <w:szCs w:val="20"/>
          <w:color w:val="auto"/>
        </w:rPr>
      </w:pPr>
    </w:p>
    <w:p>
      <w:pPr>
        <w:ind w:left="884"/>
        <w:spacing w:after="0"/>
        <w:rPr>
          <w:sz w:val="20"/>
          <w:szCs w:val="20"/>
          <w:color w:val="auto"/>
        </w:rPr>
      </w:pPr>
      <w:r>
        <w:rPr>
          <w:rFonts w:ascii="Arial" w:cs="Arial" w:eastAsia="Arial" w:hAnsi="Arial"/>
          <w:sz w:val="13"/>
          <w:szCs w:val="13"/>
          <w:b w:val="1"/>
          <w:bCs w:val="1"/>
          <w:color w:val="auto"/>
        </w:rPr>
        <w:t xml:space="preserve">6 </w:t>
      </w:r>
      <w:r>
        <w:rPr>
          <w:rFonts w:ascii="Arial" w:cs="Arial" w:eastAsia="Arial" w:hAnsi="Arial"/>
          <w:sz w:val="13"/>
          <w:szCs w:val="13"/>
          <w:color w:val="auto"/>
        </w:rPr>
        <w:t>City, state, and ZIP code</w:t>
      </w:r>
    </w:p>
    <w:p>
      <w:pPr>
        <w:spacing w:after="0" w:line="215" w:lineRule="exact"/>
        <w:rPr>
          <w:sz w:val="20"/>
          <w:szCs w:val="20"/>
          <w:color w:val="auto"/>
        </w:rPr>
      </w:pPr>
    </w:p>
    <w:p>
      <w:pPr>
        <w:ind w:left="884"/>
        <w:spacing w:after="0"/>
        <w:rPr>
          <w:sz w:val="20"/>
          <w:szCs w:val="20"/>
          <w:color w:val="auto"/>
        </w:rPr>
      </w:pPr>
      <w:r>
        <w:rPr>
          <w:rFonts w:ascii="Arial" w:cs="Arial" w:eastAsia="Arial" w:hAnsi="Arial"/>
          <w:sz w:val="13"/>
          <w:szCs w:val="13"/>
          <w:b w:val="1"/>
          <w:bCs w:val="1"/>
          <w:color w:val="auto"/>
        </w:rPr>
        <w:t xml:space="preserve">7 </w:t>
      </w:r>
      <w:r>
        <w:rPr>
          <w:rFonts w:ascii="Arial" w:cs="Arial" w:eastAsia="Arial" w:hAnsi="Arial"/>
          <w:sz w:val="13"/>
          <w:szCs w:val="13"/>
          <w:color w:val="auto"/>
        </w:rPr>
        <w:t>List account number(s) here (optional)</w:t>
      </w:r>
    </w:p>
    <w:p>
      <w:pPr>
        <w:spacing w:after="0" w:line="213" w:lineRule="exact"/>
        <w:rPr>
          <w:sz w:val="20"/>
          <w:szCs w:val="20"/>
          <w:color w:val="auto"/>
        </w:rPr>
      </w:pPr>
    </w:p>
    <w:p>
      <w:pPr>
        <w:ind w:left="204"/>
        <w:spacing w:after="0"/>
        <w:tabs>
          <w:tab w:leader="none" w:pos="864" w:val="left"/>
        </w:tabs>
        <w:rPr>
          <w:sz w:val="20"/>
          <w:szCs w:val="20"/>
          <w:color w:val="auto"/>
        </w:rPr>
      </w:pPr>
      <w:r>
        <w:rPr>
          <w:rFonts w:ascii="Arial" w:cs="Arial" w:eastAsia="Arial" w:hAnsi="Arial"/>
          <w:sz w:val="18"/>
          <w:szCs w:val="18"/>
          <w:color w:val="FFFFFF"/>
        </w:rPr>
        <w:t>Part I</w:t>
      </w:r>
      <w:r>
        <w:rPr>
          <w:sz w:val="20"/>
          <w:szCs w:val="20"/>
          <w:color w:val="auto"/>
        </w:rPr>
        <w:tab/>
      </w:r>
      <w:r>
        <w:rPr>
          <w:rFonts w:ascii="Arial" w:cs="Arial" w:eastAsia="Arial" w:hAnsi="Arial"/>
          <w:sz w:val="16"/>
          <w:szCs w:val="16"/>
          <w:color w:val="auto"/>
        </w:rPr>
        <w:t>Taxpayer Identification Number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9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1">
            <w:col w:w="11044"/>
          </w:cols>
          <w:pgMar w:left="436" w:top="524" w:right="419" w:bottom="1440" w:gutter="0" w:footer="0" w:header="0"/>
        </w:sectPr>
      </w:pPr>
    </w:p>
    <w:p>
      <w:pPr>
        <w:spacing w:after="0" w:line="140" w:lineRule="exact"/>
        <w:rPr>
          <w:sz w:val="20"/>
          <w:szCs w:val="20"/>
          <w:color w:val="auto"/>
        </w:rPr>
      </w:pPr>
    </w:p>
    <w:p>
      <w:pPr>
        <w:ind w:left="4"/>
        <w:spacing w:after="0" w:line="233" w:lineRule="auto"/>
        <w:rPr>
          <w:sz w:val="20"/>
          <w:szCs w:val="20"/>
          <w:color w:val="auto"/>
        </w:rPr>
      </w:pPr>
      <w:r>
        <w:rPr>
          <w:rFonts w:ascii="Arial" w:cs="Arial" w:eastAsia="Arial" w:hAnsi="Arial"/>
          <w:sz w:val="14"/>
          <w:szCs w:val="14"/>
          <w:color w:val="auto"/>
        </w:rPr>
        <w:t xml:space="preserve">Enter your TIN in the appropriate box. The TIN provided must match the name given on line 1 to avoid backup withholding. For individuals, this is generally your social security number (SSN). However, for a resident alien, sole proprietor, or disregarded entity, see the instructions for Part I, later. For other entities, it is your employer identification number (EIN). If you do not have a number, see </w:t>
      </w:r>
      <w:r>
        <w:rPr>
          <w:rFonts w:ascii="Arial" w:cs="Arial" w:eastAsia="Arial" w:hAnsi="Arial"/>
          <w:sz w:val="14"/>
          <w:szCs w:val="14"/>
          <w:i w:val="1"/>
          <w:iCs w:val="1"/>
          <w:color w:val="auto"/>
        </w:rPr>
        <w:t>How to get a TIN</w:t>
      </w:r>
      <w:r>
        <w:rPr>
          <w:rFonts w:ascii="Arial" w:cs="Arial" w:eastAsia="Arial" w:hAnsi="Arial"/>
          <w:sz w:val="14"/>
          <w:szCs w:val="14"/>
          <w:color w:val="auto"/>
        </w:rPr>
        <w:t>, later.</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6350</wp:posOffset>
            </wp:positionV>
            <wp:extent cx="252031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92">
                      <a:extLst>
                        <a:ext uri="{28A0092B-C50C-407E-A947-70E740481C1C}"/>
                      </a:extLst>
                    </a:blip>
                    <a:srcRect/>
                    <a:stretch>
                      <a:fillRect/>
                    </a:stretch>
                  </pic:blipFill>
                  <pic:spPr bwMode="auto">
                    <a:xfrm>
                      <a:off x="0" y="0"/>
                      <a:ext cx="2520315" cy="14541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-138430</wp:posOffset>
            </wp:positionV>
            <wp:extent cx="25114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9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jc w:val="both"/>
        <w:ind w:left="1120"/>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1" w:lineRule="exact"/>
        <w:rPr>
          <w:sz w:val="20"/>
          <w:szCs w:val="20"/>
          <w:color w:val="auto"/>
        </w:rPr>
      </w:pPr>
    </w:p>
    <w:p>
      <w:pPr>
        <w:sectPr>
          <w:pgSz w:w="11900" w:h="16838" w:orient="portrait"/>
          <w:cols w:equalWidth="0" w:num="2">
            <w:col w:w="6884" w:space="380"/>
            <w:col w:w="3780"/>
          </w:cols>
          <w:pgMar w:left="436" w:top="524" w:right="419" w:bottom="1440" w:gutter="0" w:footer="0" w:header="0"/>
          <w:type w:val="continuous"/>
        </w:sectPr>
      </w:pPr>
    </w:p>
    <w:tbl>
      <w:tblPr>
        <w:tblLayout w:type="fixed"/>
        <w:tblInd w:w="4" w:type="dxa"/>
        <w:tblCellMar>
          <w:top w:w="0" w:type="dxa"/>
          <w:left w:w="0" w:type="dxa"/>
          <w:bottom w:w="0" w:type="dxa"/>
          <w:right w:w="0" w:type="dxa"/>
        </w:tblCellMar>
      </w:tblPr>
      <w:tr>
        <w:trPr>
          <w:trHeight w:val="177"/>
        </w:trPr>
        <w:tc>
          <w:tcPr>
            <w:tcW w:w="70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w w:val="94"/>
              </w:rPr>
              <w:t xml:space="preserve">Note: </w:t>
            </w:r>
            <w:r>
              <w:rPr>
                <w:rFonts w:ascii="Arial" w:cs="Arial" w:eastAsia="Arial" w:hAnsi="Arial"/>
                <w:sz w:val="14"/>
                <w:szCs w:val="14"/>
                <w:color w:val="auto"/>
                <w:w w:val="94"/>
              </w:rPr>
              <w:t>If the account is in more than one name, see the instructions for line 1. Also see</w:t>
            </w:r>
            <w:r>
              <w:rPr>
                <w:rFonts w:ascii="Arial" w:cs="Arial" w:eastAsia="Arial" w:hAnsi="Arial"/>
                <w:sz w:val="14"/>
                <w:szCs w:val="14"/>
                <w:b w:val="1"/>
                <w:bCs w:val="1"/>
                <w:color w:val="auto"/>
                <w:w w:val="94"/>
              </w:rPr>
              <w:t xml:space="preserve"> </w:t>
            </w:r>
            <w:r>
              <w:rPr>
                <w:rFonts w:ascii="Arial" w:cs="Arial" w:eastAsia="Arial" w:hAnsi="Arial"/>
                <w:sz w:val="14"/>
                <w:szCs w:val="14"/>
                <w:i w:val="1"/>
                <w:iCs w:val="1"/>
                <w:color w:val="auto"/>
                <w:w w:val="94"/>
              </w:rPr>
              <w:t>What Name and Number To Give</w:t>
            </w:r>
          </w:p>
        </w:tc>
        <w:tc>
          <w:tcPr>
            <w:tcW w:w="3960" w:type="dxa"/>
            <w:vAlign w:val="bottom"/>
            <w:tcBorders>
              <w:bottom w:val="single" w:sz="8" w:color="auto"/>
            </w:tcBorders>
            <w:gridSpan w:val="8"/>
          </w:tcPr>
          <w:p>
            <w:pPr>
              <w:ind w:left="100"/>
              <w:spacing w:after="0" w:line="157" w:lineRule="exact"/>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71"/>
        </w:trPr>
        <w:tc>
          <w:tcPr>
            <w:tcW w:w="7080" w:type="dxa"/>
            <w:vAlign w:val="bottom"/>
            <w:gridSpan w:val="2"/>
          </w:tcPr>
          <w:p>
            <w:pPr>
              <w:spacing w:after="0"/>
              <w:rPr>
                <w:sz w:val="20"/>
                <w:szCs w:val="20"/>
                <w:color w:val="auto"/>
              </w:rPr>
            </w:pPr>
            <w:r>
              <w:rPr>
                <w:rFonts w:ascii="Arial" w:cs="Arial" w:eastAsia="Arial" w:hAnsi="Arial"/>
                <w:sz w:val="14"/>
                <w:szCs w:val="14"/>
                <w:i w:val="1"/>
                <w:iCs w:val="1"/>
                <w:color w:val="auto"/>
              </w:rPr>
              <w:t xml:space="preserve">the Requester </w:t>
            </w:r>
            <w:r>
              <w:rPr>
                <w:rFonts w:ascii="Arial" w:cs="Arial" w:eastAsia="Arial" w:hAnsi="Arial"/>
                <w:sz w:val="14"/>
                <w:szCs w:val="14"/>
                <w:color w:val="auto"/>
              </w:rPr>
              <w:t>for guidelines on whose number to enter.</w:t>
            </w:r>
          </w:p>
        </w:tc>
        <w:tc>
          <w:tcPr>
            <w:tcW w:w="3960" w:type="dxa"/>
            <w:vAlign w:val="bottom"/>
            <w:gridSpan w:val="8"/>
            <w:vMerge w:val="restart"/>
          </w:tcPr>
          <w:p>
            <w:pPr>
              <w:ind w:left="180"/>
              <w:spacing w:after="0"/>
              <w:rPr>
                <w:sz w:val="20"/>
                <w:szCs w:val="20"/>
                <w:color w:val="auto"/>
              </w:rPr>
            </w:pPr>
            <w:r>
              <w:rPr>
                <w:rFonts w:ascii="Arial" w:cs="Arial" w:eastAsia="Arial" w:hAnsi="Arial"/>
                <w:sz w:val="14"/>
                <w:szCs w:val="14"/>
                <w:b w:val="1"/>
                <w:bCs w:val="1"/>
                <w:color w:val="auto"/>
              </w:rPr>
              <w:t>Employer identification number</w:t>
            </w:r>
          </w:p>
        </w:tc>
        <w:tc>
          <w:tcPr>
            <w:tcW w:w="0" w:type="dxa"/>
            <w:vAlign w:val="bottom"/>
          </w:tcPr>
          <w:p>
            <w:pPr>
              <w:spacing w:after="0"/>
              <w:rPr>
                <w:sz w:val="1"/>
                <w:szCs w:val="1"/>
                <w:color w:val="auto"/>
              </w:rPr>
            </w:pPr>
          </w:p>
        </w:tc>
      </w:tr>
      <w:tr>
        <w:trPr>
          <w:trHeight w:val="39"/>
        </w:trPr>
        <w:tc>
          <w:tcPr>
            <w:tcW w:w="780" w:type="dxa"/>
            <w:vAlign w:val="bottom"/>
          </w:tcPr>
          <w:p>
            <w:pPr>
              <w:spacing w:after="0"/>
              <w:rPr>
                <w:sz w:val="3"/>
                <w:szCs w:val="3"/>
                <w:color w:val="auto"/>
              </w:rPr>
            </w:pPr>
          </w:p>
        </w:tc>
        <w:tc>
          <w:tcPr>
            <w:tcW w:w="6300" w:type="dxa"/>
            <w:vAlign w:val="bottom"/>
          </w:tcPr>
          <w:p>
            <w:pPr>
              <w:spacing w:after="0"/>
              <w:rPr>
                <w:sz w:val="3"/>
                <w:szCs w:val="3"/>
                <w:color w:val="auto"/>
              </w:rPr>
            </w:pPr>
          </w:p>
        </w:tc>
        <w:tc>
          <w:tcPr>
            <w:tcW w:w="3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Borders>
              <w:bottom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shd w:val="clear" w:color="auto" w:fill="000000"/>
          </w:tcPr>
          <w:p>
            <w:pPr>
              <w:ind w:left="160"/>
              <w:spacing w:after="0"/>
              <w:rPr>
                <w:sz w:val="20"/>
                <w:szCs w:val="20"/>
                <w:color w:val="auto"/>
              </w:rPr>
            </w:pPr>
            <w:r>
              <w:rPr>
                <w:rFonts w:ascii="Arial" w:cs="Arial" w:eastAsia="Arial" w:hAnsi="Arial"/>
                <w:sz w:val="18"/>
                <w:szCs w:val="18"/>
                <w:color w:val="FFFFFF"/>
              </w:rPr>
              <w:t>Part II</w:t>
            </w:r>
          </w:p>
        </w:tc>
        <w:tc>
          <w:tcPr>
            <w:tcW w:w="6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Certification</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-299720</wp:posOffset>
            </wp:positionV>
            <wp:extent cx="889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94">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ind w:left="4"/>
        <w:spacing w:after="0"/>
        <w:rPr>
          <w:sz w:val="20"/>
          <w:szCs w:val="20"/>
          <w:color w:val="auto"/>
        </w:rPr>
      </w:pPr>
      <w:r>
        <w:rPr>
          <w:rFonts w:ascii="Arial" w:cs="Arial" w:eastAsia="Arial" w:hAnsi="Arial"/>
          <w:sz w:val="14"/>
          <w:szCs w:val="14"/>
          <w:color w:val="auto"/>
        </w:rPr>
        <w:t>Under penalties of perjury, I certify that:</w:t>
      </w:r>
    </w:p>
    <w:p>
      <w:pPr>
        <w:spacing w:after="0" w:line="28" w:lineRule="exact"/>
        <w:rPr>
          <w:sz w:val="20"/>
          <w:szCs w:val="20"/>
          <w:color w:val="auto"/>
        </w:rPr>
      </w:pPr>
    </w:p>
    <w:p>
      <w:pPr>
        <w:ind w:left="324" w:hanging="324"/>
        <w:spacing w:after="0"/>
        <w:tabs>
          <w:tab w:leader="none" w:pos="32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number shown on this form is my correct taxpayer identification number (or I am waiting for a number to be issued to me); and</w:t>
      </w:r>
    </w:p>
    <w:p>
      <w:pPr>
        <w:spacing w:after="0" w:line="28" w:lineRule="exact"/>
        <w:rPr>
          <w:rFonts w:ascii="Arial" w:cs="Arial" w:eastAsia="Arial" w:hAnsi="Arial"/>
          <w:sz w:val="14"/>
          <w:szCs w:val="14"/>
          <w:color w:val="auto"/>
        </w:rPr>
      </w:pPr>
    </w:p>
    <w:p>
      <w:pPr>
        <w:ind w:left="324" w:right="320" w:hanging="324"/>
        <w:spacing w:after="0" w:line="270" w:lineRule="auto"/>
        <w:tabs>
          <w:tab w:leader="none" w:pos="324" w:val="left"/>
        </w:tabs>
        <w:numPr>
          <w:ilvl w:val="0"/>
          <w:numId w:val="98"/>
        </w:numPr>
        <w:rPr>
          <w:rFonts w:ascii="Arial" w:cs="Arial" w:eastAsia="Arial" w:hAnsi="Arial"/>
          <w:sz w:val="13"/>
          <w:szCs w:val="13"/>
          <w:color w:val="auto"/>
        </w:rPr>
      </w:pPr>
      <w:r>
        <w:rPr>
          <w:rFonts w:ascii="Arial" w:cs="Arial" w:eastAsia="Arial" w:hAnsi="Arial"/>
          <w:sz w:val="13"/>
          <w:szCs w:val="13"/>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spacing w:after="0" w:line="1" w:lineRule="exact"/>
        <w:rPr>
          <w:rFonts w:ascii="Arial" w:cs="Arial" w:eastAsia="Arial" w:hAnsi="Arial"/>
          <w:sz w:val="13"/>
          <w:szCs w:val="13"/>
          <w:color w:val="auto"/>
        </w:rPr>
      </w:pPr>
    </w:p>
    <w:p>
      <w:pPr>
        <w:ind w:left="324" w:hanging="324"/>
        <w:spacing w:after="0"/>
        <w:tabs>
          <w:tab w:leader="none" w:pos="324" w:val="left"/>
        </w:tabs>
        <w:numPr>
          <w:ilvl w:val="0"/>
          <w:numId w:val="98"/>
        </w:numPr>
        <w:rPr>
          <w:rFonts w:ascii="Arial" w:cs="Arial" w:eastAsia="Arial" w:hAnsi="Arial"/>
          <w:sz w:val="14"/>
          <w:szCs w:val="14"/>
          <w:color w:val="auto"/>
        </w:rPr>
      </w:pPr>
      <w:r>
        <w:rPr>
          <w:rFonts w:ascii="Arial" w:cs="Arial" w:eastAsia="Arial" w:hAnsi="Arial"/>
          <w:sz w:val="14"/>
          <w:szCs w:val="14"/>
          <w:color w:val="auto"/>
        </w:rPr>
        <w:t>I am a U.S. citizen or other U.S. person (defined below); and</w:t>
      </w:r>
    </w:p>
    <w:p>
      <w:pPr>
        <w:spacing w:after="0" w:line="28" w:lineRule="exact"/>
        <w:rPr>
          <w:rFonts w:ascii="Arial" w:cs="Arial" w:eastAsia="Arial" w:hAnsi="Arial"/>
          <w:sz w:val="14"/>
          <w:szCs w:val="14"/>
          <w:color w:val="auto"/>
        </w:rPr>
      </w:pPr>
    </w:p>
    <w:p>
      <w:pPr>
        <w:ind w:left="324" w:hanging="324"/>
        <w:spacing w:after="0"/>
        <w:tabs>
          <w:tab w:leader="none" w:pos="32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FATCA code(s) entered on this form (if any) indicating that I am exempt from FATCA reporting is correct.</w:t>
      </w:r>
    </w:p>
    <w:p>
      <w:pPr>
        <w:spacing w:after="0" w:line="24" w:lineRule="exact"/>
        <w:rPr>
          <w:sz w:val="20"/>
          <w:szCs w:val="20"/>
          <w:color w:val="auto"/>
        </w:rPr>
      </w:pPr>
    </w:p>
    <w:p>
      <w:pPr>
        <w:ind w:left="4" w:right="140"/>
        <w:spacing w:after="0" w:line="235" w:lineRule="auto"/>
        <w:rPr>
          <w:sz w:val="20"/>
          <w:szCs w:val="20"/>
          <w:color w:val="auto"/>
        </w:rPr>
      </w:pPr>
      <w:r>
        <w:rPr>
          <w:rFonts w:ascii="Arial" w:cs="Arial" w:eastAsia="Arial" w:hAnsi="Arial"/>
          <w:sz w:val="14"/>
          <w:szCs w:val="14"/>
          <w:b w:val="1"/>
          <w:bCs w:val="1"/>
          <w:color w:val="auto"/>
        </w:rPr>
        <w:t xml:space="preserve">Certification instructions. </w:t>
      </w:r>
      <w:r>
        <w:rPr>
          <w:rFonts w:ascii="Arial" w:cs="Arial" w:eastAsia="Arial" w:hAnsi="Arial"/>
          <w:sz w:val="14"/>
          <w:szCs w:val="14"/>
          <w:color w:val="auto"/>
        </w:rPr>
        <w:t>You must cross out item 2 above if you have been notified by the IRS that you are currently subject to backup withholding because you have failed to report all</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6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Sign</w:t>
            </w:r>
          </w:p>
        </w:tc>
        <w:tc>
          <w:tcPr>
            <w:tcW w:w="41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Signature of</w:t>
            </w: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820" w:type="dxa"/>
            <w:vAlign w:val="bottom"/>
            <w:vMerge w:val="restart"/>
          </w:tcPr>
          <w:p>
            <w:pPr>
              <w:spacing w:after="0"/>
              <w:rPr>
                <w:sz w:val="20"/>
                <w:szCs w:val="20"/>
                <w:color w:val="auto"/>
              </w:rPr>
            </w:pPr>
            <w:r>
              <w:rPr>
                <w:rFonts w:ascii="Arial" w:cs="Arial" w:eastAsia="Arial" w:hAnsi="Arial"/>
                <w:sz w:val="18"/>
                <w:szCs w:val="18"/>
                <w:color w:val="auto"/>
              </w:rPr>
              <w:t>Here</w:t>
            </w:r>
          </w:p>
        </w:tc>
        <w:tc>
          <w:tcPr>
            <w:tcW w:w="4160" w:type="dxa"/>
            <w:vAlign w:val="bottom"/>
            <w:vMerge w:val="continue"/>
          </w:tcPr>
          <w:p>
            <w:pPr>
              <w:spacing w:after="0"/>
              <w:rPr>
                <w:sz w:val="5"/>
                <w:szCs w:val="5"/>
                <w:color w:val="auto"/>
              </w:rPr>
            </w:pPr>
          </w:p>
        </w:tc>
        <w:tc>
          <w:tcPr>
            <w:tcW w:w="3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20" w:type="dxa"/>
            <w:vAlign w:val="bottom"/>
            <w:vMerge w:val="continue"/>
          </w:tcPr>
          <w:p>
            <w:pPr>
              <w:spacing w:after="0"/>
              <w:rPr>
                <w:sz w:val="15"/>
                <w:szCs w:val="15"/>
                <w:color w:val="auto"/>
              </w:rPr>
            </w:pPr>
          </w:p>
        </w:tc>
        <w:tc>
          <w:tcPr>
            <w:tcW w:w="4160" w:type="dxa"/>
            <w:vAlign w:val="bottom"/>
          </w:tcPr>
          <w:p>
            <w:pPr>
              <w:ind w:left="460"/>
              <w:spacing w:after="0"/>
              <w:rPr>
                <w:sz w:val="20"/>
                <w:szCs w:val="20"/>
                <w:color w:val="auto"/>
              </w:rPr>
            </w:pPr>
            <w:r>
              <w:rPr>
                <w:rFonts w:ascii="Arial" w:cs="Arial" w:eastAsia="Arial" w:hAnsi="Arial"/>
                <w:sz w:val="13"/>
                <w:szCs w:val="13"/>
                <w:b w:val="1"/>
                <w:bCs w:val="1"/>
                <w:color w:val="auto"/>
              </w:rPr>
              <w:t xml:space="preserve">U.S. person </w:t>
            </w:r>
            <w:r>
              <w:rPr>
                <w:rFonts w:ascii="Arial" w:cs="Arial" w:eastAsia="Arial" w:hAnsi="Arial"/>
                <w:sz w:val="9"/>
                <w:szCs w:val="9"/>
                <w:color w:val="auto"/>
              </w:rPr>
              <w:t>u</w:t>
            </w:r>
          </w:p>
        </w:tc>
        <w:tc>
          <w:tcPr>
            <w:tcW w:w="3320" w:type="dxa"/>
            <w:vAlign w:val="bottom"/>
          </w:tcPr>
          <w:p>
            <w:pPr>
              <w:ind w:left="2960"/>
              <w:spacing w:after="0"/>
              <w:rPr>
                <w:sz w:val="20"/>
                <w:szCs w:val="20"/>
                <w:color w:val="auto"/>
              </w:rPr>
            </w:pPr>
            <w:r>
              <w:rPr>
                <w:rFonts w:ascii="Arial" w:cs="Arial" w:eastAsia="Arial" w:hAnsi="Arial"/>
                <w:sz w:val="13"/>
                <w:szCs w:val="13"/>
                <w:b w:val="1"/>
                <w:bCs w:val="1"/>
                <w:color w:val="auto"/>
                <w:w w:val="92"/>
              </w:rPr>
              <w:t xml:space="preserve">Date </w:t>
            </w:r>
            <w:r>
              <w:rPr>
                <w:rFonts w:ascii="Arial" w:cs="Arial" w:eastAsia="Arial" w:hAnsi="Arial"/>
                <w:sz w:val="9"/>
                <w:szCs w:val="9"/>
                <w:color w:val="auto"/>
                <w:w w:val="92"/>
              </w:rPr>
              <w:t>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995160" cy="291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5">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ectPr>
          <w:pgSz w:w="11900" w:h="16838" w:orient="portrait"/>
          <w:cols w:equalWidth="0" w:num="1">
            <w:col w:w="11044"/>
          </w:cols>
          <w:pgMar w:left="436" w:top="524" w:right="419" w:bottom="1440" w:gutter="0" w:footer="0" w:header="0"/>
          <w:type w:val="continuous"/>
        </w:sectPr>
      </w:pPr>
    </w:p>
    <w:p>
      <w:pPr>
        <w:spacing w:after="0" w:line="116" w:lineRule="exact"/>
        <w:rPr>
          <w:sz w:val="20"/>
          <w:szCs w:val="20"/>
          <w:color w:val="auto"/>
        </w:rPr>
      </w:pPr>
    </w:p>
    <w:p>
      <w:pPr>
        <w:ind w:left="4"/>
        <w:spacing w:after="0"/>
        <w:rPr>
          <w:sz w:val="20"/>
          <w:szCs w:val="20"/>
          <w:color w:val="auto"/>
        </w:rPr>
      </w:pPr>
      <w:r>
        <w:rPr>
          <w:rFonts w:ascii="Arial" w:cs="Arial" w:eastAsia="Arial" w:hAnsi="Arial"/>
          <w:sz w:val="22"/>
          <w:szCs w:val="22"/>
          <w:color w:val="auto"/>
        </w:rPr>
        <w:t>General Instructions</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4"/>
          <w:szCs w:val="14"/>
          <w:color w:val="auto"/>
        </w:rPr>
        <w:t>Section references are to the Internal Revenue Code unless otherwise noted.</w:t>
      </w:r>
    </w:p>
    <w:p>
      <w:pPr>
        <w:spacing w:after="0" w:line="21" w:lineRule="exact"/>
        <w:rPr>
          <w:sz w:val="20"/>
          <w:szCs w:val="20"/>
          <w:color w:val="auto"/>
        </w:rPr>
      </w:pPr>
    </w:p>
    <w:p>
      <w:pPr>
        <w:ind w:left="4" w:right="40"/>
        <w:spacing w:after="0" w:line="234" w:lineRule="auto"/>
        <w:rPr>
          <w:sz w:val="20"/>
          <w:szCs w:val="20"/>
          <w:color w:val="auto"/>
        </w:rPr>
      </w:pPr>
      <w:r>
        <w:rPr>
          <w:rFonts w:ascii="Arial" w:cs="Arial" w:eastAsia="Arial" w:hAnsi="Arial"/>
          <w:sz w:val="14"/>
          <w:szCs w:val="14"/>
          <w:b w:val="1"/>
          <w:bCs w:val="1"/>
          <w:color w:val="auto"/>
        </w:rPr>
        <w:t>Future developments</w:t>
      </w:r>
      <w:r>
        <w:rPr>
          <w:rFonts w:ascii="Arial" w:cs="Arial" w:eastAsia="Arial" w:hAnsi="Arial"/>
          <w:sz w:val="14"/>
          <w:szCs w:val="14"/>
          <w:color w:val="auto"/>
        </w:rPr>
        <w:t>. For the latest information about developments related to Form W-9</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its instructions, such as legislation enacted after they were published, go to </w:t>
      </w:r>
      <w:r>
        <w:rPr>
          <w:rFonts w:ascii="Arial" w:cs="Arial" w:eastAsia="Arial" w:hAnsi="Arial"/>
          <w:sz w:val="14"/>
          <w:szCs w:val="14"/>
          <w:i w:val="1"/>
          <w:iCs w:val="1"/>
          <w:color w:val="auto"/>
        </w:rPr>
        <w:t>www.irs.gov/FormW9.</w:t>
      </w:r>
    </w:p>
    <w:p>
      <w:pPr>
        <w:spacing w:after="0" w:line="53"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Purpose of Form</w:t>
      </w:r>
    </w:p>
    <w:p>
      <w:pPr>
        <w:spacing w:after="0" w:line="32" w:lineRule="exact"/>
        <w:rPr>
          <w:sz w:val="20"/>
          <w:szCs w:val="20"/>
          <w:color w:val="auto"/>
        </w:rPr>
      </w:pPr>
    </w:p>
    <w:p>
      <w:pPr>
        <w:ind w:left="4"/>
        <w:spacing w:after="0" w:line="228" w:lineRule="auto"/>
        <w:rPr>
          <w:sz w:val="20"/>
          <w:szCs w:val="20"/>
          <w:color w:val="auto"/>
        </w:rPr>
      </w:pPr>
      <w:r>
        <w:rPr>
          <w:rFonts w:ascii="Arial" w:cs="Arial" w:eastAsia="Arial" w:hAnsi="Arial"/>
          <w:sz w:val="14"/>
          <w:szCs w:val="14"/>
          <w:color w:val="auto"/>
        </w:rPr>
        <w:t>An individual or entity (Form W-9 requester)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4"/>
          <w:szCs w:val="14"/>
          <w:color w:val="auto"/>
        </w:rPr>
        <w:t>• Form 1099-INT (interest earned or paid)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86" w:hanging="86"/>
        <w:spacing w:after="0"/>
        <w:tabs>
          <w:tab w:leader="none" w:pos="86"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Form 1099-DIV (dividends, including those from stocks or mutual funds)</w:t>
      </w:r>
    </w:p>
    <w:p>
      <w:pPr>
        <w:spacing w:after="0" w:line="28" w:lineRule="exact"/>
        <w:rPr>
          <w:rFonts w:ascii="Arial" w:cs="Arial" w:eastAsia="Arial" w:hAnsi="Arial"/>
          <w:sz w:val="14"/>
          <w:szCs w:val="14"/>
          <w:color w:val="auto"/>
        </w:rPr>
      </w:pPr>
    </w:p>
    <w:p>
      <w:pPr>
        <w:ind w:left="86" w:hanging="86"/>
        <w:spacing w:after="0"/>
        <w:tabs>
          <w:tab w:leader="none" w:pos="86"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Form 1099-MISC (various types of income, prizes, awards, or gross proceeds)</w:t>
      </w:r>
    </w:p>
    <w:p>
      <w:pPr>
        <w:spacing w:after="0" w:line="21" w:lineRule="exact"/>
        <w:rPr>
          <w:rFonts w:ascii="Arial" w:cs="Arial" w:eastAsia="Arial" w:hAnsi="Arial"/>
          <w:sz w:val="14"/>
          <w:szCs w:val="14"/>
          <w:color w:val="auto"/>
        </w:rPr>
      </w:pPr>
    </w:p>
    <w:p>
      <w:pPr>
        <w:ind w:left="86" w:hanging="86"/>
        <w:spacing w:after="0"/>
        <w:tabs>
          <w:tab w:leader="none" w:pos="86"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Form 1099-B (stock or mutual fund sales and certain other transactions by brokers)</w:t>
      </w:r>
    </w:p>
    <w:p>
      <w:pPr>
        <w:spacing w:after="0" w:line="21" w:lineRule="exact"/>
        <w:rPr>
          <w:rFonts w:ascii="Arial" w:cs="Arial" w:eastAsia="Arial" w:hAnsi="Arial"/>
          <w:sz w:val="14"/>
          <w:szCs w:val="14"/>
          <w:color w:val="auto"/>
        </w:rPr>
      </w:pPr>
    </w:p>
    <w:p>
      <w:pPr>
        <w:ind w:left="86" w:hanging="86"/>
        <w:spacing w:after="0"/>
        <w:tabs>
          <w:tab w:leader="none" w:pos="86"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Form 1099-S (proceeds from real estate transactions)</w:t>
      </w:r>
    </w:p>
    <w:p>
      <w:pPr>
        <w:spacing w:after="0" w:line="28" w:lineRule="exact"/>
        <w:rPr>
          <w:rFonts w:ascii="Arial" w:cs="Arial" w:eastAsia="Arial" w:hAnsi="Arial"/>
          <w:sz w:val="14"/>
          <w:szCs w:val="14"/>
          <w:color w:val="auto"/>
        </w:rPr>
      </w:pPr>
    </w:p>
    <w:p>
      <w:pPr>
        <w:ind w:left="86" w:hanging="86"/>
        <w:spacing w:after="0"/>
        <w:tabs>
          <w:tab w:leader="none" w:pos="86"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Form 1099-K (merchant card and third party network transactions)</w:t>
      </w:r>
    </w:p>
    <w:p>
      <w:pPr>
        <w:spacing w:after="0" w:line="21" w:lineRule="exact"/>
        <w:rPr>
          <w:rFonts w:ascii="Arial" w:cs="Arial" w:eastAsia="Arial" w:hAnsi="Arial"/>
          <w:sz w:val="14"/>
          <w:szCs w:val="14"/>
          <w:color w:val="auto"/>
        </w:rPr>
      </w:pPr>
    </w:p>
    <w:p>
      <w:pPr>
        <w:ind w:left="86" w:hanging="86"/>
        <w:spacing w:after="0"/>
        <w:tabs>
          <w:tab w:leader="none" w:pos="86" w:val="left"/>
        </w:tabs>
        <w:numPr>
          <w:ilvl w:val="0"/>
          <w:numId w:val="99"/>
        </w:numPr>
        <w:rPr>
          <w:rFonts w:ascii="Arial" w:cs="Arial" w:eastAsia="Arial" w:hAnsi="Arial"/>
          <w:sz w:val="13"/>
          <w:szCs w:val="13"/>
          <w:color w:val="auto"/>
        </w:rPr>
      </w:pPr>
      <w:r>
        <w:rPr>
          <w:rFonts w:ascii="Arial" w:cs="Arial" w:eastAsia="Arial" w:hAnsi="Arial"/>
          <w:sz w:val="13"/>
          <w:szCs w:val="13"/>
          <w:color w:val="auto"/>
        </w:rPr>
        <w:t>Form 1098 (home mortgage interest), 1098-E (student loan interest), 1098-T (tuition)</w:t>
      </w:r>
    </w:p>
    <w:p>
      <w:pPr>
        <w:spacing w:after="0" w:line="32" w:lineRule="exact"/>
        <w:rPr>
          <w:rFonts w:ascii="Arial" w:cs="Arial" w:eastAsia="Arial" w:hAnsi="Arial"/>
          <w:sz w:val="13"/>
          <w:szCs w:val="13"/>
          <w:color w:val="auto"/>
        </w:rPr>
      </w:pPr>
    </w:p>
    <w:p>
      <w:pPr>
        <w:ind w:left="86" w:hanging="86"/>
        <w:spacing w:after="0"/>
        <w:tabs>
          <w:tab w:leader="none" w:pos="86"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Form 1099-C (canceled debt)</w:t>
      </w:r>
    </w:p>
    <w:p>
      <w:pPr>
        <w:ind w:left="86" w:hanging="86"/>
        <w:spacing w:after="0"/>
        <w:tabs>
          <w:tab w:leader="none" w:pos="86"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Form 1099-A (acquisition or abandonment of secured property)</w:t>
      </w:r>
    </w:p>
    <w:p>
      <w:pPr>
        <w:spacing w:after="0" w:line="16" w:lineRule="exact"/>
        <w:rPr>
          <w:sz w:val="20"/>
          <w:szCs w:val="20"/>
          <w:color w:val="auto"/>
        </w:rPr>
      </w:pPr>
    </w:p>
    <w:p>
      <w:pPr>
        <w:ind w:left="6" w:right="260" w:firstLine="72"/>
        <w:spacing w:after="0" w:line="246" w:lineRule="auto"/>
        <w:rPr>
          <w:sz w:val="20"/>
          <w:szCs w:val="20"/>
          <w:color w:val="auto"/>
        </w:rPr>
      </w:pPr>
      <w:r>
        <w:rPr>
          <w:rFonts w:ascii="Arial" w:cs="Arial" w:eastAsia="Arial" w:hAnsi="Arial"/>
          <w:sz w:val="14"/>
          <w:szCs w:val="14"/>
          <w:color w:val="auto"/>
        </w:rPr>
        <w:t>Use Form W-9 only if you are a U.S. person (including a resident alien), to provide your correct TIN.</w:t>
      </w:r>
    </w:p>
    <w:p>
      <w:pPr>
        <w:spacing w:after="0" w:line="1" w:lineRule="exact"/>
        <w:rPr>
          <w:sz w:val="20"/>
          <w:szCs w:val="20"/>
          <w:color w:val="auto"/>
        </w:rPr>
      </w:pPr>
    </w:p>
    <w:p>
      <w:pPr>
        <w:ind w:left="6" w:right="160" w:firstLine="72"/>
        <w:spacing w:after="0" w:line="243" w:lineRule="auto"/>
        <w:rPr>
          <w:sz w:val="20"/>
          <w:szCs w:val="20"/>
          <w:color w:val="auto"/>
        </w:rPr>
      </w:pPr>
      <w:r>
        <w:rPr>
          <w:rFonts w:ascii="Arial" w:cs="Arial" w:eastAsia="Arial" w:hAnsi="Arial"/>
          <w:sz w:val="14"/>
          <w:szCs w:val="14"/>
          <w:i w:val="1"/>
          <w:iCs w:val="1"/>
          <w:color w:val="auto"/>
        </w:rPr>
        <w:t xml:space="preserve">If you do not return Form W-9 to the requester with a TIN, you might be subject to backup withholding. See </w:t>
      </w:r>
      <w:r>
        <w:rPr>
          <w:rFonts w:ascii="Arial" w:cs="Arial" w:eastAsia="Arial" w:hAnsi="Arial"/>
          <w:sz w:val="14"/>
          <w:szCs w:val="14"/>
          <w:color w:val="auto"/>
        </w:rPr>
        <w:t>What is backup withholding,</w:t>
      </w:r>
      <w:r>
        <w:rPr>
          <w:rFonts w:ascii="Arial" w:cs="Arial" w:eastAsia="Arial" w:hAnsi="Arial"/>
          <w:sz w:val="14"/>
          <w:szCs w:val="14"/>
          <w:i w:val="1"/>
          <w:iCs w:val="1"/>
          <w:color w:val="auto"/>
        </w:rPr>
        <w:t xml:space="preserve"> later.</w:t>
      </w:r>
    </w:p>
    <w:p>
      <w:pPr>
        <w:spacing w:after="0" w:line="608" w:lineRule="exact"/>
        <w:rPr>
          <w:sz w:val="20"/>
          <w:szCs w:val="20"/>
          <w:color w:val="auto"/>
        </w:rPr>
      </w:pPr>
    </w:p>
    <w:p>
      <w:pPr>
        <w:sectPr>
          <w:pgSz w:w="11900" w:h="16838" w:orient="portrait"/>
          <w:cols w:equalWidth="0" w:num="2">
            <w:col w:w="5264" w:space="354"/>
            <w:col w:w="5426"/>
          </w:cols>
          <w:pgMar w:left="436" w:top="524" w:right="419" w:bottom="1440" w:gutter="0" w:footer="0" w:header="0"/>
          <w:type w:val="continuous"/>
        </w:sectPr>
      </w:pPr>
    </w:p>
    <w:p>
      <w:pPr>
        <w:spacing w:after="0" w:line="341" w:lineRule="exact"/>
        <w:rPr>
          <w:sz w:val="20"/>
          <w:szCs w:val="20"/>
          <w:color w:val="auto"/>
        </w:rPr>
      </w:pPr>
    </w:p>
    <w:p>
      <w:pPr>
        <w:ind w:left="5084"/>
        <w:spacing w:after="0"/>
        <w:tabs>
          <w:tab w:leader="none" w:pos="9424" w:val="left"/>
        </w:tabs>
        <w:rPr>
          <w:sz w:val="20"/>
          <w:szCs w:val="20"/>
          <w:color w:val="auto"/>
        </w:rPr>
      </w:pPr>
      <w:r>
        <w:rPr>
          <w:rFonts w:ascii="Arial" w:cs="Arial" w:eastAsia="Arial" w:hAnsi="Arial"/>
          <w:sz w:val="28"/>
          <w:szCs w:val="28"/>
          <w:color w:val="auto"/>
          <w:vertAlign w:val="superscript"/>
        </w:rPr>
        <w:t>Cat. No. 10231X</w:t>
      </w:r>
      <w:r>
        <w:rPr>
          <w:sz w:val="20"/>
          <w:szCs w:val="20"/>
          <w:color w:val="auto"/>
        </w:rPr>
        <w:tab/>
      </w:r>
      <w:r>
        <w:rPr>
          <w:rFonts w:ascii="Arial" w:cs="Arial" w:eastAsia="Arial" w:hAnsi="Arial"/>
          <w:sz w:val="13"/>
          <w:szCs w:val="13"/>
          <w:color w:val="auto"/>
        </w:rPr>
        <w:t xml:space="preserve">Form </w:t>
      </w:r>
      <w:r>
        <w:rPr>
          <w:rFonts w:ascii="Arial" w:cs="Arial" w:eastAsia="Arial" w:hAnsi="Arial"/>
          <w:sz w:val="15"/>
          <w:szCs w:val="15"/>
          <w:b w:val="1"/>
          <w:bCs w:val="1"/>
          <w:color w:val="auto"/>
        </w:rPr>
        <w:t>W-9</w:t>
      </w:r>
      <w:r>
        <w:rPr>
          <w:rFonts w:ascii="Arial" w:cs="Arial" w:eastAsia="Arial" w:hAnsi="Arial"/>
          <w:sz w:val="13"/>
          <w:szCs w:val="13"/>
          <w:color w:val="auto"/>
        </w:rPr>
        <w:t xml:space="preserve"> (Rev. 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44"/>
          </w:cols>
          <w:pgMar w:left="436" w:top="524" w:right="419" w:bottom="1440" w:gutter="0" w:footer="0" w:header="0"/>
          <w:type w:val="continuous"/>
        </w:sectPr>
      </w:pPr>
    </w:p>
    <w:bookmarkStart w:id="128" w:name="page129"/>
    <w:bookmarkEnd w:id="128"/>
    <w:p>
      <w:pPr>
        <w:ind w:left="4"/>
        <w:spacing w:after="0"/>
        <w:tabs>
          <w:tab w:leader="none" w:pos="10664"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W-9 (Rev. 10-2018)</w:t>
      </w:r>
      <w:r>
        <w:rPr>
          <w:sz w:val="20"/>
          <w:szCs w:val="20"/>
          <w:color w:val="auto"/>
        </w:rPr>
        <w:tab/>
      </w:r>
      <w:r>
        <w:rPr>
          <w:rFonts w:ascii="Arial" w:cs="Arial" w:eastAsia="Arial" w:hAnsi="Arial"/>
          <w:sz w:val="10"/>
          <w:szCs w:val="1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p>
      <w:pPr>
        <w:spacing w:after="0" w:line="319" w:lineRule="exact"/>
        <w:rPr>
          <w:sz w:val="20"/>
          <w:szCs w:val="20"/>
          <w:color w:val="auto"/>
        </w:rPr>
      </w:pPr>
    </w:p>
    <w:p>
      <w:pPr>
        <w:ind w:left="64"/>
        <w:spacing w:after="0"/>
        <w:rPr>
          <w:sz w:val="20"/>
          <w:szCs w:val="20"/>
          <w:color w:val="auto"/>
        </w:rPr>
      </w:pPr>
      <w:r>
        <w:rPr>
          <w:rFonts w:ascii="Arial" w:cs="Arial" w:eastAsia="Arial" w:hAnsi="Arial"/>
          <w:sz w:val="14"/>
          <w:szCs w:val="14"/>
          <w:color w:val="auto"/>
        </w:rPr>
        <w:t>By signing the filled-out form, you:</w:t>
      </w:r>
    </w:p>
    <w:p>
      <w:pPr>
        <w:spacing w:after="0" w:line="28" w:lineRule="exact"/>
        <w:rPr>
          <w:sz w:val="20"/>
          <w:szCs w:val="20"/>
          <w:color w:val="auto"/>
        </w:rPr>
      </w:pPr>
    </w:p>
    <w:p>
      <w:pPr>
        <w:ind w:left="4" w:right="260" w:firstLine="68"/>
        <w:spacing w:after="0" w:line="251" w:lineRule="auto"/>
        <w:tabs>
          <w:tab w:leader="none" w:pos="2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Certify that the TIN you are giving is correct (or you are waiting for a number to be issued),</w:t>
      </w:r>
    </w:p>
    <w:p>
      <w:pPr>
        <w:ind w:left="224" w:hanging="152"/>
        <w:spacing w:after="0"/>
        <w:tabs>
          <w:tab w:leader="none" w:pos="2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Certify that you are not subject to backup withholding, or</w:t>
      </w:r>
    </w:p>
    <w:p>
      <w:pPr>
        <w:spacing w:after="0" w:line="21" w:lineRule="exact"/>
        <w:rPr>
          <w:rFonts w:ascii="Arial" w:cs="Arial" w:eastAsia="Arial" w:hAnsi="Arial"/>
          <w:sz w:val="14"/>
          <w:szCs w:val="14"/>
          <w:color w:val="auto"/>
        </w:rPr>
      </w:pPr>
    </w:p>
    <w:p>
      <w:pPr>
        <w:ind w:left="4" w:right="180" w:firstLine="68"/>
        <w:spacing w:after="0" w:line="231" w:lineRule="auto"/>
        <w:tabs>
          <w:tab w:leader="none" w:pos="2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Claim exemption from backup withholding if you are a U.S. exempt payee. If applicable, you are also certifying that as a U.S. person, your allocable share of any partnership income from a U.S. trade or business is not subject to the withholding tax on foreign partners’ share of effectively connected income, and</w:t>
      </w:r>
    </w:p>
    <w:p>
      <w:pPr>
        <w:spacing w:after="0" w:line="7" w:lineRule="exact"/>
        <w:rPr>
          <w:rFonts w:ascii="Arial" w:cs="Arial" w:eastAsia="Arial" w:hAnsi="Arial"/>
          <w:sz w:val="14"/>
          <w:szCs w:val="14"/>
          <w:color w:val="auto"/>
        </w:rPr>
      </w:pPr>
    </w:p>
    <w:p>
      <w:pPr>
        <w:ind w:left="4" w:right="20" w:firstLine="68"/>
        <w:spacing w:after="0" w:line="238" w:lineRule="auto"/>
        <w:tabs>
          <w:tab w:leader="none" w:pos="2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xml:space="preserve">Certify that FATCA code(s) entered on this form (if any) indicating that you are exempt from the FATCA reporting, is correct. See </w:t>
      </w:r>
      <w:r>
        <w:rPr>
          <w:rFonts w:ascii="Arial" w:cs="Arial" w:eastAsia="Arial" w:hAnsi="Arial"/>
          <w:sz w:val="14"/>
          <w:szCs w:val="14"/>
          <w:i w:val="1"/>
          <w:iCs w:val="1"/>
          <w:color w:val="auto"/>
        </w:rPr>
        <w:t>What is FATCA reporting,</w:t>
      </w:r>
      <w:r>
        <w:rPr>
          <w:rFonts w:ascii="Arial" w:cs="Arial" w:eastAsia="Arial" w:hAnsi="Arial"/>
          <w:sz w:val="14"/>
          <w:szCs w:val="14"/>
          <w:color w:val="auto"/>
        </w:rPr>
        <w:t xml:space="preserve"> later, for further information.</w:t>
      </w:r>
    </w:p>
    <w:p>
      <w:pPr>
        <w:spacing w:after="0" w:line="3" w:lineRule="exact"/>
        <w:rPr>
          <w:sz w:val="20"/>
          <w:szCs w:val="20"/>
          <w:color w:val="auto"/>
        </w:rPr>
      </w:pPr>
    </w:p>
    <w:p>
      <w:pPr>
        <w:jc w:val="both"/>
        <w:ind w:left="4" w:right="2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If you are a U.S. person and a requester gives you a form other than Form W-9 to</w:t>
      </w:r>
      <w:r>
        <w:rPr>
          <w:rFonts w:ascii="Arial" w:cs="Arial" w:eastAsia="Arial" w:hAnsi="Arial"/>
          <w:sz w:val="14"/>
          <w:szCs w:val="14"/>
          <w:b w:val="1"/>
          <w:bCs w:val="1"/>
          <w:color w:val="auto"/>
        </w:rPr>
        <w:t xml:space="preserve"> </w:t>
      </w:r>
      <w:r>
        <w:rPr>
          <w:rFonts w:ascii="Arial" w:cs="Arial" w:eastAsia="Arial" w:hAnsi="Arial"/>
          <w:sz w:val="14"/>
          <w:szCs w:val="14"/>
          <w:color w:val="auto"/>
        </w:rPr>
        <w:t>request your TIN, you must use the requester’s form if it is substantially similar to this Form W-9.</w:t>
      </w:r>
    </w:p>
    <w:p>
      <w:pPr>
        <w:ind w:left="4" w:right="100"/>
        <w:spacing w:after="0" w:line="243" w:lineRule="auto"/>
        <w:rPr>
          <w:sz w:val="20"/>
          <w:szCs w:val="20"/>
          <w:color w:val="auto"/>
        </w:rPr>
      </w:pPr>
      <w:r>
        <w:rPr>
          <w:rFonts w:ascii="Arial" w:cs="Arial" w:eastAsia="Arial" w:hAnsi="Arial"/>
          <w:sz w:val="14"/>
          <w:szCs w:val="14"/>
          <w:b w:val="1"/>
          <w:bCs w:val="1"/>
          <w:color w:val="auto"/>
        </w:rPr>
        <w:t xml:space="preserve">Definition of a U.S. person. </w:t>
      </w:r>
      <w:r>
        <w:rPr>
          <w:rFonts w:ascii="Arial" w:cs="Arial" w:eastAsia="Arial" w:hAnsi="Arial"/>
          <w:sz w:val="14"/>
          <w:szCs w:val="14"/>
          <w:color w:val="auto"/>
        </w:rPr>
        <w:t>For federal tax purposes, you are considered a U.S. person if</w:t>
      </w:r>
      <w:r>
        <w:rPr>
          <w:rFonts w:ascii="Arial" w:cs="Arial" w:eastAsia="Arial" w:hAnsi="Arial"/>
          <w:sz w:val="14"/>
          <w:szCs w:val="14"/>
          <w:b w:val="1"/>
          <w:bCs w:val="1"/>
          <w:color w:val="auto"/>
        </w:rPr>
        <w:t xml:space="preserve"> </w:t>
      </w:r>
      <w:r>
        <w:rPr>
          <w:rFonts w:ascii="Arial" w:cs="Arial" w:eastAsia="Arial" w:hAnsi="Arial"/>
          <w:sz w:val="14"/>
          <w:szCs w:val="14"/>
          <w:color w:val="auto"/>
        </w:rPr>
        <w:t>you are:</w:t>
      </w:r>
    </w:p>
    <w:p>
      <w:pPr>
        <w:spacing w:after="0" w:line="5" w:lineRule="exact"/>
        <w:rPr>
          <w:sz w:val="20"/>
          <w:szCs w:val="20"/>
          <w:color w:val="auto"/>
        </w:rPr>
      </w:pPr>
    </w:p>
    <w:p>
      <w:pPr>
        <w:ind w:left="164" w:hanging="164"/>
        <w:spacing w:after="0"/>
        <w:tabs>
          <w:tab w:leader="none" w:pos="16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 individual who is a U.S. citizen or U.S. resident alien;</w:t>
      </w:r>
    </w:p>
    <w:p>
      <w:pPr>
        <w:spacing w:after="0" w:line="28" w:lineRule="exact"/>
        <w:rPr>
          <w:rFonts w:ascii="Arial" w:cs="Arial" w:eastAsia="Arial" w:hAnsi="Arial"/>
          <w:sz w:val="14"/>
          <w:szCs w:val="14"/>
          <w:color w:val="auto"/>
        </w:rPr>
      </w:pPr>
    </w:p>
    <w:p>
      <w:pPr>
        <w:ind w:left="164" w:right="140" w:hanging="164"/>
        <w:spacing w:after="0" w:line="251" w:lineRule="auto"/>
        <w:tabs>
          <w:tab w:leader="none" w:pos="16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partnership, corporation, company, or association created or organized in the United States or under the laws of the United States;</w:t>
      </w:r>
    </w:p>
    <w:p>
      <w:pPr>
        <w:ind w:left="164" w:hanging="164"/>
        <w:spacing w:after="0"/>
        <w:tabs>
          <w:tab w:leader="none" w:pos="16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 estate (other than a foreign estate); or</w:t>
      </w:r>
    </w:p>
    <w:p>
      <w:pPr>
        <w:spacing w:after="0" w:line="28" w:lineRule="exact"/>
        <w:rPr>
          <w:rFonts w:ascii="Arial" w:cs="Arial" w:eastAsia="Arial" w:hAnsi="Arial"/>
          <w:sz w:val="14"/>
          <w:szCs w:val="14"/>
          <w:color w:val="auto"/>
        </w:rPr>
      </w:pPr>
    </w:p>
    <w:p>
      <w:pPr>
        <w:ind w:left="164" w:hanging="164"/>
        <w:spacing w:after="0"/>
        <w:tabs>
          <w:tab w:leader="none" w:pos="16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domestic trust (as defined in Regulations section 301.7701-7).</w:t>
      </w:r>
    </w:p>
    <w:p>
      <w:pPr>
        <w:spacing w:after="0" w:line="24" w:lineRule="exact"/>
        <w:rPr>
          <w:sz w:val="20"/>
          <w:szCs w:val="20"/>
          <w:color w:val="auto"/>
        </w:rPr>
      </w:pPr>
    </w:p>
    <w:p>
      <w:pPr>
        <w:ind w:left="4" w:right="20"/>
        <w:spacing w:after="0" w:line="227" w:lineRule="auto"/>
        <w:rPr>
          <w:sz w:val="20"/>
          <w:szCs w:val="20"/>
          <w:color w:val="auto"/>
        </w:rPr>
      </w:pPr>
      <w:r>
        <w:rPr>
          <w:rFonts w:ascii="Arial" w:cs="Arial" w:eastAsia="Arial" w:hAnsi="Arial"/>
          <w:sz w:val="14"/>
          <w:szCs w:val="14"/>
          <w:b w:val="1"/>
          <w:bCs w:val="1"/>
          <w:color w:val="auto"/>
        </w:rPr>
        <w:t xml:space="preserve">Special rules for partnerships. </w:t>
      </w:r>
      <w:r>
        <w:rPr>
          <w:rFonts w:ascii="Arial" w:cs="Arial" w:eastAsia="Arial" w:hAnsi="Arial"/>
          <w:sz w:val="14"/>
          <w:szCs w:val="14"/>
          <w:color w:val="auto"/>
        </w:rPr>
        <w:t>Partnerships that conduct a trade or business in the United</w:t>
      </w:r>
      <w:r>
        <w:rPr>
          <w:rFonts w:ascii="Arial" w:cs="Arial" w:eastAsia="Arial" w:hAnsi="Arial"/>
          <w:sz w:val="14"/>
          <w:szCs w:val="14"/>
          <w:b w:val="1"/>
          <w:bCs w:val="1"/>
          <w:color w:val="auto"/>
        </w:rPr>
        <w:t xml:space="preserve"> </w:t>
      </w:r>
      <w:r>
        <w:rPr>
          <w:rFonts w:ascii="Arial" w:cs="Arial" w:eastAsia="Arial" w:hAnsi="Arial"/>
          <w:sz w:val="14"/>
          <w:szCs w:val="14"/>
          <w:color w:val="auto"/>
        </w:rPr>
        <w:t>States are generally required to pay a withholding tax under section 1446 on any foreign partners’ share of effectively connected taxable income from such business. Further, in certain cases where a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Form W-9 to the partnership to establish your U.S. status and avoid section 1446 withholding on your share of partnership income.</w:t>
      </w:r>
    </w:p>
    <w:p>
      <w:pPr>
        <w:spacing w:after="0" w:line="11" w:lineRule="exact"/>
        <w:rPr>
          <w:sz w:val="20"/>
          <w:szCs w:val="20"/>
          <w:color w:val="auto"/>
        </w:rPr>
      </w:pPr>
    </w:p>
    <w:p>
      <w:pPr>
        <w:ind w:left="4" w:right="140" w:firstLine="72"/>
        <w:spacing w:after="0" w:line="260" w:lineRule="auto"/>
        <w:rPr>
          <w:sz w:val="20"/>
          <w:szCs w:val="20"/>
          <w:color w:val="auto"/>
        </w:rPr>
      </w:pPr>
      <w:r>
        <w:rPr>
          <w:rFonts w:ascii="Arial" w:cs="Arial" w:eastAsia="Arial" w:hAnsi="Arial"/>
          <w:sz w:val="13"/>
          <w:szCs w:val="13"/>
          <w:color w:val="auto"/>
        </w:rPr>
        <w:t>In the cases below, the following person must give Form W-9 to the partnership for purposes of establishing its U.S. status and avoiding withholding on its allocable share of net income from the partnership conducting a trade or business in the United States.</w:t>
      </w:r>
    </w:p>
    <w:p>
      <w:pPr>
        <w:ind w:left="164" w:right="100" w:hanging="164"/>
        <w:spacing w:after="0" w:line="251" w:lineRule="auto"/>
        <w:tabs>
          <w:tab w:leader="none" w:pos="16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the case of a disregarded entity with a U.S. owner, the U.S. owner of the disregarded entity and not the entity;</w:t>
      </w:r>
    </w:p>
    <w:p>
      <w:pPr>
        <w:ind w:left="164" w:right="60" w:hanging="164"/>
        <w:spacing w:after="0" w:line="251" w:lineRule="auto"/>
        <w:tabs>
          <w:tab w:leader="none" w:pos="16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the case of a grantor trust with a U.S. grantor or other U.S. owner, generally, the U.S. grantor or other U.S. owner of the grantor trust and not the trust; and</w:t>
      </w:r>
    </w:p>
    <w:p>
      <w:pPr>
        <w:ind w:left="164" w:right="60" w:hanging="164"/>
        <w:spacing w:after="0" w:line="246" w:lineRule="auto"/>
        <w:tabs>
          <w:tab w:leader="none" w:pos="16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the case of a U.S. trust (other than a grantor trust), the U.S. trust (other than a grantor trust) and not the beneficiaries of the trust.</w:t>
      </w:r>
    </w:p>
    <w:p>
      <w:pPr>
        <w:spacing w:after="0" w:line="1" w:lineRule="exact"/>
        <w:rPr>
          <w:sz w:val="20"/>
          <w:szCs w:val="20"/>
          <w:color w:val="auto"/>
        </w:rPr>
      </w:pPr>
    </w:p>
    <w:p>
      <w:pPr>
        <w:ind w:left="4" w:right="160"/>
        <w:spacing w:after="0" w:line="231" w:lineRule="auto"/>
        <w:rPr>
          <w:sz w:val="20"/>
          <w:szCs w:val="20"/>
          <w:color w:val="auto"/>
        </w:rPr>
      </w:pPr>
      <w:r>
        <w:rPr>
          <w:rFonts w:ascii="Arial" w:cs="Arial" w:eastAsia="Arial" w:hAnsi="Arial"/>
          <w:sz w:val="14"/>
          <w:szCs w:val="14"/>
          <w:b w:val="1"/>
          <w:bCs w:val="1"/>
          <w:color w:val="auto"/>
        </w:rPr>
        <w:t xml:space="preserve">Foreign person. </w:t>
      </w:r>
      <w:r>
        <w:rPr>
          <w:rFonts w:ascii="Arial" w:cs="Arial" w:eastAsia="Arial" w:hAnsi="Arial"/>
          <w:sz w:val="14"/>
          <w:szCs w:val="14"/>
          <w:color w:val="auto"/>
        </w:rPr>
        <w:t>If you are a foreign person or the U.S. branch of a foreign bank that has</w:t>
      </w:r>
      <w:r>
        <w:rPr>
          <w:rFonts w:ascii="Arial" w:cs="Arial" w:eastAsia="Arial" w:hAnsi="Arial"/>
          <w:sz w:val="14"/>
          <w:szCs w:val="14"/>
          <w:b w:val="1"/>
          <w:bCs w:val="1"/>
          <w:color w:val="auto"/>
        </w:rPr>
        <w:t xml:space="preserve"> </w:t>
      </w:r>
      <w:r>
        <w:rPr>
          <w:rFonts w:ascii="Arial" w:cs="Arial" w:eastAsia="Arial" w:hAnsi="Arial"/>
          <w:sz w:val="14"/>
          <w:szCs w:val="14"/>
          <w:color w:val="auto"/>
        </w:rPr>
        <w:t>elected to be treated as a U.S. person, do not use Form W-9. Instead, use the appropriate Form W-8 or Form 8233 (see Pub. 515, Withholding of Tax on Nonresident Aliens and Foreign Entities).</w:t>
      </w:r>
    </w:p>
    <w:p>
      <w:pPr>
        <w:spacing w:after="0" w:line="4" w:lineRule="exact"/>
        <w:rPr>
          <w:sz w:val="20"/>
          <w:szCs w:val="20"/>
          <w:color w:val="auto"/>
        </w:rPr>
      </w:pPr>
    </w:p>
    <w:p>
      <w:pPr>
        <w:ind w:left="4"/>
        <w:spacing w:after="0" w:line="230" w:lineRule="auto"/>
        <w:rPr>
          <w:sz w:val="20"/>
          <w:szCs w:val="20"/>
          <w:color w:val="auto"/>
        </w:rPr>
      </w:pPr>
      <w:r>
        <w:rPr>
          <w:rFonts w:ascii="Arial" w:cs="Arial" w:eastAsia="Arial" w:hAnsi="Arial"/>
          <w:sz w:val="14"/>
          <w:szCs w:val="14"/>
          <w:b w:val="1"/>
          <w:bCs w:val="1"/>
          <w:color w:val="auto"/>
        </w:rPr>
        <w:t xml:space="preserve">Nonresident alien who becomes a resident alien. </w:t>
      </w:r>
      <w:r>
        <w:rPr>
          <w:rFonts w:ascii="Arial" w:cs="Arial" w:eastAsia="Arial" w:hAnsi="Arial"/>
          <w:sz w:val="14"/>
          <w:szCs w:val="14"/>
          <w:color w:val="auto"/>
        </w:rPr>
        <w:t>Generally, only a nonresident alien</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firstLine="72"/>
        <w:spacing w:after="0" w:line="238" w:lineRule="auto"/>
        <w:rPr>
          <w:sz w:val="20"/>
          <w:szCs w:val="20"/>
          <w:color w:val="auto"/>
        </w:rPr>
      </w:pPr>
      <w:r>
        <w:rPr>
          <w:rFonts w:ascii="Arial" w:cs="Arial" w:eastAsia="Arial" w:hAnsi="Arial"/>
          <w:sz w:val="14"/>
          <w:szCs w:val="14"/>
          <w:color w:val="auto"/>
        </w:rPr>
        <w:t>If you are a U.S. resident alien who is relying on an exception contained in the saving clause of a tax treaty to claim an exemption from U.S. tax on certain types of income, you must attach a statement to Form W-9 that specifies the following five items.</w:t>
      </w:r>
    </w:p>
    <w:p>
      <w:pPr>
        <w:spacing w:after="0" w:line="7" w:lineRule="exact"/>
        <w:rPr>
          <w:sz w:val="20"/>
          <w:szCs w:val="20"/>
          <w:color w:val="auto"/>
        </w:rPr>
      </w:pPr>
    </w:p>
    <w:p>
      <w:pPr>
        <w:ind w:right="340" w:firstLine="66"/>
        <w:spacing w:after="0" w:line="251" w:lineRule="auto"/>
        <w:tabs>
          <w:tab w:leader="none" w:pos="21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treaty country. Generally, this must be the same treaty under which you claimed exemption from tax as a nonresident alien.</w:t>
      </w:r>
    </w:p>
    <w:p>
      <w:pPr>
        <w:ind w:left="200" w:hanging="134"/>
        <w:spacing w:after="0"/>
        <w:tabs>
          <w:tab w:leader="none" w:pos="2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treaty article addressing the income.</w:t>
      </w:r>
    </w:p>
    <w:p>
      <w:pPr>
        <w:spacing w:after="0" w:line="21" w:lineRule="exact"/>
        <w:rPr>
          <w:rFonts w:ascii="Arial" w:cs="Arial" w:eastAsia="Arial" w:hAnsi="Arial"/>
          <w:sz w:val="14"/>
          <w:szCs w:val="14"/>
          <w:color w:val="auto"/>
        </w:rPr>
      </w:pPr>
    </w:p>
    <w:p>
      <w:pPr>
        <w:ind w:right="200" w:firstLine="66"/>
        <w:spacing w:after="0" w:line="243" w:lineRule="auto"/>
        <w:tabs>
          <w:tab w:leader="none" w:pos="21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article number (or location) in the tax treaty that contains the saving clause and its exceptions.</w:t>
      </w:r>
    </w:p>
    <w:p>
      <w:pPr>
        <w:spacing w:after="0" w:line="4" w:lineRule="exact"/>
        <w:rPr>
          <w:rFonts w:ascii="Arial" w:cs="Arial" w:eastAsia="Arial" w:hAnsi="Arial"/>
          <w:sz w:val="14"/>
          <w:szCs w:val="14"/>
          <w:color w:val="auto"/>
        </w:rPr>
      </w:pPr>
    </w:p>
    <w:p>
      <w:pPr>
        <w:ind w:left="200" w:hanging="134"/>
        <w:spacing w:after="0"/>
        <w:tabs>
          <w:tab w:leader="none" w:pos="2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type and amount of income that qualifies for the exemption from tax.</w:t>
      </w:r>
    </w:p>
    <w:p>
      <w:pPr>
        <w:spacing w:after="0" w:line="28" w:lineRule="exact"/>
        <w:rPr>
          <w:rFonts w:ascii="Arial" w:cs="Arial" w:eastAsia="Arial" w:hAnsi="Arial"/>
          <w:sz w:val="14"/>
          <w:szCs w:val="14"/>
          <w:color w:val="auto"/>
        </w:rPr>
      </w:pPr>
    </w:p>
    <w:p>
      <w:pPr>
        <w:ind w:left="60" w:right="120" w:firstLine="6"/>
        <w:spacing w:after="0" w:line="269" w:lineRule="auto"/>
        <w:tabs>
          <w:tab w:leader="none" w:pos="204"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Sufficient facts to justify the exemption from tax under the terms of the treaty article. </w:t>
      </w:r>
      <w:r>
        <w:rPr>
          <w:rFonts w:ascii="Arial" w:cs="Arial" w:eastAsia="Arial" w:hAnsi="Arial"/>
          <w:sz w:val="13"/>
          <w:szCs w:val="13"/>
          <w:b w:val="1"/>
          <w:bCs w:val="1"/>
          <w:i w:val="1"/>
          <w:iCs w:val="1"/>
          <w:color w:val="auto"/>
        </w:rPr>
        <w:t xml:space="preserve">Example. </w:t>
      </w:r>
      <w:r>
        <w:rPr>
          <w:rFonts w:ascii="Arial" w:cs="Arial" w:eastAsia="Arial" w:hAnsi="Arial"/>
          <w:sz w:val="13"/>
          <w:szCs w:val="13"/>
          <w:color w:val="auto"/>
        </w:rPr>
        <w:t>Article 20 of the U.S.-China income tax treaty allows an exemption from tax for</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scholarship income received by a Chinese student temporarily present in the United States. Under U.S. law, this student will become a resident alien for tax purposes if his or her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his or her scholarship or fellowship income would attach to Form W-9 a statement that includes the information described above to support that exemption.</w:t>
      </w:r>
    </w:p>
    <w:p>
      <w:pPr>
        <w:spacing w:after="0" w:line="13" w:lineRule="exact"/>
        <w:rPr>
          <w:sz w:val="20"/>
          <w:szCs w:val="20"/>
          <w:color w:val="auto"/>
        </w:rPr>
      </w:pPr>
    </w:p>
    <w:p>
      <w:pPr>
        <w:ind w:right="600" w:firstLine="72"/>
        <w:spacing w:after="0" w:line="253" w:lineRule="auto"/>
        <w:rPr>
          <w:sz w:val="20"/>
          <w:szCs w:val="20"/>
          <w:color w:val="auto"/>
        </w:rPr>
      </w:pPr>
      <w:r>
        <w:rPr>
          <w:rFonts w:ascii="Arial" w:cs="Arial" w:eastAsia="Arial" w:hAnsi="Arial"/>
          <w:sz w:val="14"/>
          <w:szCs w:val="14"/>
          <w:color w:val="auto"/>
        </w:rPr>
        <w:t>If you are a nonresident alien or a foreign entity, give the requester the appropriate completed Form W-8 or Form 8233.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w:t>
      </w:r>
    </w:p>
    <w:p>
      <w:pPr>
        <w:spacing w:after="0" w:line="45"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b w:val="1"/>
          <w:bCs w:val="1"/>
          <w:color w:val="auto"/>
        </w:rPr>
        <w:t xml:space="preserve">What is backup withholding? </w:t>
      </w:r>
      <w:r>
        <w:rPr>
          <w:rFonts w:ascii="Arial" w:cs="Arial" w:eastAsia="Arial" w:hAnsi="Arial"/>
          <w:sz w:val="14"/>
          <w:szCs w:val="14"/>
          <w:color w:val="auto"/>
        </w:rPr>
        <w:t>Persons making certain payments to you must under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conditions withhold and pay to the IRS 24% of such payments. This is called “backup withholding.” Payments that may be subject to backup withholding include interest, tax-exempt interest, dividends, broker and barter exchange transactions, rents, royalties, nonemployee pay, payments made in settlement of payment card and third party network transactions, and certain payments from fishing boat operators. Real estate transactions are not subject to backup withholding.</w:t>
      </w:r>
    </w:p>
    <w:p>
      <w:pPr>
        <w:spacing w:after="0" w:line="2" w:lineRule="exact"/>
        <w:rPr>
          <w:sz w:val="20"/>
          <w:szCs w:val="20"/>
          <w:color w:val="auto"/>
        </w:rPr>
      </w:pPr>
    </w:p>
    <w:p>
      <w:pPr>
        <w:ind w:right="20" w:firstLine="72"/>
        <w:spacing w:after="0" w:line="234" w:lineRule="auto"/>
        <w:rPr>
          <w:sz w:val="20"/>
          <w:szCs w:val="20"/>
          <w:color w:val="auto"/>
        </w:rPr>
      </w:pPr>
      <w:r>
        <w:rPr>
          <w:rFonts w:ascii="Arial" w:cs="Arial" w:eastAsia="Arial" w:hAnsi="Arial"/>
          <w:sz w:val="14"/>
          <w:szCs w:val="14"/>
          <w:color w:val="auto"/>
        </w:rPr>
        <w:t>You will not be subject to backup withholding on payments you receive if you give the requester your correct TIN, make the proper certifications, and report all your taxable interest and dividends on your tax return.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Payments you receive will be subject to backup withholding if:</w:t>
      </w:r>
    </w:p>
    <w:p>
      <w:pPr>
        <w:spacing w:after="0" w:line="32" w:lineRule="exact"/>
        <w:rPr>
          <w:sz w:val="20"/>
          <w:szCs w:val="20"/>
          <w:color w:val="auto"/>
        </w:rPr>
      </w:pPr>
    </w:p>
    <w:p>
      <w:pPr>
        <w:ind w:left="200" w:hanging="134"/>
        <w:spacing w:after="0"/>
        <w:tabs>
          <w:tab w:leader="none" w:pos="2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You do not furnish your TIN to the requester,</w:t>
      </w:r>
    </w:p>
    <w:p>
      <w:pPr>
        <w:spacing w:after="0" w:line="21" w:lineRule="exact"/>
        <w:rPr>
          <w:rFonts w:ascii="Arial" w:cs="Arial" w:eastAsia="Arial" w:hAnsi="Arial"/>
          <w:sz w:val="14"/>
          <w:szCs w:val="14"/>
          <w:color w:val="auto"/>
        </w:rPr>
      </w:pPr>
    </w:p>
    <w:p>
      <w:pPr>
        <w:ind w:left="200" w:hanging="134"/>
        <w:spacing w:after="0"/>
        <w:tabs>
          <w:tab w:leader="none" w:pos="2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You do not certify your TIN when required (see the instructions for Part II for details),</w:t>
      </w:r>
    </w:p>
    <w:p>
      <w:pPr>
        <w:spacing w:after="0" w:line="32" w:lineRule="exact"/>
        <w:rPr>
          <w:rFonts w:ascii="Arial" w:cs="Arial" w:eastAsia="Arial" w:hAnsi="Arial"/>
          <w:sz w:val="13"/>
          <w:szCs w:val="13"/>
          <w:color w:val="auto"/>
        </w:rPr>
      </w:pPr>
    </w:p>
    <w:p>
      <w:pPr>
        <w:ind w:left="200" w:hanging="134"/>
        <w:spacing w:after="0"/>
        <w:tabs>
          <w:tab w:leader="none" w:pos="2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IRS tells the requester that you furnished an incorrect TIN,</w:t>
      </w:r>
    </w:p>
    <w:p>
      <w:pPr>
        <w:spacing w:after="0" w:line="28" w:lineRule="exact"/>
        <w:rPr>
          <w:rFonts w:ascii="Arial" w:cs="Arial" w:eastAsia="Arial" w:hAnsi="Arial"/>
          <w:sz w:val="14"/>
          <w:szCs w:val="14"/>
          <w:color w:val="auto"/>
        </w:rPr>
      </w:pPr>
    </w:p>
    <w:p>
      <w:pPr>
        <w:ind w:right="40" w:firstLine="66"/>
        <w:spacing w:after="0" w:line="238" w:lineRule="auto"/>
        <w:tabs>
          <w:tab w:leader="none" w:pos="21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IRS tells you that you are subject to backup withholding because you did not report all your interest and dividends on your tax return (for reportable interest and dividends only), or</w:t>
      </w:r>
    </w:p>
    <w:p>
      <w:pPr>
        <w:ind w:right="40" w:firstLine="66"/>
        <w:spacing w:after="0" w:line="243" w:lineRule="auto"/>
        <w:tabs>
          <w:tab w:leader="none" w:pos="21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You do not certify to the requester that you are not subject to backup withholding under 4 above (for reportable interest and dividend accounts opened after 1983 only).</w:t>
      </w:r>
    </w:p>
    <w:p>
      <w:pPr>
        <w:spacing w:after="0" w:line="5" w:lineRule="exact"/>
        <w:rPr>
          <w:sz w:val="20"/>
          <w:szCs w:val="20"/>
          <w:color w:val="auto"/>
        </w:rPr>
      </w:pPr>
    </w:p>
    <w:p>
      <w:pPr>
        <w:ind w:right="20" w:firstLine="72"/>
        <w:spacing w:after="0" w:line="287" w:lineRule="auto"/>
        <w:rPr>
          <w:sz w:val="20"/>
          <w:szCs w:val="20"/>
          <w:color w:val="auto"/>
        </w:rPr>
      </w:pPr>
      <w:r>
        <w:rPr>
          <w:rFonts w:ascii="Arial" w:cs="Arial" w:eastAsia="Arial" w:hAnsi="Arial"/>
          <w:sz w:val="12"/>
          <w:szCs w:val="12"/>
          <w:color w:val="auto"/>
        </w:rPr>
        <w:t xml:space="preserve">Certain payees and payments are exempt from backup withholding. See </w:t>
      </w:r>
      <w:r>
        <w:rPr>
          <w:rFonts w:ascii="Arial" w:cs="Arial" w:eastAsia="Arial" w:hAnsi="Arial"/>
          <w:sz w:val="12"/>
          <w:szCs w:val="12"/>
          <w:i w:val="1"/>
          <w:iCs w:val="1"/>
          <w:color w:val="auto"/>
        </w:rPr>
        <w:t>Exempt payee code,</w:t>
      </w:r>
      <w:r>
        <w:rPr>
          <w:rFonts w:ascii="Arial" w:cs="Arial" w:eastAsia="Arial" w:hAnsi="Arial"/>
          <w:sz w:val="12"/>
          <w:szCs w:val="12"/>
          <w:color w:val="auto"/>
        </w:rPr>
        <w:t xml:space="preserve"> later, and the separate Instructions for the Requester of Form W-9 for more information.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Also see </w:t>
      </w:r>
      <w:r>
        <w:rPr>
          <w:rFonts w:ascii="Arial" w:cs="Arial" w:eastAsia="Arial" w:hAnsi="Arial"/>
          <w:sz w:val="14"/>
          <w:szCs w:val="14"/>
          <w:i w:val="1"/>
          <w:iCs w:val="1"/>
          <w:color w:val="auto"/>
        </w:rPr>
        <w:t>Special rules for partnerships,</w:t>
      </w:r>
      <w:r>
        <w:rPr>
          <w:rFonts w:ascii="Arial" w:cs="Arial" w:eastAsia="Arial" w:hAnsi="Arial"/>
          <w:sz w:val="14"/>
          <w:szCs w:val="14"/>
          <w:color w:val="auto"/>
        </w:rPr>
        <w:t xml:space="preserve"> earlier.</w:t>
      </w:r>
    </w:p>
    <w:p>
      <w:pPr>
        <w:sectPr>
          <w:pgSz w:w="11900" w:h="16838" w:orient="portrait"/>
          <w:cols w:equalWidth="0" w:num="2">
            <w:col w:w="5284" w:space="340"/>
            <w:col w:w="5400"/>
          </w:cols>
          <w:pgMar w:left="436" w:top="274" w:right="439" w:bottom="1440" w:gutter="0" w:footer="0" w:header="0"/>
          <w:type w:val="continuous"/>
        </w:sectPr>
      </w:pPr>
    </w:p>
    <w:bookmarkStart w:id="129" w:name="page130"/>
    <w:bookmarkEnd w:id="129"/>
    <w:p>
      <w:pPr>
        <w:spacing w:after="0"/>
        <w:tabs>
          <w:tab w:leader="none" w:pos="106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W-9 (Rev. 10-2018)</w:t>
      </w:r>
      <w:r>
        <w:rPr>
          <w:sz w:val="20"/>
          <w:szCs w:val="20"/>
          <w:color w:val="auto"/>
        </w:rPr>
        <w:tab/>
      </w:r>
      <w:r>
        <w:rPr>
          <w:rFonts w:ascii="Arial" w:cs="Arial" w:eastAsia="Arial" w:hAnsi="Arial"/>
          <w:sz w:val="10"/>
          <w:szCs w:val="1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FATCA Reporting?</w:t>
      </w:r>
    </w:p>
    <w:p>
      <w:pPr>
        <w:spacing w:after="0" w:line="49"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 xml:space="preserve">The Foreign Account Tax Compliance Act (FATCA) requires a participating foreign financial institution to report all United States account holders that are specified United States persons. Certain payees are exempt from FATCA reporting. See </w:t>
      </w:r>
      <w:r>
        <w:rPr>
          <w:rFonts w:ascii="Arial" w:cs="Arial" w:eastAsia="Arial" w:hAnsi="Arial"/>
          <w:sz w:val="14"/>
          <w:szCs w:val="14"/>
          <w:i w:val="1"/>
          <w:iCs w:val="1"/>
          <w:color w:val="auto"/>
        </w:rPr>
        <w:t>Exemption from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FATCA reporting code, </w:t>
      </w:r>
      <w:r>
        <w:rPr>
          <w:rFonts w:ascii="Arial" w:cs="Arial" w:eastAsia="Arial" w:hAnsi="Arial"/>
          <w:sz w:val="14"/>
          <w:szCs w:val="14"/>
          <w:color w:val="auto"/>
        </w:rPr>
        <w:t>later, and the Instructions for the Requester of Form W-9 for more</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Updating Your Information</w:t>
      </w:r>
    </w:p>
    <w:p>
      <w:pPr>
        <w:spacing w:after="0" w:line="49"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no longer are tax exempt. In addition, you must furnish a new Form W-9 if the name or TIN changes for the account; for example, if the grantor of a grantor trust dies.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32" w:lineRule="exact"/>
        <w:rPr>
          <w:sz w:val="20"/>
          <w:szCs w:val="20"/>
          <w:color w:val="auto"/>
        </w:rPr>
      </w:pPr>
    </w:p>
    <w:p>
      <w:pPr>
        <w:ind w:right="260"/>
        <w:spacing w:after="0"/>
        <w:rPr>
          <w:sz w:val="20"/>
          <w:szCs w:val="20"/>
          <w:color w:val="auto"/>
        </w:rPr>
      </w:pPr>
      <w:r>
        <w:rPr>
          <w:rFonts w:ascii="Arial" w:cs="Arial" w:eastAsia="Arial" w:hAnsi="Arial"/>
          <w:sz w:val="14"/>
          <w:szCs w:val="14"/>
          <w:b w:val="1"/>
          <w:bCs w:val="1"/>
          <w:color w:val="auto"/>
        </w:rPr>
        <w:t xml:space="preserve">Failure to furnish TIN. </w:t>
      </w:r>
      <w:r>
        <w:rPr>
          <w:rFonts w:ascii="Arial" w:cs="Arial" w:eastAsia="Arial" w:hAnsi="Arial"/>
          <w:sz w:val="14"/>
          <w:szCs w:val="14"/>
          <w:color w:val="auto"/>
        </w:rPr>
        <w:t>If you fail to furnish your correct TIN to a requester, you are</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a penalty of $50 for each such failure unless your failure is due to reasonable cause and not to willful neglect.</w:t>
      </w:r>
    </w:p>
    <w:p>
      <w:pPr>
        <w:spacing w:after="0" w:line="3" w:lineRule="exact"/>
        <w:rPr>
          <w:sz w:val="20"/>
          <w:szCs w:val="20"/>
          <w:color w:val="auto"/>
        </w:rPr>
      </w:pPr>
    </w:p>
    <w:p>
      <w:pPr>
        <w:ind w:right="20"/>
        <w:spacing w:after="0"/>
        <w:rPr>
          <w:sz w:val="20"/>
          <w:szCs w:val="20"/>
          <w:color w:val="auto"/>
        </w:rPr>
      </w:pPr>
      <w:r>
        <w:rPr>
          <w:rFonts w:ascii="Arial" w:cs="Arial" w:eastAsia="Arial" w:hAnsi="Arial"/>
          <w:sz w:val="14"/>
          <w:szCs w:val="14"/>
          <w:b w:val="1"/>
          <w:bCs w:val="1"/>
          <w:color w:val="auto"/>
        </w:rPr>
        <w:t xml:space="preserve">Civil penalty for false information with respect to withholding. </w:t>
      </w:r>
      <w:r>
        <w:rPr>
          <w:rFonts w:ascii="Arial" w:cs="Arial" w:eastAsia="Arial" w:hAnsi="Arial"/>
          <w:sz w:val="14"/>
          <w:szCs w:val="14"/>
          <w:color w:val="auto"/>
        </w:rPr>
        <w:t>If you make a false</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 with no reasonable basis that results in no backup withholding, you are subject to a $500 penalty.</w:t>
      </w:r>
    </w:p>
    <w:p>
      <w:pPr>
        <w:spacing w:after="0" w:line="71"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b w:val="1"/>
          <w:bCs w:val="1"/>
          <w:color w:val="auto"/>
        </w:rPr>
        <w:t xml:space="preserve">Criminal penalty for falsifying information. </w:t>
      </w:r>
      <w:r>
        <w:rPr>
          <w:rFonts w:ascii="Arial" w:cs="Arial" w:eastAsia="Arial" w:hAnsi="Arial"/>
          <w:sz w:val="13"/>
          <w:szCs w:val="13"/>
          <w:color w:val="auto"/>
        </w:rPr>
        <w:t>Willfully falsifying certifications or</w:t>
      </w:r>
      <w:r>
        <w:rPr>
          <w:rFonts w:ascii="Arial" w:cs="Arial" w:eastAsia="Arial" w:hAnsi="Arial"/>
          <w:sz w:val="13"/>
          <w:szCs w:val="13"/>
          <w:b w:val="1"/>
          <w:bCs w:val="1"/>
          <w:color w:val="auto"/>
        </w:rPr>
        <w:t xml:space="preserve"> </w:t>
      </w:r>
      <w:r>
        <w:rPr>
          <w:rFonts w:ascii="Arial" w:cs="Arial" w:eastAsia="Arial" w:hAnsi="Arial"/>
          <w:sz w:val="13"/>
          <w:szCs w:val="13"/>
          <w:color w:val="auto"/>
        </w:rPr>
        <w:t>affirmations may subject you to criminal penalties including fines and/or imprisonment.</w:t>
      </w:r>
    </w:p>
    <w:p>
      <w:pPr>
        <w:spacing w:after="0" w:line="35"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b w:val="1"/>
          <w:bCs w:val="1"/>
          <w:color w:val="auto"/>
        </w:rPr>
        <w:t xml:space="preserve">Misuse of TINs. </w:t>
      </w:r>
      <w:r>
        <w:rPr>
          <w:rFonts w:ascii="Arial" w:cs="Arial" w:eastAsia="Arial" w:hAnsi="Arial"/>
          <w:sz w:val="14"/>
          <w:szCs w:val="14"/>
          <w:color w:val="auto"/>
        </w:rPr>
        <w:t>If the requester discloses or uses TINs in violation of federal law, the</w:t>
      </w:r>
      <w:r>
        <w:rPr>
          <w:rFonts w:ascii="Arial" w:cs="Arial" w:eastAsia="Arial" w:hAnsi="Arial"/>
          <w:sz w:val="14"/>
          <w:szCs w:val="14"/>
          <w:b w:val="1"/>
          <w:bCs w:val="1"/>
          <w:color w:val="auto"/>
        </w:rPr>
        <w:t xml:space="preserve"> </w:t>
      </w:r>
      <w:r>
        <w:rPr>
          <w:rFonts w:ascii="Arial" w:cs="Arial" w:eastAsia="Arial" w:hAnsi="Arial"/>
          <w:sz w:val="14"/>
          <w:szCs w:val="14"/>
          <w:color w:val="auto"/>
        </w:rPr>
        <w:t>requester may be subject to civil and criminal penalties.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Instructions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Line 1</w:t>
      </w:r>
    </w:p>
    <w:p>
      <w:pPr>
        <w:spacing w:after="0" w:line="25" w:lineRule="exact"/>
        <w:rPr>
          <w:sz w:val="20"/>
          <w:szCs w:val="20"/>
          <w:color w:val="auto"/>
        </w:rPr>
      </w:pPr>
    </w:p>
    <w:p>
      <w:pPr>
        <w:ind w:right="240"/>
        <w:spacing w:after="0" w:line="242" w:lineRule="auto"/>
        <w:rPr>
          <w:sz w:val="20"/>
          <w:szCs w:val="20"/>
          <w:color w:val="auto"/>
        </w:rPr>
      </w:pPr>
      <w:r>
        <w:rPr>
          <w:rFonts w:ascii="Arial" w:cs="Arial" w:eastAsia="Arial" w:hAnsi="Arial"/>
          <w:sz w:val="14"/>
          <w:szCs w:val="14"/>
          <w:color w:val="auto"/>
        </w:rPr>
        <w:t xml:space="preserve">You must enter one of the following on this line; </w:t>
      </w:r>
      <w:r>
        <w:rPr>
          <w:rFonts w:ascii="Arial" w:cs="Arial" w:eastAsia="Arial" w:hAnsi="Arial"/>
          <w:sz w:val="14"/>
          <w:szCs w:val="14"/>
          <w:b w:val="1"/>
          <w:bCs w:val="1"/>
          <w:color w:val="auto"/>
        </w:rPr>
        <w:t>do not</w:t>
      </w:r>
      <w:r>
        <w:rPr>
          <w:rFonts w:ascii="Arial" w:cs="Arial" w:eastAsia="Arial" w:hAnsi="Arial"/>
          <w:sz w:val="14"/>
          <w:szCs w:val="14"/>
          <w:color w:val="auto"/>
        </w:rPr>
        <w:t xml:space="preserve"> leave this line blank. The name should match the name on your tax return.</w:t>
      </w:r>
    </w:p>
    <w:p>
      <w:pPr>
        <w:spacing w:after="0" w:line="6" w:lineRule="exact"/>
        <w:rPr>
          <w:sz w:val="20"/>
          <w:szCs w:val="20"/>
          <w:color w:val="auto"/>
        </w:rPr>
      </w:pPr>
    </w:p>
    <w:p>
      <w:pPr>
        <w:ind w:right="40" w:firstLine="72"/>
        <w:spacing w:after="0" w:line="231" w:lineRule="auto"/>
        <w:rPr>
          <w:sz w:val="20"/>
          <w:szCs w:val="20"/>
          <w:color w:val="auto"/>
        </w:rPr>
      </w:pPr>
      <w:r>
        <w:rPr>
          <w:rFonts w:ascii="Arial" w:cs="Arial" w:eastAsia="Arial" w:hAnsi="Arial"/>
          <w:sz w:val="14"/>
          <w:szCs w:val="14"/>
          <w:color w:val="auto"/>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spacing w:after="0" w:line="4" w:lineRule="exact"/>
        <w:rPr>
          <w:sz w:val="20"/>
          <w:szCs w:val="20"/>
          <w:color w:val="auto"/>
        </w:rPr>
      </w:pPr>
    </w:p>
    <w:p>
      <w:pPr>
        <w:ind w:firstLine="72"/>
        <w:spacing w:after="0" w:line="235"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Individual.</w:t>
      </w:r>
      <w:r>
        <w:rPr>
          <w:rFonts w:ascii="Arial" w:cs="Arial" w:eastAsia="Arial" w:hAnsi="Arial"/>
          <w:sz w:val="14"/>
          <w:szCs w:val="14"/>
          <w:color w:val="auto"/>
        </w:rPr>
        <w:t xml:space="preserve"> Generally, enter the name shown on your tax return. If you have changed your last name without informing the Social Security Administration (SSA) of the name change, enter your first name, the last name as shown on your social security card, and your new last name.</w:t>
      </w:r>
    </w:p>
    <w:p>
      <w:pPr>
        <w:spacing w:after="0" w:line="1" w:lineRule="exact"/>
        <w:rPr>
          <w:sz w:val="20"/>
          <w:szCs w:val="20"/>
          <w:color w:val="auto"/>
        </w:rPr>
      </w:pPr>
    </w:p>
    <w:p>
      <w:pPr>
        <w:jc w:val="both"/>
        <w:ind w:right="220"/>
        <w:spacing w:after="0" w:line="234" w:lineRule="auto"/>
        <w:rPr>
          <w:sz w:val="20"/>
          <w:szCs w:val="20"/>
          <w:color w:val="auto"/>
        </w:rPr>
      </w:pPr>
      <w:r>
        <w:rPr>
          <w:rFonts w:ascii="Arial" w:cs="Arial" w:eastAsia="Arial" w:hAnsi="Arial"/>
          <w:sz w:val="14"/>
          <w:szCs w:val="14"/>
          <w:b w:val="1"/>
          <w:bCs w:val="1"/>
          <w:color w:val="auto"/>
        </w:rPr>
        <w:t xml:space="preserve">Note: ITIN applicant: </w:t>
      </w:r>
      <w:r>
        <w:rPr>
          <w:rFonts w:ascii="Arial" w:cs="Arial" w:eastAsia="Arial" w:hAnsi="Arial"/>
          <w:sz w:val="14"/>
          <w:szCs w:val="14"/>
          <w:color w:val="auto"/>
        </w:rPr>
        <w:t>Enter your individual name as it was entered on your Form W-7</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 line 1a. This should also be the same as the name you entered on the Form 1040/1040A/1040EZ you filed with your application.</w:t>
      </w:r>
    </w:p>
    <w:p>
      <w:pPr>
        <w:spacing w:after="0" w:line="4" w:lineRule="exact"/>
        <w:rPr>
          <w:sz w:val="20"/>
          <w:szCs w:val="20"/>
          <w:color w:val="auto"/>
        </w:rPr>
      </w:pPr>
    </w:p>
    <w:p>
      <w:pPr>
        <w:ind w:right="280" w:firstLine="72"/>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b w:val="1"/>
          <w:bCs w:val="1"/>
          <w:color w:val="auto"/>
        </w:rPr>
        <w:t>Sole proprietor or single-member LLC.</w:t>
      </w:r>
      <w:r>
        <w:rPr>
          <w:rFonts w:ascii="Arial" w:cs="Arial" w:eastAsia="Arial" w:hAnsi="Arial"/>
          <w:sz w:val="14"/>
          <w:szCs w:val="14"/>
          <w:color w:val="auto"/>
        </w:rPr>
        <w:t xml:space="preserve"> Enter your individual name as shown on your 1040/1040A/1040EZ on line 1. You may enter your business, trade, or “doing business as” (DBA) name on line 2.</w:t>
      </w:r>
    </w:p>
    <w:p>
      <w:pPr>
        <w:spacing w:after="0" w:line="3" w:lineRule="exact"/>
        <w:rPr>
          <w:sz w:val="20"/>
          <w:szCs w:val="20"/>
          <w:color w:val="auto"/>
        </w:rPr>
      </w:pPr>
    </w:p>
    <w:p>
      <w:pPr>
        <w:ind w:right="120" w:firstLine="72"/>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b w:val="1"/>
          <w:bCs w:val="1"/>
          <w:color w:val="auto"/>
        </w:rPr>
        <w:t>Partnership, LLC that is not a single-member LLC, C corporation, or 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corporation. </w:t>
      </w:r>
      <w:r>
        <w:rPr>
          <w:rFonts w:ascii="Arial" w:cs="Arial" w:eastAsia="Arial" w:hAnsi="Arial"/>
          <w:sz w:val="14"/>
          <w:szCs w:val="14"/>
          <w:color w:val="auto"/>
        </w:rPr>
        <w:t>Enter the entity’s name as shown on the entity’s tax return on line 1 and any</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trade, or DBA name on line 2.</w:t>
      </w:r>
    </w:p>
    <w:p>
      <w:pPr>
        <w:ind w:right="160" w:firstLine="72"/>
        <w:spacing w:after="0" w:line="243"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b w:val="1"/>
          <w:bCs w:val="1"/>
          <w:color w:val="auto"/>
        </w:rPr>
        <w:t>Other entities.</w:t>
      </w:r>
      <w:r>
        <w:rPr>
          <w:rFonts w:ascii="Arial" w:cs="Arial" w:eastAsia="Arial" w:hAnsi="Arial"/>
          <w:sz w:val="14"/>
          <w:szCs w:val="14"/>
          <w:color w:val="auto"/>
        </w:rPr>
        <w:t xml:space="preserve"> Enter your name as shown on required U.S. federal tax documents on line 1. This name should match the name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6" w:right="20"/>
        <w:spacing w:after="0" w:line="248" w:lineRule="auto"/>
        <w:rPr>
          <w:sz w:val="20"/>
          <w:szCs w:val="20"/>
          <w:color w:val="auto"/>
        </w:rPr>
      </w:pPr>
      <w:r>
        <w:rPr>
          <w:rFonts w:ascii="Arial" w:cs="Arial" w:eastAsia="Arial" w:hAnsi="Arial"/>
          <w:sz w:val="14"/>
          <w:szCs w:val="14"/>
          <w:color w:val="auto"/>
        </w:rPr>
        <w:t>shown on the charter or other legal document creating the entity. You may enter any business, trade, or DBA name on line 2.</w:t>
      </w:r>
    </w:p>
    <w:p>
      <w:pPr>
        <w:spacing w:after="0" w:line="1" w:lineRule="exact"/>
        <w:rPr>
          <w:sz w:val="20"/>
          <w:szCs w:val="20"/>
          <w:color w:val="auto"/>
        </w:rPr>
      </w:pPr>
    </w:p>
    <w:p>
      <w:pPr>
        <w:ind w:left="6" w:right="20" w:firstLine="72"/>
        <w:spacing w:after="0" w:line="243" w:lineRule="auto"/>
        <w:rPr>
          <w:sz w:val="20"/>
          <w:szCs w:val="20"/>
          <w:color w:val="auto"/>
        </w:rPr>
      </w:pPr>
      <w:r>
        <w:rPr>
          <w:rFonts w:ascii="Arial" w:cs="Arial" w:eastAsia="Arial" w:hAnsi="Arial"/>
          <w:sz w:val="13"/>
          <w:szCs w:val="13"/>
          <w:color w:val="auto"/>
        </w:rPr>
        <w:t xml:space="preserve">e. </w:t>
      </w:r>
      <w:r>
        <w:rPr>
          <w:rFonts w:ascii="Arial" w:cs="Arial" w:eastAsia="Arial" w:hAnsi="Arial"/>
          <w:sz w:val="13"/>
          <w:szCs w:val="13"/>
          <w:b w:val="1"/>
          <w:bCs w:val="1"/>
          <w:color w:val="auto"/>
        </w:rPr>
        <w:t>Disregarded entity.</w:t>
      </w:r>
      <w:r>
        <w:rPr>
          <w:rFonts w:ascii="Arial" w:cs="Arial" w:eastAsia="Arial" w:hAnsi="Arial"/>
          <w:sz w:val="13"/>
          <w:szCs w:val="13"/>
          <w:color w:val="auto"/>
        </w:rPr>
        <w:t xml:space="preserve"> For U.S. federal tax purposes, an entity that is disregarded as an entity separate from its owner is treated as a “disregarded entity.” See Regulations section 301.7701-2(c)(2)(iii). Enter the owner’s name on line 1. The name of the entity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“Business name/disregarded entity name.” If the owner of the disregarded entity is a foreign person, the owner must complete an appropriate Form W-8 instead of a Form W-9. This is the case even if the foreign person has a U.S. TIN.</w:t>
      </w:r>
    </w:p>
    <w:p>
      <w:pPr>
        <w:spacing w:after="0" w:line="6"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Line 2</w:t>
      </w:r>
    </w:p>
    <w:p>
      <w:pPr>
        <w:spacing w:after="0" w:line="25" w:lineRule="exact"/>
        <w:rPr>
          <w:sz w:val="20"/>
          <w:szCs w:val="20"/>
          <w:color w:val="auto"/>
        </w:rPr>
      </w:pPr>
    </w:p>
    <w:p>
      <w:pPr>
        <w:ind w:left="6" w:right="160"/>
        <w:spacing w:after="0" w:line="243" w:lineRule="auto"/>
        <w:rPr>
          <w:sz w:val="20"/>
          <w:szCs w:val="20"/>
          <w:color w:val="auto"/>
        </w:rPr>
      </w:pPr>
      <w:r>
        <w:rPr>
          <w:rFonts w:ascii="Arial" w:cs="Arial" w:eastAsia="Arial" w:hAnsi="Arial"/>
          <w:sz w:val="14"/>
          <w:szCs w:val="14"/>
          <w:color w:val="auto"/>
        </w:rPr>
        <w:t>If you have a business name, trade name, DBA name, or disregarded entity name, you may enter it on line 2.</w:t>
      </w:r>
    </w:p>
    <w:p>
      <w:pPr>
        <w:spacing w:after="0" w:line="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Line 3</w:t>
      </w:r>
    </w:p>
    <w:p>
      <w:pPr>
        <w:spacing w:after="0" w:line="32" w:lineRule="exact"/>
        <w:rPr>
          <w:sz w:val="20"/>
          <w:szCs w:val="20"/>
          <w:color w:val="auto"/>
        </w:rPr>
      </w:pPr>
    </w:p>
    <w:p>
      <w:pPr>
        <w:ind w:left="6" w:right="400"/>
        <w:spacing w:after="0" w:line="253" w:lineRule="auto"/>
        <w:rPr>
          <w:sz w:val="20"/>
          <w:szCs w:val="20"/>
          <w:color w:val="auto"/>
        </w:rPr>
      </w:pPr>
      <w:r>
        <w:rPr>
          <w:rFonts w:ascii="Arial" w:cs="Arial" w:eastAsia="Arial" w:hAnsi="Arial"/>
          <w:sz w:val="14"/>
          <w:szCs w:val="14"/>
          <w:color w:val="auto"/>
        </w:rPr>
        <w:t>Check the appropriate box on line 3 for the U.S. federal tax classification of the person whose name is entered on line 1. Check only one box on line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139065</wp:posOffset>
            </wp:positionV>
            <wp:extent cx="3420110" cy="16802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01">
                      <a:extLst>
                        <a:ext uri="{28A0092B-C50C-407E-A947-70E740481C1C}"/>
                      </a:extLst>
                    </a:blip>
                    <a:srcRect/>
                    <a:stretch>
                      <a:fillRect/>
                    </a:stretch>
                  </pic:blipFill>
                  <pic:spPr bwMode="auto">
                    <a:xfrm>
                      <a:off x="0" y="0"/>
                      <a:ext cx="3420110" cy="1680210"/>
                    </a:xfrm>
                    <a:prstGeom prst="rect">
                      <a:avLst/>
                    </a:prstGeom>
                    <a:noFill/>
                  </pic:spPr>
                </pic:pic>
              </a:graphicData>
            </a:graphic>
          </wp:anchor>
        </w:drawing>
      </w:r>
    </w:p>
    <w:p>
      <w:pPr>
        <w:spacing w:after="0" w:line="179"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2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9"/>
              </w:rPr>
              <w:t>IF the entity/person on line 1 is a(n) . . .</w:t>
            </w:r>
          </w:p>
        </w:tc>
        <w:tc>
          <w:tcPr>
            <w:tcW w:w="2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THEN check the box for . . .</w:t>
            </w:r>
          </w:p>
        </w:tc>
      </w:tr>
      <w:tr>
        <w:trPr>
          <w:trHeight w:val="142"/>
        </w:trPr>
        <w:tc>
          <w:tcPr>
            <w:tcW w:w="2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 Corporation</w:t>
            </w:r>
          </w:p>
        </w:tc>
        <w:tc>
          <w:tcPr>
            <w:tcW w:w="28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Corporation</w:t>
            </w:r>
          </w:p>
        </w:tc>
      </w:tr>
      <w:tr>
        <w:trPr>
          <w:trHeight w:val="123"/>
        </w:trPr>
        <w:tc>
          <w:tcPr>
            <w:tcW w:w="2600" w:type="dxa"/>
            <w:vAlign w:val="bottom"/>
          </w:tcPr>
          <w:p>
            <w:pPr>
              <w:spacing w:after="0" w:line="123" w:lineRule="exact"/>
              <w:rPr>
                <w:sz w:val="20"/>
                <w:szCs w:val="20"/>
                <w:color w:val="auto"/>
              </w:rPr>
            </w:pPr>
            <w:r>
              <w:rPr>
                <w:rFonts w:ascii="Arial" w:cs="Arial" w:eastAsia="Arial" w:hAnsi="Arial"/>
                <w:sz w:val="14"/>
                <w:szCs w:val="14"/>
                <w:color w:val="auto"/>
              </w:rPr>
              <w:t>• Individual</w:t>
            </w:r>
          </w:p>
        </w:tc>
        <w:tc>
          <w:tcPr>
            <w:tcW w:w="2800" w:type="dxa"/>
            <w:vAlign w:val="bottom"/>
          </w:tcPr>
          <w:p>
            <w:pPr>
              <w:ind w:left="200"/>
              <w:spacing w:after="0" w:line="123" w:lineRule="exact"/>
              <w:rPr>
                <w:sz w:val="20"/>
                <w:szCs w:val="20"/>
                <w:color w:val="auto"/>
              </w:rPr>
            </w:pPr>
            <w:r>
              <w:rPr>
                <w:rFonts w:ascii="Arial" w:cs="Arial" w:eastAsia="Arial" w:hAnsi="Arial"/>
                <w:sz w:val="14"/>
                <w:szCs w:val="14"/>
                <w:color w:val="auto"/>
                <w:w w:val="95"/>
              </w:rPr>
              <w:t>Individual/sole proprietor or single- member</w:t>
            </w:r>
          </w:p>
        </w:tc>
      </w:tr>
      <w:tr>
        <w:trPr>
          <w:trHeight w:val="161"/>
        </w:trPr>
        <w:tc>
          <w:tcPr>
            <w:tcW w:w="2600" w:type="dxa"/>
            <w:vAlign w:val="bottom"/>
          </w:tcPr>
          <w:p>
            <w:pPr>
              <w:spacing w:after="0"/>
              <w:rPr>
                <w:sz w:val="20"/>
                <w:szCs w:val="20"/>
                <w:color w:val="auto"/>
              </w:rPr>
            </w:pPr>
            <w:r>
              <w:rPr>
                <w:rFonts w:ascii="Arial" w:cs="Arial" w:eastAsia="Arial" w:hAnsi="Arial"/>
                <w:sz w:val="14"/>
                <w:szCs w:val="14"/>
                <w:color w:val="auto"/>
              </w:rPr>
              <w:t>• Sole proprietorship, or</w:t>
            </w:r>
          </w:p>
        </w:tc>
        <w:tc>
          <w:tcPr>
            <w:tcW w:w="2800" w:type="dxa"/>
            <w:vAlign w:val="bottom"/>
          </w:tcPr>
          <w:p>
            <w:pPr>
              <w:ind w:left="200"/>
              <w:spacing w:after="0"/>
              <w:rPr>
                <w:sz w:val="20"/>
                <w:szCs w:val="20"/>
                <w:color w:val="auto"/>
              </w:rPr>
            </w:pPr>
            <w:r>
              <w:rPr>
                <w:rFonts w:ascii="Arial" w:cs="Arial" w:eastAsia="Arial" w:hAnsi="Arial"/>
                <w:sz w:val="14"/>
                <w:szCs w:val="14"/>
                <w:color w:val="auto"/>
              </w:rPr>
              <w:t>LLC</w:t>
            </w:r>
          </w:p>
        </w:tc>
      </w:tr>
    </w:tbl>
    <w:p>
      <w:pPr>
        <w:ind w:left="6" w:right="2940" w:hanging="1"/>
        <w:spacing w:after="0" w:line="253" w:lineRule="auto"/>
        <w:tabs>
          <w:tab w:leader="none" w:pos="93" w:val="left"/>
        </w:tabs>
        <w:numPr>
          <w:ilvl w:val="0"/>
          <w:numId w:val="105"/>
        </w:numPr>
        <w:rPr>
          <w:rFonts w:ascii="Arial" w:cs="Arial" w:eastAsia="Arial" w:hAnsi="Arial"/>
          <w:sz w:val="13"/>
          <w:szCs w:val="13"/>
          <w:color w:val="auto"/>
        </w:rPr>
      </w:pPr>
      <w:r>
        <w:rPr>
          <w:rFonts w:ascii="Arial" w:cs="Arial" w:eastAsia="Arial" w:hAnsi="Arial"/>
          <w:sz w:val="13"/>
          <w:szCs w:val="13"/>
          <w:color w:val="auto"/>
        </w:rPr>
        <w:t>Single-member limited liability company (LLC) owned by an individual and disregarded for U.S. federal tax purposes.</w:t>
      </w:r>
    </w:p>
    <w:tbl>
      <w:tblPr>
        <w:tblLayout w:type="fixed"/>
        <w:tblInd w:w="6" w:type="dxa"/>
        <w:tblCellMar>
          <w:top w:w="0" w:type="dxa"/>
          <w:left w:w="0" w:type="dxa"/>
          <w:bottom w:w="0" w:type="dxa"/>
          <w:right w:w="0" w:type="dxa"/>
        </w:tblCellMar>
      </w:tblPr>
      <w:tr>
        <w:trPr>
          <w:trHeight w:val="116"/>
        </w:trPr>
        <w:tc>
          <w:tcPr>
            <w:tcW w:w="2620" w:type="dxa"/>
            <w:vAlign w:val="bottom"/>
            <w:tcBorders>
              <w:top w:val="single" w:sz="8" w:color="auto"/>
            </w:tcBorders>
          </w:tcPr>
          <w:p>
            <w:pPr>
              <w:spacing w:after="0" w:line="116" w:lineRule="exact"/>
              <w:rPr>
                <w:sz w:val="20"/>
                <w:szCs w:val="20"/>
                <w:color w:val="auto"/>
              </w:rPr>
            </w:pPr>
            <w:r>
              <w:rPr>
                <w:rFonts w:ascii="Arial" w:cs="Arial" w:eastAsia="Arial" w:hAnsi="Arial"/>
                <w:sz w:val="13"/>
                <w:szCs w:val="13"/>
                <w:color w:val="auto"/>
              </w:rPr>
              <w:t>• LLC treated as a partnership for U.S.</w:t>
            </w:r>
          </w:p>
        </w:tc>
        <w:tc>
          <w:tcPr>
            <w:tcW w:w="2780" w:type="dxa"/>
            <w:vAlign w:val="bottom"/>
            <w:tcBorders>
              <w:top w:val="single" w:sz="8" w:color="auto"/>
            </w:tcBorders>
          </w:tcPr>
          <w:p>
            <w:pPr>
              <w:ind w:left="180"/>
              <w:spacing w:after="0" w:line="116" w:lineRule="exact"/>
              <w:rPr>
                <w:sz w:val="20"/>
                <w:szCs w:val="20"/>
                <w:color w:val="auto"/>
              </w:rPr>
            </w:pPr>
            <w:r>
              <w:rPr>
                <w:rFonts w:ascii="Arial" w:cs="Arial" w:eastAsia="Arial" w:hAnsi="Arial"/>
                <w:sz w:val="13"/>
                <w:szCs w:val="13"/>
                <w:color w:val="auto"/>
              </w:rPr>
              <w:t>Limited liability company and enter the</w:t>
            </w:r>
          </w:p>
        </w:tc>
      </w:tr>
      <w:tr>
        <w:trPr>
          <w:trHeight w:val="148"/>
        </w:trPr>
        <w:tc>
          <w:tcPr>
            <w:tcW w:w="2620" w:type="dxa"/>
            <w:vAlign w:val="bottom"/>
          </w:tcPr>
          <w:p>
            <w:pPr>
              <w:spacing w:after="0" w:line="149" w:lineRule="exact"/>
              <w:rPr>
                <w:sz w:val="20"/>
                <w:szCs w:val="20"/>
                <w:color w:val="auto"/>
              </w:rPr>
            </w:pPr>
            <w:r>
              <w:rPr>
                <w:rFonts w:ascii="Arial" w:cs="Arial" w:eastAsia="Arial" w:hAnsi="Arial"/>
                <w:sz w:val="14"/>
                <w:szCs w:val="14"/>
                <w:color w:val="auto"/>
              </w:rPr>
              <w:t>federal tax purposes,</w:t>
            </w:r>
          </w:p>
        </w:tc>
        <w:tc>
          <w:tcPr>
            <w:tcW w:w="2780" w:type="dxa"/>
            <w:vAlign w:val="bottom"/>
          </w:tcPr>
          <w:p>
            <w:pPr>
              <w:ind w:left="180"/>
              <w:spacing w:after="0" w:line="149" w:lineRule="exact"/>
              <w:rPr>
                <w:sz w:val="20"/>
                <w:szCs w:val="20"/>
                <w:color w:val="auto"/>
              </w:rPr>
            </w:pPr>
            <w:r>
              <w:rPr>
                <w:rFonts w:ascii="Arial" w:cs="Arial" w:eastAsia="Arial" w:hAnsi="Arial"/>
                <w:sz w:val="14"/>
                <w:szCs w:val="14"/>
                <w:color w:val="auto"/>
              </w:rPr>
              <w:t>appropriate tax classification.</w:t>
            </w:r>
          </w:p>
        </w:tc>
      </w:tr>
      <w:tr>
        <w:trPr>
          <w:trHeight w:val="148"/>
        </w:trPr>
        <w:tc>
          <w:tcPr>
            <w:tcW w:w="2620" w:type="dxa"/>
            <w:vAlign w:val="bottom"/>
          </w:tcPr>
          <w:p>
            <w:pPr>
              <w:spacing w:after="0" w:line="149" w:lineRule="exact"/>
              <w:rPr>
                <w:sz w:val="20"/>
                <w:szCs w:val="20"/>
                <w:color w:val="auto"/>
              </w:rPr>
            </w:pPr>
            <w:r>
              <w:rPr>
                <w:rFonts w:ascii="Arial" w:cs="Arial" w:eastAsia="Arial" w:hAnsi="Arial"/>
                <w:sz w:val="14"/>
                <w:szCs w:val="14"/>
                <w:color w:val="auto"/>
              </w:rPr>
              <w:t>• LLC that has filed Form 8832 or 2553 to</w:t>
            </w:r>
          </w:p>
        </w:tc>
        <w:tc>
          <w:tcPr>
            <w:tcW w:w="2780" w:type="dxa"/>
            <w:vAlign w:val="bottom"/>
          </w:tcPr>
          <w:p>
            <w:pPr>
              <w:ind w:left="180"/>
              <w:spacing w:after="0" w:line="149" w:lineRule="exact"/>
              <w:rPr>
                <w:sz w:val="20"/>
                <w:szCs w:val="20"/>
                <w:color w:val="auto"/>
              </w:rPr>
            </w:pPr>
            <w:r>
              <w:rPr>
                <w:rFonts w:ascii="Arial" w:cs="Arial" w:eastAsia="Arial" w:hAnsi="Arial"/>
                <w:sz w:val="14"/>
                <w:szCs w:val="14"/>
                <w:color w:val="auto"/>
              </w:rPr>
              <w:t>(P= Partnership; C= C corporation; or</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be taxed as a corporation, or</w:t>
            </w:r>
          </w:p>
        </w:tc>
        <w:tc>
          <w:tcPr>
            <w:tcW w:w="2780" w:type="dxa"/>
            <w:vAlign w:val="bottom"/>
          </w:tcPr>
          <w:p>
            <w:pPr>
              <w:ind w:left="180"/>
              <w:spacing w:after="0"/>
              <w:rPr>
                <w:sz w:val="20"/>
                <w:szCs w:val="20"/>
                <w:color w:val="auto"/>
              </w:rPr>
            </w:pPr>
            <w:r>
              <w:rPr>
                <w:rFonts w:ascii="Arial" w:cs="Arial" w:eastAsia="Arial" w:hAnsi="Arial"/>
                <w:sz w:val="14"/>
                <w:szCs w:val="14"/>
                <w:color w:val="auto"/>
              </w:rPr>
              <w:t>S= S corporation)</w:t>
            </w:r>
          </w:p>
        </w:tc>
      </w:tr>
    </w:tbl>
    <w:p>
      <w:pPr>
        <w:ind w:left="6" w:right="2860" w:hanging="1"/>
        <w:spacing w:after="0" w:line="229" w:lineRule="auto"/>
        <w:tabs>
          <w:tab w:leader="none" w:pos="93" w:val="left"/>
        </w:tabs>
        <w:numPr>
          <w:ilvl w:val="0"/>
          <w:numId w:val="106"/>
        </w:numPr>
        <w:rPr>
          <w:rFonts w:ascii="Arial" w:cs="Arial" w:eastAsia="Arial" w:hAnsi="Arial"/>
          <w:sz w:val="14"/>
          <w:szCs w:val="14"/>
          <w:color w:val="auto"/>
        </w:rPr>
      </w:pPr>
      <w:r>
        <w:rPr>
          <w:rFonts w:ascii="Arial" w:cs="Arial" w:eastAsia="Arial" w:hAnsi="Arial"/>
          <w:sz w:val="14"/>
          <w:szCs w:val="14"/>
          <w:color w:val="auto"/>
        </w:rPr>
        <w:t>LLC that is disregarded as an entity separate from its owner but the owner is another LLC that is not disregarded for U.S. federal tax purposes.</w:t>
      </w:r>
    </w:p>
    <w:tbl>
      <w:tblPr>
        <w:tblLayout w:type="fixed"/>
        <w:tblInd w:w="6" w:type="dxa"/>
        <w:tblCellMar>
          <w:top w:w="0" w:type="dxa"/>
          <w:left w:w="0" w:type="dxa"/>
          <w:bottom w:w="0" w:type="dxa"/>
          <w:right w:w="0" w:type="dxa"/>
        </w:tblCellMar>
      </w:tblPr>
      <w:tr>
        <w:trPr>
          <w:trHeight w:val="157"/>
        </w:trPr>
        <w:tc>
          <w:tcPr>
            <w:tcW w:w="1780" w:type="dxa"/>
            <w:vAlign w:val="bottom"/>
          </w:tcPr>
          <w:p>
            <w:pPr>
              <w:spacing w:after="0" w:line="157" w:lineRule="exact"/>
              <w:rPr>
                <w:sz w:val="20"/>
                <w:szCs w:val="20"/>
                <w:color w:val="auto"/>
              </w:rPr>
            </w:pPr>
            <w:r>
              <w:rPr>
                <w:rFonts w:ascii="Arial" w:cs="Arial" w:eastAsia="Arial" w:hAnsi="Arial"/>
                <w:sz w:val="14"/>
                <w:szCs w:val="14"/>
                <w:color w:val="auto"/>
              </w:rPr>
              <w:t>• Partnership</w:t>
            </w:r>
          </w:p>
        </w:tc>
        <w:tc>
          <w:tcPr>
            <w:tcW w:w="1700" w:type="dxa"/>
            <w:vAlign w:val="bottom"/>
          </w:tcPr>
          <w:p>
            <w:pPr>
              <w:ind w:left="1020"/>
              <w:spacing w:after="0" w:line="157" w:lineRule="exact"/>
              <w:rPr>
                <w:sz w:val="20"/>
                <w:szCs w:val="20"/>
                <w:color w:val="auto"/>
              </w:rPr>
            </w:pPr>
            <w:r>
              <w:rPr>
                <w:rFonts w:ascii="Arial" w:cs="Arial" w:eastAsia="Arial" w:hAnsi="Arial"/>
                <w:sz w:val="14"/>
                <w:szCs w:val="14"/>
                <w:color w:val="auto"/>
                <w:w w:val="92"/>
              </w:rPr>
              <w:t>Partnership</w:t>
            </w:r>
          </w:p>
        </w:tc>
      </w:tr>
      <w:tr>
        <w:trPr>
          <w:trHeight w:val="182"/>
        </w:trPr>
        <w:tc>
          <w:tcPr>
            <w:tcW w:w="1780" w:type="dxa"/>
            <w:vAlign w:val="bottom"/>
          </w:tcPr>
          <w:p>
            <w:pPr>
              <w:spacing w:after="0"/>
              <w:rPr>
                <w:sz w:val="20"/>
                <w:szCs w:val="20"/>
                <w:color w:val="auto"/>
              </w:rPr>
            </w:pPr>
            <w:r>
              <w:rPr>
                <w:rFonts w:ascii="Arial" w:cs="Arial" w:eastAsia="Arial" w:hAnsi="Arial"/>
                <w:sz w:val="14"/>
                <w:szCs w:val="14"/>
                <w:color w:val="auto"/>
              </w:rPr>
              <w:t>• Trust/estate</w:t>
            </w:r>
          </w:p>
        </w:tc>
        <w:tc>
          <w:tcPr>
            <w:tcW w:w="1700" w:type="dxa"/>
            <w:vAlign w:val="bottom"/>
          </w:tcPr>
          <w:p>
            <w:pPr>
              <w:ind w:left="1020"/>
              <w:spacing w:after="0"/>
              <w:rPr>
                <w:sz w:val="20"/>
                <w:szCs w:val="20"/>
                <w:color w:val="auto"/>
              </w:rPr>
            </w:pPr>
            <w:r>
              <w:rPr>
                <w:rFonts w:ascii="Arial" w:cs="Arial" w:eastAsia="Arial" w:hAnsi="Arial"/>
                <w:sz w:val="14"/>
                <w:szCs w:val="14"/>
                <w:color w:val="auto"/>
                <w:w w:val="89"/>
              </w:rPr>
              <w:t>Trust/estate</w:t>
            </w:r>
          </w:p>
        </w:tc>
      </w:tr>
    </w:tbl>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Line 4, Exemptions</w:t>
      </w:r>
    </w:p>
    <w:p>
      <w:pPr>
        <w:spacing w:after="0" w:line="32" w:lineRule="exact"/>
        <w:rPr>
          <w:sz w:val="20"/>
          <w:szCs w:val="20"/>
          <w:color w:val="auto"/>
        </w:rPr>
      </w:pPr>
    </w:p>
    <w:p>
      <w:pPr>
        <w:ind w:left="6" w:right="40"/>
        <w:spacing w:after="0" w:line="248" w:lineRule="auto"/>
        <w:rPr>
          <w:sz w:val="20"/>
          <w:szCs w:val="20"/>
          <w:color w:val="auto"/>
        </w:rPr>
      </w:pPr>
      <w:r>
        <w:rPr>
          <w:rFonts w:ascii="Arial" w:cs="Arial" w:eastAsia="Arial" w:hAnsi="Arial"/>
          <w:sz w:val="14"/>
          <w:szCs w:val="14"/>
          <w:color w:val="auto"/>
        </w:rPr>
        <w:t>If you are exempt from backup withholding and/or FATCA reporting, enter in the appropriate space on line 4 any code(s) that may apply to you.</w:t>
      </w:r>
    </w:p>
    <w:p>
      <w:pPr>
        <w:spacing w:after="0" w:line="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Exempt payee code.</w:t>
      </w:r>
    </w:p>
    <w:p>
      <w:pPr>
        <w:spacing w:after="0" w:line="25" w:lineRule="exact"/>
        <w:rPr>
          <w:sz w:val="20"/>
          <w:szCs w:val="20"/>
          <w:color w:val="auto"/>
        </w:rPr>
      </w:pPr>
    </w:p>
    <w:p>
      <w:pPr>
        <w:ind w:left="86" w:hanging="86"/>
        <w:spacing w:after="0"/>
        <w:tabs>
          <w:tab w:leader="none" w:pos="8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Generally, individuals (including sole proprietors) are not exempt from backup withholding.</w:t>
      </w:r>
    </w:p>
    <w:p>
      <w:pPr>
        <w:spacing w:after="0" w:line="32" w:lineRule="exact"/>
        <w:rPr>
          <w:rFonts w:ascii="Arial" w:cs="Arial" w:eastAsia="Arial" w:hAnsi="Arial"/>
          <w:sz w:val="13"/>
          <w:szCs w:val="13"/>
          <w:color w:val="auto"/>
        </w:rPr>
      </w:pPr>
    </w:p>
    <w:p>
      <w:pPr>
        <w:ind w:left="6" w:right="240" w:hanging="6"/>
        <w:spacing w:after="0" w:line="251" w:lineRule="auto"/>
        <w:tabs>
          <w:tab w:leader="none" w:pos="93" w:val="left"/>
        </w:tabs>
        <w:numPr>
          <w:ilvl w:val="0"/>
          <w:numId w:val="107"/>
        </w:numPr>
        <w:rPr>
          <w:rFonts w:ascii="Arial" w:cs="Arial" w:eastAsia="Arial" w:hAnsi="Arial"/>
          <w:sz w:val="14"/>
          <w:szCs w:val="14"/>
          <w:color w:val="auto"/>
        </w:rPr>
      </w:pPr>
      <w:r>
        <w:rPr>
          <w:rFonts w:ascii="Arial" w:cs="Arial" w:eastAsia="Arial" w:hAnsi="Arial"/>
          <w:sz w:val="14"/>
          <w:szCs w:val="14"/>
          <w:color w:val="auto"/>
        </w:rPr>
        <w:t>Except as provided below, corporations are exempt from backup withholding for certain payments, including interest and dividends.</w:t>
      </w:r>
    </w:p>
    <w:p>
      <w:pPr>
        <w:ind w:left="6" w:right="120" w:hanging="6"/>
        <w:spacing w:after="0" w:line="246" w:lineRule="auto"/>
        <w:tabs>
          <w:tab w:leader="none" w:pos="93"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Corporations are not exempt from backup withholding for payments made in settlement of payment card or third party network transactions.</w:t>
      </w:r>
    </w:p>
    <w:p>
      <w:pPr>
        <w:ind w:left="6" w:right="260" w:hanging="6"/>
        <w:spacing w:after="0" w:line="259" w:lineRule="auto"/>
        <w:tabs>
          <w:tab w:leader="none" w:pos="93"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Corporations are not exempt from backup withholding with respect to attorneys’ fees or gross proceeds paid to attorneys, and corporations that provide medical or health care services are not exempt with respect to payments reportable on Form 1099-MISC.</w:t>
      </w:r>
    </w:p>
    <w:p>
      <w:pPr>
        <w:sectPr>
          <w:pgSz w:w="11900" w:h="16838" w:orient="portrait"/>
          <w:cols w:equalWidth="0" w:num="2">
            <w:col w:w="5280" w:space="334"/>
            <w:col w:w="5406"/>
          </w:cols>
          <w:pgMar w:left="440" w:top="274" w:right="439" w:bottom="1440" w:gutter="0" w:footer="0" w:header="0"/>
          <w:type w:val="continuous"/>
        </w:sectPr>
      </w:pPr>
    </w:p>
    <w:bookmarkStart w:id="130" w:name="page131"/>
    <w:bookmarkEnd w:id="130"/>
    <w:p>
      <w:pPr>
        <w:ind w:left="4"/>
        <w:spacing w:after="0"/>
        <w:tabs>
          <w:tab w:leader="none" w:pos="10664"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W-9 (Rev. 10-2018)</w:t>
      </w:r>
      <w:r>
        <w:rPr>
          <w:sz w:val="20"/>
          <w:szCs w:val="20"/>
          <w:color w:val="auto"/>
        </w:rPr>
        <w:tab/>
      </w:r>
      <w:r>
        <w:rPr>
          <w:rFonts w:ascii="Arial" w:cs="Arial" w:eastAsia="Arial" w:hAnsi="Arial"/>
          <w:sz w:val="10"/>
          <w:szCs w:val="1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p>
      <w:pPr>
        <w:spacing w:after="0" w:line="319" w:lineRule="exact"/>
        <w:rPr>
          <w:sz w:val="20"/>
          <w:szCs w:val="20"/>
          <w:color w:val="auto"/>
        </w:rPr>
      </w:pPr>
    </w:p>
    <w:p>
      <w:pPr>
        <w:ind w:left="4" w:right="100" w:firstLine="72"/>
        <w:spacing w:after="0" w:line="251" w:lineRule="auto"/>
        <w:rPr>
          <w:sz w:val="20"/>
          <w:szCs w:val="20"/>
          <w:color w:val="auto"/>
        </w:rPr>
      </w:pPr>
      <w:r>
        <w:rPr>
          <w:rFonts w:ascii="Arial" w:cs="Arial" w:eastAsia="Arial" w:hAnsi="Arial"/>
          <w:sz w:val="14"/>
          <w:szCs w:val="14"/>
          <w:color w:val="auto"/>
        </w:rPr>
        <w:t>The following codes identify payees that are exempt from backup withholding. Enter the appropriate code in the space in line 4.</w:t>
      </w:r>
    </w:p>
    <w:p>
      <w:pPr>
        <w:spacing w:after="0" w:line="1" w:lineRule="exact"/>
        <w:rPr>
          <w:sz w:val="20"/>
          <w:szCs w:val="20"/>
          <w:color w:val="auto"/>
        </w:rPr>
      </w:pPr>
    </w:p>
    <w:p>
      <w:pPr>
        <w:ind w:left="4" w:right="140" w:firstLine="72"/>
        <w:spacing w:after="0" w:line="248" w:lineRule="auto"/>
        <w:rPr>
          <w:sz w:val="20"/>
          <w:szCs w:val="20"/>
          <w:color w:val="auto"/>
        </w:rPr>
      </w:pPr>
      <w:r>
        <w:rPr>
          <w:rFonts w:ascii="Arial" w:cs="Arial" w:eastAsia="Arial" w:hAnsi="Arial"/>
          <w:sz w:val="13"/>
          <w:szCs w:val="13"/>
          <w:color w:val="auto"/>
        </w:rPr>
        <w:t>1—An organization exempt from tax under section 501(a), any IRA, or a custodial account under section 403(b)(7) if the account satisfies the requirements of section 401(f)</w:t>
      </w:r>
    </w:p>
    <w:p>
      <w:pPr>
        <w:ind w:left="4"/>
        <w:spacing w:after="0"/>
        <w:rPr>
          <w:sz w:val="20"/>
          <w:szCs w:val="20"/>
          <w:color w:val="auto"/>
        </w:rPr>
      </w:pPr>
      <w:r>
        <w:rPr>
          <w:rFonts w:ascii="Arial" w:cs="Arial" w:eastAsia="Arial" w:hAnsi="Arial"/>
          <w:sz w:val="14"/>
          <w:szCs w:val="14"/>
          <w:color w:val="auto"/>
        </w:rPr>
        <w:t>(2)</w:t>
      </w:r>
    </w:p>
    <w:p>
      <w:pPr>
        <w:spacing w:after="0" w:line="16" w:lineRule="exact"/>
        <w:rPr>
          <w:sz w:val="20"/>
          <w:szCs w:val="20"/>
          <w:color w:val="auto"/>
        </w:rPr>
      </w:pPr>
    </w:p>
    <w:p>
      <w:pPr>
        <w:ind w:left="64"/>
        <w:spacing w:after="0"/>
        <w:rPr>
          <w:sz w:val="20"/>
          <w:szCs w:val="20"/>
          <w:color w:val="auto"/>
        </w:rPr>
      </w:pPr>
      <w:r>
        <w:rPr>
          <w:rFonts w:ascii="Arial" w:cs="Arial" w:eastAsia="Arial" w:hAnsi="Arial"/>
          <w:sz w:val="14"/>
          <w:szCs w:val="14"/>
          <w:color w:val="auto"/>
        </w:rPr>
        <w:t>2—The United States or any of its agencies or instrumentalities</w:t>
      </w:r>
    </w:p>
    <w:p>
      <w:pPr>
        <w:spacing w:after="0" w:line="21" w:lineRule="exact"/>
        <w:rPr>
          <w:sz w:val="20"/>
          <w:szCs w:val="20"/>
          <w:color w:val="auto"/>
        </w:rPr>
      </w:pPr>
    </w:p>
    <w:p>
      <w:pPr>
        <w:ind w:left="4" w:right="60" w:firstLine="72"/>
        <w:spacing w:after="0" w:line="243" w:lineRule="auto"/>
        <w:rPr>
          <w:sz w:val="20"/>
          <w:szCs w:val="20"/>
          <w:color w:val="auto"/>
        </w:rPr>
      </w:pPr>
      <w:r>
        <w:rPr>
          <w:rFonts w:ascii="Arial" w:cs="Arial" w:eastAsia="Arial" w:hAnsi="Arial"/>
          <w:sz w:val="14"/>
          <w:szCs w:val="14"/>
          <w:color w:val="auto"/>
        </w:rPr>
        <w:t>3—A state, the District of Columbia, a U.S. commonwealth or possession, or any of their political subdivisions or instrumentalities</w:t>
      </w:r>
    </w:p>
    <w:p>
      <w:pPr>
        <w:spacing w:after="0" w:line="5" w:lineRule="exact"/>
        <w:rPr>
          <w:sz w:val="20"/>
          <w:szCs w:val="20"/>
          <w:color w:val="auto"/>
        </w:rPr>
      </w:pPr>
    </w:p>
    <w:p>
      <w:pPr>
        <w:ind w:left="4" w:right="960" w:firstLine="72"/>
        <w:spacing w:after="0" w:line="251" w:lineRule="auto"/>
        <w:rPr>
          <w:sz w:val="20"/>
          <w:szCs w:val="20"/>
          <w:color w:val="auto"/>
        </w:rPr>
      </w:pPr>
      <w:r>
        <w:rPr>
          <w:rFonts w:ascii="Arial" w:cs="Arial" w:eastAsia="Arial" w:hAnsi="Arial"/>
          <w:sz w:val="14"/>
          <w:szCs w:val="14"/>
          <w:color w:val="auto"/>
        </w:rPr>
        <w:t>4—A foreign government or any of its political subdivisions, agencies, or instrumentalities</w:t>
      </w:r>
    </w:p>
    <w:p>
      <w:pPr>
        <w:spacing w:after="0" w:line="1" w:lineRule="exact"/>
        <w:rPr>
          <w:sz w:val="20"/>
          <w:szCs w:val="20"/>
          <w:color w:val="auto"/>
        </w:rPr>
      </w:pPr>
    </w:p>
    <w:p>
      <w:pPr>
        <w:ind w:left="64"/>
        <w:spacing w:after="0"/>
        <w:rPr>
          <w:sz w:val="20"/>
          <w:szCs w:val="20"/>
          <w:color w:val="auto"/>
        </w:rPr>
      </w:pPr>
      <w:r>
        <w:rPr>
          <w:rFonts w:ascii="Arial" w:cs="Arial" w:eastAsia="Arial" w:hAnsi="Arial"/>
          <w:sz w:val="14"/>
          <w:szCs w:val="14"/>
          <w:color w:val="auto"/>
        </w:rPr>
        <w:t>5—A corporation</w:t>
      </w:r>
    </w:p>
    <w:p>
      <w:pPr>
        <w:spacing w:after="0" w:line="21" w:lineRule="exact"/>
        <w:rPr>
          <w:sz w:val="20"/>
          <w:szCs w:val="20"/>
          <w:color w:val="auto"/>
        </w:rPr>
      </w:pPr>
    </w:p>
    <w:p>
      <w:pPr>
        <w:ind w:left="4" w:right="300" w:firstLine="72"/>
        <w:spacing w:after="0" w:line="243" w:lineRule="auto"/>
        <w:rPr>
          <w:sz w:val="20"/>
          <w:szCs w:val="20"/>
          <w:color w:val="auto"/>
        </w:rPr>
      </w:pPr>
      <w:r>
        <w:rPr>
          <w:rFonts w:ascii="Arial" w:cs="Arial" w:eastAsia="Arial" w:hAnsi="Arial"/>
          <w:sz w:val="14"/>
          <w:szCs w:val="14"/>
          <w:color w:val="auto"/>
        </w:rPr>
        <w:t>6—A dealer in securities or commodities required to register in the United States, the District of Columbia, or a U.S. commonwealth or possession</w:t>
      </w:r>
    </w:p>
    <w:p>
      <w:pPr>
        <w:spacing w:after="0" w:line="5" w:lineRule="exact"/>
        <w:rPr>
          <w:sz w:val="20"/>
          <w:szCs w:val="20"/>
          <w:color w:val="auto"/>
        </w:rPr>
      </w:pPr>
    </w:p>
    <w:p>
      <w:pPr>
        <w:ind w:left="4" w:right="380" w:firstLine="72"/>
        <w:spacing w:after="0" w:line="251" w:lineRule="auto"/>
        <w:rPr>
          <w:sz w:val="20"/>
          <w:szCs w:val="20"/>
          <w:color w:val="auto"/>
        </w:rPr>
      </w:pPr>
      <w:r>
        <w:rPr>
          <w:rFonts w:ascii="Arial" w:cs="Arial" w:eastAsia="Arial" w:hAnsi="Arial"/>
          <w:sz w:val="14"/>
          <w:szCs w:val="14"/>
          <w:color w:val="auto"/>
        </w:rPr>
        <w:t>7—A futures commission merchant registered with the Commodity Futures Trading Commission</w:t>
      </w:r>
    </w:p>
    <w:p>
      <w:pPr>
        <w:spacing w:after="0" w:line="1" w:lineRule="exact"/>
        <w:rPr>
          <w:sz w:val="20"/>
          <w:szCs w:val="20"/>
          <w:color w:val="auto"/>
        </w:rPr>
      </w:pPr>
    </w:p>
    <w:p>
      <w:pPr>
        <w:ind w:left="64"/>
        <w:spacing w:after="0"/>
        <w:rPr>
          <w:sz w:val="20"/>
          <w:szCs w:val="20"/>
          <w:color w:val="auto"/>
        </w:rPr>
      </w:pPr>
      <w:r>
        <w:rPr>
          <w:rFonts w:ascii="Arial" w:cs="Arial" w:eastAsia="Arial" w:hAnsi="Arial"/>
          <w:sz w:val="14"/>
          <w:szCs w:val="14"/>
          <w:color w:val="auto"/>
        </w:rPr>
        <w:t>8—A real estate investment trust</w:t>
      </w:r>
    </w:p>
    <w:p>
      <w:pPr>
        <w:spacing w:after="0" w:line="21" w:lineRule="exact"/>
        <w:rPr>
          <w:sz w:val="20"/>
          <w:szCs w:val="20"/>
          <w:color w:val="auto"/>
        </w:rPr>
      </w:pPr>
    </w:p>
    <w:p>
      <w:pPr>
        <w:ind w:left="4" w:right="220" w:firstLine="72"/>
        <w:spacing w:after="0" w:line="243" w:lineRule="auto"/>
        <w:rPr>
          <w:sz w:val="20"/>
          <w:szCs w:val="20"/>
          <w:color w:val="auto"/>
        </w:rPr>
      </w:pPr>
      <w:r>
        <w:rPr>
          <w:rFonts w:ascii="Arial" w:cs="Arial" w:eastAsia="Arial" w:hAnsi="Arial"/>
          <w:sz w:val="14"/>
          <w:szCs w:val="14"/>
          <w:color w:val="auto"/>
        </w:rPr>
        <w:t>9—An entity registered at all times during the tax year under the Investment Company Act of 1940</w:t>
      </w:r>
    </w:p>
    <w:p>
      <w:pPr>
        <w:spacing w:after="0" w:line="5" w:lineRule="exact"/>
        <w:rPr>
          <w:sz w:val="20"/>
          <w:szCs w:val="20"/>
          <w:color w:val="auto"/>
        </w:rPr>
      </w:pPr>
    </w:p>
    <w:p>
      <w:pPr>
        <w:ind w:left="4"/>
        <w:spacing w:after="0"/>
        <w:rPr>
          <w:sz w:val="20"/>
          <w:szCs w:val="20"/>
          <w:color w:val="auto"/>
        </w:rPr>
      </w:pPr>
      <w:r>
        <w:rPr>
          <w:rFonts w:ascii="Arial" w:cs="Arial" w:eastAsia="Arial" w:hAnsi="Arial"/>
          <w:sz w:val="14"/>
          <w:szCs w:val="14"/>
          <w:color w:val="auto"/>
        </w:rPr>
        <w:t>10—A common trust fund operated by a bank under section 584(a)</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4"/>
          <w:szCs w:val="14"/>
          <w:color w:val="auto"/>
        </w:rPr>
        <w:t>11—A financial institution</w:t>
      </w:r>
    </w:p>
    <w:p>
      <w:pPr>
        <w:spacing w:after="0" w:line="21" w:lineRule="exact"/>
        <w:rPr>
          <w:sz w:val="20"/>
          <w:szCs w:val="20"/>
          <w:color w:val="auto"/>
        </w:rPr>
      </w:pPr>
    </w:p>
    <w:p>
      <w:pPr>
        <w:ind w:left="4" w:right="540"/>
        <w:spacing w:after="0" w:line="298" w:lineRule="auto"/>
        <w:rPr>
          <w:sz w:val="20"/>
          <w:szCs w:val="20"/>
          <w:color w:val="auto"/>
        </w:rPr>
      </w:pPr>
      <w:r>
        <w:rPr>
          <w:rFonts w:ascii="Arial" w:cs="Arial" w:eastAsia="Arial" w:hAnsi="Arial"/>
          <w:sz w:val="13"/>
          <w:szCs w:val="13"/>
          <w:color w:val="auto"/>
        </w:rPr>
        <w:t>12—A middleman known in the investment community as a nominee or custodian 13—A trust exempt from tax under section 664 or described in section 4947</w:t>
      </w:r>
    </w:p>
    <w:p>
      <w:pPr>
        <w:ind w:left="4" w:right="660" w:firstLine="72"/>
        <w:spacing w:after="0" w:line="285" w:lineRule="auto"/>
        <w:rPr>
          <w:sz w:val="20"/>
          <w:szCs w:val="20"/>
          <w:color w:val="auto"/>
        </w:rPr>
      </w:pPr>
      <w:r>
        <w:rPr>
          <w:rFonts w:ascii="Arial" w:cs="Arial" w:eastAsia="Arial" w:hAnsi="Arial"/>
          <w:sz w:val="13"/>
          <w:szCs w:val="13"/>
          <w:color w:val="auto"/>
        </w:rPr>
        <w:t>The following chart shows types of payments that may be exempt from backup withholding. The chart applies to the exempt payees listed above, 1 through 13.</w:t>
      </w:r>
    </w:p>
    <w:tbl>
      <w:tblPr>
        <w:tblLayout w:type="fixed"/>
        <w:tblInd w:w="4" w:type="dxa"/>
        <w:tblCellMar>
          <w:top w:w="0" w:type="dxa"/>
          <w:left w:w="0" w:type="dxa"/>
          <w:bottom w:w="0" w:type="dxa"/>
          <w:right w:w="0" w:type="dxa"/>
        </w:tblCellMar>
      </w:tblPr>
      <w:tr>
        <w:trPr>
          <w:trHeight w:val="143"/>
        </w:trPr>
        <w:tc>
          <w:tcPr>
            <w:tcW w:w="2560" w:type="dxa"/>
            <w:vAlign w:val="bottom"/>
            <w:tcBorders>
              <w:top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IF the payment is for . . .</w:t>
            </w:r>
          </w:p>
        </w:tc>
        <w:tc>
          <w:tcPr>
            <w:tcW w:w="2720" w:type="dxa"/>
            <w:vAlign w:val="bottom"/>
            <w:tcBorders>
              <w:top w:val="single" w:sz="8" w:color="auto"/>
              <w:bottom w:val="single" w:sz="8" w:color="auto"/>
            </w:tcBorders>
          </w:tcPr>
          <w:p>
            <w:pPr>
              <w:ind w:left="200"/>
              <w:spacing w:after="0" w:line="143" w:lineRule="exact"/>
              <w:rPr>
                <w:sz w:val="20"/>
                <w:szCs w:val="20"/>
                <w:color w:val="auto"/>
              </w:rPr>
            </w:pPr>
            <w:r>
              <w:rPr>
                <w:rFonts w:ascii="Arial" w:cs="Arial" w:eastAsia="Arial" w:hAnsi="Arial"/>
                <w:sz w:val="14"/>
                <w:szCs w:val="14"/>
                <w:b w:val="1"/>
                <w:bCs w:val="1"/>
                <w:color w:val="auto"/>
              </w:rPr>
              <w:t>THEN the payment is exempt for . . .</w:t>
            </w:r>
          </w:p>
        </w:tc>
      </w:tr>
      <w:tr>
        <w:trPr>
          <w:trHeight w:val="142"/>
        </w:trPr>
        <w:tc>
          <w:tcPr>
            <w:tcW w:w="25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Interest and dividend payments</w:t>
            </w:r>
          </w:p>
        </w:tc>
        <w:tc>
          <w:tcPr>
            <w:tcW w:w="27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All exempt payees except for 7</w:t>
            </w:r>
          </w:p>
        </w:tc>
      </w:tr>
      <w:tr>
        <w:trPr>
          <w:trHeight w:val="123"/>
        </w:trPr>
        <w:tc>
          <w:tcPr>
            <w:tcW w:w="256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Broker transactions</w:t>
            </w:r>
          </w:p>
        </w:tc>
        <w:tc>
          <w:tcPr>
            <w:tcW w:w="2720" w:type="dxa"/>
            <w:vAlign w:val="bottom"/>
          </w:tcPr>
          <w:p>
            <w:pPr>
              <w:ind w:left="200"/>
              <w:spacing w:after="0" w:line="123" w:lineRule="exact"/>
              <w:rPr>
                <w:sz w:val="20"/>
                <w:szCs w:val="20"/>
                <w:color w:val="auto"/>
              </w:rPr>
            </w:pPr>
            <w:r>
              <w:rPr>
                <w:rFonts w:ascii="Arial" w:cs="Arial" w:eastAsia="Arial" w:hAnsi="Arial"/>
                <w:sz w:val="14"/>
                <w:szCs w:val="14"/>
                <w:color w:val="auto"/>
                <w:w w:val="95"/>
              </w:rPr>
              <w:t>Exempt payees 1 through 4 and 6 through</w:t>
            </w:r>
          </w:p>
        </w:tc>
      </w:tr>
      <w:tr>
        <w:trPr>
          <w:trHeight w:val="148"/>
        </w:trPr>
        <w:tc>
          <w:tcPr>
            <w:tcW w:w="2560" w:type="dxa"/>
            <w:vAlign w:val="bottom"/>
            <w:tcBorders>
              <w:right w:val="single" w:sz="8" w:color="auto"/>
            </w:tcBorders>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w w:val="98"/>
              </w:rPr>
              <w:t>11 and all C corporations. S corporations</w:t>
            </w:r>
          </w:p>
        </w:tc>
      </w:tr>
      <w:tr>
        <w:trPr>
          <w:trHeight w:val="148"/>
        </w:trPr>
        <w:tc>
          <w:tcPr>
            <w:tcW w:w="2560" w:type="dxa"/>
            <w:vAlign w:val="bottom"/>
            <w:tcBorders>
              <w:right w:val="single" w:sz="8" w:color="auto"/>
            </w:tcBorders>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must not enter an exempt payee code</w:t>
            </w:r>
          </w:p>
        </w:tc>
      </w:tr>
      <w:tr>
        <w:trPr>
          <w:trHeight w:val="149"/>
        </w:trPr>
        <w:tc>
          <w:tcPr>
            <w:tcW w:w="2560" w:type="dxa"/>
            <w:vAlign w:val="bottom"/>
            <w:tcBorders>
              <w:right w:val="single" w:sz="8" w:color="auto"/>
            </w:tcBorders>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w w:val="96"/>
              </w:rPr>
              <w:t>because they are exempt only for sales of</w:t>
            </w:r>
          </w:p>
        </w:tc>
      </w:tr>
      <w:tr>
        <w:trPr>
          <w:trHeight w:val="148"/>
        </w:trPr>
        <w:tc>
          <w:tcPr>
            <w:tcW w:w="2560" w:type="dxa"/>
            <w:vAlign w:val="bottom"/>
            <w:tcBorders>
              <w:right w:val="single" w:sz="8" w:color="auto"/>
            </w:tcBorders>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noncovered securities acquired prior to</w:t>
            </w:r>
          </w:p>
        </w:tc>
      </w:tr>
      <w:tr>
        <w:trPr>
          <w:trHeight w:val="167"/>
        </w:trPr>
        <w:tc>
          <w:tcPr>
            <w:tcW w:w="25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2012.</w:t>
            </w:r>
          </w:p>
        </w:tc>
      </w:tr>
      <w:tr>
        <w:trPr>
          <w:trHeight w:val="123"/>
        </w:trPr>
        <w:tc>
          <w:tcPr>
            <w:tcW w:w="256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w w:val="91"/>
              </w:rPr>
              <w:t>Barter exchange transactions and patronage</w:t>
            </w:r>
          </w:p>
        </w:tc>
        <w:tc>
          <w:tcPr>
            <w:tcW w:w="2720" w:type="dxa"/>
            <w:vAlign w:val="bottom"/>
          </w:tcPr>
          <w:p>
            <w:pPr>
              <w:ind w:left="200"/>
              <w:spacing w:after="0" w:line="123" w:lineRule="exact"/>
              <w:rPr>
                <w:sz w:val="20"/>
                <w:szCs w:val="20"/>
                <w:color w:val="auto"/>
              </w:rPr>
            </w:pPr>
            <w:r>
              <w:rPr>
                <w:rFonts w:ascii="Arial" w:cs="Arial" w:eastAsia="Arial" w:hAnsi="Arial"/>
                <w:sz w:val="14"/>
                <w:szCs w:val="14"/>
                <w:color w:val="auto"/>
              </w:rPr>
              <w:t>Exempt payees 1 through 4</w:t>
            </w:r>
          </w:p>
        </w:tc>
      </w:tr>
      <w:tr>
        <w:trPr>
          <w:trHeight w:val="167"/>
        </w:trPr>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dividends</w:t>
            </w:r>
          </w:p>
        </w:tc>
        <w:tc>
          <w:tcPr>
            <w:tcW w:w="2720" w:type="dxa"/>
            <w:vAlign w:val="bottom"/>
            <w:tcBorders>
              <w:bottom w:val="single" w:sz="8" w:color="auto"/>
            </w:tcBorders>
          </w:tcPr>
          <w:p>
            <w:pPr>
              <w:spacing w:after="0"/>
              <w:rPr>
                <w:sz w:val="14"/>
                <w:szCs w:val="14"/>
                <w:color w:val="auto"/>
              </w:rPr>
            </w:pPr>
          </w:p>
        </w:tc>
      </w:tr>
      <w:tr>
        <w:trPr>
          <w:trHeight w:val="123"/>
        </w:trPr>
        <w:tc>
          <w:tcPr>
            <w:tcW w:w="256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w w:val="91"/>
              </w:rPr>
              <w:t>Payments over $600 required to be reported</w:t>
            </w:r>
          </w:p>
        </w:tc>
        <w:tc>
          <w:tcPr>
            <w:tcW w:w="2720" w:type="dxa"/>
            <w:vAlign w:val="bottom"/>
          </w:tcPr>
          <w:p>
            <w:pPr>
              <w:ind w:left="200"/>
              <w:spacing w:after="0" w:line="123" w:lineRule="exact"/>
              <w:rPr>
                <w:sz w:val="20"/>
                <w:szCs w:val="20"/>
                <w:color w:val="auto"/>
              </w:rPr>
            </w:pPr>
            <w:r>
              <w:rPr>
                <w:rFonts w:ascii="Arial" w:cs="Arial" w:eastAsia="Arial" w:hAnsi="Arial"/>
                <w:sz w:val="14"/>
                <w:szCs w:val="14"/>
                <w:color w:val="auto"/>
              </w:rPr>
              <w:t>Generally, exempt payees 1 through 5</w:t>
            </w:r>
            <w:r>
              <w:rPr>
                <w:rFonts w:ascii="Arial" w:cs="Arial" w:eastAsia="Arial" w:hAnsi="Arial"/>
                <w:sz w:val="10"/>
                <w:szCs w:val="10"/>
                <w:color w:val="auto"/>
              </w:rPr>
              <w:t>2</w:t>
            </w:r>
          </w:p>
        </w:tc>
      </w:tr>
      <w:tr>
        <w:trPr>
          <w:trHeight w:val="167"/>
        </w:trPr>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and direct sales over $5,000</w:t>
            </w:r>
            <w:r>
              <w:rPr>
                <w:rFonts w:ascii="Arial" w:cs="Arial" w:eastAsia="Arial" w:hAnsi="Arial"/>
                <w:sz w:val="10"/>
                <w:szCs w:val="10"/>
                <w:color w:val="auto"/>
              </w:rPr>
              <w:t>1</w:t>
            </w:r>
          </w:p>
        </w:tc>
        <w:tc>
          <w:tcPr>
            <w:tcW w:w="2720" w:type="dxa"/>
            <w:vAlign w:val="bottom"/>
            <w:tcBorders>
              <w:bottom w:val="single" w:sz="8" w:color="auto"/>
            </w:tcBorders>
          </w:tcPr>
          <w:p>
            <w:pPr>
              <w:spacing w:after="0"/>
              <w:rPr>
                <w:sz w:val="14"/>
                <w:szCs w:val="14"/>
                <w:color w:val="auto"/>
              </w:rPr>
            </w:pPr>
          </w:p>
        </w:tc>
      </w:tr>
      <w:tr>
        <w:trPr>
          <w:trHeight w:val="123"/>
        </w:trPr>
        <w:tc>
          <w:tcPr>
            <w:tcW w:w="256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w w:val="97"/>
              </w:rPr>
              <w:t>Payments made in settlement of payment</w:t>
            </w:r>
          </w:p>
        </w:tc>
        <w:tc>
          <w:tcPr>
            <w:tcW w:w="2720" w:type="dxa"/>
            <w:vAlign w:val="bottom"/>
          </w:tcPr>
          <w:p>
            <w:pPr>
              <w:ind w:left="200"/>
              <w:spacing w:after="0" w:line="123" w:lineRule="exact"/>
              <w:rPr>
                <w:sz w:val="20"/>
                <w:szCs w:val="20"/>
                <w:color w:val="auto"/>
              </w:rPr>
            </w:pPr>
            <w:r>
              <w:rPr>
                <w:rFonts w:ascii="Arial" w:cs="Arial" w:eastAsia="Arial" w:hAnsi="Arial"/>
                <w:sz w:val="14"/>
                <w:szCs w:val="14"/>
                <w:color w:val="auto"/>
              </w:rPr>
              <w:t>Exempt payees 1 through 4</w:t>
            </w:r>
          </w:p>
        </w:tc>
      </w:tr>
      <w:tr>
        <w:trPr>
          <w:trHeight w:val="167"/>
        </w:trPr>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card or third party network transactions</w:t>
            </w:r>
          </w:p>
        </w:tc>
        <w:tc>
          <w:tcPr>
            <w:tcW w:w="2720" w:type="dxa"/>
            <w:vAlign w:val="bottom"/>
            <w:tcBorders>
              <w:bottom w:val="single" w:sz="8" w:color="auto"/>
            </w:tcBorders>
          </w:tcPr>
          <w:p>
            <w:pPr>
              <w:spacing w:after="0"/>
              <w:rPr>
                <w:sz w:val="14"/>
                <w:szCs w:val="14"/>
                <w:color w:val="auto"/>
              </w:rPr>
            </w:pPr>
          </w:p>
        </w:tc>
      </w:tr>
    </w:tbl>
    <w:p>
      <w:pPr>
        <w:spacing w:after="0" w:line="8" w:lineRule="exact"/>
        <w:rPr>
          <w:sz w:val="20"/>
          <w:szCs w:val="20"/>
          <w:color w:val="auto"/>
        </w:rPr>
      </w:pPr>
    </w:p>
    <w:p>
      <w:pPr>
        <w:ind w:left="84" w:hanging="84"/>
        <w:spacing w:after="0"/>
        <w:tabs>
          <w:tab w:leader="none" w:pos="84" w:val="left"/>
        </w:tabs>
        <w:numPr>
          <w:ilvl w:val="0"/>
          <w:numId w:val="108"/>
        </w:numPr>
        <w:rPr>
          <w:rFonts w:ascii="Arial" w:cs="Arial" w:eastAsia="Arial" w:hAnsi="Arial"/>
          <w:sz w:val="11"/>
          <w:szCs w:val="11"/>
          <w:color w:val="auto"/>
        </w:rPr>
      </w:pPr>
      <w:r>
        <w:rPr>
          <w:rFonts w:ascii="Arial" w:cs="Arial" w:eastAsia="Arial" w:hAnsi="Arial"/>
          <w:sz w:val="14"/>
          <w:szCs w:val="14"/>
          <w:color w:val="auto"/>
        </w:rPr>
        <w:t>See Form 1099-MISC, Miscellaneous Income, and its instructions.</w:t>
      </w:r>
    </w:p>
    <w:p>
      <w:pPr>
        <w:spacing w:after="0" w:line="28" w:lineRule="exact"/>
        <w:rPr>
          <w:sz w:val="20"/>
          <w:szCs w:val="20"/>
          <w:color w:val="auto"/>
        </w:rPr>
      </w:pPr>
    </w:p>
    <w:p>
      <w:pPr>
        <w:ind w:left="4" w:right="180" w:hanging="4"/>
        <w:spacing w:after="0" w:line="233" w:lineRule="auto"/>
        <w:tabs>
          <w:tab w:leader="none" w:pos="94" w:val="left"/>
        </w:tabs>
        <w:numPr>
          <w:ilvl w:val="0"/>
          <w:numId w:val="109"/>
        </w:numPr>
        <w:rPr>
          <w:rFonts w:ascii="Arial" w:cs="Arial" w:eastAsia="Arial" w:hAnsi="Arial"/>
          <w:sz w:val="11"/>
          <w:szCs w:val="11"/>
          <w:color w:val="auto"/>
        </w:rPr>
      </w:pPr>
      <w:r>
        <w:rPr>
          <w:rFonts w:ascii="Arial" w:cs="Arial" w:eastAsia="Arial" w:hAnsi="Arial"/>
          <w:sz w:val="14"/>
          <w:szCs w:val="14"/>
          <w:color w:val="auto"/>
        </w:rPr>
        <w:t>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w:t>
      </w:r>
    </w:p>
    <w:p>
      <w:pPr>
        <w:spacing w:after="0" w:line="2" w:lineRule="exact"/>
        <w:rPr>
          <w:rFonts w:ascii="Arial" w:cs="Arial" w:eastAsia="Arial" w:hAnsi="Arial"/>
          <w:sz w:val="11"/>
          <w:szCs w:val="11"/>
          <w:color w:val="auto"/>
        </w:rPr>
      </w:pPr>
    </w:p>
    <w:p>
      <w:pPr>
        <w:ind w:left="4" w:right="60"/>
        <w:spacing w:after="0" w:line="227" w:lineRule="auto"/>
        <w:rPr>
          <w:rFonts w:ascii="Arial" w:cs="Arial" w:eastAsia="Arial" w:hAnsi="Arial"/>
          <w:sz w:val="11"/>
          <w:szCs w:val="11"/>
          <w:color w:val="auto"/>
        </w:rPr>
      </w:pPr>
      <w:r>
        <w:rPr>
          <w:rFonts w:ascii="Arial" w:cs="Arial" w:eastAsia="Arial" w:hAnsi="Arial"/>
          <w:sz w:val="14"/>
          <w:szCs w:val="14"/>
          <w:b w:val="1"/>
          <w:bCs w:val="1"/>
          <w:color w:val="auto"/>
        </w:rPr>
        <w:t xml:space="preserve">Exemption from FATCA reporting code. </w:t>
      </w:r>
      <w:r>
        <w:rPr>
          <w:rFonts w:ascii="Arial" w:cs="Arial" w:eastAsia="Arial" w:hAnsi="Arial"/>
          <w:sz w:val="14"/>
          <w:szCs w:val="14"/>
          <w:color w:val="auto"/>
        </w:rPr>
        <w:t>The following codes identify payees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by providing you with a Form W-9 with “Not Applicable” (or any similar indication) written or printed on the line for a FATCA exemption code.</w:t>
      </w:r>
    </w:p>
    <w:p>
      <w:pPr>
        <w:spacing w:after="0" w:line="1" w:lineRule="exact"/>
        <w:rPr>
          <w:sz w:val="20"/>
          <w:szCs w:val="20"/>
          <w:color w:val="auto"/>
        </w:rPr>
      </w:pPr>
    </w:p>
    <w:p>
      <w:pPr>
        <w:ind w:right="20" w:firstLine="72"/>
        <w:spacing w:after="0" w:line="251" w:lineRule="auto"/>
        <w:rPr>
          <w:sz w:val="20"/>
          <w:szCs w:val="20"/>
          <w:color w:val="auto"/>
        </w:rPr>
      </w:pPr>
      <w:r>
        <w:rPr>
          <w:rFonts w:ascii="Arial" w:cs="Arial" w:eastAsia="Arial" w:hAnsi="Arial"/>
          <w:sz w:val="14"/>
          <w:szCs w:val="14"/>
          <w:color w:val="auto"/>
        </w:rPr>
        <w:t>A—An organization exempt from tax under section 501(a) or any individual retirement plan as defined in section 7701(a)(37)</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B—The United States or any of its agencies or instrumentalities</w:t>
      </w:r>
    </w:p>
    <w:p>
      <w:pPr>
        <w:spacing w:after="0" w:line="21" w:lineRule="exact"/>
        <w:rPr>
          <w:sz w:val="20"/>
          <w:szCs w:val="20"/>
          <w:color w:val="auto"/>
        </w:rPr>
      </w:pPr>
    </w:p>
    <w:p>
      <w:pPr>
        <w:ind w:right="160" w:firstLine="72"/>
        <w:spacing w:after="0" w:line="243" w:lineRule="auto"/>
        <w:rPr>
          <w:sz w:val="20"/>
          <w:szCs w:val="20"/>
          <w:color w:val="auto"/>
        </w:rPr>
      </w:pPr>
      <w:r>
        <w:rPr>
          <w:rFonts w:ascii="Arial" w:cs="Arial" w:eastAsia="Arial" w:hAnsi="Arial"/>
          <w:sz w:val="14"/>
          <w:szCs w:val="14"/>
          <w:color w:val="auto"/>
        </w:rPr>
        <w:t>C—A state, the District of Columbia, a U.S. commonwealth or possession, or any of their political subdivisions or instrumentalities</w:t>
      </w:r>
    </w:p>
    <w:p>
      <w:pPr>
        <w:spacing w:after="0" w:line="5" w:lineRule="exact"/>
        <w:rPr>
          <w:sz w:val="20"/>
          <w:szCs w:val="20"/>
          <w:color w:val="auto"/>
        </w:rPr>
      </w:pPr>
    </w:p>
    <w:p>
      <w:pPr>
        <w:ind w:right="520" w:firstLine="72"/>
        <w:spacing w:after="0" w:line="270" w:lineRule="auto"/>
        <w:rPr>
          <w:sz w:val="20"/>
          <w:szCs w:val="20"/>
          <w:color w:val="auto"/>
        </w:rPr>
      </w:pPr>
      <w:r>
        <w:rPr>
          <w:rFonts w:ascii="Arial" w:cs="Arial" w:eastAsia="Arial" w:hAnsi="Arial"/>
          <w:sz w:val="13"/>
          <w:szCs w:val="13"/>
          <w:color w:val="auto"/>
        </w:rPr>
        <w:t>D—A corporation the stock of which is regularly traded on one or more established securities markets, as described in Regulations section 1.1472-1(c)(1)(i)</w:t>
      </w:r>
    </w:p>
    <w:p>
      <w:pPr>
        <w:spacing w:after="0" w:line="1" w:lineRule="exact"/>
        <w:rPr>
          <w:sz w:val="20"/>
          <w:szCs w:val="20"/>
          <w:color w:val="auto"/>
        </w:rPr>
      </w:pPr>
    </w:p>
    <w:p>
      <w:pPr>
        <w:ind w:right="140" w:firstLine="72"/>
        <w:spacing w:after="0" w:line="246" w:lineRule="auto"/>
        <w:rPr>
          <w:sz w:val="20"/>
          <w:szCs w:val="20"/>
          <w:color w:val="auto"/>
        </w:rPr>
      </w:pPr>
      <w:r>
        <w:rPr>
          <w:rFonts w:ascii="Arial" w:cs="Arial" w:eastAsia="Arial" w:hAnsi="Arial"/>
          <w:sz w:val="14"/>
          <w:szCs w:val="14"/>
          <w:color w:val="auto"/>
        </w:rPr>
        <w:t>E—A corporation that is a member of the same expanded affiliated group as a corporation described in Regulations section 1.1472-1(c)(1)(i)</w:t>
      </w:r>
    </w:p>
    <w:p>
      <w:pPr>
        <w:spacing w:after="0" w:line="1" w:lineRule="exact"/>
        <w:rPr>
          <w:sz w:val="20"/>
          <w:szCs w:val="20"/>
          <w:color w:val="auto"/>
        </w:rPr>
      </w:pPr>
    </w:p>
    <w:p>
      <w:pPr>
        <w:ind w:right="180" w:firstLine="72"/>
        <w:spacing w:after="0" w:line="234" w:lineRule="auto"/>
        <w:rPr>
          <w:sz w:val="20"/>
          <w:szCs w:val="20"/>
          <w:color w:val="auto"/>
        </w:rPr>
      </w:pPr>
      <w:r>
        <w:rPr>
          <w:rFonts w:ascii="Arial" w:cs="Arial" w:eastAsia="Arial" w:hAnsi="Arial"/>
          <w:sz w:val="14"/>
          <w:szCs w:val="14"/>
          <w:color w:val="auto"/>
        </w:rPr>
        <w:t>F—A dealer in securities, commodities, or derivative financial instruments (including notional principal contracts, futures, forwards, and options) that is registered as such under the laws of the United States or any state</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4"/>
          <w:szCs w:val="14"/>
          <w:color w:val="auto"/>
        </w:rPr>
        <w:t>G—A real estate investment trust</w:t>
      </w:r>
    </w:p>
    <w:p>
      <w:pPr>
        <w:spacing w:after="0" w:line="28" w:lineRule="exact"/>
        <w:rPr>
          <w:sz w:val="20"/>
          <w:szCs w:val="20"/>
          <w:color w:val="auto"/>
        </w:rPr>
      </w:pPr>
    </w:p>
    <w:p>
      <w:pPr>
        <w:ind w:right="100" w:firstLine="72"/>
        <w:spacing w:after="0" w:line="246" w:lineRule="auto"/>
        <w:rPr>
          <w:sz w:val="20"/>
          <w:szCs w:val="20"/>
          <w:color w:val="auto"/>
        </w:rPr>
      </w:pPr>
      <w:r>
        <w:rPr>
          <w:rFonts w:ascii="Arial" w:cs="Arial" w:eastAsia="Arial" w:hAnsi="Arial"/>
          <w:sz w:val="14"/>
          <w:szCs w:val="14"/>
          <w:color w:val="auto"/>
        </w:rPr>
        <w:t>H—A regulated investment company as defined in section 851 or an entity registered at all times during the tax year under the Investment Company Act of 1940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I—A common trust fund as defined in section 584(a)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J—A bank as defined in section 581</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K—A broker</w:t>
      </w:r>
    </w:p>
    <w:p>
      <w:pPr>
        <w:spacing w:after="0" w:line="21" w:lineRule="exact"/>
        <w:rPr>
          <w:sz w:val="20"/>
          <w:szCs w:val="20"/>
          <w:color w:val="auto"/>
        </w:rPr>
      </w:pPr>
    </w:p>
    <w:p>
      <w:pPr>
        <w:ind w:left="60" w:right="680"/>
        <w:spacing w:after="0" w:line="294" w:lineRule="auto"/>
        <w:rPr>
          <w:sz w:val="20"/>
          <w:szCs w:val="20"/>
          <w:color w:val="auto"/>
        </w:rPr>
      </w:pPr>
      <w:r>
        <w:rPr>
          <w:rFonts w:ascii="Arial" w:cs="Arial" w:eastAsia="Arial" w:hAnsi="Arial"/>
          <w:sz w:val="13"/>
          <w:szCs w:val="13"/>
          <w:color w:val="auto"/>
        </w:rPr>
        <w:t>L—A trust exempt from tax under section 664 or described in section 4947(a)(1) M—A tax exempt trust under a section 403(b) plan or section 457(g) plan</w:t>
      </w:r>
    </w:p>
    <w:p>
      <w:pPr>
        <w:spacing w:after="0" w:line="1" w:lineRule="exact"/>
        <w:rPr>
          <w:sz w:val="20"/>
          <w:szCs w:val="20"/>
          <w:color w:val="auto"/>
        </w:rPr>
      </w:pPr>
    </w:p>
    <w:p>
      <w:pPr>
        <w:ind w:right="520"/>
        <w:spacing w:after="0" w:line="291"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You may wish to consult with the financial institution requesting this form to</w:t>
      </w:r>
      <w:r>
        <w:rPr>
          <w:rFonts w:ascii="Arial" w:cs="Arial" w:eastAsia="Arial" w:hAnsi="Arial"/>
          <w:sz w:val="12"/>
          <w:szCs w:val="12"/>
          <w:b w:val="1"/>
          <w:bCs w:val="1"/>
          <w:color w:val="auto"/>
        </w:rPr>
        <w:t xml:space="preserve"> </w:t>
      </w:r>
      <w:r>
        <w:rPr>
          <w:rFonts w:ascii="Arial" w:cs="Arial" w:eastAsia="Arial" w:hAnsi="Arial"/>
          <w:sz w:val="12"/>
          <w:szCs w:val="12"/>
          <w:color w:val="auto"/>
        </w:rPr>
        <w:t>determine whether the FATCA code and/or exempt payee code should be completed.</w:t>
      </w:r>
    </w:p>
    <w:p>
      <w:pPr>
        <w:spacing w:after="0"/>
        <w:rPr>
          <w:sz w:val="20"/>
          <w:szCs w:val="20"/>
          <w:color w:val="auto"/>
        </w:rPr>
      </w:pPr>
      <w:r>
        <w:rPr>
          <w:rFonts w:ascii="Arial" w:cs="Arial" w:eastAsia="Arial" w:hAnsi="Arial"/>
          <w:sz w:val="14"/>
          <w:szCs w:val="14"/>
          <w:b w:val="1"/>
          <w:bCs w:val="1"/>
          <w:color w:val="auto"/>
        </w:rPr>
        <w:t>Line 5</w:t>
      </w:r>
    </w:p>
    <w:p>
      <w:pPr>
        <w:spacing w:after="0" w:line="21"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Enter your address (number, street, and apartment or suite number). This is where the requester of this Form W-9 will mail your information returns. If this address differs from the one the requester already has on file, write NEW at the top. If a new address is provided, there is still a chance the old address will be used until the payor changes your address in their records.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Line 6</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Enter your city, state, and ZIP code.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Taxpayer Identification Number (TIN)</w:t>
      </w:r>
    </w:p>
    <w:p>
      <w:pPr>
        <w:spacing w:after="0" w:line="45"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b w:val="1"/>
          <w:bCs w:val="1"/>
          <w:color w:val="auto"/>
        </w:rPr>
        <w:t xml:space="preserve">Enter your TIN in the appropriate box. </w:t>
      </w:r>
      <w:r>
        <w:rPr>
          <w:rFonts w:ascii="Arial" w:cs="Arial" w:eastAsia="Arial" w:hAnsi="Arial"/>
          <w:sz w:val="14"/>
          <w:szCs w:val="14"/>
          <w:color w:val="auto"/>
        </w:rPr>
        <w:t>If you are a resident alien and you do not have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are not eligible to get an SSN, your TIN is your IRS individual taxpayer identification number (ITIN). Enter it in the social security number box. If you do not have an ITIN, see </w:t>
      </w:r>
      <w:r>
        <w:rPr>
          <w:rFonts w:ascii="Arial" w:cs="Arial" w:eastAsia="Arial" w:hAnsi="Arial"/>
          <w:sz w:val="14"/>
          <w:szCs w:val="14"/>
          <w:i w:val="1"/>
          <w:iCs w:val="1"/>
          <w:color w:val="auto"/>
        </w:rPr>
        <w:t xml:space="preserve">How to get a TIN </w:t>
      </w:r>
      <w:r>
        <w:rPr>
          <w:rFonts w:ascii="Arial" w:cs="Arial" w:eastAsia="Arial" w:hAnsi="Arial"/>
          <w:sz w:val="14"/>
          <w:szCs w:val="14"/>
          <w:color w:val="auto"/>
        </w:rPr>
        <w:t>below.</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you are a sole proprietor and you have an EIN, you may enter either your SSN or EIN.</w:t>
      </w:r>
    </w:p>
    <w:p>
      <w:pPr>
        <w:spacing w:after="0" w:line="33" w:lineRule="exact"/>
        <w:rPr>
          <w:sz w:val="20"/>
          <w:szCs w:val="20"/>
          <w:color w:val="auto"/>
        </w:rPr>
      </w:pPr>
    </w:p>
    <w:p>
      <w:pPr>
        <w:ind w:right="180" w:firstLine="72"/>
        <w:spacing w:after="0" w:line="257" w:lineRule="auto"/>
        <w:rPr>
          <w:sz w:val="20"/>
          <w:szCs w:val="20"/>
          <w:color w:val="auto"/>
        </w:rPr>
      </w:pPr>
      <w:r>
        <w:rPr>
          <w:rFonts w:ascii="Arial" w:cs="Arial" w:eastAsia="Arial" w:hAnsi="Arial"/>
          <w:sz w:val="13"/>
          <w:szCs w:val="13"/>
          <w:color w:val="auto"/>
        </w:rPr>
        <w:t>If you are a single-member LLC that is disregarded as an entity separate from its owner, enter the owner’s SSN (or EIN, if the owner has one). Do not enter the disregarded entity’s EIN. If the LLC is classified as a corporation or partnership, enter the entity’s EIN.</w:t>
      </w:r>
    </w:p>
    <w:p>
      <w:pPr>
        <w:spacing w:after="0" w:line="2" w:lineRule="exact"/>
        <w:rPr>
          <w:sz w:val="20"/>
          <w:szCs w:val="20"/>
          <w:color w:val="auto"/>
        </w:rPr>
      </w:pPr>
    </w:p>
    <w:p>
      <w:pPr>
        <w:ind w:right="200"/>
        <w:spacing w:after="0" w:line="24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See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What Name and Number To Give the Requester,</w:t>
      </w:r>
      <w:r>
        <w:rPr>
          <w:rFonts w:ascii="Arial" w:cs="Arial" w:eastAsia="Arial" w:hAnsi="Arial"/>
          <w:sz w:val="14"/>
          <w:szCs w:val="14"/>
          <w:b w:val="1"/>
          <w:bCs w:val="1"/>
          <w:color w:val="auto"/>
        </w:rPr>
        <w:t xml:space="preserve"> </w:t>
      </w:r>
      <w:r>
        <w:rPr>
          <w:rFonts w:ascii="Arial" w:cs="Arial" w:eastAsia="Arial" w:hAnsi="Arial"/>
          <w:sz w:val="14"/>
          <w:szCs w:val="14"/>
          <w:color w:val="auto"/>
        </w:rPr>
        <w:t>later, for further clarification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name and TIN combinations.</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b w:val="1"/>
          <w:bCs w:val="1"/>
          <w:color w:val="auto"/>
        </w:rPr>
        <w:t xml:space="preserve">How to get a TIN. </w:t>
      </w:r>
      <w:r>
        <w:rPr>
          <w:rFonts w:ascii="Arial" w:cs="Arial" w:eastAsia="Arial" w:hAnsi="Arial"/>
          <w:sz w:val="14"/>
          <w:szCs w:val="14"/>
          <w:color w:val="auto"/>
        </w:rPr>
        <w:t>If you do not have a TIN, apply for one immediately. To apply for an</w:t>
      </w:r>
      <w:r>
        <w:rPr>
          <w:rFonts w:ascii="Arial" w:cs="Arial" w:eastAsia="Arial" w:hAnsi="Arial"/>
          <w:sz w:val="14"/>
          <w:szCs w:val="14"/>
          <w:b w:val="1"/>
          <w:bCs w:val="1"/>
          <w:color w:val="auto"/>
        </w:rPr>
        <w:t xml:space="preserve"> </w:t>
      </w:r>
      <w:r>
        <w:rPr>
          <w:rFonts w:ascii="Arial" w:cs="Arial" w:eastAsia="Arial" w:hAnsi="Arial"/>
          <w:sz w:val="14"/>
          <w:szCs w:val="14"/>
          <w:color w:val="auto"/>
        </w:rPr>
        <w:t>SSN, get Form SS-5, Application for</w:t>
      </w:r>
    </w:p>
    <w:p>
      <w:pPr>
        <w:sectPr>
          <w:pgSz w:w="11900" w:h="16838" w:orient="portrait"/>
          <w:cols w:equalWidth="0" w:num="2">
            <w:col w:w="5284" w:space="340"/>
            <w:col w:w="5400"/>
          </w:cols>
          <w:pgMar w:left="436" w:top="274" w:right="439" w:bottom="1440" w:gutter="0" w:footer="0" w:header="0"/>
          <w:type w:val="continuous"/>
        </w:sectPr>
      </w:pPr>
    </w:p>
    <w:bookmarkStart w:id="131" w:name="page132"/>
    <w:bookmarkEnd w:id="131"/>
    <w:p>
      <w:pPr>
        <w:spacing w:after="0"/>
        <w:tabs>
          <w:tab w:leader="none" w:pos="106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W-9 (Rev. 10-2018)</w:t>
      </w:r>
      <w:r>
        <w:rPr>
          <w:sz w:val="20"/>
          <w:szCs w:val="20"/>
          <w:color w:val="auto"/>
        </w:rPr>
        <w:tab/>
      </w:r>
      <w:r>
        <w:rPr>
          <w:rFonts w:ascii="Arial" w:cs="Arial" w:eastAsia="Arial" w:hAnsi="Arial"/>
          <w:sz w:val="10"/>
          <w:szCs w:val="10"/>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319"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 xml:space="preserve">a Social Security Card, from your local SSA office or get this form online at </w:t>
      </w:r>
      <w:r>
        <w:rPr>
          <w:rFonts w:ascii="Arial" w:cs="Arial" w:eastAsia="Arial" w:hAnsi="Arial"/>
          <w:sz w:val="14"/>
          <w:szCs w:val="14"/>
          <w:i w:val="1"/>
          <w:iCs w:val="1"/>
          <w:color w:val="auto"/>
        </w:rPr>
        <w:t>www.SSA.gov</w:t>
      </w:r>
      <w:r>
        <w:rPr>
          <w:rFonts w:ascii="Arial" w:cs="Arial" w:eastAsia="Arial" w:hAnsi="Arial"/>
          <w:sz w:val="14"/>
          <w:szCs w:val="14"/>
          <w:color w:val="auto"/>
        </w:rPr>
        <w:t xml:space="preserve">. You may also get this form by calling 1-800-772-1213. Use Form W-7, Application for IRS Individual Taxpayer Identification Number, to apply for an ITIN, or Form SS-4, Application for Employer Identification Number, to apply for an EIN. You can apply for an EIN online by accessing the IRS website at </w:t>
      </w:r>
      <w:r>
        <w:rPr>
          <w:rFonts w:ascii="Arial" w:cs="Arial" w:eastAsia="Arial" w:hAnsi="Arial"/>
          <w:sz w:val="14"/>
          <w:szCs w:val="14"/>
          <w:i w:val="1"/>
          <w:iCs w:val="1"/>
          <w:color w:val="auto"/>
        </w:rPr>
        <w:t>www.irs.gov/Businesses</w:t>
      </w:r>
      <w:r>
        <w:rPr>
          <w:rFonts w:ascii="Arial" w:cs="Arial" w:eastAsia="Arial" w:hAnsi="Arial"/>
          <w:sz w:val="14"/>
          <w:szCs w:val="14"/>
          <w:color w:val="auto"/>
        </w:rPr>
        <w:t xml:space="preserve"> and clicking on Employer Identification Number (EIN) under Starting a Business. Go to </w:t>
      </w:r>
      <w:r>
        <w:rPr>
          <w:rFonts w:ascii="Arial" w:cs="Arial" w:eastAsia="Arial" w:hAnsi="Arial"/>
          <w:sz w:val="14"/>
          <w:szCs w:val="14"/>
          <w:i w:val="1"/>
          <w:iCs w:val="1"/>
          <w:color w:val="auto"/>
        </w:rPr>
        <w:t xml:space="preserve">www.irs.gov/Forms </w:t>
      </w:r>
      <w:r>
        <w:rPr>
          <w:rFonts w:ascii="Arial" w:cs="Arial" w:eastAsia="Arial" w:hAnsi="Arial"/>
          <w:sz w:val="14"/>
          <w:szCs w:val="14"/>
          <w:color w:val="auto"/>
        </w:rPr>
        <w:t>to view, download, or print Form W-7 and/or Form SS-4. Or, you can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go to </w:t>
      </w:r>
      <w:r>
        <w:rPr>
          <w:rFonts w:ascii="Arial" w:cs="Arial" w:eastAsia="Arial" w:hAnsi="Arial"/>
          <w:sz w:val="14"/>
          <w:szCs w:val="14"/>
          <w:i w:val="1"/>
          <w:iCs w:val="1"/>
          <w:color w:val="auto"/>
        </w:rPr>
        <w:t>www.irs.gov/OrderForms</w:t>
      </w:r>
      <w:r>
        <w:rPr>
          <w:rFonts w:ascii="Arial" w:cs="Arial" w:eastAsia="Arial" w:hAnsi="Arial"/>
          <w:sz w:val="14"/>
          <w:szCs w:val="14"/>
          <w:color w:val="auto"/>
        </w:rPr>
        <w:t xml:space="preserve"> to place an order and have Form W-7 and/or SS-4 mailed to you within 10 business days.</w:t>
      </w:r>
    </w:p>
    <w:p>
      <w:pPr>
        <w:spacing w:after="0" w:line="13" w:lineRule="exact"/>
        <w:rPr>
          <w:sz w:val="20"/>
          <w:szCs w:val="20"/>
          <w:color w:val="auto"/>
        </w:rPr>
      </w:pPr>
    </w:p>
    <w:p>
      <w:pPr>
        <w:ind w:right="20" w:firstLine="72"/>
        <w:spacing w:after="0" w:line="246" w:lineRule="auto"/>
        <w:rPr>
          <w:sz w:val="20"/>
          <w:szCs w:val="20"/>
          <w:color w:val="auto"/>
        </w:rPr>
      </w:pPr>
      <w:r>
        <w:rPr>
          <w:rFonts w:ascii="Arial" w:cs="Arial" w:eastAsia="Arial" w:hAnsi="Arial"/>
          <w:sz w:val="13"/>
          <w:szCs w:val="13"/>
          <w:color w:val="auto"/>
        </w:rPr>
        <w:t>If you are asked to complete Form W-9 but do not have a TIN, apply for a TIN and write “Applied For” in the space for the TIN, sign and date the form, and give it to the requester. For interest and dividend payments, and certain payments made with respect to readily tradable instruments, generally you will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3" w:lineRule="exact"/>
        <w:rPr>
          <w:sz w:val="20"/>
          <w:szCs w:val="20"/>
          <w:color w:val="auto"/>
        </w:rPr>
      </w:pPr>
    </w:p>
    <w:p>
      <w:pPr>
        <w:ind w:right="180"/>
        <w:spacing w:after="0" w:line="24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Entering “Applied For” means that you have already applied for a TIN or that you</w:t>
      </w:r>
      <w:r>
        <w:rPr>
          <w:rFonts w:ascii="Arial" w:cs="Arial" w:eastAsia="Arial" w:hAnsi="Arial"/>
          <w:sz w:val="14"/>
          <w:szCs w:val="14"/>
          <w:b w:val="1"/>
          <w:bCs w:val="1"/>
          <w:color w:val="auto"/>
        </w:rPr>
        <w:t xml:space="preserve"> </w:t>
      </w:r>
      <w:r>
        <w:rPr>
          <w:rFonts w:ascii="Arial" w:cs="Arial" w:eastAsia="Arial" w:hAnsi="Arial"/>
          <w:sz w:val="14"/>
          <w:szCs w:val="14"/>
          <w:color w:val="auto"/>
        </w:rPr>
        <w:t>intend to apply for one soon.</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b w:val="1"/>
          <w:bCs w:val="1"/>
          <w:color w:val="auto"/>
        </w:rPr>
        <w:t xml:space="preserve">Caution: </w:t>
      </w:r>
      <w:r>
        <w:rPr>
          <w:rFonts w:ascii="Arial" w:cs="Arial" w:eastAsia="Arial" w:hAnsi="Arial"/>
          <w:sz w:val="14"/>
          <w:szCs w:val="14"/>
          <w:color w:val="auto"/>
        </w:rPr>
        <w:t>A disregarded U.S. entity that has a foreign owner must use the appropriate Form</w:t>
      </w:r>
      <w:r>
        <w:rPr>
          <w:rFonts w:ascii="Arial" w:cs="Arial" w:eastAsia="Arial" w:hAnsi="Arial"/>
          <w:sz w:val="14"/>
          <w:szCs w:val="14"/>
          <w:b w:val="1"/>
          <w:bCs w:val="1"/>
          <w:color w:val="auto"/>
        </w:rPr>
        <w:t xml:space="preserve"> </w:t>
      </w:r>
      <w:r>
        <w:rPr>
          <w:rFonts w:ascii="Arial" w:cs="Arial" w:eastAsia="Arial" w:hAnsi="Arial"/>
          <w:sz w:val="14"/>
          <w:szCs w:val="14"/>
          <w:color w:val="auto"/>
        </w:rPr>
        <w:t>W-8.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Certification</w:t>
      </w:r>
    </w:p>
    <w:p>
      <w:pPr>
        <w:spacing w:after="0" w:line="49"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To establish to the withholding agent that you are a U.S. person, or resident alien, sign Form W-9. You may be requested to sign by the withholding agent even if item 1, 4, or 5 below indicates otherwise.</w:t>
      </w:r>
    </w:p>
    <w:p>
      <w:pPr>
        <w:spacing w:after="0" w:line="7" w:lineRule="exact"/>
        <w:rPr>
          <w:sz w:val="20"/>
          <w:szCs w:val="20"/>
          <w:color w:val="auto"/>
        </w:rPr>
      </w:pPr>
    </w:p>
    <w:p>
      <w:pPr>
        <w:jc w:val="both"/>
        <w:ind w:right="340" w:firstLine="72"/>
        <w:spacing w:after="0" w:line="238" w:lineRule="auto"/>
        <w:rPr>
          <w:sz w:val="20"/>
          <w:szCs w:val="20"/>
          <w:color w:val="auto"/>
        </w:rPr>
      </w:pPr>
      <w:r>
        <w:rPr>
          <w:rFonts w:ascii="Arial" w:cs="Arial" w:eastAsia="Arial" w:hAnsi="Arial"/>
          <w:sz w:val="14"/>
          <w:szCs w:val="14"/>
          <w:color w:val="auto"/>
        </w:rPr>
        <w:t xml:space="preserve">For a joint account, only the person whose TIN is shown in Part I should sign (when required). In the case of a disregarded entity, the person identified on line 1 must sign. Exempt payees, see </w:t>
      </w:r>
      <w:r>
        <w:rPr>
          <w:rFonts w:ascii="Arial" w:cs="Arial" w:eastAsia="Arial" w:hAnsi="Arial"/>
          <w:sz w:val="14"/>
          <w:szCs w:val="14"/>
          <w:i w:val="1"/>
          <w:iCs w:val="1"/>
          <w:color w:val="auto"/>
        </w:rPr>
        <w:t>Exempt payee code,</w:t>
      </w:r>
      <w:r>
        <w:rPr>
          <w:rFonts w:ascii="Arial" w:cs="Arial" w:eastAsia="Arial" w:hAnsi="Arial"/>
          <w:sz w:val="14"/>
          <w:szCs w:val="14"/>
          <w:color w:val="auto"/>
        </w:rPr>
        <w:t xml:space="preserve"> earlier.</w:t>
      </w:r>
    </w:p>
    <w:p>
      <w:pPr>
        <w:jc w:val="both"/>
        <w:ind w:right="340"/>
        <w:spacing w:after="0" w:line="243" w:lineRule="auto"/>
        <w:rPr>
          <w:sz w:val="20"/>
          <w:szCs w:val="20"/>
          <w:color w:val="auto"/>
        </w:rPr>
      </w:pPr>
      <w:r>
        <w:rPr>
          <w:rFonts w:ascii="Arial" w:cs="Arial" w:eastAsia="Arial" w:hAnsi="Arial"/>
          <w:sz w:val="14"/>
          <w:szCs w:val="14"/>
          <w:b w:val="1"/>
          <w:bCs w:val="1"/>
          <w:color w:val="auto"/>
        </w:rPr>
        <w:t xml:space="preserve">Signature requirements. </w:t>
      </w:r>
      <w:r>
        <w:rPr>
          <w:rFonts w:ascii="Arial" w:cs="Arial" w:eastAsia="Arial" w:hAnsi="Arial"/>
          <w:sz w:val="14"/>
          <w:szCs w:val="14"/>
          <w:color w:val="auto"/>
        </w:rPr>
        <w:t>Complete the certification as indicated in items 1 through 5</w:t>
      </w:r>
      <w:r>
        <w:rPr>
          <w:rFonts w:ascii="Arial" w:cs="Arial" w:eastAsia="Arial" w:hAnsi="Arial"/>
          <w:sz w:val="14"/>
          <w:szCs w:val="14"/>
          <w:b w:val="1"/>
          <w:bCs w:val="1"/>
          <w:color w:val="auto"/>
        </w:rPr>
        <w:t xml:space="preserve"> </w:t>
      </w:r>
      <w:r>
        <w:rPr>
          <w:rFonts w:ascii="Arial" w:cs="Arial" w:eastAsia="Arial" w:hAnsi="Arial"/>
          <w:sz w:val="14"/>
          <w:szCs w:val="14"/>
          <w:color w:val="auto"/>
        </w:rPr>
        <w:t>below.</w:t>
      </w:r>
    </w:p>
    <w:p>
      <w:pPr>
        <w:spacing w:after="0" w:line="1" w:lineRule="exact"/>
        <w:rPr>
          <w:sz w:val="20"/>
          <w:szCs w:val="20"/>
          <w:color w:val="auto"/>
        </w:rPr>
      </w:pPr>
    </w:p>
    <w:p>
      <w:pPr>
        <w:ind w:right="60" w:firstLine="68"/>
        <w:spacing w:after="0"/>
        <w:tabs>
          <w:tab w:leader="none" w:pos="216"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Interest, dividend, and barter exchange accounts opened before 1984 and broker accounts considered active during 1983. </w:t>
      </w:r>
      <w:r>
        <w:rPr>
          <w:rFonts w:ascii="Arial" w:cs="Arial" w:eastAsia="Arial" w:hAnsi="Arial"/>
          <w:sz w:val="14"/>
          <w:szCs w:val="14"/>
          <w:color w:val="auto"/>
        </w:rPr>
        <w:t>You must give your correct TIN, but you do not</w:t>
      </w:r>
      <w:r>
        <w:rPr>
          <w:rFonts w:ascii="Arial" w:cs="Arial" w:eastAsia="Arial" w:hAnsi="Arial"/>
          <w:sz w:val="14"/>
          <w:szCs w:val="14"/>
          <w:b w:val="1"/>
          <w:bCs w:val="1"/>
          <w:color w:val="auto"/>
        </w:rPr>
        <w:t xml:space="preserve"> </w:t>
      </w:r>
      <w:r>
        <w:rPr>
          <w:rFonts w:ascii="Arial" w:cs="Arial" w:eastAsia="Arial" w:hAnsi="Arial"/>
          <w:sz w:val="14"/>
          <w:szCs w:val="14"/>
          <w:color w:val="auto"/>
        </w:rPr>
        <w:t>have to sign the certification.</w:t>
      </w:r>
    </w:p>
    <w:p>
      <w:pPr>
        <w:spacing w:after="0" w:line="3" w:lineRule="exact"/>
        <w:rPr>
          <w:rFonts w:ascii="Arial" w:cs="Arial" w:eastAsia="Arial" w:hAnsi="Arial"/>
          <w:sz w:val="14"/>
          <w:szCs w:val="14"/>
          <w:b w:val="1"/>
          <w:bCs w:val="1"/>
          <w:color w:val="auto"/>
        </w:rPr>
      </w:pPr>
    </w:p>
    <w:p>
      <w:pPr>
        <w:ind w:right="200" w:firstLine="68"/>
        <w:spacing w:after="0" w:line="232" w:lineRule="auto"/>
        <w:tabs>
          <w:tab w:leader="none" w:pos="216"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Interest, dividend, broker, and barter exchange accounts opened after 1983 and broker accounts considered inactive during 1983. </w:t>
      </w:r>
      <w:r>
        <w:rPr>
          <w:rFonts w:ascii="Arial" w:cs="Arial" w:eastAsia="Arial" w:hAnsi="Arial"/>
          <w:sz w:val="14"/>
          <w:szCs w:val="14"/>
          <w:color w:val="auto"/>
        </w:rPr>
        <w:t>You must sign the certification or</w:t>
      </w:r>
      <w:r>
        <w:rPr>
          <w:rFonts w:ascii="Arial" w:cs="Arial" w:eastAsia="Arial" w:hAnsi="Arial"/>
          <w:sz w:val="14"/>
          <w:szCs w:val="14"/>
          <w:b w:val="1"/>
          <w:bCs w:val="1"/>
          <w:color w:val="auto"/>
        </w:rPr>
        <w:t xml:space="preserve"> </w:t>
      </w:r>
      <w:r>
        <w:rPr>
          <w:rFonts w:ascii="Arial" w:cs="Arial" w:eastAsia="Arial" w:hAnsi="Arial"/>
          <w:sz w:val="14"/>
          <w:szCs w:val="14"/>
          <w:color w:val="auto"/>
        </w:rPr>
        <w:t>backup withholding will apply. If you are subject to backup withholding and you are merely providing your correct TIN to the requester, you must cross out item 2 in the certification before signing the form.</w:t>
      </w:r>
    </w:p>
    <w:p>
      <w:pPr>
        <w:spacing w:after="0" w:line="2" w:lineRule="exact"/>
        <w:rPr>
          <w:rFonts w:ascii="Arial" w:cs="Arial" w:eastAsia="Arial" w:hAnsi="Arial"/>
          <w:sz w:val="14"/>
          <w:szCs w:val="14"/>
          <w:b w:val="1"/>
          <w:bCs w:val="1"/>
          <w:color w:val="auto"/>
        </w:rPr>
      </w:pPr>
    </w:p>
    <w:p>
      <w:pPr>
        <w:ind w:right="80" w:firstLine="68"/>
        <w:spacing w:after="0" w:line="243" w:lineRule="auto"/>
        <w:tabs>
          <w:tab w:leader="none" w:pos="216"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Real estate transactions. </w:t>
      </w:r>
      <w:r>
        <w:rPr>
          <w:rFonts w:ascii="Arial" w:cs="Arial" w:eastAsia="Arial" w:hAnsi="Arial"/>
          <w:sz w:val="14"/>
          <w:szCs w:val="14"/>
          <w:color w:val="auto"/>
        </w:rPr>
        <w:t>You must sign the certification. You may cross out item 2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certification.</w:t>
      </w:r>
    </w:p>
    <w:p>
      <w:pPr>
        <w:ind w:firstLine="68"/>
        <w:spacing w:after="0" w:line="246" w:lineRule="auto"/>
        <w:tabs>
          <w:tab w:leader="none" w:pos="216"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Other payments. </w:t>
      </w:r>
      <w:r>
        <w:rPr>
          <w:rFonts w:ascii="Arial" w:cs="Arial" w:eastAsia="Arial" w:hAnsi="Arial"/>
          <w:sz w:val="13"/>
          <w:szCs w:val="13"/>
          <w:color w:val="auto"/>
        </w:rPr>
        <w:t>You must give your correct TIN, but you do not have to sign the</w:t>
      </w:r>
      <w:r>
        <w:rPr>
          <w:rFonts w:ascii="Arial" w:cs="Arial" w:eastAsia="Arial" w:hAnsi="Arial"/>
          <w:sz w:val="13"/>
          <w:szCs w:val="13"/>
          <w:b w:val="1"/>
          <w:bCs w:val="1"/>
          <w:color w:val="auto"/>
        </w:rPr>
        <w:t xml:space="preserve"> </w:t>
      </w:r>
      <w:r>
        <w:rPr>
          <w:rFonts w:ascii="Arial" w:cs="Arial" w:eastAsia="Arial" w:hAnsi="Arial"/>
          <w:sz w:val="13"/>
          <w:szCs w:val="13"/>
          <w:color w:val="auto"/>
        </w:rPr>
        <w:t>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 party network transactions, payments to certain fishing boat crew members and fishermen, and gross proceeds paid to attorneys (including payments to corporations).</w:t>
      </w:r>
    </w:p>
    <w:p>
      <w:pPr>
        <w:spacing w:after="0" w:line="2" w:lineRule="exact"/>
        <w:rPr>
          <w:rFonts w:ascii="Arial" w:cs="Arial" w:eastAsia="Arial" w:hAnsi="Arial"/>
          <w:sz w:val="13"/>
          <w:szCs w:val="13"/>
          <w:b w:val="1"/>
          <w:bCs w:val="1"/>
          <w:color w:val="auto"/>
        </w:rPr>
      </w:pPr>
    </w:p>
    <w:p>
      <w:pPr>
        <w:ind w:right="160" w:firstLine="68"/>
        <w:spacing w:after="0" w:line="258" w:lineRule="auto"/>
        <w:tabs>
          <w:tab w:leader="none" w:pos="216"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Mortgage interest paid by you, acquisition or abandonment of secured property, cancellation of debt, qualified tuition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6" w:right="100"/>
        <w:spacing w:after="0" w:line="267" w:lineRule="auto"/>
        <w:rPr>
          <w:sz w:val="20"/>
          <w:szCs w:val="20"/>
          <w:color w:val="auto"/>
        </w:rPr>
      </w:pPr>
      <w:r>
        <w:rPr>
          <w:rFonts w:ascii="Arial" w:cs="Arial" w:eastAsia="Arial" w:hAnsi="Arial"/>
          <w:sz w:val="13"/>
          <w:szCs w:val="13"/>
          <w:b w:val="1"/>
          <w:bCs w:val="1"/>
          <w:color w:val="auto"/>
        </w:rPr>
        <w:t xml:space="preserve">program payments (under section 529), ABLE accounts (under section 529A), IRA, Coverdell ESA, Archer MSA or HSA contributions or distributions, and pension distributions. </w:t>
      </w:r>
      <w:r>
        <w:rPr>
          <w:rFonts w:ascii="Arial" w:cs="Arial" w:eastAsia="Arial" w:hAnsi="Arial"/>
          <w:sz w:val="13"/>
          <w:szCs w:val="13"/>
          <w:color w:val="auto"/>
        </w:rPr>
        <w:t>You must give your correct TIN, but you do not have to sign the certification.</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What Name and Number To Give the Requester</w:t>
      </w:r>
    </w:p>
    <w:p>
      <w:pPr>
        <w:spacing w:after="0" w:line="88"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278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For this type of account:</w:t>
            </w:r>
          </w:p>
        </w:tc>
        <w:tc>
          <w:tcPr>
            <w:tcW w:w="26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Give name and SSN of:</w:t>
            </w:r>
          </w:p>
        </w:tc>
      </w:tr>
      <w:tr>
        <w:trPr>
          <w:trHeight w:val="123"/>
        </w:trPr>
        <w:tc>
          <w:tcPr>
            <w:tcW w:w="2780" w:type="dxa"/>
            <w:vAlign w:val="bottom"/>
            <w:tcBorders>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1.  Individual</w:t>
            </w:r>
          </w:p>
        </w:tc>
        <w:tc>
          <w:tcPr>
            <w:tcW w:w="2620" w:type="dxa"/>
            <w:vAlign w:val="bottom"/>
          </w:tcPr>
          <w:p>
            <w:pPr>
              <w:ind w:left="60"/>
              <w:spacing w:after="0" w:line="123" w:lineRule="exact"/>
              <w:rPr>
                <w:sz w:val="20"/>
                <w:szCs w:val="20"/>
                <w:color w:val="auto"/>
              </w:rPr>
            </w:pPr>
            <w:r>
              <w:rPr>
                <w:rFonts w:ascii="Arial" w:cs="Arial" w:eastAsia="Arial" w:hAnsi="Arial"/>
                <w:sz w:val="14"/>
                <w:szCs w:val="14"/>
                <w:color w:val="auto"/>
              </w:rPr>
              <w:t>The individual</w:t>
            </w: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w w:val="95"/>
              </w:rPr>
              <w:t>2.  Two or more individuals (Joint account)</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actual owner of the account or, if</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w w:val="93"/>
              </w:rPr>
              <w:t>other than an account maintained by an</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w w:val="98"/>
              </w:rPr>
              <w:t>combined funds, the first individual on the</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FFI</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account</w:t>
            </w:r>
            <w:r>
              <w:rPr>
                <w:rFonts w:ascii="Arial" w:cs="Arial" w:eastAsia="Arial" w:hAnsi="Arial"/>
                <w:sz w:val="10"/>
                <w:szCs w:val="10"/>
                <w:color w:val="auto"/>
              </w:rPr>
              <w:t>1</w:t>
            </w: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3.  Two or more U.S. persons (joint</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Each holder of the account</w:t>
            </w:r>
          </w:p>
        </w:tc>
      </w:tr>
      <w:tr>
        <w:trPr>
          <w:trHeight w:val="149"/>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account maintained by an FFI)</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w w:val="98"/>
              </w:rPr>
              <w:t>4.  Custodial account of a minor (Uniform</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minor</w:t>
            </w:r>
            <w:r>
              <w:rPr>
                <w:rFonts w:ascii="Arial" w:cs="Arial" w:eastAsia="Arial" w:hAnsi="Arial"/>
                <w:sz w:val="10"/>
                <w:szCs w:val="10"/>
                <w:color w:val="auto"/>
              </w:rPr>
              <w:t>2</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Gift to Minors Act)</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5.  a. The usual revocable savings trust</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grantor-trustee</w:t>
            </w:r>
            <w:r>
              <w:rPr>
                <w:rFonts w:ascii="Arial" w:cs="Arial" w:eastAsia="Arial" w:hAnsi="Arial"/>
                <w:sz w:val="10"/>
                <w:szCs w:val="10"/>
                <w:color w:val="auto"/>
              </w:rPr>
              <w:t>1</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(grantor is also trustee)</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actual owner</w:t>
            </w:r>
            <w:r>
              <w:rPr>
                <w:rFonts w:ascii="Arial" w:cs="Arial" w:eastAsia="Arial" w:hAnsi="Arial"/>
                <w:sz w:val="10"/>
                <w:szCs w:val="10"/>
                <w:color w:val="auto"/>
              </w:rPr>
              <w:t>1</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w w:val="98"/>
              </w:rPr>
              <w:t>b. So-called trust account that is not a</w:t>
            </w:r>
          </w:p>
        </w:tc>
        <w:tc>
          <w:tcPr>
            <w:tcW w:w="2620" w:type="dxa"/>
            <w:vAlign w:val="bottom"/>
          </w:tcPr>
          <w:p>
            <w:pPr>
              <w:spacing w:after="0"/>
              <w:rPr>
                <w:sz w:val="12"/>
                <w:szCs w:val="12"/>
                <w:color w:val="auto"/>
              </w:rPr>
            </w:pPr>
          </w:p>
        </w:tc>
      </w:tr>
      <w:tr>
        <w:trPr>
          <w:trHeight w:val="162"/>
        </w:trPr>
        <w:tc>
          <w:tcPr>
            <w:tcW w:w="278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legal or valid trust under state law</w:t>
            </w:r>
          </w:p>
        </w:tc>
        <w:tc>
          <w:tcPr>
            <w:tcW w:w="2620" w:type="dxa"/>
            <w:vAlign w:val="bottom"/>
          </w:tcPr>
          <w:p>
            <w:pPr>
              <w:spacing w:after="0"/>
              <w:rPr>
                <w:sz w:val="14"/>
                <w:szCs w:val="14"/>
                <w:color w:val="auto"/>
              </w:rPr>
            </w:pP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6.  Sole proprietorship or disregarded</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owner</w:t>
            </w:r>
            <w:r>
              <w:rPr>
                <w:rFonts w:ascii="Arial" w:cs="Arial" w:eastAsia="Arial" w:hAnsi="Arial"/>
                <w:sz w:val="10"/>
                <w:szCs w:val="10"/>
                <w:color w:val="auto"/>
              </w:rPr>
              <w:t>3</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entity owned by an individual</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7.  Grantor trust filing under Optional</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grantor*</w:t>
            </w:r>
          </w:p>
        </w:tc>
      </w:tr>
      <w:tr>
        <w:trPr>
          <w:trHeight w:val="149"/>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Form 1099 Filing Method 1 (see</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Regulations section 1.671-4(b)(2)(i)</w:t>
            </w:r>
          </w:p>
        </w:tc>
        <w:tc>
          <w:tcPr>
            <w:tcW w:w="2620" w:type="dxa"/>
            <w:vAlign w:val="bottom"/>
          </w:tcPr>
          <w:p>
            <w:pPr>
              <w:spacing w:after="0"/>
              <w:rPr>
                <w:sz w:val="12"/>
                <w:szCs w:val="12"/>
                <w:color w:val="auto"/>
              </w:rPr>
            </w:pPr>
          </w:p>
        </w:tc>
      </w:tr>
      <w:tr>
        <w:trPr>
          <w:trHeight w:val="167"/>
        </w:trPr>
        <w:tc>
          <w:tcPr>
            <w:tcW w:w="27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(A))</w:t>
            </w:r>
          </w:p>
        </w:tc>
        <w:tc>
          <w:tcPr>
            <w:tcW w:w="2620" w:type="dxa"/>
            <w:vAlign w:val="bottom"/>
            <w:tcBorders>
              <w:bottom w:val="single" w:sz="8" w:color="auto"/>
            </w:tcBorders>
          </w:tcPr>
          <w:p>
            <w:pPr>
              <w:spacing w:after="0"/>
              <w:rPr>
                <w:sz w:val="14"/>
                <w:szCs w:val="14"/>
                <w:color w:val="auto"/>
              </w:rPr>
            </w:pPr>
          </w:p>
        </w:tc>
      </w:tr>
      <w:tr>
        <w:trPr>
          <w:trHeight w:val="169"/>
        </w:trPr>
        <w:tc>
          <w:tcPr>
            <w:tcW w:w="278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For this type of account:</w:t>
            </w:r>
          </w:p>
        </w:tc>
        <w:tc>
          <w:tcPr>
            <w:tcW w:w="26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Give name and EIN of:</w:t>
            </w:r>
          </w:p>
        </w:tc>
      </w:tr>
      <w:tr>
        <w:trPr>
          <w:trHeight w:val="123"/>
        </w:trPr>
        <w:tc>
          <w:tcPr>
            <w:tcW w:w="2780" w:type="dxa"/>
            <w:vAlign w:val="bottom"/>
            <w:tcBorders>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8.  Disregarded entity not owned by an</w:t>
            </w:r>
          </w:p>
        </w:tc>
        <w:tc>
          <w:tcPr>
            <w:tcW w:w="2620" w:type="dxa"/>
            <w:vAlign w:val="bottom"/>
          </w:tcPr>
          <w:p>
            <w:pPr>
              <w:ind w:left="60"/>
              <w:spacing w:after="0" w:line="123" w:lineRule="exact"/>
              <w:rPr>
                <w:sz w:val="20"/>
                <w:szCs w:val="20"/>
                <w:color w:val="auto"/>
              </w:rPr>
            </w:pPr>
            <w:r>
              <w:rPr>
                <w:rFonts w:ascii="Arial" w:cs="Arial" w:eastAsia="Arial" w:hAnsi="Arial"/>
                <w:sz w:val="14"/>
                <w:szCs w:val="14"/>
                <w:color w:val="auto"/>
              </w:rPr>
              <w:t>The owner</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individual</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9.  A valid trust, estate, or pension trust</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Legal entity</w:t>
            </w:r>
            <w:r>
              <w:rPr>
                <w:rFonts w:ascii="Arial" w:cs="Arial" w:eastAsia="Arial" w:hAnsi="Arial"/>
                <w:sz w:val="10"/>
                <w:szCs w:val="10"/>
                <w:color w:val="auto"/>
              </w:rPr>
              <w:t>4</w:t>
            </w:r>
          </w:p>
        </w:tc>
      </w:tr>
      <w:tr>
        <w:trPr>
          <w:trHeight w:val="149"/>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w w:val="98"/>
              </w:rPr>
              <w:t>10.  Corporation or LLC electing corporate</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corporation</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status on Form 8832 or Form 2553</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w w:val="97"/>
              </w:rPr>
              <w:t>11.  Association, club, religious, charitable,</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organization</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educational, or other taxexempt­</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organization</w:t>
            </w:r>
          </w:p>
        </w:tc>
        <w:tc>
          <w:tcPr>
            <w:tcW w:w="2620" w:type="dxa"/>
            <w:vAlign w:val="bottom"/>
          </w:tcPr>
          <w:p>
            <w:pPr>
              <w:spacing w:after="0"/>
              <w:rPr>
                <w:sz w:val="12"/>
                <w:szCs w:val="12"/>
                <w:color w:val="auto"/>
              </w:rPr>
            </w:pPr>
          </w:p>
        </w:tc>
      </w:tr>
      <w:tr>
        <w:trPr>
          <w:trHeight w:val="149"/>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12.  Partnership or multi-member LLC</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partnership</w:t>
            </w: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13.  A broker or registered nominee</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broker or nominee</w:t>
            </w: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14.  Account with the Department of</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public entity</w:t>
            </w: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Agriculture in the name of a public</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entity (such as a state or local</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w w:val="98"/>
              </w:rPr>
              <w:t>government, school district, or prison)</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that receives agricultural program</w:t>
            </w:r>
          </w:p>
        </w:tc>
        <w:tc>
          <w:tcPr>
            <w:tcW w:w="2620" w:type="dxa"/>
            <w:vAlign w:val="bottom"/>
          </w:tcPr>
          <w:p>
            <w:pPr>
              <w:spacing w:after="0"/>
              <w:rPr>
                <w:sz w:val="12"/>
                <w:szCs w:val="12"/>
                <w:color w:val="auto"/>
              </w:rPr>
            </w:pPr>
          </w:p>
        </w:tc>
      </w:tr>
      <w:tr>
        <w:trPr>
          <w:trHeight w:val="149"/>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payments</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15.  Grantor trust filing under the Form</w:t>
            </w:r>
          </w:p>
        </w:tc>
        <w:tc>
          <w:tcPr>
            <w:tcW w:w="2620" w:type="dxa"/>
            <w:vAlign w:val="bottom"/>
          </w:tcPr>
          <w:p>
            <w:pPr>
              <w:ind w:left="60"/>
              <w:spacing w:after="0" w:line="149" w:lineRule="exact"/>
              <w:rPr>
                <w:sz w:val="20"/>
                <w:szCs w:val="20"/>
                <w:color w:val="auto"/>
              </w:rPr>
            </w:pPr>
            <w:r>
              <w:rPr>
                <w:rFonts w:ascii="Arial" w:cs="Arial" w:eastAsia="Arial" w:hAnsi="Arial"/>
                <w:sz w:val="14"/>
                <w:szCs w:val="14"/>
                <w:color w:val="auto"/>
              </w:rPr>
              <w:t>The trust</w:t>
            </w:r>
          </w:p>
        </w:tc>
      </w:tr>
      <w:tr>
        <w:trPr>
          <w:trHeight w:val="149"/>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1041 Filing Method or the Optional</w:t>
            </w:r>
          </w:p>
        </w:tc>
        <w:tc>
          <w:tcPr>
            <w:tcW w:w="2620" w:type="dxa"/>
            <w:vAlign w:val="bottom"/>
          </w:tcPr>
          <w:p>
            <w:pPr>
              <w:spacing w:after="0"/>
              <w:rPr>
                <w:sz w:val="12"/>
                <w:szCs w:val="12"/>
                <w:color w:val="auto"/>
              </w:rPr>
            </w:pPr>
          </w:p>
        </w:tc>
      </w:tr>
      <w:tr>
        <w:trPr>
          <w:trHeight w:val="148"/>
        </w:trPr>
        <w:tc>
          <w:tcPr>
            <w:tcW w:w="278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color w:val="auto"/>
              </w:rPr>
              <w:t>Form 1099 Filing Method 2 (see</w:t>
            </w:r>
          </w:p>
        </w:tc>
        <w:tc>
          <w:tcPr>
            <w:tcW w:w="2620" w:type="dxa"/>
            <w:vAlign w:val="bottom"/>
          </w:tcPr>
          <w:p>
            <w:pPr>
              <w:spacing w:after="0"/>
              <w:rPr>
                <w:sz w:val="12"/>
                <w:szCs w:val="12"/>
                <w:color w:val="auto"/>
              </w:rPr>
            </w:pPr>
          </w:p>
        </w:tc>
      </w:tr>
      <w:tr>
        <w:trPr>
          <w:trHeight w:val="167"/>
        </w:trPr>
        <w:tc>
          <w:tcPr>
            <w:tcW w:w="27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w w:val="94"/>
              </w:rPr>
              <w:t>Regulations section 1.671-4(b)(2)(i)(B))</w:t>
            </w:r>
          </w:p>
        </w:tc>
        <w:tc>
          <w:tcPr>
            <w:tcW w:w="2620" w:type="dxa"/>
            <w:vAlign w:val="bottom"/>
            <w:tcBorders>
              <w:bottom w:val="single" w:sz="8" w:color="auto"/>
            </w:tcBorders>
          </w:tcPr>
          <w:p>
            <w:pPr>
              <w:spacing w:after="0"/>
              <w:rPr>
                <w:sz w:val="14"/>
                <w:szCs w:val="14"/>
                <w:color w:val="auto"/>
              </w:rPr>
            </w:pPr>
          </w:p>
        </w:tc>
      </w:tr>
    </w:tbl>
    <w:p>
      <w:pPr>
        <w:spacing w:after="0" w:line="89" w:lineRule="exact"/>
        <w:rPr>
          <w:sz w:val="20"/>
          <w:szCs w:val="20"/>
          <w:color w:val="auto"/>
        </w:rPr>
      </w:pPr>
    </w:p>
    <w:p>
      <w:pPr>
        <w:ind w:left="6" w:right="180" w:hanging="6"/>
        <w:spacing w:after="0" w:line="251" w:lineRule="auto"/>
        <w:tabs>
          <w:tab w:leader="none" w:pos="96" w:val="left"/>
        </w:tabs>
        <w:numPr>
          <w:ilvl w:val="0"/>
          <w:numId w:val="111"/>
        </w:numPr>
        <w:rPr>
          <w:rFonts w:ascii="Arial" w:cs="Arial" w:eastAsia="Arial" w:hAnsi="Arial"/>
          <w:sz w:val="11"/>
          <w:szCs w:val="11"/>
          <w:color w:val="auto"/>
        </w:rPr>
      </w:pPr>
      <w:r>
        <w:rPr>
          <w:rFonts w:ascii="Arial" w:cs="Arial" w:eastAsia="Arial" w:hAnsi="Arial"/>
          <w:sz w:val="14"/>
          <w:szCs w:val="14"/>
          <w:color w:val="auto"/>
        </w:rPr>
        <w:t>List first and circle the name of the person whose number you furnish. If only one person on a joint account has an SSN, that person’s number must be furnished.</w:t>
      </w:r>
    </w:p>
    <w:p>
      <w:pPr>
        <w:spacing w:after="0" w:line="1" w:lineRule="exact"/>
        <w:rPr>
          <w:sz w:val="20"/>
          <w:szCs w:val="20"/>
          <w:color w:val="auto"/>
        </w:rPr>
      </w:pPr>
    </w:p>
    <w:p>
      <w:pPr>
        <w:ind w:left="86" w:hanging="86"/>
        <w:spacing w:after="0"/>
        <w:tabs>
          <w:tab w:leader="none" w:pos="86" w:val="left"/>
        </w:tabs>
        <w:numPr>
          <w:ilvl w:val="0"/>
          <w:numId w:val="112"/>
        </w:numPr>
        <w:rPr>
          <w:rFonts w:ascii="Arial" w:cs="Arial" w:eastAsia="Arial" w:hAnsi="Arial"/>
          <w:sz w:val="11"/>
          <w:szCs w:val="11"/>
          <w:color w:val="auto"/>
        </w:rPr>
      </w:pPr>
      <w:r>
        <w:rPr>
          <w:rFonts w:ascii="Arial" w:cs="Arial" w:eastAsia="Arial" w:hAnsi="Arial"/>
          <w:sz w:val="14"/>
          <w:szCs w:val="14"/>
          <w:color w:val="auto"/>
        </w:rPr>
        <w:t>Circle the minor’s name and furnish the minor’s SSN.</w:t>
      </w:r>
    </w:p>
    <w:p>
      <w:pPr>
        <w:spacing w:after="0" w:line="28" w:lineRule="exact"/>
        <w:rPr>
          <w:sz w:val="20"/>
          <w:szCs w:val="20"/>
          <w:color w:val="auto"/>
        </w:rPr>
      </w:pPr>
    </w:p>
    <w:p>
      <w:pPr>
        <w:jc w:val="both"/>
        <w:ind w:left="6" w:right="120" w:hanging="6"/>
        <w:spacing w:after="0" w:line="238" w:lineRule="auto"/>
        <w:tabs>
          <w:tab w:leader="none" w:pos="96" w:val="left"/>
        </w:tabs>
        <w:numPr>
          <w:ilvl w:val="0"/>
          <w:numId w:val="113"/>
        </w:numPr>
        <w:rPr>
          <w:rFonts w:ascii="Arial" w:cs="Arial" w:eastAsia="Arial" w:hAnsi="Arial"/>
          <w:sz w:val="11"/>
          <w:szCs w:val="11"/>
          <w:color w:val="auto"/>
        </w:rPr>
      </w:pPr>
      <w:r>
        <w:rPr>
          <w:rFonts w:ascii="Arial" w:cs="Arial" w:eastAsia="Arial" w:hAnsi="Arial"/>
          <w:sz w:val="14"/>
          <w:szCs w:val="14"/>
          <w:color w:val="auto"/>
        </w:rPr>
        <w:t>You must show your individual name and you may also enter your business or DBA name on the “Business name/disregarded entity” name line. You may use either your SSN or EIN (if you have one), but the IRS encourages you to use your SSN.</w:t>
      </w:r>
    </w:p>
    <w:p>
      <w:pPr>
        <w:ind w:left="6" w:right="40"/>
        <w:spacing w:after="0" w:line="243" w:lineRule="auto"/>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4"/>
          <w:szCs w:val="14"/>
          <w:color w:val="auto"/>
        </w:rPr>
        <w:t>List first and circle the name of the trust, estate, or pension trust. (Do not furnish the TIN of</w:t>
      </w:r>
      <w:r>
        <w:rPr>
          <w:rFonts w:ascii="Arial" w:cs="Arial" w:eastAsia="Arial" w:hAnsi="Arial"/>
          <w:sz w:val="11"/>
          <w:szCs w:val="11"/>
          <w:color w:val="auto"/>
        </w:rPr>
        <w:t xml:space="preserve"> </w:t>
      </w:r>
      <w:r>
        <w:rPr>
          <w:rFonts w:ascii="Arial" w:cs="Arial" w:eastAsia="Arial" w:hAnsi="Arial"/>
          <w:sz w:val="14"/>
          <w:szCs w:val="14"/>
          <w:color w:val="auto"/>
        </w:rPr>
        <w:t>the personal representative or trustee</w:t>
      </w:r>
    </w:p>
    <w:p>
      <w:pPr>
        <w:sectPr>
          <w:pgSz w:w="11900" w:h="16838" w:orient="portrait"/>
          <w:cols w:equalWidth="0" w:num="2">
            <w:col w:w="5280" w:space="334"/>
            <w:col w:w="5406"/>
          </w:cols>
          <w:pgMar w:left="440" w:top="274" w:right="439" w:bottom="1440" w:gutter="0" w:footer="0" w:header="0"/>
          <w:type w:val="continuous"/>
        </w:sectPr>
      </w:pPr>
    </w:p>
    <w:bookmarkStart w:id="132" w:name="page133"/>
    <w:bookmarkEnd w:id="132"/>
    <w:p>
      <w:pPr>
        <w:ind w:left="4"/>
        <w:spacing w:after="0"/>
        <w:tabs>
          <w:tab w:leader="none" w:pos="10664"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W-9 (Rev. 10-2018)</w:t>
      </w:r>
      <w:r>
        <w:rPr>
          <w:sz w:val="20"/>
          <w:szCs w:val="20"/>
          <w:color w:val="auto"/>
        </w:rPr>
        <w:tab/>
      </w:r>
      <w:r>
        <w:rPr>
          <w:rFonts w:ascii="Arial" w:cs="Arial" w:eastAsia="Arial" w:hAnsi="Arial"/>
          <w:sz w:val="10"/>
          <w:szCs w:val="10"/>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p>
      <w:pPr>
        <w:spacing w:after="0" w:line="319" w:lineRule="exact"/>
        <w:rPr>
          <w:sz w:val="20"/>
          <w:szCs w:val="20"/>
          <w:color w:val="auto"/>
        </w:rPr>
      </w:pPr>
    </w:p>
    <w:p>
      <w:pPr>
        <w:ind w:left="4"/>
        <w:spacing w:after="0" w:line="248" w:lineRule="auto"/>
        <w:rPr>
          <w:sz w:val="20"/>
          <w:szCs w:val="20"/>
          <w:color w:val="auto"/>
        </w:rPr>
      </w:pPr>
      <w:r>
        <w:rPr>
          <w:rFonts w:ascii="Arial" w:cs="Arial" w:eastAsia="Arial" w:hAnsi="Arial"/>
          <w:sz w:val="14"/>
          <w:szCs w:val="14"/>
          <w:color w:val="auto"/>
        </w:rPr>
        <w:t xml:space="preserve">unless the legal entity itself is not designated in the account title.) Also see </w:t>
      </w:r>
      <w:r>
        <w:rPr>
          <w:rFonts w:ascii="Arial" w:cs="Arial" w:eastAsia="Arial" w:hAnsi="Arial"/>
          <w:sz w:val="14"/>
          <w:szCs w:val="14"/>
          <w:i w:val="1"/>
          <w:iCs w:val="1"/>
          <w:color w:val="auto"/>
        </w:rPr>
        <w:t>Special rules for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partnerships, </w:t>
      </w:r>
      <w:r>
        <w:rPr>
          <w:rFonts w:ascii="Arial" w:cs="Arial" w:eastAsia="Arial" w:hAnsi="Arial"/>
          <w:sz w:val="14"/>
          <w:szCs w:val="14"/>
          <w:color w:val="auto"/>
        </w:rPr>
        <w:t>earlier.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grantor also must provide a Form W-9 to trustee of trust.</w:t>
      </w:r>
    </w:p>
    <w:p>
      <w:pPr>
        <w:spacing w:after="0" w:line="28" w:lineRule="exact"/>
        <w:rPr>
          <w:sz w:val="20"/>
          <w:szCs w:val="20"/>
          <w:color w:val="auto"/>
        </w:rPr>
      </w:pPr>
    </w:p>
    <w:p>
      <w:pPr>
        <w:ind w:left="4" w:right="540"/>
        <w:spacing w:after="0" w:line="25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If no name is circled when more than one name is listed, the number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considered to be that of the first name listed.</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Secure Your Tax Records From Identity Theft</w:t>
      </w:r>
    </w:p>
    <w:p>
      <w:pPr>
        <w:spacing w:after="0" w:line="36" w:lineRule="exact"/>
        <w:rPr>
          <w:sz w:val="20"/>
          <w:szCs w:val="20"/>
          <w:color w:val="auto"/>
        </w:rPr>
      </w:pPr>
    </w:p>
    <w:p>
      <w:pPr>
        <w:ind w:left="4" w:right="80"/>
        <w:spacing w:after="0" w:line="233" w:lineRule="auto"/>
        <w:rPr>
          <w:sz w:val="20"/>
          <w:szCs w:val="20"/>
          <w:color w:val="auto"/>
        </w:rPr>
      </w:pPr>
      <w:r>
        <w:rPr>
          <w:rFonts w:ascii="Arial" w:cs="Arial" w:eastAsia="Arial" w:hAnsi="Arial"/>
          <w:sz w:val="14"/>
          <w:szCs w:val="14"/>
          <w:color w:val="auto"/>
        </w:rPr>
        <w:t>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w:t>
      </w:r>
    </w:p>
    <w:p>
      <w:pPr>
        <w:spacing w:after="0" w:line="9" w:lineRule="exact"/>
        <w:rPr>
          <w:sz w:val="20"/>
          <w:szCs w:val="20"/>
          <w:color w:val="auto"/>
        </w:rPr>
      </w:pPr>
    </w:p>
    <w:p>
      <w:pPr>
        <w:ind w:left="64"/>
        <w:spacing w:after="0"/>
        <w:rPr>
          <w:sz w:val="20"/>
          <w:szCs w:val="20"/>
          <w:color w:val="auto"/>
        </w:rPr>
      </w:pPr>
      <w:r>
        <w:rPr>
          <w:rFonts w:ascii="Arial" w:cs="Arial" w:eastAsia="Arial" w:hAnsi="Arial"/>
          <w:sz w:val="14"/>
          <w:szCs w:val="14"/>
          <w:color w:val="auto"/>
        </w:rPr>
        <w:t>To reduce your risk:</w:t>
      </w:r>
    </w:p>
    <w:p>
      <w:pPr>
        <w:spacing w:after="0" w:line="28" w:lineRule="exact"/>
        <w:rPr>
          <w:sz w:val="20"/>
          <w:szCs w:val="20"/>
          <w:color w:val="auto"/>
        </w:rPr>
      </w:pPr>
    </w:p>
    <w:p>
      <w:pPr>
        <w:ind w:left="84" w:hanging="84"/>
        <w:spacing w:after="0"/>
        <w:tabs>
          <w:tab w:leader="none" w:pos="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Protect your SSN,</w:t>
      </w:r>
    </w:p>
    <w:p>
      <w:pPr>
        <w:spacing w:after="0" w:line="21" w:lineRule="exact"/>
        <w:rPr>
          <w:rFonts w:ascii="Arial" w:cs="Arial" w:eastAsia="Arial" w:hAnsi="Arial"/>
          <w:sz w:val="14"/>
          <w:szCs w:val="14"/>
          <w:color w:val="auto"/>
        </w:rPr>
      </w:pPr>
    </w:p>
    <w:p>
      <w:pPr>
        <w:ind w:left="84" w:hanging="84"/>
        <w:spacing w:after="0"/>
        <w:tabs>
          <w:tab w:leader="none" w:pos="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Ensure your employer is protecting your SSN, and</w:t>
      </w:r>
    </w:p>
    <w:p>
      <w:pPr>
        <w:spacing w:after="0" w:line="21" w:lineRule="exact"/>
        <w:rPr>
          <w:rFonts w:ascii="Arial" w:cs="Arial" w:eastAsia="Arial" w:hAnsi="Arial"/>
          <w:sz w:val="14"/>
          <w:szCs w:val="14"/>
          <w:color w:val="auto"/>
        </w:rPr>
      </w:pPr>
    </w:p>
    <w:p>
      <w:pPr>
        <w:ind w:left="84" w:hanging="84"/>
        <w:spacing w:after="0"/>
        <w:tabs>
          <w:tab w:leader="none" w:pos="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Be careful when choosing a tax preparer.</w:t>
      </w:r>
    </w:p>
    <w:p>
      <w:pPr>
        <w:spacing w:after="0" w:line="28" w:lineRule="exact"/>
        <w:rPr>
          <w:sz w:val="20"/>
          <w:szCs w:val="20"/>
          <w:color w:val="auto"/>
        </w:rPr>
      </w:pPr>
    </w:p>
    <w:p>
      <w:pPr>
        <w:ind w:left="4" w:right="220" w:firstLine="72"/>
        <w:spacing w:after="0" w:line="265" w:lineRule="auto"/>
        <w:rPr>
          <w:sz w:val="20"/>
          <w:szCs w:val="20"/>
          <w:color w:val="auto"/>
        </w:rPr>
      </w:pPr>
      <w:r>
        <w:rPr>
          <w:rFonts w:ascii="Arial" w:cs="Arial" w:eastAsia="Arial" w:hAnsi="Arial"/>
          <w:sz w:val="13"/>
          <w:szCs w:val="13"/>
          <w:color w:val="auto"/>
        </w:rPr>
        <w:t>If your tax records are affected by identity theft and you receive a notice from the IRS, respond right away to the name and phone number printed on the IRS notice or letter.</w:t>
      </w:r>
    </w:p>
    <w:p>
      <w:pPr>
        <w:spacing w:after="0" w:line="1" w:lineRule="exact"/>
        <w:rPr>
          <w:sz w:val="20"/>
          <w:szCs w:val="20"/>
          <w:color w:val="auto"/>
        </w:rPr>
      </w:pPr>
    </w:p>
    <w:p>
      <w:pPr>
        <w:ind w:left="4" w:right="40" w:firstLine="72"/>
        <w:spacing w:after="0" w:line="256" w:lineRule="auto"/>
        <w:rPr>
          <w:sz w:val="20"/>
          <w:szCs w:val="20"/>
          <w:color w:val="auto"/>
        </w:rPr>
      </w:pPr>
      <w:r>
        <w:rPr>
          <w:rFonts w:ascii="Arial" w:cs="Arial" w:eastAsia="Arial" w:hAnsi="Arial"/>
          <w:sz w:val="13"/>
          <w:szCs w:val="13"/>
          <w:color w:val="auto"/>
        </w:rPr>
        <w:t>If your tax records are not currently affected by identity theft but you think you are at risk due to a lost or stolen purse or wallet, questionable credit card activity or credit report, contact the IRS Identity Theft Hotline at 1-800-908-4490 or submit Form 14039.</w:t>
      </w:r>
    </w:p>
    <w:p>
      <w:pPr>
        <w:spacing w:after="0" w:line="1" w:lineRule="exact"/>
        <w:rPr>
          <w:sz w:val="20"/>
          <w:szCs w:val="20"/>
          <w:color w:val="auto"/>
        </w:rPr>
      </w:pPr>
    </w:p>
    <w:p>
      <w:pPr>
        <w:ind w:left="64"/>
        <w:spacing w:after="0"/>
        <w:rPr>
          <w:sz w:val="20"/>
          <w:szCs w:val="20"/>
          <w:color w:val="auto"/>
        </w:rPr>
      </w:pPr>
      <w:r>
        <w:rPr>
          <w:rFonts w:ascii="Arial" w:cs="Arial" w:eastAsia="Arial" w:hAnsi="Arial"/>
          <w:sz w:val="14"/>
          <w:szCs w:val="14"/>
          <w:color w:val="auto"/>
        </w:rPr>
        <w:t>For more information, see Pub. 5027, Identity Theft Information for Taxpayers.</w:t>
      </w:r>
    </w:p>
    <w:p>
      <w:pPr>
        <w:spacing w:after="0" w:line="28" w:lineRule="exact"/>
        <w:rPr>
          <w:sz w:val="20"/>
          <w:szCs w:val="20"/>
          <w:color w:val="auto"/>
        </w:rPr>
      </w:pPr>
    </w:p>
    <w:p>
      <w:pPr>
        <w:ind w:left="4" w:right="100" w:firstLine="72"/>
        <w:spacing w:after="0" w:line="231" w:lineRule="auto"/>
        <w:rPr>
          <w:sz w:val="20"/>
          <w:szCs w:val="20"/>
          <w:color w:val="auto"/>
        </w:rPr>
      </w:pPr>
      <w:r>
        <w:rPr>
          <w:rFonts w:ascii="Arial" w:cs="Arial" w:eastAsia="Arial" w:hAnsi="Arial"/>
          <w:sz w:val="14"/>
          <w:szCs w:val="14"/>
          <w:color w:val="auto"/>
        </w:rPr>
        <w:t>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1-877-777-4778 or TTY/TDD 1-800-829-4059.</w:t>
      </w:r>
    </w:p>
    <w:p>
      <w:pPr>
        <w:spacing w:after="0" w:line="72" w:lineRule="exact"/>
        <w:rPr>
          <w:sz w:val="20"/>
          <w:szCs w:val="20"/>
          <w:color w:val="auto"/>
        </w:rPr>
      </w:pPr>
    </w:p>
    <w:p>
      <w:pPr>
        <w:ind w:left="4" w:right="100"/>
        <w:spacing w:after="0" w:line="232" w:lineRule="auto"/>
        <w:rPr>
          <w:sz w:val="20"/>
          <w:szCs w:val="20"/>
          <w:color w:val="auto"/>
        </w:rPr>
      </w:pPr>
      <w:r>
        <w:rPr>
          <w:rFonts w:ascii="Arial" w:cs="Arial" w:eastAsia="Arial" w:hAnsi="Arial"/>
          <w:sz w:val="14"/>
          <w:szCs w:val="14"/>
          <w:b w:val="1"/>
          <w:bCs w:val="1"/>
          <w:color w:val="auto"/>
        </w:rPr>
        <w:t xml:space="preserve">Protect yourself from suspicious emails or phishing schemes. </w:t>
      </w:r>
      <w:r>
        <w:rPr>
          <w:rFonts w:ascii="Arial" w:cs="Arial" w:eastAsia="Arial" w:hAnsi="Arial"/>
          <w:sz w:val="14"/>
          <w:szCs w:val="14"/>
          <w:color w:val="auto"/>
        </w:rPr>
        <w:t>Phishing is the creation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2" w:lineRule="exact"/>
        <w:rPr>
          <w:sz w:val="20"/>
          <w:szCs w:val="20"/>
          <w:color w:val="auto"/>
        </w:rPr>
      </w:pPr>
    </w:p>
    <w:p>
      <w:pPr>
        <w:ind w:left="4" w:firstLine="72"/>
        <w:spacing w:after="0" w:line="231" w:lineRule="auto"/>
        <w:rPr>
          <w:sz w:val="20"/>
          <w:szCs w:val="20"/>
          <w:color w:val="auto"/>
        </w:rPr>
      </w:pPr>
      <w:r>
        <w:rPr>
          <w:rFonts w:ascii="Arial" w:cs="Arial" w:eastAsia="Arial" w:hAnsi="Arial"/>
          <w:sz w:val="14"/>
          <w:szCs w:val="14"/>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8" w:lineRule="exact"/>
        <w:rPr>
          <w:sz w:val="20"/>
          <w:szCs w:val="20"/>
          <w:color w:val="auto"/>
        </w:rPr>
      </w:pPr>
    </w:p>
    <w:p>
      <w:pPr>
        <w:ind w:left="4" w:right="140" w:firstLine="72"/>
        <w:spacing w:after="0" w:line="244" w:lineRule="auto"/>
        <w:rPr>
          <w:sz w:val="20"/>
          <w:szCs w:val="20"/>
          <w:color w:val="auto"/>
        </w:rPr>
      </w:pPr>
      <w:r>
        <w:rPr>
          <w:rFonts w:ascii="Arial" w:cs="Arial" w:eastAsia="Arial" w:hAnsi="Arial"/>
          <w:sz w:val="13"/>
          <w:szCs w:val="13"/>
          <w:color w:val="auto"/>
        </w:rPr>
        <w:t xml:space="preserve">If you receive an unsolicited email claiming to be from the IRS, forward this message to </w:t>
      </w:r>
      <w:r>
        <w:rPr>
          <w:rFonts w:ascii="Arial" w:cs="Arial" w:eastAsia="Arial" w:hAnsi="Arial"/>
          <w:sz w:val="13"/>
          <w:szCs w:val="13"/>
          <w:i w:val="1"/>
          <w:iCs w:val="1"/>
          <w:color w:val="auto"/>
        </w:rPr>
        <w:t xml:space="preserve">phishing@irs.gov. </w:t>
      </w:r>
      <w:r>
        <w:rPr>
          <w:rFonts w:ascii="Arial" w:cs="Arial" w:eastAsia="Arial" w:hAnsi="Arial"/>
          <w:sz w:val="13"/>
          <w:szCs w:val="13"/>
          <w:color w:val="auto"/>
        </w:rPr>
        <w:t>You may also report misuse of the IRS name, logo, or other IRS</w:t>
      </w:r>
      <w:r>
        <w:rPr>
          <w:rFonts w:ascii="Arial" w:cs="Arial" w:eastAsia="Arial" w:hAnsi="Arial"/>
          <w:sz w:val="13"/>
          <w:szCs w:val="13"/>
          <w:i w:val="1"/>
          <w:iCs w:val="1"/>
          <w:color w:val="auto"/>
        </w:rPr>
        <w:t xml:space="preserve"> </w:t>
      </w:r>
      <w:r>
        <w:rPr>
          <w:rFonts w:ascii="Arial" w:cs="Arial" w:eastAsia="Arial" w:hAnsi="Arial"/>
          <w:sz w:val="13"/>
          <w:szCs w:val="13"/>
          <w:color w:val="auto"/>
        </w:rPr>
        <w:t>property to the Treasury Inspector General for Tax Administration (TIGTA) at</w:t>
      </w:r>
    </w:p>
    <w:p>
      <w:pPr>
        <w:spacing w:after="0" w:line="2" w:lineRule="exact"/>
        <w:rPr>
          <w:sz w:val="20"/>
          <w:szCs w:val="20"/>
          <w:color w:val="auto"/>
        </w:rPr>
      </w:pPr>
    </w:p>
    <w:p>
      <w:pPr>
        <w:ind w:left="4" w:right="180"/>
        <w:spacing w:after="0" w:line="229" w:lineRule="auto"/>
        <w:rPr>
          <w:sz w:val="20"/>
          <w:szCs w:val="20"/>
          <w:color w:val="auto"/>
        </w:rPr>
      </w:pPr>
      <w:r>
        <w:rPr>
          <w:rFonts w:ascii="Arial" w:cs="Arial" w:eastAsia="Arial" w:hAnsi="Arial"/>
          <w:sz w:val="14"/>
          <w:szCs w:val="14"/>
          <w:color w:val="auto"/>
        </w:rPr>
        <w:t xml:space="preserve">1-800-366-4484. You can forward suspicious emails to the Federal Trade Commission at </w:t>
      </w:r>
      <w:r>
        <w:rPr>
          <w:rFonts w:ascii="Arial" w:cs="Arial" w:eastAsia="Arial" w:hAnsi="Arial"/>
          <w:sz w:val="14"/>
          <w:szCs w:val="14"/>
          <w:i w:val="1"/>
          <w:iCs w:val="1"/>
          <w:color w:val="auto"/>
        </w:rPr>
        <w:t xml:space="preserve">spam@uce.gov </w:t>
      </w:r>
      <w:r>
        <w:rPr>
          <w:rFonts w:ascii="Arial" w:cs="Arial" w:eastAsia="Arial" w:hAnsi="Arial"/>
          <w:sz w:val="14"/>
          <w:szCs w:val="14"/>
          <w:color w:val="auto"/>
        </w:rPr>
        <w:t>or report them at</w:t>
      </w:r>
      <w:r>
        <w:rPr>
          <w:rFonts w:ascii="Arial" w:cs="Arial" w:eastAsia="Arial" w:hAnsi="Arial"/>
          <w:sz w:val="14"/>
          <w:szCs w:val="14"/>
          <w:i w:val="1"/>
          <w:iCs w:val="1"/>
          <w:color w:val="auto"/>
        </w:rPr>
        <w:t xml:space="preserve"> www.ftc.gov/complaint. </w:t>
      </w:r>
      <w:r>
        <w:rPr>
          <w:rFonts w:ascii="Arial" w:cs="Arial" w:eastAsia="Arial" w:hAnsi="Arial"/>
          <w:sz w:val="14"/>
          <w:szCs w:val="14"/>
          <w:color w:val="auto"/>
        </w:rPr>
        <w:t>You can contact the FTC at</w:t>
      </w:r>
      <w:r>
        <w:rPr>
          <w:rFonts w:ascii="Arial" w:cs="Arial" w:eastAsia="Arial" w:hAnsi="Arial"/>
          <w:sz w:val="14"/>
          <w:szCs w:val="14"/>
          <w:i w:val="1"/>
          <w:iCs w:val="1"/>
          <w:color w:val="auto"/>
        </w:rPr>
        <w:t xml:space="preserve"> www.ftc.gov/idtheft </w:t>
      </w:r>
      <w:r>
        <w:rPr>
          <w:rFonts w:ascii="Arial" w:cs="Arial" w:eastAsia="Arial" w:hAnsi="Arial"/>
          <w:sz w:val="14"/>
          <w:szCs w:val="14"/>
          <w:color w:val="auto"/>
        </w:rPr>
        <w:t>or 877-IDTHEFT (877-438-4338). If you have been the victim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identity theft, see </w:t>
      </w:r>
      <w:r>
        <w:rPr>
          <w:rFonts w:ascii="Arial" w:cs="Arial" w:eastAsia="Arial" w:hAnsi="Arial"/>
          <w:sz w:val="14"/>
          <w:szCs w:val="14"/>
          <w:i w:val="1"/>
          <w:iCs w:val="1"/>
          <w:color w:val="auto"/>
        </w:rPr>
        <w:t>www.IdentityTheft.gov</w:t>
      </w:r>
      <w:r>
        <w:rPr>
          <w:rFonts w:ascii="Arial" w:cs="Arial" w:eastAsia="Arial" w:hAnsi="Arial"/>
          <w:sz w:val="14"/>
          <w:szCs w:val="14"/>
          <w:color w:val="auto"/>
        </w:rPr>
        <w:t xml:space="preserve"> and Pub. 5027.</w:t>
      </w:r>
    </w:p>
    <w:p>
      <w:pPr>
        <w:spacing w:after="0" w:line="8" w:lineRule="exact"/>
        <w:rPr>
          <w:sz w:val="20"/>
          <w:szCs w:val="20"/>
          <w:color w:val="auto"/>
        </w:rPr>
      </w:pPr>
    </w:p>
    <w:p>
      <w:pPr>
        <w:ind w:left="4" w:right="100" w:firstLine="72"/>
        <w:spacing w:after="0" w:line="253" w:lineRule="auto"/>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i w:val="1"/>
          <w:iCs w:val="1"/>
          <w:color w:val="auto"/>
        </w:rPr>
        <w:t>www.irs.gov/IdentityTheft</w:t>
      </w:r>
      <w:r>
        <w:rPr>
          <w:rFonts w:ascii="Arial" w:cs="Arial" w:eastAsia="Arial" w:hAnsi="Arial"/>
          <w:sz w:val="14"/>
          <w:szCs w:val="14"/>
          <w:color w:val="auto"/>
        </w:rPr>
        <w:t xml:space="preserve"> to learn more about identity theft and how to reduce your risk.</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Act Notice</w:t>
      </w:r>
    </w:p>
    <w:p>
      <w:pPr>
        <w:spacing w:after="0" w:line="49"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 The information also may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payers must generally withhold a percentage of taxable interest, dividend, and certain other payments to a payee who does not give a TIN to the payer. Certain penalties may also apply for providing false or fraudulent information.</w:t>
      </w:r>
    </w:p>
    <w:p>
      <w:pPr>
        <w:sectPr>
          <w:pgSz w:w="11900" w:h="16838" w:orient="portrait"/>
          <w:cols w:equalWidth="0" w:num="2">
            <w:col w:w="5284" w:space="340"/>
            <w:col w:w="5400"/>
          </w:cols>
          <w:pgMar w:left="436" w:top="274" w:right="4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DELL INTERNATIONAL L.L.C.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EMC CORPORATION</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320"/>
        <w:spacing w:after="0" w:line="266" w:lineRule="auto"/>
        <w:rPr>
          <w:sz w:val="20"/>
          <w:szCs w:val="20"/>
          <w:color w:val="auto"/>
        </w:rPr>
      </w:pPr>
      <w:r>
        <w:rPr>
          <w:rFonts w:ascii="Arial" w:cs="Arial" w:eastAsia="Arial" w:hAnsi="Arial"/>
          <w:sz w:val="18"/>
          <w:szCs w:val="18"/>
          <w:b w:val="1"/>
          <w:bCs w:val="1"/>
          <w:color w:val="auto"/>
        </w:rPr>
        <w:t>UP TO $962,390,000 AGGREGATE PRINCIPAL AMOUNT OF THEIR 3.375% SENIOR NOTES DUE 2041, WHICH HAVE BEEN REGISTERED UNDER THE SECURITIES ACT OF 1933, AS AMENDED, FOR ANY AND ALL OF THEIR OUTSTANDING UNREGISTERED 3.375% SENIOR NOTES DUE 2041</w:t>
      </w:r>
    </w:p>
    <w:p>
      <w:pPr>
        <w:spacing w:after="0" w:line="17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20"/>
        <w:spacing w:after="0" w:line="266" w:lineRule="auto"/>
        <w:rPr>
          <w:sz w:val="20"/>
          <w:szCs w:val="20"/>
          <w:color w:val="auto"/>
        </w:rPr>
      </w:pPr>
      <w:r>
        <w:rPr>
          <w:rFonts w:ascii="Arial" w:cs="Arial" w:eastAsia="Arial" w:hAnsi="Arial"/>
          <w:sz w:val="18"/>
          <w:szCs w:val="18"/>
          <w:b w:val="1"/>
          <w:bCs w:val="1"/>
          <w:color w:val="auto"/>
        </w:rPr>
        <w:t>UP TO $1,094,877,000 AGGREGATE PRINCIPAL AMOUNT OF THEIR 3.450% SENIOR NOTES DUE 2051, WHICH HAVE BEEN REGISTERED UNDER THE SECURITIES ACT OF 1933, AS AMENDED, FOR ANY AND ALL OF THEIR OUTSTANDING UNREGISTERED 3.450% SENIOR NOTES DUE 2051.</w:t>
      </w:r>
    </w:p>
    <w:p>
      <w:pPr>
        <w:sectPr>
          <w:pgSz w:w="11900" w:h="16838" w:orient="portrait"/>
          <w:cols w:equalWidth="0" w:num="1">
            <w:col w:w="10720"/>
          </w:cols>
          <w:pgMar w:left="740" w:top="121" w:right="439" w:bottom="1440" w:gutter="0" w:footer="0" w:header="0"/>
        </w:sectPr>
      </w:pPr>
    </w:p>
    <w:bookmarkStart w:id="134" w:name="page135"/>
    <w:bookmarkEnd w:id="134"/>
    <w:p>
      <w:pPr>
        <w:ind w:left="10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Companies and other Nominees:</w:t>
      </w:r>
    </w:p>
    <w:p>
      <w:pPr>
        <w:spacing w:after="0" w:line="211" w:lineRule="exact"/>
        <w:rPr>
          <w:sz w:val="20"/>
          <w:szCs w:val="20"/>
          <w:color w:val="auto"/>
        </w:rPr>
      </w:pPr>
    </w:p>
    <w:p>
      <w:pPr>
        <w:ind w:left="440"/>
        <w:spacing w:after="0"/>
        <w:tabs>
          <w:tab w:leader="none" w:pos="4540" w:val="left"/>
        </w:tabs>
        <w:rPr>
          <w:sz w:val="20"/>
          <w:szCs w:val="20"/>
          <w:color w:val="auto"/>
        </w:rPr>
      </w:pPr>
      <w:r>
        <w:rPr>
          <w:rFonts w:ascii="Arial" w:cs="Arial" w:eastAsia="Arial" w:hAnsi="Arial"/>
          <w:sz w:val="18"/>
          <w:szCs w:val="18"/>
          <w:color w:val="auto"/>
        </w:rPr>
        <w:t>As described in the enclosed Prospectus, dated</w:t>
      </w:r>
      <w:r>
        <w:rPr>
          <w:sz w:val="20"/>
          <w:szCs w:val="20"/>
          <w:color w:val="auto"/>
        </w:rPr>
        <w:tab/>
      </w:r>
      <w:r>
        <w:rPr>
          <w:rFonts w:ascii="Arial" w:cs="Arial" w:eastAsia="Arial" w:hAnsi="Arial"/>
          <w:sz w:val="16"/>
          <w:szCs w:val="16"/>
          <w:color w:val="auto"/>
        </w:rPr>
        <w:t>, 2023 (as the same may be amended or supplemented from time to time, the</w:t>
      </w:r>
    </w:p>
    <w:p>
      <w:pPr>
        <w:spacing w:after="0" w:line="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“Prospectus”), and Letter of Transmittal (the “Letter of Transmittal”), Dell International L.L.C. and EMC Corporation (together, the “Issuers”), the Issuers’ direct and indirect parent companies, Dell Technologies Inc. (“Dell Technologies”), Dell Inc. (“Dell”) and Denali Intermediate Inc. (“Denali Intermediate” and, together with Dell Technologies and Dell, the “Guarantors”) are offering to exchange (the “Exchange Offer”) an aggregate principal amount of up to $962,390,000 of the Issuers’ 3.375% Senior Notes due 2041 and an aggregate principal amount of up to $1,094,877,000 of the Issuers’ 3.450% Senior Notes due 2051 (collectively, the “Exchange Notes”), which have each been registered under the Securities Act of 1933, as amended (the “Securities Act”), for, respectively, an equal aggregate principal amount of the Issuers’ outstanding unregistered 3.375% Senior Notes due 2041 and the Issuers’ outstanding unregistered 3.450% Senior Notes due 2051 (collectively, the “Outstanding Notes”), in minimum denominations of $2,000 and integral multiples of $1,000 in excess thereof upon the terms and subject to the conditions of the enclosed Prospectus and the related Letter of Transmittal. The terms of the Exchange Notes are identical in all material respects (including principal amount, interest rate and maturity) to the terms of the applicable Outstanding Notes for which they may be exchanged pursuant to the Exchange Offer, except that the Exchange Notes are freely transferable by holders thereof, upon the terms and subject to the conditions of the enclosed Prospectus and the related Letter of Transmittal, and are not subject to any covenant regarding registration under the Securities Act. The Outstanding Notes are fully and unconditionally guaranteed (the “Outstanding Guarantees”) by the Guarantors on a senior unsecured basis, and the Exchange Notes will be fully and unconditionally guaranteed (the “New Guarantees”) by the Guarantors on a senior unsecured basis. Upon the terms and subject to the conditions set forth in the Prospectus and the Letter of Transmittal, the Guarantors offer to issue the New Guarantees with respect to all Exchange Notes issued in the Exchange Offer in exchange for the Outstanding Guarantees of the Outstanding Notes for which such Exchange Notes are issued in the Exchange Offer. Throughout this letter, unless the context otherwise requires and whether so expressed or not, references to the “Exchange Offer” include the Guarantors’ offer to exchange the New Guarantees for the Outstanding Guarantees, references to the “Exchange Notes” include the related New Guarantees and references to the “Outstanding Notes” include the related Outstanding Guarantees. The Issuers will accept for exchange any and all Outstanding Notes properly tendered according to the terms of the Prospectus and the Letter of Transmittal. Consummation of the Exchange Offer is subject to certain conditions described in the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35" w:name="page136"/>
    <w:bookmarkEnd w:id="135"/>
    <w:p>
      <w:pPr>
        <w:ind w:right="18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URGE YOU TO PROMPTLY CONTACT YOUR CLIENTS FOR WHOM YOU HOLD OUTSTANDING NOTES REGISTERED IN YOUR NAME OR IN THE NAME OF YOUR NOMINEE. PLEASE BRING THE EXCHANGE OFFER TO THEIR ATTENTION AS PROMPTLY AS POSSIBLE.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Enclosed are copies of the following documents:</w:t>
      </w:r>
    </w:p>
    <w:p>
      <w:pPr>
        <w:spacing w:after="0" w:line="131" w:lineRule="exact"/>
        <w:rPr>
          <w:sz w:val="20"/>
          <w:szCs w:val="20"/>
          <w:color w:val="auto"/>
        </w:rPr>
      </w:pPr>
    </w:p>
    <w:p>
      <w:pPr>
        <w:ind w:left="960" w:hanging="532"/>
        <w:spacing w:after="0"/>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Outstanding Notes and for the information of your clients, including a Form W-9;</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form of Notice of Guaranteed Delivery; and</w:t>
      </w:r>
    </w:p>
    <w:p>
      <w:pPr>
        <w:spacing w:after="0" w:line="130" w:lineRule="exact"/>
        <w:rPr>
          <w:rFonts w:ascii="Arial" w:cs="Arial" w:eastAsia="Arial" w:hAnsi="Arial"/>
          <w:sz w:val="18"/>
          <w:szCs w:val="18"/>
          <w:color w:val="auto"/>
        </w:rPr>
      </w:pPr>
    </w:p>
    <w:p>
      <w:pPr>
        <w:jc w:val="both"/>
        <w:ind w:left="960" w:right="300" w:hanging="532"/>
        <w:spacing w:after="0" w:line="263"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form of letter, including a letter of instructions to a registered holder from a beneficial owner, which you may use to correspond with your clients for whose accounts you hold Outstanding Notes that are held or record in your name or in the name of your nominee, with space provided for obtaining such clients’ instructions regarding the Exchange Offer.</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880" w:type="dxa"/>
            <w:vAlign w:val="bottom"/>
          </w:tcPr>
          <w:p>
            <w:pPr>
              <w:spacing w:after="0"/>
              <w:rPr>
                <w:sz w:val="20"/>
                <w:szCs w:val="20"/>
                <w:color w:val="auto"/>
              </w:rPr>
            </w:pPr>
            <w:r>
              <w:rPr>
                <w:rFonts w:ascii="Arial" w:cs="Arial" w:eastAsia="Arial" w:hAnsi="Arial"/>
                <w:sz w:val="18"/>
                <w:szCs w:val="18"/>
                <w:color w:val="auto"/>
                <w:w w:val="95"/>
              </w:rPr>
              <w:t>Your prompt action is requested. Please note that the Exchange Offer will expire at 5:00 p.m., New York City time, on</w:t>
            </w:r>
          </w:p>
        </w:tc>
        <w:tc>
          <w:tcPr>
            <w:tcW w:w="1160" w:type="dxa"/>
            <w:vAlign w:val="bottom"/>
          </w:tcPr>
          <w:p>
            <w:pPr>
              <w:ind w:left="400"/>
              <w:spacing w:after="0"/>
              <w:rPr>
                <w:sz w:val="20"/>
                <w:szCs w:val="20"/>
                <w:color w:val="auto"/>
              </w:rPr>
            </w:pPr>
            <w:r>
              <w:rPr>
                <w:rFonts w:ascii="Arial" w:cs="Arial" w:eastAsia="Arial" w:hAnsi="Arial"/>
                <w:sz w:val="18"/>
                <w:szCs w:val="18"/>
                <w:color w:val="auto"/>
                <w:w w:val="85"/>
              </w:rPr>
              <w:t>, 2023 (the</w:t>
            </w:r>
          </w:p>
        </w:tc>
      </w:tr>
    </w:tbl>
    <w:p>
      <w:pPr>
        <w:spacing w:after="0"/>
        <w:rPr>
          <w:sz w:val="20"/>
          <w:szCs w:val="20"/>
          <w:color w:val="auto"/>
        </w:rPr>
      </w:pPr>
      <w:r>
        <w:rPr>
          <w:rFonts w:ascii="Arial" w:cs="Arial" w:eastAsia="Arial" w:hAnsi="Arial"/>
          <w:sz w:val="18"/>
          <w:szCs w:val="18"/>
          <w:color w:val="auto"/>
        </w:rPr>
        <w:t>“Expiration Date”), unless the Issuers otherwise extend the Exchange Offer.</w:t>
      </w:r>
    </w:p>
    <w:p>
      <w:pPr>
        <w:spacing w:after="0" w:line="211"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To participate in the Exchange Offer, certificates for Outstanding Notes, together with a duly executed and properly completed Letter of Transmittal or facsimile thereof, or a timely confirmation of a book-entry transfer of such Outstanding Notes into the account of Wilmington Trust, National Association (the “Exchange Agent”), at the book-entry transfer facility, with any required signature guarantees, and any other required documents, must be received by the Exchange Agent by the Expiration Date as indicated in the Prospectus and the Letter of Transmittal.</w:t>
      </w:r>
    </w:p>
    <w:p>
      <w:pPr>
        <w:spacing w:after="0" w:line="157"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The Issuers will not pay any fees or commissions to any broker or dealer or to any other persons (other than the Exchange Agent) in connection with the solicitation of tenders of the Outstanding Notes pursuant to the Exchange Offer. However, the Issuers will pay or cause to be paid any transfer taxes, if any, applicable to the tender of the Outstanding Notes to their order, except as otherwise provided in the Prospectus and Letter of Transmittal.</w:t>
      </w:r>
    </w:p>
    <w:p>
      <w:pPr>
        <w:spacing w:after="0" w:line="14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holders of the Outstanding Notes wish to tender, but it is impracticable for them to forward their Outstanding Notes prior to the Expiration Date or to comply with the book-entry transfer procedures on a timely basis, a tender may be effected by following the guaranteed delivery procedures described in the Prospectus and in the Letter of Transmittal.</w:t>
      </w:r>
    </w:p>
    <w:p>
      <w:pPr>
        <w:spacing w:after="0" w:line="184"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Any inquiries you may have with respect to the Exchange Offer should be addressed to the Exchange Agent at its address and telephone number set forth in the enclosed Prospectus and Letter of Transmittal. Additional copies of the enclosed materials may be obtained from the Exchange Agent.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DELL INTERNATIONAL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EMC CORPORATION</w:t>
      </w:r>
    </w:p>
    <w:p>
      <w:pPr>
        <w:spacing w:after="0" w:line="207"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NOTHING CONTAINED HEREIN OR IN THE ENCLOSED DOCUMENTS SHALL CONSTITUTE YOU OR ANY OTHER PERSON AS AN AGENT OF THE ISSUERS OR THE EXCHANGE AGENT, OR AUTHORIZE YOU OR ANY OTHER PERSON TO USE ANY DOCUMENT OR MAKE ANY STATEMENT ON BEHALF OF EITHER OF THEM IN CONNECTION WITH THE EXCHANGE OFFER, OTHER THAN THE DOCUMENTS ENCLOSED HEREWITH AND THE STATEMENTS EXPRESSLY CONTAINED THEREIN.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DELL INTERNATIONAL L.L.C.</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EMC CORPORATION</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320"/>
        <w:spacing w:after="0" w:line="266" w:lineRule="auto"/>
        <w:rPr>
          <w:sz w:val="20"/>
          <w:szCs w:val="20"/>
          <w:color w:val="auto"/>
        </w:rPr>
      </w:pPr>
      <w:r>
        <w:rPr>
          <w:rFonts w:ascii="Arial" w:cs="Arial" w:eastAsia="Arial" w:hAnsi="Arial"/>
          <w:sz w:val="18"/>
          <w:szCs w:val="18"/>
          <w:b w:val="1"/>
          <w:bCs w:val="1"/>
          <w:color w:val="auto"/>
        </w:rPr>
        <w:t>UP TO $962,390,000 AGGREGATE PRINCIPAL AMOUNT OF THEIR 3.375% SENIOR NOTES DUE 2041, WHICH HAVE BEEN REGISTERED UNDER THE SECURITIES ACT OF 1933, AS AMENDED, FOR ANY AND ALL OF THEIR OUTSTANDING UNREGISTERED 3.375% SENIOR NOTES DUE 2041</w:t>
      </w:r>
    </w:p>
    <w:p>
      <w:pPr>
        <w:spacing w:after="0" w:line="17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20"/>
        <w:spacing w:after="0" w:line="266" w:lineRule="auto"/>
        <w:rPr>
          <w:sz w:val="20"/>
          <w:szCs w:val="20"/>
          <w:color w:val="auto"/>
        </w:rPr>
      </w:pPr>
      <w:r>
        <w:rPr>
          <w:rFonts w:ascii="Arial" w:cs="Arial" w:eastAsia="Arial" w:hAnsi="Arial"/>
          <w:sz w:val="18"/>
          <w:szCs w:val="18"/>
          <w:b w:val="1"/>
          <w:bCs w:val="1"/>
          <w:color w:val="auto"/>
        </w:rPr>
        <w:t>UP TO $1,094,877,000 AGGREGATE PRINCIPAL AMOUNT OF THEIR 3.450% SENIOR NOTES DUE 2051, WHICH HAVE BEEN REGISTERED UNDER THE SECURITIES ACT OF 1933, AS AMENDED, FOR ANY AND ALL OF THEIR OUTSTANDING UNREGISTERED 3.450% SENIOR NOTES DUE 2051.</w:t>
      </w:r>
    </w:p>
    <w:p>
      <w:pPr>
        <w:sectPr>
          <w:pgSz w:w="11900" w:h="16838" w:orient="portrait"/>
          <w:cols w:equalWidth="0" w:num="1">
            <w:col w:w="10720"/>
          </w:cols>
          <w:pgMar w:left="740" w:top="121" w:right="439" w:bottom="1440" w:gutter="0" w:footer="0" w:header="0"/>
        </w:sectPr>
      </w:pPr>
    </w:p>
    <w:bookmarkStart w:id="137" w:name="page138"/>
    <w:bookmarkEnd w:id="137"/>
    <w:p>
      <w:pPr>
        <w:ind w:left="10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left="440"/>
        <w:spacing w:after="0"/>
        <w:tabs>
          <w:tab w:leader="none" w:pos="5140" w:val="left"/>
        </w:tabs>
        <w:rPr>
          <w:sz w:val="20"/>
          <w:szCs w:val="20"/>
          <w:color w:val="auto"/>
        </w:rPr>
      </w:pPr>
      <w:r>
        <w:rPr>
          <w:rFonts w:ascii="Arial" w:cs="Arial" w:eastAsia="Arial" w:hAnsi="Arial"/>
          <w:sz w:val="18"/>
          <w:szCs w:val="18"/>
          <w:color w:val="auto"/>
        </w:rPr>
        <w:t>Enclosed for your consideration are a Prospectus, dated</w:t>
      </w:r>
      <w:r>
        <w:rPr>
          <w:sz w:val="20"/>
          <w:szCs w:val="20"/>
          <w:color w:val="auto"/>
        </w:rPr>
        <w:tab/>
      </w:r>
      <w:r>
        <w:rPr>
          <w:rFonts w:ascii="Arial" w:cs="Arial" w:eastAsia="Arial" w:hAnsi="Arial"/>
          <w:sz w:val="16"/>
          <w:szCs w:val="16"/>
          <w:color w:val="auto"/>
        </w:rPr>
        <w:t>, 2023 (as the same may be amended or supplemented from time to time,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“Prospectus”), and a Letter of Transmittal (the “Letter of Transmittal”), relating to the offer by Dell International L.L.C. and EMC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the “Issuers”), the Issuers’ direct and indirect parent companies, Dell Technologies Inc. (“Dell Technologies”), Dell Inc. (“Dell”) and Denali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Intermediate Inc. (“Denali Intermediate” and, together with Dell Technologies and, the “Guarantors”) to exchange (the “Exchange Offer”)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up to $962,390,000 of the Issuers’ 3.375% Senior Notes due 2041 and an aggregate principal amount of up to $1,094,877,000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Issuers’ 3.450% Senior Notes due 2051 (collectively, the “Exchange Notes”), which have each been registered under the Securities Act of 1933,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(the “Securities Act”), for, respectively, an equal aggregate principal amount of the Issuers’ outstanding unregistered 3.375% Senior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2041 and the Issuers’ outstanding unregistered 3.450% Senior Notes due 2051 (collectively, the “Outstanding Notes”), in minimum denominations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and integral multiples of $1,000 in excess thereof upon the terms and subject to the conditions of the enclosed Prospectus and the enclosed Letter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Transmittal. The terms of the Exchange Notes are identical in all material respects (including principal amount, interest rate and maturity)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applicable Outstanding Notes for which they may be exchanged pursuant to the Exchange Offer, except that the Exchange Notes are freely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transferable by holders thereof, upon the terms and subject to the conditions of the enclosed Prospectus and the related Letter of Transmittal, and are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any covenant regarding registration under the Securities Act. The Outstanding Notes are fully and unconditionally guaranteed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Guarantees”) by the Guarantors on a senior unsecured basis, and the Exchange Notes will be fully and unconditionally guaranteed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Guarantees”) by the Guarantors on a senior unsecured basis. Upon the terms and subject to the conditions set forth in the Prospectus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Letter of Transmittal, the Guarantors offer to issue the New Guarantees with respect to all Exchange Notes issued in the Exchange Offer in exchange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Guarantees of the Outstanding Notes for which such Exchange Notes are issued in the Exchange Offer. Throughout this letter, unless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context otherwise requires and whether so expressed or not, references to the “Exchange Offer” include the Guarantors’ offer to exchange the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Guarantees for the Outstanding Guarantees, references to the “Exchange Notes” include the related New Guarantees and references to the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include the related Outstanding Guarantees. The Issuers will accept for exchange any and all Outstanding Notes properly tendered according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Prospectus and the Letter of Transmittal. Consummation of the Exchange Offer is subject to certain conditions described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38" w:name="page139"/>
    <w:bookmarkEnd w:id="138"/>
    <w:tbl>
      <w:tblPr>
        <w:tblLayout w:type="fixed"/>
        <w:tblInd w:w="444"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r>
              <w:rPr>
                <w:rFonts w:ascii="Arial" w:cs="Arial" w:eastAsia="Arial" w:hAnsi="Arial"/>
                <w:sz w:val="18"/>
                <w:szCs w:val="18"/>
                <w:b w:val="1"/>
                <w:bCs w:val="1"/>
                <w:color w:val="auto"/>
              </w:rPr>
              <w:t>PLEASE NOTE THAT THE EXCHANGE OFFER WILL EXPIRE AT 5:00 P.M., NEW YORK CITY TIME, ON</w:t>
            </w:r>
          </w:p>
        </w:tc>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4"/>
              </w:rPr>
              <w:t>, 2023 (THE</w:t>
            </w:r>
          </w:p>
        </w:tc>
      </w:tr>
    </w:tbl>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DATE”), UNLESS THE ISSUERS EXTEND THE EXCHANGE OFFER.</w:t>
      </w:r>
    </w:p>
    <w:p>
      <w:pPr>
        <w:spacing w:after="0" w:line="211"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The enclosed materials are being forwarded to you as the beneficial owner of the Outstanding Notes held by us for your account but not registered in your name. A tender of such Outstanding Notes may only be made by us as the registered holder and pursuant to your instructions. Therefore, the Issuers urge beneficial owners of Outstanding Notes registered in the name of a broker, dealer, commercial bank, trust company or other nominee to contact such registered holder promptly if such beneficial owners wish to tender their Outstanding Notes in the Exchange Offer.</w:t>
      </w:r>
    </w:p>
    <w:p>
      <w:pPr>
        <w:spacing w:after="0" w:line="157"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Accordingly, we request instructions as to whether you wish to tender any or all such Outstanding Notes held by us for your account, pursuant to the terms and conditions set forth in the enclosed Prospectus and Letter of Transmittal. If you wish to have us tender any or all of your Outstanding Notes, please so instruct us by completing, signing and returning to us the “Instructions to Registered Holder from Beneficial Owner” form that appears below. We urge you to read the Prospectus and the Letter of Transmittal carefully before instructing us as to whether or not to tender your Outstanding Notes.</w:t>
      </w:r>
    </w:p>
    <w:p>
      <w:pPr>
        <w:spacing w:after="0" w:line="188"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accompanying Letter of Transmittal is furnished to you for your information only and may not be used by you to tender Outstanding Notes held by us and registered in our name for your account or benefit.</w:t>
      </w:r>
    </w:p>
    <w:p>
      <w:pPr>
        <w:spacing w:after="0" w:line="170"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If we do not receive written instructions in accordance with the below and the procedures presented in the Prospectus and the Letter of Transmittal, we will not tender any of the Outstanding Notes on your account.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INSTRUCTIONS TO REGISTERED HOLDER FROM BENEFICIAL OWNER</w:t>
      </w:r>
    </w:p>
    <w:p>
      <w:pPr>
        <w:spacing w:after="0" w:line="121" w:lineRule="exact"/>
        <w:rPr>
          <w:sz w:val="20"/>
          <w:szCs w:val="20"/>
          <w:color w:val="auto"/>
        </w:rPr>
      </w:pPr>
    </w:p>
    <w:p>
      <w:pPr>
        <w:ind w:left="4" w:right="180" w:firstLine="440"/>
        <w:spacing w:after="0" w:line="270" w:lineRule="auto"/>
        <w:rPr>
          <w:sz w:val="20"/>
          <w:szCs w:val="20"/>
          <w:color w:val="auto"/>
        </w:rPr>
      </w:pPr>
      <w:r>
        <w:rPr>
          <w:rFonts w:ascii="Arial" w:cs="Arial" w:eastAsia="Arial" w:hAnsi="Arial"/>
          <w:sz w:val="17"/>
          <w:szCs w:val="17"/>
          <w:color w:val="auto"/>
        </w:rPr>
        <w:t>The undersigned beneficial owner acknowledges receipt of your letter and the accompanying Prospectus and the Letter of Transmittal relating to the Exchange Offer by the Issuers and the Guarantors to exchange an aggregate principal amount of up to $962,390,000 of the Issuers’ 3.375% Senior Notes due 2041 and an aggregate principal amount of up to $1,094,877,000 of the Issuers’ 3.450% Senior Notes due 2051 (collectively, the “Exchange Notes”), which have each been registered under the Securities Act, for, respectively, an equal aggregate principal amount of the Issuers’ outstanding unregistered 3.375% Senior Notes due 2041 and the Issuers’ outstanding unregistered 3.450% Senior Notes due 2051 (collectively, the “Outstanding Notes”), upon the terms and subject to the conditions set forth in the Prospectus and the Letter of Transmittal. Capitalized terms used but not defined herein have the meanings ascribed to them in the Prospectus. This will instruct you, the registered holder, to tender the principal amount of the Outstanding Notes indicated below held by you for the account of the undersigned, upon the terms and subject to the conditions set forth in the Prospectus and the Letter of Transmittal.</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Principal Amount of Outstanding Notes Held</w:t>
            </w: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2"/>
              </w:rPr>
              <w:t>Principal Amount of Outstanding Notes to be</w:t>
            </w:r>
          </w:p>
        </w:tc>
      </w:tr>
      <w:tr>
        <w:trPr>
          <w:trHeight w:val="185"/>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Account Holder(s)</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Tendered*</w:t>
            </w:r>
          </w:p>
        </w:tc>
      </w:tr>
    </w:tbl>
    <w:p>
      <w:pPr>
        <w:spacing w:after="0" w:line="107" w:lineRule="exact"/>
        <w:rPr>
          <w:sz w:val="20"/>
          <w:szCs w:val="20"/>
          <w:color w:val="auto"/>
        </w:rPr>
      </w:pPr>
    </w:p>
    <w:p>
      <w:pPr>
        <w:ind w:left="424" w:hanging="424"/>
        <w:spacing w:after="0"/>
        <w:tabs>
          <w:tab w:leader="none" w:pos="42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Unless otherwise indicated, the entire principal amount of Outstanding Notes held for the account of the undersigned will be tendered.</w:t>
      </w:r>
    </w:p>
    <w:p>
      <w:pPr>
        <w:spacing w:after="0" w:line="237" w:lineRule="exact"/>
        <w:rPr>
          <w:sz w:val="20"/>
          <w:szCs w:val="20"/>
          <w:color w:val="auto"/>
        </w:rPr>
      </w:pPr>
    </w:p>
    <w:p>
      <w:pPr>
        <w:ind w:left="4" w:right="380" w:firstLine="440"/>
        <w:spacing w:after="0" w:line="255" w:lineRule="auto"/>
        <w:rPr>
          <w:sz w:val="20"/>
          <w:szCs w:val="20"/>
          <w:color w:val="auto"/>
        </w:rPr>
      </w:pPr>
      <w:r>
        <w:rPr>
          <w:rFonts w:ascii="Arial" w:cs="Arial" w:eastAsia="Arial" w:hAnsi="Arial"/>
          <w:sz w:val="18"/>
          <w:szCs w:val="18"/>
          <w:color w:val="auto"/>
        </w:rPr>
        <w:t>If the undersigned instructs you to tender the Outstanding Notes held by you for the account of the undersigned, it is understood that you are authorized (a) to make, on behalf of the undersigned (and the undersigned, by its signature below, hereby makes to you), the representations and warranties contained in the Letter of Transmittal that are to be made with respect to the undersigned as a beneficial owner of the Outstanding Notes, including but not limited to the representations that the undersigned (i) is not an “affiliate,” as defined in Rule 405 under the Securities Act, of the Issuers or the Guarantors, (ii) is not engaged in, and does not intend to engage in, and has no arrangement or understanding with any person to participate in, a distribution of Exchange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139" w:name="page140"/>
    <w:bookmarkEnd w:id="13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(iii) is acquiring the Exchange Notes in the ordinary course of its business and (iv) is not a broker-dealer tendering Outstanding Notes acquired for its own account directly from the Issuers. If a holder of the Outstanding Notes is an affiliate of the Issuers or the Guarantors, is not acquiring the Exchange Notes in the ordinary course of its business, is engaged in or intends to engage in a distribution of the Exchange Notes or has any arrangement or understanding with respect to the distribution of the Exchange Notes to be acquired pursuant to the Exchange Offer, such holder may not rely on the applicable interpretations of the staff of the Securities and Exchange Commission relating to exemptions from the registration and prospectus delivery requirements of the Securities Act and must comply with such requirements in connection with any secondary resale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130810</wp:posOffset>
            </wp:positionV>
            <wp:extent cx="6858000" cy="15862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13">
                      <a:extLst>
                        <a:ext uri="{28A0092B-C50C-407E-A947-70E740481C1C}"/>
                      </a:extLst>
                    </a:blip>
                    <a:srcRect/>
                    <a:stretch>
                      <a:fillRect/>
                    </a:stretch>
                  </pic:blipFill>
                  <pic:spPr bwMode="auto">
                    <a:xfrm>
                      <a:off x="0" y="0"/>
                      <a:ext cx="6858000" cy="1586230"/>
                    </a:xfrm>
                    <a:prstGeom prst="rect">
                      <a:avLst/>
                    </a:prstGeom>
                    <a:noFill/>
                  </pic:spPr>
                </pic:pic>
              </a:graphicData>
            </a:graphic>
          </wp:anchor>
        </w:drawing>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 HERE</w:t>
      </w:r>
    </w:p>
    <w:p>
      <w:pPr>
        <w:spacing w:after="0" w:line="2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Dated:</w:t>
            </w:r>
          </w:p>
        </w:tc>
        <w:tc>
          <w:tcPr>
            <w:tcW w:w="524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Signature(s):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Print Name(s):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(Please include Zip Code)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Telephone Number:</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(Please include Area Code)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Tax Identification Number or Social Security Number:</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My Account Number With You:</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INTERNATIONAL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EMC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UP TO $962,390,000 AGGREGATE PRINCIPAL AMOUNT OF THEIR 3.375% SENIOR NOTES DUE 2041, WHICH HAVE BEEN REGISTERED UNDER THE SECURITIES ACT OF 1933, AS AMENDED, FOR ANY AND ALL OF THEIR OUTSTANDING UNREGISTERED 3.375% SENIOR NOTES DUE 2041</w:t>
      </w:r>
    </w:p>
    <w:p>
      <w:pPr>
        <w:spacing w:after="0" w:line="6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UP TO $1,094,877,000 AGGREGATE PRINCIPAL AMOUNT OF THEIR 3.450% SENIOR NOTES DUE 2051, WHICH HAVE BEEN</w:t>
      </w:r>
    </w:p>
    <w:p>
      <w:pPr>
        <w:spacing w:after="0" w:line="27" w:lineRule="exact"/>
        <w:rPr>
          <w:sz w:val="20"/>
          <w:szCs w:val="20"/>
          <w:color w:val="auto"/>
        </w:rPr>
      </w:pPr>
    </w:p>
    <w:p>
      <w:pPr>
        <w:jc w:val="center"/>
        <w:ind w:right="20"/>
        <w:spacing w:after="0" w:line="260" w:lineRule="auto"/>
        <w:rPr>
          <w:sz w:val="20"/>
          <w:szCs w:val="20"/>
          <w:color w:val="auto"/>
        </w:rPr>
      </w:pPr>
      <w:r>
        <w:rPr>
          <w:rFonts w:ascii="Arial" w:cs="Arial" w:eastAsia="Arial" w:hAnsi="Arial"/>
          <w:sz w:val="18"/>
          <w:szCs w:val="18"/>
          <w:b w:val="1"/>
          <w:bCs w:val="1"/>
          <w:color w:val="auto"/>
        </w:rPr>
        <w:t>REGISTERED UNDER THE SECURITIES ACT OF 1933, AS AMENDED, FOR ANY AND ALL OF THEIR OUTSTANDING UNREGISTERED 3.450% SENIOR NOTES DUE 2051.</w:t>
      </w:r>
    </w:p>
    <w:p>
      <w:pPr>
        <w:spacing w:after="0" w:line="77" w:lineRule="exact"/>
        <w:rPr>
          <w:sz w:val="20"/>
          <w:szCs w:val="20"/>
          <w:color w:val="auto"/>
        </w:rPr>
      </w:pPr>
    </w:p>
    <w:p>
      <w:pPr>
        <w:ind w:right="100" w:firstLine="440"/>
        <w:spacing w:after="0" w:line="287" w:lineRule="auto"/>
        <w:rPr>
          <w:sz w:val="20"/>
          <w:szCs w:val="20"/>
          <w:color w:val="auto"/>
        </w:rPr>
      </w:pPr>
      <w:r>
        <w:rPr>
          <w:rFonts w:ascii="Arial" w:cs="Arial" w:eastAsia="Arial" w:hAnsi="Arial"/>
          <w:sz w:val="16"/>
          <w:szCs w:val="16"/>
          <w:color w:val="auto"/>
        </w:rPr>
        <w:t>This form, or one substantially equivalent hereto, must be used to accept the Exchange Offer made by Dell International L.L.C. and EMC Corporation (together, the “Issuers”), the Issuers’ direct and indirect parent companies, Dell Technologies Inc. (“Dell Technologies”), Dell Inc. (“Dell”) and Denali Intermediate Inc. (“Denali Intermediate” and, together with Dell Technologies and Dell, the “Guarantors”), pursuant to the Prospectus,</w:t>
      </w:r>
    </w:p>
    <w:p>
      <w:pPr>
        <w:spacing w:after="0" w:line="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dated , 2023 (as the same may be amended or supplemented from time to time, the “Prospectus”), and the enclosed Letter of Transmittal (the “Letter of Transmittal”), if the certificates for the Outstanding Notes are not immediately available or if the procedure for book-entry transfer cannot be completed on a timely basis or time will not permit all required documents to reach the Exchange Agent prior to 5:00 p.m., New York City time, on the Expiration Date of the Exchange Offer. Such form may be delivered or transmitted by facsimile transmission, registered or certified mail, overnight courier or hand delivery to Bank of New York Mellon Trust Company, N.A. (the “Exchange Agent”) as set forth below. In addition, in order to utilize the guaranteed delivery procedure to tender the Outstanding Notes pursuant to the Exchange Offer, a completed, signed and dated Letter of Transmittal (or facsimile thereof) must also be received by the Exchange Agent prior to 5:00 p.m., New York City time, on the Expiration Date of the Exchange Offer. Capitalized terms not defined herein have the meanings ascribed to them in the Letter of Transmittal.</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Bank of New York Mellon Trust Company, N.A.</w:t>
      </w:r>
    </w:p>
    <w:p>
      <w:pPr>
        <w:spacing w:after="0" w:line="1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Bank of New York Mellon Trust Company, N.A., as Exchange Agent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BNY Mellon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Trust Operations- Reorganization Unit</w:t>
      </w:r>
    </w:p>
    <w:p>
      <w:pPr>
        <w:jc w:val="center"/>
        <w:spacing w:after="0" w:line="181" w:lineRule="auto"/>
        <w:rPr>
          <w:sz w:val="20"/>
          <w:szCs w:val="20"/>
          <w:color w:val="auto"/>
        </w:rPr>
      </w:pPr>
      <w:r>
        <w:rPr>
          <w:rFonts w:ascii="Arial" w:cs="Arial" w:eastAsia="Arial" w:hAnsi="Arial"/>
          <w:sz w:val="18"/>
          <w:szCs w:val="18"/>
          <w:color w:val="auto"/>
        </w:rPr>
        <w:t>2001 Bryan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TX 75201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Tiffany Castor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315-414-3034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732-667-9408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CT_Reorg_Unit_Inquiries@bnymellon.com</w:t>
      </w:r>
    </w:p>
    <w:p>
      <w:pPr>
        <w:spacing w:after="0" w:line="207"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b w:val="1"/>
          <w:bCs w:val="1"/>
          <w:color w:val="auto"/>
        </w:rPr>
        <w:t>DELIVERY OF THIS NOTICE OF GUARANTEED DELIVERY TO AN ADDRESS OTHER THAN AS SET FORTH ABOVE OR TRANSMISSION VIA FACSIMILE TO A NUMBER OTHER THAN AS SET FORTH ABOVE WILL NOT CONSTITUTE A VALID DELIVERY.</w:t>
      </w:r>
    </w:p>
    <w:p>
      <w:pPr>
        <w:spacing w:after="0" w:line="18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Notice of Guaranteed Delivery is not to be used to guarantee signatures. If a signature on a Letter of Transmittal is required to be guaranteed by an Eligible Guarantor Institution (as defined in the Letter of Transmittal), such signature guarantee must appear in the applicable space in Box 8 provided on the Letter of Transmittal for Guarantee of Signatures.</w:t>
      </w:r>
    </w:p>
    <w:p>
      <w:pPr>
        <w:sectPr>
          <w:pgSz w:w="11900" w:h="16838" w:orient="portrait"/>
          <w:cols w:equalWidth="0" w:num="1">
            <w:col w:w="11020"/>
          </w:cols>
          <w:pgMar w:left="440" w:top="121" w:right="4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Ladies and Gentlemen:</w:t>
      </w:r>
    </w:p>
    <w:p>
      <w:pPr>
        <w:spacing w:after="0" w:line="225" w:lineRule="exact"/>
        <w:rPr>
          <w:sz w:val="20"/>
          <w:szCs w:val="20"/>
          <w:color w:val="auto"/>
        </w:rPr>
      </w:pPr>
    </w:p>
    <w:p>
      <w:pPr>
        <w:jc w:val="both"/>
        <w:ind w:right="300" w:firstLine="440"/>
        <w:spacing w:after="0" w:line="286" w:lineRule="auto"/>
        <w:rPr>
          <w:sz w:val="20"/>
          <w:szCs w:val="20"/>
          <w:color w:val="auto"/>
        </w:rPr>
      </w:pPr>
      <w:r>
        <w:rPr>
          <w:rFonts w:ascii="Arial" w:cs="Arial" w:eastAsia="Arial" w:hAnsi="Arial"/>
          <w:sz w:val="17"/>
          <w:szCs w:val="17"/>
          <w:color w:val="auto"/>
        </w:rPr>
        <w:t>Upon the terms and subject to the conditions set forth in the Prospectus and the accompanying Letter of Transmittal, receipt of which is hereby acknowledged, the undersigned hereby tenders to the Issuers the principal amount of Outstanding Notes indicated below, pursuant to the guaranteed delivery procedures described in “The Exchange Offer—Guaranteed Delivery Procedures” section of the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Certificate Number(s) (if known)</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Aggregate Principal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Principal</w:t>
            </w:r>
          </w:p>
        </w:tc>
      </w:tr>
      <w:tr>
        <w:trPr>
          <w:trHeight w:val="149"/>
        </w:trPr>
        <w:tc>
          <w:tcPr>
            <w:tcW w:w="3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Amount Represented</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Amount of Outstanding</w:t>
            </w:r>
          </w:p>
        </w:tc>
      </w:tr>
      <w:tr>
        <w:trPr>
          <w:trHeight w:val="148"/>
        </w:trPr>
        <w:tc>
          <w:tcPr>
            <w:tcW w:w="3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Notes or Account Number at</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by Outstanding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Notes</w:t>
            </w:r>
          </w:p>
        </w:tc>
      </w:tr>
      <w:tr>
        <w:trPr>
          <w:trHeight w:val="185"/>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Book-Entry Transfer Facility</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Notes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Being Tendered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154305</wp:posOffset>
            </wp:positionV>
            <wp:extent cx="6858000" cy="17576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5">
                      <a:extLst>
                        <a:ext uri="{28A0092B-C50C-407E-A947-70E740481C1C}"/>
                      </a:extLst>
                    </a:blip>
                    <a:srcRect/>
                    <a:stretch>
                      <a:fillRect/>
                    </a:stretch>
                  </pic:blipFill>
                  <pic:spPr bwMode="auto">
                    <a:xfrm>
                      <a:off x="0" y="0"/>
                      <a:ext cx="6858000" cy="1757680"/>
                    </a:xfrm>
                    <a:prstGeom prst="rect">
                      <a:avLst/>
                    </a:prstGeom>
                    <a:noFill/>
                  </pic:spPr>
                </pic:pic>
              </a:graphicData>
            </a:graphic>
          </wp:anchor>
        </w:drawing>
      </w:r>
    </w:p>
    <w:p>
      <w:pPr>
        <w:spacing w:after="0" w:line="317"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PLEASE COMPLETE AND SIGN</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(Signature(s) of Record Holder(s))</w:t>
      </w: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(Please Type or Print Name(s) of Record Holder(s))</w:t>
      </w:r>
    </w:p>
    <w:p>
      <w:pPr>
        <w:spacing w:after="0" w:line="217" w:lineRule="exact"/>
        <w:rPr>
          <w:sz w:val="20"/>
          <w:szCs w:val="20"/>
          <w:color w:val="auto"/>
        </w:rPr>
      </w:pPr>
    </w:p>
    <w:p>
      <w:pPr>
        <w:ind w:left="4460"/>
        <w:spacing w:after="0"/>
        <w:tabs>
          <w:tab w:leader="none" w:pos="662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 2023</w:t>
      </w:r>
    </w:p>
    <w:p>
      <w:pPr>
        <w:spacing w:after="0" w:line="203" w:lineRule="exact"/>
        <w:rPr>
          <w:sz w:val="20"/>
          <w:szCs w:val="20"/>
          <w:color w:val="auto"/>
        </w:rPr>
      </w:pPr>
    </w:p>
    <w:p>
      <w:pPr>
        <w:ind w:left="2940"/>
        <w:spacing w:after="0"/>
        <w:rPr>
          <w:sz w:val="20"/>
          <w:szCs w:val="20"/>
          <w:color w:val="auto"/>
        </w:rPr>
      </w:pPr>
      <w:r>
        <w:rPr>
          <w:rFonts w:ascii="Arial" w:cs="Arial" w:eastAsia="Arial" w:hAnsi="Arial"/>
          <w:sz w:val="14"/>
          <w:szCs w:val="14"/>
          <w:color w:val="auto"/>
        </w:rPr>
        <w:t>Address:</w:t>
      </w:r>
    </w:p>
    <w:p>
      <w:pPr>
        <w:jc w:val="center"/>
        <w:ind w:right="-319"/>
        <w:spacing w:after="0"/>
        <w:rPr>
          <w:sz w:val="20"/>
          <w:szCs w:val="20"/>
          <w:color w:val="auto"/>
        </w:rPr>
      </w:pPr>
      <w:r>
        <w:rPr>
          <w:rFonts w:ascii="Arial" w:cs="Arial" w:eastAsia="Arial" w:hAnsi="Arial"/>
          <w:sz w:val="14"/>
          <w:szCs w:val="14"/>
          <w:color w:val="auto"/>
        </w:rPr>
        <w:t>(Zip Code)</w:t>
      </w:r>
    </w:p>
    <w:p>
      <w:pPr>
        <w:spacing w:after="0" w:line="8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(Daytime Area Code and Telephone No.)</w:t>
      </w:r>
    </w:p>
    <w:p>
      <w:pPr>
        <w:spacing w:after="0" w:line="18" w:lineRule="exact"/>
        <w:rPr>
          <w:sz w:val="20"/>
          <w:szCs w:val="20"/>
          <w:color w:val="auto"/>
        </w:rPr>
      </w:pPr>
    </w:p>
    <w:p>
      <w:pPr>
        <w:ind w:left="760" w:right="2740" w:hanging="330"/>
        <w:spacing w:after="0" w:line="282" w:lineRule="auto"/>
        <w:tabs>
          <w:tab w:leader="none" w:pos="746" w:val="left"/>
        </w:tabs>
        <w:numPr>
          <w:ilvl w:val="0"/>
          <w:numId w:val="117"/>
        </w:numPr>
        <w:rPr>
          <w:rFonts w:ascii="MS PGothic" w:cs="MS PGothic" w:eastAsia="MS PGothic" w:hAnsi="MS PGothic"/>
          <w:sz w:val="16"/>
          <w:szCs w:val="16"/>
          <w:color w:val="auto"/>
        </w:rPr>
      </w:pPr>
      <w:r>
        <w:rPr>
          <w:rFonts w:ascii="Arial" w:cs="Arial" w:eastAsia="Arial" w:hAnsi="Arial"/>
          <w:sz w:val="16"/>
          <w:szCs w:val="16"/>
          <w:color w:val="auto"/>
        </w:rPr>
        <w:t>Check this Box if the Outstanding Notes will be delivered by book-entry transfer to The Depository Trust Company. Account Number: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GUARANTEE MUST BE COMPLETED.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696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696970"/>
                    </a:xfrm>
                    <a:prstGeom prst="rect">
                      <a:avLst/>
                    </a:prstGeom>
                    <a:noFill/>
                  </pic:spPr>
                </pic:pic>
              </a:graphicData>
            </a:graphic>
          </wp:anchor>
        </w:drawing>
        <w:t>GUARANTEE OF DELIVERY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ind w:left="120" w:right="140" w:firstLine="431"/>
        <w:spacing w:after="0" w:line="290" w:lineRule="auto"/>
        <w:rPr>
          <w:sz w:val="20"/>
          <w:szCs w:val="20"/>
          <w:color w:val="auto"/>
        </w:rPr>
      </w:pPr>
      <w:r>
        <w:rPr>
          <w:rFonts w:ascii="Arial" w:cs="Arial" w:eastAsia="Arial" w:hAnsi="Arial"/>
          <w:sz w:val="16"/>
          <w:szCs w:val="16"/>
          <w:color w:val="auto"/>
        </w:rPr>
        <w:t>The undersigned, a member of a recognized signature medallion program or an “eligible guarantor institution,” as such term is defined in Rule 17Ad-15 under the Securities Exchange Act of 1934, as amended (the “Exchange Act”), hereby (a) represents that the above person(s) “own(s)” the Outstanding Notes tendered hereby within the meaning of Rule 14e-4(b)(2) under the Exchange Act, (b) represents that the tender of those Outstanding Notes complies with Rule 14e-4 under the Exchange Act, and (c) guarantees to deliver to the Exchange Agent, at its address set forth in the Notice of Guaranteed Delivery, the certificates representing all tendered Outstanding Notes, in proper form for transfer, or a book-entry confirmation (a confirmation of a book-entry transfer of the Outstanding Notes into the Exchange Agent’s account at The Depository Trust Company), together with a properly completed and duly executed Letter of Transmittal (or facsimile thereof), with any required signature guarantees, and any other documents required by the Letter of Transmittal within two (2) New York Stock Exchange trading days after the Expiration Date.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of Firm:</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(Authorized Signature)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Address: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(Zip Code)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Area Code and</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3"/>
            <w:vMerge w:val="restart"/>
          </w:tcPr>
          <w:p>
            <w:pPr>
              <w:ind w:left="160"/>
              <w:spacing w:after="0"/>
              <w:rPr>
                <w:sz w:val="20"/>
                <w:szCs w:val="20"/>
                <w:color w:val="auto"/>
              </w:rPr>
            </w:pPr>
            <w:r>
              <w:rPr>
                <w:rFonts w:ascii="Arial" w:cs="Arial" w:eastAsia="Arial" w:hAnsi="Arial"/>
                <w:sz w:val="18"/>
                <w:szCs w:val="18"/>
                <w:color w:val="auto"/>
              </w:rPr>
              <w:t>Title:</w:t>
            </w:r>
          </w:p>
        </w:tc>
        <w:tc>
          <w:tcPr>
            <w:tcW w:w="99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(Please Type or Print)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160"/>
              <w:spacing w:after="0" w:line="182" w:lineRule="exact"/>
              <w:rPr>
                <w:sz w:val="20"/>
                <w:szCs w:val="20"/>
                <w:color w:val="auto"/>
              </w:rPr>
            </w:pPr>
            <w:r>
              <w:rPr>
                <w:rFonts w:ascii="Arial" w:cs="Arial" w:eastAsia="Arial" w:hAnsi="Arial"/>
                <w:sz w:val="18"/>
                <w:szCs w:val="18"/>
                <w:color w:val="auto"/>
                <w:w w:val="94"/>
              </w:rPr>
              <w:t>Dated:</w:t>
            </w:r>
          </w:p>
        </w:tc>
        <w:tc>
          <w:tcPr>
            <w:tcW w:w="16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540" w:type="dxa"/>
            <w:vAlign w:val="bottom"/>
            <w:tcBorders>
              <w:top w:val="single" w:sz="8" w:color="auto"/>
            </w:tcBorders>
          </w:tcPr>
          <w:p>
            <w:pPr>
              <w:jc w:val="right"/>
              <w:ind w:right="8990"/>
              <w:spacing w:after="0" w:line="182" w:lineRule="exact"/>
              <w:rPr>
                <w:sz w:val="20"/>
                <w:szCs w:val="20"/>
                <w:color w:val="auto"/>
              </w:rPr>
            </w:pPr>
            <w:r>
              <w:rPr>
                <w:rFonts w:ascii="Arial" w:cs="Arial" w:eastAsia="Arial" w:hAnsi="Arial"/>
                <w:sz w:val="18"/>
                <w:szCs w:val="18"/>
                <w:color w:val="auto"/>
                <w:w w:val="87"/>
              </w:rPr>
              <w:t>,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960" w:type="dxa"/>
            <w:vAlign w:val="bottom"/>
            <w:gridSpan w:val="3"/>
          </w:tcPr>
          <w:p>
            <w:pPr>
              <w:ind w:left="160"/>
              <w:spacing w:after="0"/>
              <w:rPr>
                <w:sz w:val="20"/>
                <w:szCs w:val="20"/>
                <w:color w:val="auto"/>
              </w:rPr>
            </w:pPr>
            <w:r>
              <w:rPr>
                <w:rFonts w:ascii="Arial" w:cs="Arial" w:eastAsia="Arial" w:hAnsi="Arial"/>
                <w:sz w:val="18"/>
                <w:szCs w:val="18"/>
                <w:b w:val="1"/>
                <w:bCs w:val="1"/>
                <w:color w:val="auto"/>
              </w:rPr>
              <w:t>NOTE:</w:t>
            </w:r>
          </w:p>
        </w:tc>
        <w:tc>
          <w:tcPr>
            <w:tcW w:w="10060" w:type="dxa"/>
            <w:vAlign w:val="bottom"/>
            <w:gridSpan w:val="3"/>
          </w:tcPr>
          <w:p>
            <w:pPr>
              <w:ind w:left="100"/>
              <w:spacing w:after="0"/>
              <w:rPr>
                <w:sz w:val="20"/>
                <w:szCs w:val="20"/>
                <w:color w:val="auto"/>
              </w:rPr>
            </w:pPr>
            <w:r>
              <w:rPr>
                <w:rFonts w:ascii="Arial" w:cs="Arial" w:eastAsia="Arial" w:hAnsi="Arial"/>
                <w:sz w:val="18"/>
                <w:szCs w:val="18"/>
                <w:b w:val="1"/>
                <w:bCs w:val="1"/>
                <w:color w:val="auto"/>
              </w:rPr>
              <w:t>DO NOT SEND OUTSTANDING NOTES WITH THIS NOTICE OF GUARANTEED DELIVERY. OUTSTANDING NOTES</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b w:val="1"/>
                <w:bCs w:val="1"/>
                <w:color w:val="auto"/>
              </w:rPr>
              <w:t>SHOULD BE SENT WITH YOUR LETTER OF TRANSMITTAL.</w:t>
            </w:r>
          </w:p>
        </w:tc>
        <w:tc>
          <w:tcPr>
            <w:tcW w:w="0" w:type="dxa"/>
            <w:vAlign w:val="bottom"/>
          </w:tcPr>
          <w:p>
            <w:pPr>
              <w:spacing w:after="0"/>
              <w:rPr>
                <w:sz w:val="1"/>
                <w:szCs w:val="1"/>
                <w:color w:val="auto"/>
              </w:rPr>
            </w:pPr>
          </w:p>
        </w:tc>
      </w:tr>
      <w:tr>
        <w:trPr>
          <w:trHeight w:val="51"/>
        </w:trPr>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2"/>
          </w:tcPr>
          <w:p>
            <w:pPr>
              <w:jc w:val="right"/>
              <w:ind w:right="531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24" w:right="439" w:bottom="1440" w:gutter="0" w:footer="0" w:header="0"/>
        </w:sectPr>
      </w:pPr>
    </w:p>
    <w:bookmarkStart w:id="143" w:name="page144"/>
    <w:bookmarkEnd w:id="143"/>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 FOR NOTICE OF GUARANTEED DELIVERY</w:t>
      </w:r>
    </w:p>
    <w:p>
      <w:pPr>
        <w:spacing w:after="0" w:line="252" w:lineRule="exact"/>
        <w:rPr>
          <w:sz w:val="20"/>
          <w:szCs w:val="20"/>
          <w:color w:val="auto"/>
        </w:rPr>
      </w:pPr>
    </w:p>
    <w:p>
      <w:pPr>
        <w:ind w:left="424" w:hanging="424"/>
        <w:spacing w:after="0"/>
        <w:tabs>
          <w:tab w:leader="none" w:pos="42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this Notice of Guaranteed Delivery.</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A properly completed and duly executed copy of this Notice of Guaranteed Delivery and any other documents required by this Notice of Guaranteed Delivery must be received by the Exchange Agent at its address set forth on the cover page hereof prior to the Expiration Date of the Exchange Offer. The method of delivery of this Notice of Guaranteed Delivery and any other required documents to the Exchange Agent is at the election and risk of the holders and the delivery will be deemed made only when actually received by the Exchange Agent. Instead of delivery by mail, it is recommended that the holders use an overnight or hand delivery service, properly insured. If such delivery is by mail, it is recommended that the holders use properly insured, registered mail with return receipt requested. In all cases, sufficient time should be allowed to assure timely delivery. For a description of the guaranteed delivery procedures, see Instruction 1 of the Letter of Transmittal. No Notice of Guaranteed Delivery should be sent to the Issuers.</w:t>
      </w:r>
    </w:p>
    <w:p>
      <w:pPr>
        <w:spacing w:after="0" w:line="336"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on this Notice of Guaranteed Delivery.</w:t>
      </w:r>
    </w:p>
    <w:p>
      <w:pPr>
        <w:spacing w:after="0" w:line="121" w:lineRule="exact"/>
        <w:rPr>
          <w:sz w:val="20"/>
          <w:szCs w:val="20"/>
          <w:color w:val="auto"/>
        </w:rPr>
      </w:pPr>
    </w:p>
    <w:p>
      <w:pPr>
        <w:ind w:left="4" w:right="120" w:firstLine="440"/>
        <w:spacing w:after="0" w:line="254" w:lineRule="auto"/>
        <w:rPr>
          <w:sz w:val="20"/>
          <w:szCs w:val="20"/>
          <w:color w:val="auto"/>
        </w:rPr>
      </w:pPr>
      <w:r>
        <w:rPr>
          <w:rFonts w:ascii="Arial" w:cs="Arial" w:eastAsia="Arial" w:hAnsi="Arial"/>
          <w:sz w:val="18"/>
          <w:szCs w:val="18"/>
          <w:color w:val="auto"/>
        </w:rPr>
        <w:t>If this Notice of Guaranteed Delivery is signed by the registered holder(s) of the Outstanding Notes referred to herein, the signatures must correspond with the name(s) written on the face of the Outstanding Notes without alteration, addition, enlargement or any change whatsoever. If this Notice of Guaranteed Delivery is signed by a person other than the registered holder(s) of any Outstanding Notes listed, this Notice of Guaranteed Delivery must be accompanied by appropriate bond powers, signed as the name of the registered holder(s) appear(s) on the Outstanding Notes without alteration, addition, enlargement or any change whatsoever. If this Notice of Guaranteed Delivery is signed by a trustee, executor, administrator, guardian, attorney-in-fact, officer of a corporation or other person acting in a fiduciary or representative capacity, such person should so indicate when signing and, unless waived by the Issuers, evidence satisfactory to the Issuers of their authority so to act must be submitted with this Notice of Guaranteed Delivery.</w:t>
      </w:r>
    </w:p>
    <w:p>
      <w:pPr>
        <w:spacing w:after="0" w:line="336" w:lineRule="exact"/>
        <w:rPr>
          <w:sz w:val="20"/>
          <w:szCs w:val="20"/>
          <w:color w:val="auto"/>
        </w:rPr>
      </w:pPr>
    </w:p>
    <w:p>
      <w:pPr>
        <w:ind w:left="424" w:hanging="424"/>
        <w:spacing w:after="0"/>
        <w:tabs>
          <w:tab w:leader="none" w:pos="42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Questions and Requests for Assistance or Additional Copies.</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Questions and requests for assistance and requests for additional copies of the Prospectus may be directed to the Exchange Agent at the address set forth on the cover hereof. Holders may also contact their broker, dealer, commercial bank, trust company, or other nominee for assistance concerning the Exchange Offer.</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0" w:right="4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107</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S-4</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DELL INTERNATIONAL L.L.C.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EMC CORPORATION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DELL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DENALI INTERMEDIATE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DELL TECHNOLOGIES INC.</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 and Carry Forward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1060" w:type="dxa"/>
            <w:vAlign w:val="bottom"/>
            <w:tcBorders>
              <w:top w:val="single" w:sz="8" w:color="auto"/>
              <w:left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Paid in</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6"/>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auto"/>
                <w:w w:val="80"/>
              </w:rPr>
              <w:t>Fee</w:t>
            </w: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3"/>
                <w:szCs w:val="13"/>
                <w:color w:val="auto"/>
                <w:w w:val="93"/>
              </w:rPr>
              <w:t>Proposed</w:t>
            </w:r>
          </w:p>
        </w:tc>
        <w:tc>
          <w:tcPr>
            <w:tcW w:w="1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7"/>
              </w:rPr>
              <w:t>Carry</w:t>
            </w:r>
          </w:p>
        </w:tc>
        <w:tc>
          <w:tcPr>
            <w:tcW w:w="7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8"/>
              </w:rPr>
              <w:t>Unsold</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2"/>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right"/>
              <w:ind w:right="340"/>
              <w:spacing w:after="0" w:line="135" w:lineRule="exact"/>
              <w:rPr>
                <w:sz w:val="20"/>
                <w:szCs w:val="20"/>
                <w:color w:val="auto"/>
              </w:rPr>
            </w:pPr>
            <w:r>
              <w:rPr>
                <w:rFonts w:ascii="Arial" w:cs="Arial" w:eastAsia="Arial" w:hAnsi="Arial"/>
                <w:sz w:val="13"/>
                <w:szCs w:val="13"/>
                <w:color w:val="auto"/>
              </w:rPr>
              <w:t>Amount</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60" w:type="dxa"/>
            <w:vAlign w:val="bottom"/>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56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Form</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76"/>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660" w:type="dxa"/>
            <w:vAlign w:val="bottom"/>
            <w:tcBorders>
              <w:bottom w:val="single" w:sz="8" w:color="auto"/>
            </w:tcBorders>
          </w:tcPr>
          <w:p>
            <w:pPr>
              <w:jc w:val="center"/>
              <w:ind w:left="18"/>
              <w:spacing w:after="0"/>
              <w:rPr>
                <w:sz w:val="20"/>
                <w:szCs w:val="20"/>
                <w:color w:val="auto"/>
              </w:rPr>
            </w:pPr>
            <w:r>
              <w:rPr>
                <w:rFonts w:ascii="Arial" w:cs="Arial" w:eastAsia="Arial" w:hAnsi="Arial"/>
                <w:sz w:val="13"/>
                <w:szCs w:val="13"/>
                <w:color w:val="auto"/>
                <w:w w:val="89"/>
              </w:rPr>
              <w:t>Rule</w:t>
            </w:r>
          </w:p>
        </w:tc>
        <w:tc>
          <w:tcPr>
            <w:tcW w:w="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3"/>
                <w:szCs w:val="13"/>
                <w:color w:val="auto"/>
              </w:rPr>
              <w:t>Registered</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26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7"/>
              </w:rPr>
              <w:t>Offering Price</w:t>
            </w:r>
            <w:r>
              <w:rPr>
                <w:rFonts w:ascii="Arial" w:cs="Arial" w:eastAsia="Arial" w:hAnsi="Arial"/>
                <w:sz w:val="18"/>
                <w:szCs w:val="18"/>
                <w:color w:val="auto"/>
                <w:w w:val="87"/>
                <w:vertAlign w:val="superscript"/>
              </w:rPr>
              <w:t>(1)</w:t>
            </w: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Registration Fee</w:t>
            </w:r>
          </w:p>
        </w:tc>
        <w:tc>
          <w:tcPr>
            <w:tcW w:w="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230"/>
        </w:trPr>
        <w:tc>
          <w:tcPr>
            <w:tcW w:w="106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center"/>
              <w:ind w:left="1080"/>
              <w:spacing w:after="0"/>
              <w:rPr>
                <w:sz w:val="20"/>
                <w:szCs w:val="20"/>
                <w:color w:val="auto"/>
              </w:rPr>
            </w:pPr>
            <w:r>
              <w:rPr>
                <w:rFonts w:ascii="Arial" w:cs="Arial" w:eastAsia="Arial" w:hAnsi="Arial"/>
                <w:sz w:val="18"/>
                <w:szCs w:val="18"/>
                <w:color w:val="auto"/>
                <w:w w:val="90"/>
              </w:rPr>
              <w:t>Newly Registered Securities</w:t>
            </w:r>
          </w:p>
        </w:tc>
        <w:tc>
          <w:tcPr>
            <w:tcW w:w="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3.375%</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Senior</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4"/>
              </w:rPr>
              <w:t>Fees to be</w:t>
            </w: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Rule</w:t>
            </w: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2041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457(f)</w:t>
            </w:r>
          </w:p>
        </w:tc>
        <w:tc>
          <w:tcPr>
            <w:tcW w:w="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8"/>
                <w:szCs w:val="18"/>
                <w:color w:val="auto"/>
                <w:w w:val="99"/>
              </w:rPr>
              <w:t>$962,390,000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$962,390,000</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0.00011020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$106,055.38</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Guarantees</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of the</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3.375%</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Senior</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Rule</w:t>
            </w: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2041</w:t>
            </w:r>
          </w:p>
        </w:tc>
        <w:tc>
          <w:tcPr>
            <w:tcW w:w="66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457(n)</w:t>
            </w:r>
          </w:p>
        </w:tc>
        <w:tc>
          <w:tcPr>
            <w:tcW w:w="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13"/>
                <w:szCs w:val="13"/>
                <w:color w:val="auto"/>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260" w:type="dxa"/>
            <w:vAlign w:val="bottom"/>
            <w:tcBorders>
              <w:bottom w:val="single" w:sz="8" w:color="auto"/>
              <w:right w:val="single" w:sz="8" w:color="auto"/>
            </w:tcBorders>
          </w:tcPr>
          <w:p>
            <w:pPr>
              <w:jc w:val="right"/>
              <w:ind w:right="483"/>
              <w:spacing w:after="0"/>
              <w:rPr>
                <w:sz w:val="20"/>
                <w:szCs w:val="20"/>
                <w:color w:val="auto"/>
              </w:rPr>
            </w:pPr>
            <w:r>
              <w:rPr>
                <w:rFonts w:ascii="Arial" w:cs="Arial" w:eastAsia="Arial" w:hAnsi="Arial"/>
                <w:sz w:val="13"/>
                <w:szCs w:val="13"/>
                <w:color w:val="auto"/>
              </w:rPr>
              <w:t>(2)</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3.450%</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Senior</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Rule</w:t>
            </w: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2051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457(f)</w:t>
            </w:r>
          </w:p>
        </w:tc>
        <w:tc>
          <w:tcPr>
            <w:tcW w:w="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2"/>
              </w:rPr>
              <w:t>$1,094,877,000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$1,094,877,000</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0.00011020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$120,655.45</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Guarantees</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of the</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3.450%</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Senior</w:t>
            </w: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Rule</w:t>
            </w: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2051</w:t>
            </w:r>
          </w:p>
        </w:tc>
        <w:tc>
          <w:tcPr>
            <w:tcW w:w="66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457(n)</w:t>
            </w:r>
          </w:p>
        </w:tc>
        <w:tc>
          <w:tcPr>
            <w:tcW w:w="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13"/>
                <w:szCs w:val="13"/>
                <w:color w:val="auto"/>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260" w:type="dxa"/>
            <w:vAlign w:val="bottom"/>
            <w:tcBorders>
              <w:bottom w:val="single" w:sz="8" w:color="auto"/>
              <w:right w:val="single" w:sz="8" w:color="auto"/>
            </w:tcBorders>
          </w:tcPr>
          <w:p>
            <w:pPr>
              <w:jc w:val="right"/>
              <w:ind w:right="483"/>
              <w:spacing w:after="0"/>
              <w:rPr>
                <w:sz w:val="20"/>
                <w:szCs w:val="20"/>
                <w:color w:val="auto"/>
              </w:rPr>
            </w:pPr>
            <w:r>
              <w:rPr>
                <w:rFonts w:ascii="Arial" w:cs="Arial" w:eastAsia="Arial" w:hAnsi="Arial"/>
                <w:sz w:val="13"/>
                <w:szCs w:val="13"/>
                <w:color w:val="auto"/>
              </w:rPr>
              <w:t>(2)</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3"/>
                <w:szCs w:val="13"/>
                <w:color w:val="auto"/>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79"/>
              </w:rPr>
              <w:t>Fees</w:t>
            </w: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Previously</w:t>
            </w: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48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06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1"/>
              </w:rPr>
              <w:t>Carry Forward Securities</w:t>
            </w:r>
          </w:p>
        </w:tc>
        <w:tc>
          <w:tcPr>
            <w:tcW w:w="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Carry</w:t>
            </w: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Forward</w:t>
            </w:r>
          </w:p>
        </w:tc>
        <w:tc>
          <w:tcPr>
            <w:tcW w:w="5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Securities</w:t>
            </w:r>
          </w:p>
        </w:tc>
        <w:tc>
          <w:tcPr>
            <w:tcW w:w="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483"/>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$2,057,267,000</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$226,710.83</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w w:val="88"/>
              </w:rPr>
              <w:t>Total Fees Previously Paid</w:t>
            </w: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89"/>
              </w:rPr>
              <w:t>Total Fee Offsets</w:t>
            </w: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Net Fee Due</w:t>
            </w: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$226,710.83</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7715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ind w:left="424" w:right="300" w:hanging="424"/>
        <w:spacing w:after="0" w:line="258"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under Rule 457(f) of the Securities Act of 1933, as amended (the “Securities Act”).</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Pursuant to Rule 457(n) under the Securities Act, no separate filing fee is required for the guarantees.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decimal"/>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decimal"/>
      <w:start w:val="7"/>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decimal"/>
      <w:start w:val="1"/>
    </w:lvl>
  </w:abstractNum>
  <w:abstractNum w:abstractNumId="23">
    <w:nsid w:val="168E121F"/>
    <w:multiLevelType w:val="hybridMultilevel"/>
    <w:lvl w:ilvl="0">
      <w:lvlJc w:val="left"/>
      <w:lvlText w:val="(%1)"/>
      <w:numFmt w:val="decimal"/>
      <w:start w:val="2"/>
    </w:lvl>
  </w:abstractNum>
  <w:abstractNum w:abstractNumId="24">
    <w:nsid w:val="1EBA5D23"/>
    <w:multiLevelType w:val="hybridMultilevel"/>
    <w:lvl w:ilvl="0">
      <w:lvlJc w:val="left"/>
      <w:lvlText w:val="(%1)"/>
      <w:numFmt w:val="decimal"/>
      <w:start w:val="1"/>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1)"/>
      <w:numFmt w:val="decimal"/>
      <w:start w:val="3"/>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decimal"/>
      <w:start w:val="2"/>
    </w:lvl>
  </w:abstractNum>
  <w:abstractNum w:abstractNumId="31">
    <w:nsid w:val="BF72B14"/>
    <w:multiLevelType w:val="hybridMultilevel"/>
    <w:lvl w:ilvl="0">
      <w:lvlJc w:val="left"/>
      <w:lvlText w:val="(%1)"/>
      <w:numFmt w:val="decimal"/>
      <w:start w:val="1"/>
    </w:lvl>
  </w:abstractNum>
  <w:abstractNum w:abstractNumId="32">
    <w:nsid w:val="11447B73"/>
    <w:multiLevelType w:val="hybridMultilevel"/>
    <w:lvl w:ilvl="0">
      <w:lvlJc w:val="left"/>
      <w:lvlText w:val="(%1)"/>
      <w:numFmt w:val="decimal"/>
      <w:start w:val="2"/>
    </w:lvl>
  </w:abstractNum>
  <w:abstractNum w:abstractNumId="33">
    <w:nsid w:val="42963E5A"/>
    <w:multiLevelType w:val="hybridMultilevel"/>
    <w:lvl w:ilvl="0">
      <w:lvlJc w:val="left"/>
      <w:lvlText w:val="(%1)"/>
      <w:numFmt w:val="decimal"/>
      <w:start w:val="1"/>
    </w:lvl>
  </w:abstractNum>
  <w:abstractNum w:abstractNumId="34">
    <w:nsid w:val="A0382C5"/>
    <w:multiLevelType w:val="hybridMultilevel"/>
    <w:lvl w:ilvl="0">
      <w:lvlJc w:val="left"/>
      <w:lvlText w:val="(%1)"/>
      <w:numFmt w:val="decimal"/>
      <w:start w:val="3"/>
    </w:lvl>
  </w:abstractNum>
  <w:abstractNum w:abstractNumId="35">
    <w:nsid w:val="8F2B15E"/>
    <w:multiLevelType w:val="hybridMultilevel"/>
    <w:lvl w:ilvl="0">
      <w:lvlJc w:val="left"/>
      <w:lvlText w:val="(%1)"/>
      <w:numFmt w:val="decimal"/>
      <w:start w:val="1"/>
    </w:lvl>
  </w:abstractNum>
  <w:abstractNum w:abstractNumId="36">
    <w:nsid w:val="1A32234B"/>
    <w:multiLevelType w:val="hybridMultilevel"/>
    <w:lvl w:ilvl="0">
      <w:lvlJc w:val="left"/>
      <w:lvlText w:val="%1"/>
      <w:numFmt w:val="decimal"/>
      <w:start w:val="1"/>
    </w:lvl>
    <w:lvl w:ilvl="1">
      <w:lvlJc w:val="left"/>
      <w:lvlText w:val="(%2)"/>
      <w:numFmt w:val="decimal"/>
      <w:start w:val="10"/>
    </w:lvl>
  </w:abstractNum>
  <w:abstractNum w:abstractNumId="37">
    <w:nsid w:val="3B0FD379"/>
    <w:multiLevelType w:val="hybridMultilevel"/>
    <w:lvl w:ilvl="0">
      <w:lvlJc w:val="left"/>
      <w:lvlText w:val="(%1)"/>
      <w:numFmt w:val="decimal"/>
      <w:start w:val="12"/>
    </w:lvl>
    <w:lvl w:ilvl="1">
      <w:lvlJc w:val="left"/>
      <w:lvlText w:val="(%2)"/>
      <w:numFmt w:val="decimal"/>
      <w:start w:val="13"/>
    </w:lvl>
  </w:abstractNum>
  <w:abstractNum w:abstractNumId="38">
    <w:nsid w:val="68EB2F63"/>
    <w:multiLevelType w:val="hybridMultilevel"/>
    <w:lvl w:ilvl="0">
      <w:lvlJc w:val="left"/>
      <w:lvlText w:val="(%1)"/>
      <w:numFmt w:val="decimal"/>
      <w:start w:val="1"/>
    </w:lvl>
    <w:lvl w:ilvl="1">
      <w:lvlJc w:val="left"/>
      <w:lvlText w:val="(%2)"/>
      <w:numFmt w:val="lowerLetter"/>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2"/>
    </w:lvl>
  </w:abstractNum>
  <w:abstractNum w:abstractNumId="63">
    <w:nsid w:val="57FC4FBB"/>
    <w:multiLevelType w:val="hybridMultilevel"/>
    <w:lvl w:ilvl="0">
      <w:lvlJc w:val="left"/>
      <w:lvlText w:val="(%1)"/>
      <w:numFmt w:val="lowerLetter"/>
      <w:start w:val="35"/>
    </w:lvl>
    <w:lvl w:ilvl="1">
      <w:lvlJc w:val="left"/>
      <w:lvlText w:val="(%2)"/>
      <w:numFmt w:val="lowerLetter"/>
      <w:start w:val="3"/>
    </w:lvl>
  </w:abstractNum>
  <w:abstractNum w:abstractNumId="64">
    <w:nsid w:val="CC1016F"/>
    <w:multiLevelType w:val="hybridMultilevel"/>
    <w:lvl w:ilvl="0">
      <w:lvlJc w:val="left"/>
      <w:lvlText w:val="(%1)"/>
      <w:numFmt w:val="lowerLetter"/>
      <w:start w:val="1"/>
    </w:lvl>
  </w:abstractNum>
  <w:abstractNum w:abstractNumId="65">
    <w:nsid w:val="43F1842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6">
    <w:nsid w:val="60EF0119"/>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67">
    <w:nsid w:val="26F324B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1."/>
      <w:numFmt w:val="decimal"/>
      <w:start w:val="1"/>
    </w:lvl>
  </w:abstractNum>
  <w:abstractNum w:abstractNumId="70">
    <w:nsid w:val="7055A5F5"/>
    <w:multiLevelType w:val="hybridMultilevel"/>
    <w:lvl w:ilvl="0">
      <w:lvlJc w:val="left"/>
      <w:lvlText w:val="(%1)"/>
      <w:numFmt w:val="lowerRoman"/>
      <w:start w:val="2"/>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Letter"/>
      <w:start w:val="4"/>
    </w:lvl>
  </w:abstractNum>
  <w:abstractNum w:abstractNumId="74">
    <w:nsid w:val="5FB8011C"/>
    <w:multiLevelType w:val="hybridMultilevel"/>
    <w:lvl w:ilvl="0">
      <w:lvlJc w:val="left"/>
      <w:lvlText w:val="%1."/>
      <w:numFmt w:val="decimal"/>
      <w:start w:val="1"/>
    </w:lvl>
  </w:abstractNum>
  <w:abstractNum w:abstractNumId="75">
    <w:nsid w:val="6AA78F7F"/>
    <w:multiLevelType w:val="hybridMultilevel"/>
    <w:lvl w:ilvl="0">
      <w:lvlJc w:val="left"/>
      <w:lvlText w:val="%1."/>
      <w:numFmt w:val="decimal"/>
      <w:start w:val="3"/>
    </w:lvl>
  </w:abstractNum>
  <w:abstractNum w:abstractNumId="76">
    <w:nsid w:val="7672BD23"/>
    <w:multiLevelType w:val="hybridMultilevel"/>
    <w:lvl w:ilvl="0">
      <w:lvlJc w:val="left"/>
      <w:lvlText w:val="%1."/>
      <w:numFmt w:val="decimal"/>
      <w:start w:val="1"/>
    </w:lvl>
  </w:abstractNum>
  <w:abstractNum w:abstractNumId="77">
    <w:nsid w:val="6FC75AF8"/>
    <w:multiLevelType w:val="hybridMultilevel"/>
    <w:lvl w:ilvl="0">
      <w:lvlJc w:val="left"/>
      <w:lvlText w:val="%1."/>
      <w:numFmt w:val="decimal"/>
      <w:start w:val="2"/>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1."/>
      <w:numFmt w:val="decimal"/>
      <w:start w:val="1"/>
    </w:lvl>
    <w:lvl w:ilvl="1">
      <w:lvlJc w:val="left"/>
      <w:lvlText w:val="(%2)"/>
      <w:numFmt w:val="lowerLetter"/>
      <w:start w:val="1"/>
    </w:lvl>
  </w:abstractNum>
  <w:abstractNum w:abstractNumId="80">
    <w:nsid w:val="5F3534A4"/>
    <w:multiLevelType w:val="hybridMultilevel"/>
    <w:lvl w:ilvl="0">
      <w:lvlJc w:val="left"/>
      <w:lvlText w:val="(%1)"/>
      <w:numFmt w:val="lowerLetter"/>
      <w:start w:val="2"/>
    </w:lvl>
  </w:abstractNum>
  <w:abstractNum w:abstractNumId="81">
    <w:nsid w:val="73A1821B"/>
    <w:multiLevelType w:val="hybridMultilevel"/>
    <w:lvl w:ilvl="0">
      <w:lvlJc w:val="left"/>
      <w:lvlText w:val="%1."/>
      <w:numFmt w:val="decimal"/>
      <w:start w:val="2"/>
    </w:lvl>
  </w:abstractNum>
  <w:abstractNum w:abstractNumId="82">
    <w:nsid w:val="7DE67713"/>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83">
    <w:nsid w:val="555C55B5"/>
    <w:multiLevelType w:val="hybridMultilevel"/>
    <w:lvl w:ilvl="0">
      <w:lvlJc w:val="left"/>
      <w:lvlText w:val="%1."/>
      <w:numFmt w:val="decimal"/>
      <w:start w:val="4"/>
    </w:lvl>
  </w:abstractNum>
  <w:abstractNum w:abstractNumId="84">
    <w:nsid w:val="3FA62ACA"/>
    <w:multiLevelType w:val="hybridMultilevel"/>
    <w:lvl w:ilvl="0">
      <w:lvlJc w:val="left"/>
      <w:lvlText w:val="%1."/>
      <w:numFmt w:val="decimal"/>
      <w:start w:val="6"/>
    </w:lvl>
    <w:lvl w:ilvl="1">
      <w:lvlJc w:val="left"/>
      <w:lvlText w:val="-"/>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lowerRoman"/>
      <w:start w:val="3"/>
    </w:lvl>
  </w:abstractNum>
  <w:abstractNum w:abstractNumId="90">
    <w:nsid w:val="1FBFE8E0"/>
    <w:multiLevelType w:val="hybridMultilevel"/>
    <w:lvl w:ilvl="0">
      <w:lvlJc w:val="left"/>
      <w:lvlText w:val="%1."/>
      <w:numFmt w:val="decimal"/>
      <w:start w:val="2"/>
    </w:lvl>
  </w:abstractNum>
  <w:abstractNum w:abstractNumId="91">
    <w:nsid w:val="5092CA79"/>
    <w:multiLevelType w:val="hybridMultilevel"/>
    <w:lvl w:ilvl="0">
      <w:lvlJc w:val="left"/>
      <w:lvlText w:val="%1."/>
      <w:numFmt w:val="decimal"/>
      <w:start w:val="3"/>
    </w:lvl>
  </w:abstractNum>
  <w:abstractNum w:abstractNumId="92">
    <w:nsid w:val="1D545C4D"/>
    <w:multiLevelType w:val="hybridMultilevel"/>
    <w:lvl w:ilvl="0">
      <w:lvlJc w:val="left"/>
      <w:lvlText w:val="%1."/>
      <w:numFmt w:val="decimal"/>
      <w:start w:val="5"/>
    </w:lvl>
  </w:abstractNum>
  <w:abstractNum w:abstractNumId="93">
    <w:nsid w:val="59ADEA3D"/>
    <w:multiLevelType w:val="hybridMultilevel"/>
    <w:lvl w:ilvl="0">
      <w:lvlJc w:val="left"/>
      <w:lvlText w:val="%1."/>
      <w:numFmt w:val="decimal"/>
      <w:start w:val="6"/>
    </w:lvl>
  </w:abstractNum>
  <w:abstractNum w:abstractNumId="94">
    <w:nsid w:val="288F1A34"/>
    <w:multiLevelType w:val="hybridMultilevel"/>
    <w:lvl w:ilvl="0">
      <w:lvlJc w:val="left"/>
      <w:lvlText w:val="%1."/>
      <w:numFmt w:val="decimal"/>
      <w:start w:val="7"/>
    </w:lvl>
  </w:abstractNum>
  <w:abstractNum w:abstractNumId="95">
    <w:nsid w:val="2A155DBC"/>
    <w:multiLevelType w:val="hybridMultilevel"/>
    <w:lvl w:ilvl="0">
      <w:lvlJc w:val="left"/>
      <w:lvlText w:val="%1."/>
      <w:numFmt w:val="decimal"/>
      <w:start w:val="10"/>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1."/>
      <w:numFmt w:val="decimal"/>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1."/>
      <w:numFmt w:val="decimal"/>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1."/>
      <w:numFmt w:val="decimal"/>
      <w:start w:val="1"/>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1"/>
      <w:numFmt w:val="bullet"/>
      <w:start w:val="1"/>
    </w:lvl>
  </w:abstractNum>
  <w:abstractNum w:abstractNumId="108">
    <w:nsid w:val="4BD8591A"/>
    <w:multiLevelType w:val="hybridMultilevel"/>
    <w:lvl w:ilvl="0">
      <w:lvlJc w:val="left"/>
      <w:lvlText w:val="2"/>
      <w:numFmt w:val="bullet"/>
      <w:start w:val="1"/>
    </w:lvl>
  </w:abstractNum>
  <w:abstractNum w:abstractNumId="109">
    <w:nsid w:val="78DF6A55"/>
    <w:multiLevelType w:val="hybridMultilevel"/>
    <w:lvl w:ilvl="0">
      <w:lvlJc w:val="left"/>
      <w:lvlText w:val="%1."/>
      <w:numFmt w:val="decimal"/>
      <w:start w:val="1"/>
    </w:lvl>
  </w:abstractNum>
  <w:abstractNum w:abstractNumId="110">
    <w:nsid w:val="39B7AAA2"/>
    <w:multiLevelType w:val="hybridMultilevel"/>
    <w:lvl w:ilvl="0">
      <w:lvlJc w:val="left"/>
      <w:lvlText w:val="1"/>
      <w:numFmt w:val="bullet"/>
      <w:start w:val="1"/>
    </w:lvl>
  </w:abstractNum>
  <w:abstractNum w:abstractNumId="111">
    <w:nsid w:val="2B0D8DBE"/>
    <w:multiLevelType w:val="hybridMultilevel"/>
    <w:lvl w:ilvl="0">
      <w:lvlJc w:val="left"/>
      <w:lvlText w:val="2"/>
      <w:numFmt w:val="bullet"/>
      <w:start w:val="1"/>
    </w:lvl>
  </w:abstractNum>
  <w:abstractNum w:abstractNumId="112">
    <w:nsid w:val="6C80EC70"/>
    <w:multiLevelType w:val="hybridMultilevel"/>
    <w:lvl w:ilvl="0">
      <w:lvlJc w:val="left"/>
      <w:lvlText w:val="3"/>
      <w:numFmt w:val="bullet"/>
      <w:start w:val="1"/>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1."/>
      <w:numFmt w:val="decimal"/>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1."/>
      <w:numFmt w:val="decimal"/>
      <w:start w:val="1"/>
    </w:lvl>
  </w:abstractNum>
  <w:abstractNum w:abstractNumId="118">
    <w:nsid w:val="1DF029D3"/>
    <w:multiLevelType w:val="hybridMultilevel"/>
    <w:lvl w:ilvl="0">
      <w:lvlJc w:val="left"/>
      <w:lvlText w:val="%1."/>
      <w:numFmt w:val="decimal"/>
      <w:start w:val="2"/>
    </w:lvl>
  </w:abstractNum>
  <w:abstractNum w:abstractNumId="119">
    <w:nsid w:val="5675FF36"/>
    <w:multiLevelType w:val="hybridMultilevel"/>
    <w:lvl w:ilvl="0">
      <w:lvlJc w:val="left"/>
      <w:lvlText w:val="%1."/>
      <w:numFmt w:val="decimal"/>
      <w:start w:val="3"/>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jpe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35" Type="http://schemas.openxmlformats.org/officeDocument/2006/relationships/image" Target="media/image107.png"/><Relationship Id="rId147" Type="http://schemas.openxmlformats.org/officeDocument/2006/relationships/image" Target="media/image108.png"/><Relationship Id="rId156" Type="http://schemas.openxmlformats.org/officeDocument/2006/relationships/image" Target="media/image109.png"/><Relationship Id="rId165" Type="http://schemas.openxmlformats.org/officeDocument/2006/relationships/image" Target="media/image110.png"/><Relationship Id="rId173" Type="http://schemas.openxmlformats.org/officeDocument/2006/relationships/image" Target="media/image111.png"/><Relationship Id="rId182" Type="http://schemas.openxmlformats.org/officeDocument/2006/relationships/image" Target="media/image112.png"/><Relationship Id="rId196" Type="http://schemas.openxmlformats.org/officeDocument/2006/relationships/image" Target="media/image113.png"/><Relationship Id="rId209" Type="http://schemas.openxmlformats.org/officeDocument/2006/relationships/image" Target="media/image114.png"/><Relationship Id="rId221" Type="http://schemas.openxmlformats.org/officeDocument/2006/relationships/image" Target="media/image115.png"/><Relationship Id="rId232" Type="http://schemas.openxmlformats.org/officeDocument/2006/relationships/image" Target="media/image116.png"/><Relationship Id="rId237" Type="http://schemas.openxmlformats.org/officeDocument/2006/relationships/image" Target="media/image117.png"/><Relationship Id="rId238" Type="http://schemas.openxmlformats.org/officeDocument/2006/relationships/image" Target="media/image118.png"/><Relationship Id="rId239" Type="http://schemas.openxmlformats.org/officeDocument/2006/relationships/image" Target="media/image119.png"/><Relationship Id="rId240" Type="http://schemas.openxmlformats.org/officeDocument/2006/relationships/image" Target="media/image120.png"/><Relationship Id="rId241" Type="http://schemas.openxmlformats.org/officeDocument/2006/relationships/image" Target="media/image121.png"/><Relationship Id="rId242" Type="http://schemas.openxmlformats.org/officeDocument/2006/relationships/image" Target="media/image122.png"/><Relationship Id="rId243" Type="http://schemas.openxmlformats.org/officeDocument/2006/relationships/image" Target="media/image123.png"/><Relationship Id="rId244" Type="http://schemas.openxmlformats.org/officeDocument/2006/relationships/image" Target="media/image124.png"/><Relationship Id="rId245" Type="http://schemas.openxmlformats.org/officeDocument/2006/relationships/image" Target="media/image125.png"/><Relationship Id="rId246" Type="http://schemas.openxmlformats.org/officeDocument/2006/relationships/image" Target="media/image126.png"/><Relationship Id="rId247" Type="http://schemas.openxmlformats.org/officeDocument/2006/relationships/image" Target="media/image127.png"/><Relationship Id="rId248" Type="http://schemas.openxmlformats.org/officeDocument/2006/relationships/image" Target="media/image128.png"/><Relationship Id="rId249" Type="http://schemas.openxmlformats.org/officeDocument/2006/relationships/image" Target="media/image129.png"/><Relationship Id="rId250" Type="http://schemas.openxmlformats.org/officeDocument/2006/relationships/image" Target="media/image130.png"/><Relationship Id="rId251" Type="http://schemas.openxmlformats.org/officeDocument/2006/relationships/image" Target="media/image131.png"/><Relationship Id="rId252" Type="http://schemas.openxmlformats.org/officeDocument/2006/relationships/image" Target="media/image132.png"/><Relationship Id="rId253" Type="http://schemas.openxmlformats.org/officeDocument/2006/relationships/image" Target="media/image133.png"/><Relationship Id="rId254" Type="http://schemas.openxmlformats.org/officeDocument/2006/relationships/image" Target="media/image134.png"/><Relationship Id="rId255" Type="http://schemas.openxmlformats.org/officeDocument/2006/relationships/image" Target="media/image135.png"/><Relationship Id="rId256" Type="http://schemas.openxmlformats.org/officeDocument/2006/relationships/image" Target="media/image136.png"/><Relationship Id="rId257" Type="http://schemas.openxmlformats.org/officeDocument/2006/relationships/image" Target="media/image137.png"/><Relationship Id="rId258" Type="http://schemas.openxmlformats.org/officeDocument/2006/relationships/image" Target="media/image138.png"/><Relationship Id="rId259" Type="http://schemas.openxmlformats.org/officeDocument/2006/relationships/image" Target="media/image139.png"/><Relationship Id="rId260" Type="http://schemas.openxmlformats.org/officeDocument/2006/relationships/image" Target="media/image140.png"/><Relationship Id="rId261" Type="http://schemas.openxmlformats.org/officeDocument/2006/relationships/image" Target="media/image141.png"/><Relationship Id="rId262" Type="http://schemas.openxmlformats.org/officeDocument/2006/relationships/image" Target="media/image142.png"/><Relationship Id="rId263" Type="http://schemas.openxmlformats.org/officeDocument/2006/relationships/image" Target="media/image143.png"/><Relationship Id="rId264" Type="http://schemas.openxmlformats.org/officeDocument/2006/relationships/image" Target="media/image144.png"/><Relationship Id="rId265" Type="http://schemas.openxmlformats.org/officeDocument/2006/relationships/image" Target="media/image145.png"/><Relationship Id="rId266" Type="http://schemas.openxmlformats.org/officeDocument/2006/relationships/image" Target="media/image146.png"/><Relationship Id="rId267" Type="http://schemas.openxmlformats.org/officeDocument/2006/relationships/image" Target="media/image147.png"/><Relationship Id="rId268" Type="http://schemas.openxmlformats.org/officeDocument/2006/relationships/image" Target="media/image148.png"/><Relationship Id="rId269" Type="http://schemas.openxmlformats.org/officeDocument/2006/relationships/image" Target="media/image149.png"/><Relationship Id="rId270" Type="http://schemas.openxmlformats.org/officeDocument/2006/relationships/image" Target="media/image150.png"/><Relationship Id="rId271" Type="http://schemas.openxmlformats.org/officeDocument/2006/relationships/image" Target="media/image151.png"/><Relationship Id="rId272" Type="http://schemas.openxmlformats.org/officeDocument/2006/relationships/image" Target="media/image152.png"/><Relationship Id="rId273" Type="http://schemas.openxmlformats.org/officeDocument/2006/relationships/image" Target="media/image153.png"/><Relationship Id="rId274" Type="http://schemas.openxmlformats.org/officeDocument/2006/relationships/image" Target="media/image154.png"/><Relationship Id="rId275" Type="http://schemas.openxmlformats.org/officeDocument/2006/relationships/image" Target="media/image155.png"/><Relationship Id="rId276" Type="http://schemas.openxmlformats.org/officeDocument/2006/relationships/image" Target="media/image156.png"/><Relationship Id="rId277" Type="http://schemas.openxmlformats.org/officeDocument/2006/relationships/image" Target="media/image157.png"/><Relationship Id="rId278" Type="http://schemas.openxmlformats.org/officeDocument/2006/relationships/image" Target="media/image158.png"/><Relationship Id="rId279" Type="http://schemas.openxmlformats.org/officeDocument/2006/relationships/image" Target="media/image159.png"/><Relationship Id="rId280" Type="http://schemas.openxmlformats.org/officeDocument/2006/relationships/image" Target="media/image160.png"/><Relationship Id="rId281" Type="http://schemas.openxmlformats.org/officeDocument/2006/relationships/image" Target="media/image161.png"/><Relationship Id="rId282" Type="http://schemas.openxmlformats.org/officeDocument/2006/relationships/image" Target="media/image162.png"/><Relationship Id="rId283" Type="http://schemas.openxmlformats.org/officeDocument/2006/relationships/image" Target="media/image163.png"/><Relationship Id="rId284" Type="http://schemas.openxmlformats.org/officeDocument/2006/relationships/image" Target="media/image164.png"/><Relationship Id="rId285" Type="http://schemas.openxmlformats.org/officeDocument/2006/relationships/image" Target="media/image165.png"/><Relationship Id="rId286" Type="http://schemas.openxmlformats.org/officeDocument/2006/relationships/image" Target="media/image166.png"/><Relationship Id="rId287" Type="http://schemas.openxmlformats.org/officeDocument/2006/relationships/image" Target="media/image167.png"/><Relationship Id="rId288" Type="http://schemas.openxmlformats.org/officeDocument/2006/relationships/image" Target="media/image168.png"/><Relationship Id="rId289" Type="http://schemas.openxmlformats.org/officeDocument/2006/relationships/image" Target="media/image169.png"/><Relationship Id="rId290" Type="http://schemas.openxmlformats.org/officeDocument/2006/relationships/image" Target="media/image170.png"/><Relationship Id="rId291" Type="http://schemas.openxmlformats.org/officeDocument/2006/relationships/image" Target="media/image171.png"/><Relationship Id="rId292" Type="http://schemas.openxmlformats.org/officeDocument/2006/relationships/image" Target="media/image172.png"/><Relationship Id="rId293" Type="http://schemas.openxmlformats.org/officeDocument/2006/relationships/image" Target="media/image173.png"/><Relationship Id="rId294" Type="http://schemas.openxmlformats.org/officeDocument/2006/relationships/image" Target="media/image174.png"/><Relationship Id="rId295" Type="http://schemas.openxmlformats.org/officeDocument/2006/relationships/image" Target="media/image175.png"/><Relationship Id="rId296" Type="http://schemas.openxmlformats.org/officeDocument/2006/relationships/image" Target="media/image176.png"/><Relationship Id="rId297" Type="http://schemas.openxmlformats.org/officeDocument/2006/relationships/image" Target="media/image177.png"/><Relationship Id="rId298" Type="http://schemas.openxmlformats.org/officeDocument/2006/relationships/image" Target="media/image178.png"/><Relationship Id="rId299" Type="http://schemas.openxmlformats.org/officeDocument/2006/relationships/image" Target="media/image179.png"/><Relationship Id="rId300" Type="http://schemas.openxmlformats.org/officeDocument/2006/relationships/image" Target="media/image180.png"/><Relationship Id="rId301" Type="http://schemas.openxmlformats.org/officeDocument/2006/relationships/image" Target="media/image181.png"/><Relationship Id="rId302" Type="http://schemas.openxmlformats.org/officeDocument/2006/relationships/image" Target="media/image182.png"/><Relationship Id="rId303" Type="http://schemas.openxmlformats.org/officeDocument/2006/relationships/image" Target="media/image183.png"/><Relationship Id="rId304" Type="http://schemas.openxmlformats.org/officeDocument/2006/relationships/image" Target="media/image184.png"/><Relationship Id="rId305" Type="http://schemas.openxmlformats.org/officeDocument/2006/relationships/image" Target="media/image185.png"/><Relationship Id="rId306" Type="http://schemas.openxmlformats.org/officeDocument/2006/relationships/image" Target="media/image186.png"/><Relationship Id="rId307" Type="http://schemas.openxmlformats.org/officeDocument/2006/relationships/image" Target="media/image187.png"/><Relationship Id="rId308" Type="http://schemas.openxmlformats.org/officeDocument/2006/relationships/image" Target="media/image188.png"/><Relationship Id="rId309" Type="http://schemas.openxmlformats.org/officeDocument/2006/relationships/image" Target="media/image189.png"/><Relationship Id="rId310" Type="http://schemas.openxmlformats.org/officeDocument/2006/relationships/image" Target="media/image190.png"/><Relationship Id="rId311" Type="http://schemas.openxmlformats.org/officeDocument/2006/relationships/image" Target="media/image191.png"/><Relationship Id="rId312" Type="http://schemas.openxmlformats.org/officeDocument/2006/relationships/image" Target="media/image192.png"/><Relationship Id="rId313" Type="http://schemas.openxmlformats.org/officeDocument/2006/relationships/image" Target="media/image193.png"/><Relationship Id="rId314" Type="http://schemas.openxmlformats.org/officeDocument/2006/relationships/image" Target="media/image194.png"/><Relationship Id="rId315" Type="http://schemas.openxmlformats.org/officeDocument/2006/relationships/image" Target="media/image195.png"/><Relationship Id="rId316" Type="http://schemas.openxmlformats.org/officeDocument/2006/relationships/image" Target="media/image196.png"/><Relationship Id="rId317" Type="http://schemas.openxmlformats.org/officeDocument/2006/relationships/image" Target="media/image197.png"/><Relationship Id="rId318" Type="http://schemas.openxmlformats.org/officeDocument/2006/relationships/image" Target="media/image198.png"/><Relationship Id="rId100" Type="http://schemas.openxmlformats.org/officeDocument/2006/relationships/hyperlink" Target="http://www.sec.gov/ix?doc=/Archives/edgar/data/1571996/000157199623000007/dell-20230203.htm" TargetMode="External"/><Relationship Id="rId101" Type="http://schemas.openxmlformats.org/officeDocument/2006/relationships/hyperlink" Target="http://www.sec.gov/ix?doc=/Archives/edgar/data/1571996/000157199623000019/dell-20230505.htm" TargetMode="External"/><Relationship Id="rId102" Type="http://schemas.openxmlformats.org/officeDocument/2006/relationships/hyperlink" Target="http://www.sec.gov/ix?doc=/Archives/edgar/data/1571996/000119312523140722/d469221ddef14a.htm" TargetMode="External"/><Relationship Id="rId103" Type="http://schemas.openxmlformats.org/officeDocument/2006/relationships/hyperlink" Target="http://www.sec.gov/ix?doc=/Archives/edgar/data/1571996/000157199623000002/dell-20230226.htm" TargetMode="External"/><Relationship Id="rId104" Type="http://schemas.openxmlformats.org/officeDocument/2006/relationships/hyperlink" Target="http://www.sec.gov/ix?doc=/Archives/edgar/data/1571996/000119312523167472/d505540d8k.htm" TargetMode="External"/><Relationship Id="rId105" Type="http://schemas.openxmlformats.org/officeDocument/2006/relationships/hyperlink" Target="http://www.sec.gov/ix?doc=/Archives/edgar/data/1571996/000157199623000021/dell-20230620.htm" TargetMode="External"/><Relationship Id="rId106" Type="http://schemas.openxmlformats.org/officeDocument/2006/relationships/hyperlink" Target="http://www.sec.gov/ix?doc=/Archives/edgar/data/1571996/000119312523180570/d475980d8k.htm" TargetMode="External"/><Relationship Id="rId107" Type="http://schemas.openxmlformats.org/officeDocument/2006/relationships/hyperlink" Target="http://www.sec.gov/ix?doc=/Archives/edgar/data/1571996/000119312523186639/d533731d8k.htm" TargetMode="External"/><Relationship Id="rId108" Type="http://schemas.openxmlformats.org/officeDocument/2006/relationships/hyperlink" Target="http://www.sec.gov/ix?doc=/Archives/edgar/data/1571996/000157199623000024/dell-20230727.htm" TargetMode="External"/><Relationship Id="rId109" Type="http://schemas.openxmlformats.org/officeDocument/2006/relationships/hyperlink" Target="http://www.sec.gov/ix?doc=/Archives/edgar/data/1571996/000157199623000026/dell-20230226.htm" TargetMode="External"/><Relationship Id="rId124" Type="http://schemas.openxmlformats.org/officeDocument/2006/relationships/hyperlink" Target="http://www.sec.gov/Archives/edgar/data/1571996/000119312521116271/d142017dex21.htm" TargetMode="External"/><Relationship Id="rId125" Type="http://schemas.openxmlformats.org/officeDocument/2006/relationships/hyperlink" Target="http://www.sec.gov/Archives/edgar/data/1571996/000119312521294210/d81504dex991.htm" TargetMode="External"/><Relationship Id="rId126" Type="http://schemas.openxmlformats.org/officeDocument/2006/relationships/hyperlink" Target="http://www.sec.gov/Archives/edgar/data/1571996/000119312521315488/d146470dex992.htm" TargetMode="External"/><Relationship Id="rId127" Type="http://schemas.openxmlformats.org/officeDocument/2006/relationships/hyperlink" Target="http://www.sec.gov/Archives/edgar/data/790070/000119312523004209/d436748dex31.htm" TargetMode="External"/><Relationship Id="rId128" Type="http://schemas.openxmlformats.org/officeDocument/2006/relationships/hyperlink" Target="http://www.sec.gov/Archives/edgar/data/790070/000119312523004209/d436748dex32.htm" TargetMode="External"/><Relationship Id="rId129" Type="http://schemas.openxmlformats.org/officeDocument/2006/relationships/hyperlink" Target="http://www.sec.gov/Archives/edgar/data/790070/000119312521117831/d131098dex33.htm" TargetMode="External"/><Relationship Id="rId130" Type="http://schemas.openxmlformats.org/officeDocument/2006/relationships/hyperlink" Target="http://www.sec.gov/Archives/edgar/data/790070/000119312521117831/d131098dex34.htm" TargetMode="External"/><Relationship Id="rId131" Type="http://schemas.openxmlformats.org/officeDocument/2006/relationships/hyperlink" Target="http://www.sec.gov/Archives/edgar/data/1571996/000157199622000025/ex31sixtharcertofdti.htm" TargetMode="External"/><Relationship Id="rId132" Type="http://schemas.openxmlformats.org/officeDocument/2006/relationships/hyperlink" Target="http://www.sec.gov/Archives/edgar/data/1571996/000157199622000025/ex32thirdbylawsofdti.htm" TargetMode="External"/><Relationship Id="rId133" Type="http://schemas.openxmlformats.org/officeDocument/2006/relationships/hyperlink" Target="http://www.sec.gov/Archives/edgar/data/790070/000119312521117831/d131098dex37.htm" TargetMode="External"/><Relationship Id="rId134" Type="http://schemas.openxmlformats.org/officeDocument/2006/relationships/hyperlink" Target="http://www.sec.gov/Archives/edgar/data/790070/000119312521117831/d131098dex38.htm" TargetMode="External"/><Relationship Id="rId136" Type="http://schemas.openxmlformats.org/officeDocument/2006/relationships/hyperlink" Target="http://www.sec.gov/Archives/edgar/data/790070/000119312521117831/d131098dex361.htm" TargetMode="External"/><Relationship Id="rId137" Type="http://schemas.openxmlformats.org/officeDocument/2006/relationships/hyperlink" Target="http://www.sec.gov/Archives/edgar/data/790070/000119312521117831/d131098dex362.htm" TargetMode="External"/><Relationship Id="rId138" Type="http://schemas.openxmlformats.org/officeDocument/2006/relationships/hyperlink" Target="http://www.sec.gov/Archives/edgar/data/826083/0000950134-98-003605.txt" TargetMode="External"/><Relationship Id="rId139" Type="http://schemas.openxmlformats.org/officeDocument/2006/relationships/hyperlink" Target="http://www.sec.gov/Archives/edgar/data/826083/000095013408006801/d55879exv4w1.htm" TargetMode="External"/><Relationship Id="rId140" Type="http://schemas.openxmlformats.org/officeDocument/2006/relationships/hyperlink" Target="http://www.sec.gov/Archives/edgar/data/826083/000119312509073812/dex41.htm" TargetMode="External"/><Relationship Id="rId141" Type="http://schemas.openxmlformats.org/officeDocument/2006/relationships/hyperlink" Target="http://www.sec.gov/Archives/edgar/data/826083/000095012310085135/d75835exv4w1.htm" TargetMode="External"/><Relationship Id="rId142" Type="http://schemas.openxmlformats.org/officeDocument/2006/relationships/hyperlink" Target="http://www.sec.gov/Archives/edgar/data/1571996/000119312516611855/d73946dex414.htm" TargetMode="External"/><Relationship Id="rId143" Type="http://schemas.openxmlformats.org/officeDocument/2006/relationships/hyperlink" Target="http://www.sec.gov/Archives/edgar/data/1571996/000119312516611855/d73946dex421.htm" TargetMode="External"/><Relationship Id="rId144" Type="http://schemas.openxmlformats.org/officeDocument/2006/relationships/hyperlink" Target="http://www.sec.gov/Archives/edgar/data/1571996/000119312516611855/d73946dex423.htm" TargetMode="External"/><Relationship Id="rId145" Type="http://schemas.openxmlformats.org/officeDocument/2006/relationships/hyperlink" Target="http://www.sec.gov/Archives/edgar/data/1571996/000119312516611855/d73946dex425.htm" TargetMode="External"/><Relationship Id="rId146" Type="http://schemas.openxmlformats.org/officeDocument/2006/relationships/hyperlink" Target="http://www.sec.gov/Archives/edgar/data/1571996/000119312516706567/d238698dex41.htm" TargetMode="External"/><Relationship Id="rId148" Type="http://schemas.openxmlformats.org/officeDocument/2006/relationships/hyperlink" Target="http://www.sec.gov/Archives/edgar/data/1571996/000119312516706567/d238698dex42.htm" TargetMode="External"/><Relationship Id="rId149" Type="http://schemas.openxmlformats.org/officeDocument/2006/relationships/hyperlink" Target="http://www.sec.gov/Archives/edgar/data/1571996/000119312516706567/d238698dex43.htm" TargetMode="External"/><Relationship Id="rId150" Type="http://schemas.openxmlformats.org/officeDocument/2006/relationships/hyperlink" Target="http://www.sec.gov/Archives/edgar/data/1571996/000157199619000008/exhibit432_020119.htm" TargetMode="External"/><Relationship Id="rId151" Type="http://schemas.openxmlformats.org/officeDocument/2006/relationships/hyperlink" Target="http://www.sec.gov/Archives/edgar/data/1571996/000119312519082281/d708174dex411.htm" TargetMode="External"/><Relationship Id="rId152" Type="http://schemas.openxmlformats.org/officeDocument/2006/relationships/hyperlink" Target="http://www.sec.gov/Archives/edgar/data/1571996/000119312519082281/d708174dex41.htm" TargetMode="External"/><Relationship Id="rId153" Type="http://schemas.openxmlformats.org/officeDocument/2006/relationships/hyperlink" Target="http://www.sec.gov/Archives/edgar/data/1571996/000119312519082281/d708174dex42.htm" TargetMode="External"/><Relationship Id="rId154" Type="http://schemas.openxmlformats.org/officeDocument/2006/relationships/hyperlink" Target="http://www.sec.gov/Archives/edgar/data/1571996/000119312519082281/d708174dex43.htm" TargetMode="External"/><Relationship Id="rId155" Type="http://schemas.openxmlformats.org/officeDocument/2006/relationships/hyperlink" Target="http://www.sec.gov/Archives/edgar/data/1571996/000119312519082281/d708174dex44.htm" TargetMode="External"/><Relationship Id="rId157" Type="http://schemas.openxmlformats.org/officeDocument/2006/relationships/hyperlink" Target="http://www.sec.gov/Archives/edgar/data/1571996/000119312520102602/d912603dex41.htm" TargetMode="External"/><Relationship Id="rId158" Type="http://schemas.openxmlformats.org/officeDocument/2006/relationships/hyperlink" Target="http://www.sec.gov/Archives/edgar/data/1571996/000119312520102602/d912603dex42.htm" TargetMode="External"/><Relationship Id="rId159" Type="http://schemas.openxmlformats.org/officeDocument/2006/relationships/hyperlink" Target="http://www.sec.gov/Archives/edgar/data/1571996/000119312520102602/d912603dex43.htm" TargetMode="External"/><Relationship Id="rId160" Type="http://schemas.openxmlformats.org/officeDocument/2006/relationships/hyperlink" Target="http://www.sec.gov/Archives/edgar/data/1571996/000119312520102602/d912603dex44.htm" TargetMode="External"/><Relationship Id="rId161" Type="http://schemas.openxmlformats.org/officeDocument/2006/relationships/hyperlink" Target="http://www.sec.gov/Archives/edgar/data/1571996/000119312521357927/d146295dex41.htm" TargetMode="External"/><Relationship Id="rId162" Type="http://schemas.openxmlformats.org/officeDocument/2006/relationships/hyperlink" Target="http://www.sec.gov/Archives/edgar/data/1571996/000119312521357927/d146295dex42.htm" TargetMode="External"/><Relationship Id="rId163" Type="http://schemas.openxmlformats.org/officeDocument/2006/relationships/hyperlink" Target="http://www.sec.gov/Archives/edgar/data/1571996/000119312521357927/d146295dex43.htm" TargetMode="External"/><Relationship Id="rId164" Type="http://schemas.openxmlformats.org/officeDocument/2006/relationships/hyperlink" Target="http://www.sec.gov/Archives/edgar/data/1571996/000119312521357927/d146295dex44.htm" TargetMode="External"/><Relationship Id="rId166" Type="http://schemas.openxmlformats.org/officeDocument/2006/relationships/hyperlink" Target="http://www.sec.gov/Archives/edgar/data/1571996/000119312518360943/d673794dex104.htm" TargetMode="External"/><Relationship Id="rId167" Type="http://schemas.openxmlformats.org/officeDocument/2006/relationships/hyperlink" Target="http://www.sec.gov/Archives/edgar/data/1571996/000157199620000017/exhibit440fy20.htm" TargetMode="External"/><Relationship Id="rId168" Type="http://schemas.openxmlformats.org/officeDocument/2006/relationships/hyperlink" Target="http://www.sec.gov/Archives/edgar/data/1571996/000157199620000034/exhibit49q1fy21.htm" TargetMode="External"/><Relationship Id="rId169" Type="http://schemas.openxmlformats.org/officeDocument/2006/relationships/hyperlink" Target="http://www.sec.gov/Archives/edgar/data/1571996/000157199620000051/exhibit41q3fy21.htm" TargetMode="External"/><Relationship Id="rId170" Type="http://schemas.openxmlformats.org/officeDocument/2006/relationships/hyperlink" Target="http://www.sec.gov/Archives/edgar/data/1571996/000157199622000009/exhibit433.htm" TargetMode="External"/><Relationship Id="rId171" Type="http://schemas.openxmlformats.org/officeDocument/2006/relationships/hyperlink" Target="http://www.sec.gov/Archives/edgar/data/1571996/000157199622000021/exhibit41q1fy23.htm" TargetMode="External"/><Relationship Id="rId172" Type="http://schemas.openxmlformats.org/officeDocument/2006/relationships/hyperlink" Target="http://www.sec.gov/Archives/edgar/data/1571996/000157199622000031/exhibit41q2fy23.htm" TargetMode="External"/><Relationship Id="rId174" Type="http://schemas.openxmlformats.org/officeDocument/2006/relationships/hyperlink" Target="http://www.sec.gov/Archives/edgar/data/1571996/000157199622000044/exhibit41q3fy23.htm" TargetMode="External"/><Relationship Id="rId175" Type="http://schemas.openxmlformats.org/officeDocument/2006/relationships/hyperlink" Target="http://www.sec.gov/Archives/edgar/data/1571996/000157199623000007/exhibit436fy2310-k.htm" TargetMode="External"/><Relationship Id="rId176" Type="http://schemas.openxmlformats.org/officeDocument/2006/relationships/hyperlink" Target="http://www.sec.gov/Archives/edgar/data/1571996/000157199623000019/exhibit41q1fy24.htm" TargetMode="External"/><Relationship Id="rId177" Type="http://schemas.openxmlformats.org/officeDocument/2006/relationships/hyperlink" Target="http://www.sec.gov/Archives/edgar/data/1571996/000119312523014260/d453590dex41.htm" TargetMode="External"/><Relationship Id="rId178" Type="http://schemas.openxmlformats.org/officeDocument/2006/relationships/hyperlink" Target="http://www.sec.gov/Archives/edgar/data/1571996/000119312523014260/d453590dex42.htm" TargetMode="External"/><Relationship Id="rId179" Type="http://schemas.openxmlformats.org/officeDocument/2006/relationships/hyperlink" Target="http://www.sec.gov/Archives/edgar/data/1571996/000119312523014260/d453590dex43.htm" TargetMode="External"/><Relationship Id="rId180" Type="http://schemas.openxmlformats.org/officeDocument/2006/relationships/hyperlink" Target="http://www.sec.gov/Archives/edgar/data/1571996/000157199623000007/exhibit442fy2310-k.htm" TargetMode="External"/><Relationship Id="rId181" Type="http://schemas.openxmlformats.org/officeDocument/2006/relationships/hyperlink" Target="http://www.sec.gov/Archives/edgar/data/1571996/000157199617000045/exhibit104_110317.htm" TargetMode="External"/><Relationship Id="rId183" Type="http://schemas.openxmlformats.org/officeDocument/2006/relationships/hyperlink" Target="http://www.sec.gov/Archives/edgar/data/1571996/000119312516537298/d73946dex1013.htm" TargetMode="External"/><Relationship Id="rId184" Type="http://schemas.openxmlformats.org/officeDocument/2006/relationships/hyperlink" Target="http://www.sec.gov/Archives/edgar/data/1571996/000157199617000004/exhibit103_020317.htm" TargetMode="External"/><Relationship Id="rId185" Type="http://schemas.openxmlformats.org/officeDocument/2006/relationships/hyperlink" Target="http://www.sec.gov/Archives/edgar/data/1571996/000157199617000004/exhibit104_020317.htm" TargetMode="External"/><Relationship Id="rId186" Type="http://schemas.openxmlformats.org/officeDocument/2006/relationships/hyperlink" Target="http://www.sec.gov/Archives/edgar/data/1571996/000157199620000034/exhibit101q1fy21.htm" TargetMode="External"/><Relationship Id="rId187" Type="http://schemas.openxmlformats.org/officeDocument/2006/relationships/hyperlink" Target="http://www.sec.gov/Archives/edgar/data/1571996/000119312516537298/d73946dex106.htm" TargetMode="External"/><Relationship Id="rId188" Type="http://schemas.openxmlformats.org/officeDocument/2006/relationships/hyperlink" Target="http://www.sec.gov/Archives/edgar/data/1571996/000119312516537298/d73946dex107.htm" TargetMode="External"/><Relationship Id="rId189" Type="http://schemas.openxmlformats.org/officeDocument/2006/relationships/hyperlink" Target="http://www.sec.gov/Archives/edgar/data/1571996/000157199617000004/exhibit1014_020317.htm" TargetMode="External"/><Relationship Id="rId190" Type="http://schemas.openxmlformats.org/officeDocument/2006/relationships/hyperlink" Target="http://www.sec.gov/Archives/edgar/data/1571996/000119312516537298/d73946dex1016.htm" TargetMode="External"/><Relationship Id="rId191" Type="http://schemas.openxmlformats.org/officeDocument/2006/relationships/hyperlink" Target="http://www.sec.gov/Archives/edgar/data/1571996/000157199617000004/exhibit1026_020317.htm" TargetMode="External"/><Relationship Id="rId192" Type="http://schemas.openxmlformats.org/officeDocument/2006/relationships/hyperlink" Target="http://www.sec.gov/Archives/edgar/data/1124610/000112461018000012/vmw-222018x10kex101.htm" TargetMode="External"/><Relationship Id="rId193" Type="http://schemas.openxmlformats.org/officeDocument/2006/relationships/hyperlink" Target="http://www.sec.gov/Archives/edgar/data/1571996/000157199622000044/exhibit101q3fy23.htm" TargetMode="External"/><Relationship Id="rId194" Type="http://schemas.openxmlformats.org/officeDocument/2006/relationships/hyperlink" Target="http://www.sec.gov/Archives/edgar/data/1571996/000157199617000004/exhibit1039_020317.htm" TargetMode="External"/><Relationship Id="rId195" Type="http://schemas.openxmlformats.org/officeDocument/2006/relationships/hyperlink" Target="http://www.sec.gov/Archives/edgar/data/1571996/000157199617000004/exhibit1040_020317.htm" TargetMode="External"/><Relationship Id="rId197" Type="http://schemas.openxmlformats.org/officeDocument/2006/relationships/hyperlink" Target="http://www.sec.gov/Archives/edgar/data/1571996/000157199617000004/exhibit1041_020317.htm" TargetMode="External"/><Relationship Id="rId198" Type="http://schemas.openxmlformats.org/officeDocument/2006/relationships/hyperlink" Target="http://www.sec.gov/Archives/edgar/data/1571996/000157199617000004/exhibit1042_020317.htm" TargetMode="External"/><Relationship Id="rId199" Type="http://schemas.openxmlformats.org/officeDocument/2006/relationships/hyperlink" Target="http://www.sec.gov/Archives/edgar/data/1571996/000157199618000004/exhibit1047_020218.htm" TargetMode="External"/><Relationship Id="rId200" Type="http://schemas.openxmlformats.org/officeDocument/2006/relationships/hyperlink" Target="http://www.sec.gov/Archives/edgar/data/1571996/000157199618000004/exhibit1049_020218.htm" TargetMode="External"/><Relationship Id="rId201" Type="http://schemas.openxmlformats.org/officeDocument/2006/relationships/hyperlink" Target="http://www.sec.gov/Archives/edgar/data/1571996/000157199618000004/exhibit1051_020218.htm" TargetMode="External"/><Relationship Id="rId202" Type="http://schemas.openxmlformats.org/officeDocument/2006/relationships/hyperlink" Target="http://www.sec.gov/Archives/edgar/data/1571996/000119312518293366/d681091dex1010.htm" TargetMode="External"/><Relationship Id="rId203" Type="http://schemas.openxmlformats.org/officeDocument/2006/relationships/hyperlink" Target="http://www.sec.gov/Archives/edgar/data/1571996/000119312518293366/d681091dex1011.htm" TargetMode="External"/><Relationship Id="rId204" Type="http://schemas.openxmlformats.org/officeDocument/2006/relationships/hyperlink" Target="http://www.sec.gov/Archives/edgar/data/1571996/000119312518293366/d681091dex1012.htm" TargetMode="External"/><Relationship Id="rId205" Type="http://schemas.openxmlformats.org/officeDocument/2006/relationships/hyperlink" Target="http://www.sec.gov/Archives/edgar/data/1571996/000119312518293366/d681091dex1013.htm" TargetMode="External"/><Relationship Id="rId206" Type="http://schemas.openxmlformats.org/officeDocument/2006/relationships/hyperlink" Target="http://www.sec.gov/Archives/edgar/data/1571996/000119312518293366/d681091dex1014.htm" TargetMode="External"/><Relationship Id="rId207" Type="http://schemas.openxmlformats.org/officeDocument/2006/relationships/hyperlink" Target="http://www.sec.gov/Archives/edgar/data/1571996/000119312518293366/d681091dex1015.htm" TargetMode="External"/><Relationship Id="rId208" Type="http://schemas.openxmlformats.org/officeDocument/2006/relationships/hyperlink" Target="http://www.sec.gov/Archives/edgar/data/1571996/000119312518293366/d681091dex1016.htm" TargetMode="External"/><Relationship Id="rId210" Type="http://schemas.openxmlformats.org/officeDocument/2006/relationships/hyperlink" Target="http://www.sec.gov/Archives/edgar/data/1571996/000119312518293366/d681091dex1017.htm" TargetMode="External"/><Relationship Id="rId211" Type="http://schemas.openxmlformats.org/officeDocument/2006/relationships/hyperlink" Target="http://www.sec.gov/Archives/edgar/data/1571996/000119312518293366/d681091dex1018.htm" TargetMode="External"/><Relationship Id="rId212" Type="http://schemas.openxmlformats.org/officeDocument/2006/relationships/hyperlink" Target="http://www.sec.gov/Archives/edgar/data/1571996/000119312518293366/d681091dex1019.htm" TargetMode="External"/><Relationship Id="rId213" Type="http://schemas.openxmlformats.org/officeDocument/2006/relationships/hyperlink" Target="http://www.sec.gov/Archives/edgar/data/1571996/000119312518293366/d681091dex1020.htm" TargetMode="External"/><Relationship Id="rId214" Type="http://schemas.openxmlformats.org/officeDocument/2006/relationships/hyperlink" Target="http://www.sec.gov/Archives/edgar/data/1571996/000119312518293366/d681091dex1021.htm" TargetMode="External"/><Relationship Id="rId215" Type="http://schemas.openxmlformats.org/officeDocument/2006/relationships/hyperlink" Target="http://www.sec.gov/Archives/edgar/data/1571996/000157199619000032/a2013stockincentiveplanjul.htm" TargetMode="External"/><Relationship Id="rId216" Type="http://schemas.openxmlformats.org/officeDocument/2006/relationships/hyperlink" Target="http://www.sec.gov/Archives/edgar/data/1571996/000157199620000051/exhibit101q3fy21.htm" TargetMode="External"/><Relationship Id="rId217" Type="http://schemas.openxmlformats.org/officeDocument/2006/relationships/hyperlink" Target="http://www.sec.gov/Archives/edgar/data/1571996/000119312518210339/d880259dex102.htm" TargetMode="External"/><Relationship Id="rId218" Type="http://schemas.openxmlformats.org/officeDocument/2006/relationships/hyperlink" Target="http://www.sec.gov/Archives/edgar/data/1571996/000119312518328110/d655711dex106.htm" TargetMode="External"/><Relationship Id="rId219" Type="http://schemas.openxmlformats.org/officeDocument/2006/relationships/hyperlink" Target="http://www.sec.gov/Archives/edgar/data/1571996/000119312518360943/d673794dex101.htm" TargetMode="External"/><Relationship Id="rId220" Type="http://schemas.openxmlformats.org/officeDocument/2006/relationships/hyperlink" Target="http://www.sec.gov/Archives/edgar/data/1571996/000119312518360943/d673794dex102.htm" TargetMode="External"/><Relationship Id="rId222" Type="http://schemas.openxmlformats.org/officeDocument/2006/relationships/hyperlink" Target="http://www.sec.gov/Archives/edgar/data/1571996/000119312518360943/d673794dex105.htm" TargetMode="External"/><Relationship Id="rId223" Type="http://schemas.openxmlformats.org/officeDocument/2006/relationships/hyperlink" Target="http://www.sec.gov/Archives/edgar/data/1571996/000119312518360943/d673794dex106.htm" TargetMode="External"/><Relationship Id="rId224" Type="http://schemas.openxmlformats.org/officeDocument/2006/relationships/hyperlink" Target="http://www.sec.gov/Archives/edgar/data/1571996/000119312518360943/d673794dex107.htm" TargetMode="External"/><Relationship Id="rId225" Type="http://schemas.openxmlformats.org/officeDocument/2006/relationships/hyperlink" Target="http://www.sec.gov/Archives/edgar/data/1571996/000157199619000005/exhibit101formofrsu.htm" TargetMode="External"/><Relationship Id="rId226" Type="http://schemas.openxmlformats.org/officeDocument/2006/relationships/hyperlink" Target="http://www.sec.gov/Archives/edgar/data/1571996/000157199619000005/exhibit102formofprsu.htm" TargetMode="External"/><Relationship Id="rId227" Type="http://schemas.openxmlformats.org/officeDocument/2006/relationships/hyperlink" Target="http://www.sec.gov/Archives/edgar/data/1571996/000157199621000007/exhibit1057fy21.htm" TargetMode="External"/><Relationship Id="rId228" Type="http://schemas.openxmlformats.org/officeDocument/2006/relationships/hyperlink" Target="http://www.sec.gov/Archives/edgar/data/1571996/000119312521315488/d146470dex101.htm" TargetMode="External"/><Relationship Id="rId229" Type="http://schemas.openxmlformats.org/officeDocument/2006/relationships/hyperlink" Target="http://www.sec.gov/Archives/edgar/data/1571996/000157199623000007/exhibit1045fy2310-k.htm" TargetMode="External"/><Relationship Id="rId230" Type="http://schemas.openxmlformats.org/officeDocument/2006/relationships/hyperlink" Target="http://www.sec.gov/Archives/edgar/data/1571996/000157199623000021/exhibit1012023stockincenti.htm" TargetMode="External"/><Relationship Id="rId231" Type="http://schemas.openxmlformats.org/officeDocument/2006/relationships/hyperlink" Target="http://www.sec.gov/Archives/edgar/data/1571996/000119312521315488/d146470dex102.htm" TargetMode="External"/><Relationship Id="rId233" Type="http://schemas.openxmlformats.org/officeDocument/2006/relationships/hyperlink" Target="http://www.sec.gov/Archives/edgar/data/1571996/000157199623000007/exhibit1047fy2310-k.htm" TargetMode="External"/><Relationship Id="rId234" Type="http://schemas.openxmlformats.org/officeDocument/2006/relationships/hyperlink" Target="http://www.sec.gov/Archives/edgar/data/1571996/000157199623000007/exhibit1048fy2310-k.htm" TargetMode="External"/><Relationship Id="rId235" Type="http://schemas.openxmlformats.org/officeDocument/2006/relationships/hyperlink" Target="http://www.sec.gov/Archives/edgar/data/1571996/000157199623000007/exhibit211fy2310-k.htm" TargetMode="External"/><Relationship Id="rId236" Type="http://schemas.openxmlformats.org/officeDocument/2006/relationships/hyperlink" Target="http://www.sec.gov/Archives/edgar/data/1571996/000157199623000019/exhibit221q1fy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2023-08-15T15:32:07Z</dcterms:created>
  <dcterms:modified xsi:type="dcterms:W3CDTF">2023-08-15T15:32:07Z</dcterms:modified>
</cp:coreProperties>
</file>