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29" w:lineRule="exact"/>
        <w:rPr>
          <w:sz w:val="24"/>
          <w:szCs w:val="24"/>
          <w:color w:val="auto"/>
        </w:rPr>
      </w:pPr>
    </w:p>
    <w:p>
      <w:pPr>
        <w:sectPr>
          <w:pgSz w:w="11900" w:h="16838" w:orient="portrait"/>
          <w:cols w:equalWidth="0" w:num="2">
            <w:col w:w="2320" w:space="360"/>
            <w:col w:w="8300"/>
          </w:cols>
          <w:pgMar w:left="460" w:top="214" w:right="459" w:bottom="901"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5"/>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Silver Lake Partners V DE (AIV), L.P.</w:t>
              </w:r>
            </w:hyperlink>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1740" w:type="dxa"/>
            <w:vAlign w:val="bottom"/>
            <w:gridSpan w:val="3"/>
            <w:vMerge w:val="restart"/>
          </w:tcPr>
          <w:p>
            <w:pPr>
              <w:ind w:left="6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40" w:type="dxa"/>
            <w:vAlign w:val="bottom"/>
            <w:gridSpan w:val="3"/>
            <w:vMerge w:val="restart"/>
          </w:tcPr>
          <w:p>
            <w:pPr>
              <w:ind w:left="6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100"/>
              <w:spacing w:after="0"/>
              <w:rPr>
                <w:sz w:val="20"/>
                <w:szCs w:val="20"/>
                <w:color w:val="auto"/>
              </w:rPr>
            </w:pPr>
            <w:r>
              <w:rPr>
                <w:rFonts w:ascii="Arial" w:cs="Arial" w:eastAsia="Arial" w:hAnsi="Arial"/>
                <w:sz w:val="12"/>
                <w:szCs w:val="12"/>
                <w:color w:val="auto"/>
              </w:rPr>
              <w:t>(First)</w:t>
            </w:r>
          </w:p>
        </w:tc>
        <w:tc>
          <w:tcPr>
            <w:tcW w:w="560" w:type="dxa"/>
            <w:vAlign w:val="bottom"/>
          </w:tcPr>
          <w:p>
            <w:pPr>
              <w:ind w:left="4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2"/>
                <w:szCs w:val="12"/>
                <w:color w:val="auto"/>
              </w:rPr>
              <w:t>below)</w:t>
            </w:r>
          </w:p>
        </w:tc>
        <w:tc>
          <w:tcPr>
            <w:tcW w:w="980" w:type="dxa"/>
            <w:vAlign w:val="bottom"/>
          </w:tcPr>
          <w:p>
            <w:pPr>
              <w:ind w:left="600"/>
              <w:spacing w:after="0"/>
              <w:rPr>
                <w:sz w:val="20"/>
                <w:szCs w:val="20"/>
                <w:color w:val="auto"/>
              </w:rPr>
            </w:pPr>
            <w:r>
              <w:rPr>
                <w:rFonts w:ascii="Arial" w:cs="Arial" w:eastAsia="Arial" w:hAnsi="Arial"/>
                <w:sz w:val="12"/>
                <w:szCs w:val="12"/>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0000FF"/>
              </w:rPr>
              <w:t>06/03/2026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60" w:type="dxa"/>
            <w:vAlign w:val="bottom"/>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Pr>
          <w:p>
            <w:pPr>
              <w:spacing w:after="0"/>
              <w:rPr>
                <w:sz w:val="13"/>
                <w:szCs w:val="13"/>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Line)</w:t>
            </w: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00"/>
              <w:spacing w:after="0"/>
              <w:rPr>
                <w:sz w:val="20"/>
                <w:szCs w:val="20"/>
                <w:color w:val="auto"/>
              </w:rPr>
            </w:pPr>
            <w:r>
              <w:rPr>
                <w:rFonts w:ascii="Arial" w:cs="Arial" w:eastAsia="Arial" w:hAnsi="Arial"/>
                <w:sz w:val="12"/>
                <w:szCs w:val="12"/>
                <w:color w:val="auto"/>
              </w:rPr>
              <w:t>(State)</w:t>
            </w:r>
          </w:p>
        </w:tc>
        <w:tc>
          <w:tcPr>
            <w:tcW w:w="560" w:type="dxa"/>
            <w:vAlign w:val="bottom"/>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000" w:type="dxa"/>
            <w:vAlign w:val="bottom"/>
            <w:tcBorders>
              <w:top w:val="single" w:sz="8" w:color="2C2C2C"/>
            </w:tcBorders>
            <w:gridSpan w:val="16"/>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60" w:type="dxa"/>
            <w:vAlign w:val="bottom"/>
          </w:tcPr>
          <w:p>
            <w:pPr>
              <w:spacing w:after="0"/>
              <w:rPr>
                <w:sz w:val="14"/>
                <w:szCs w:val="14"/>
                <w:color w:val="auto"/>
              </w:rPr>
            </w:pPr>
          </w:p>
        </w:tc>
        <w:tc>
          <w:tcPr>
            <w:tcW w:w="1080" w:type="dxa"/>
            <w:vAlign w:val="bottom"/>
            <w:gridSpan w:val="6"/>
          </w:tcPr>
          <w:p>
            <w:pPr>
              <w:ind w:left="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1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6"/>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80" w:type="dxa"/>
            <w:vAlign w:val="bottom"/>
          </w:tcPr>
          <w:p>
            <w:pPr>
              <w:spacing w:after="0"/>
              <w:rPr>
                <w:sz w:val="5"/>
                <w:szCs w:val="5"/>
                <w:color w:val="auto"/>
              </w:rPr>
            </w:pPr>
          </w:p>
        </w:tc>
        <w:tc>
          <w:tcPr>
            <w:tcW w:w="76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49,738</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129,644</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13,345</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420.22</w:t>
            </w:r>
            <w:r>
              <w:rPr>
                <w:rFonts w:ascii="Times New Roman" w:cs="Times New Roman" w:eastAsia="Times New Roman" w:hAnsi="Times New Roman"/>
                <w:sz w:val="20"/>
                <w:szCs w:val="20"/>
                <w:color w:val="008000"/>
                <w:w w:val="93"/>
                <w:vertAlign w:val="superscript"/>
              </w:rPr>
              <w:t>(10)</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116,299</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10,126</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421.2</w:t>
            </w:r>
            <w:r>
              <w:rPr>
                <w:rFonts w:ascii="Times New Roman" w:cs="Times New Roman" w:eastAsia="Times New Roman" w:hAnsi="Times New Roman"/>
                <w:sz w:val="20"/>
                <w:szCs w:val="20"/>
                <w:color w:val="008000"/>
                <w:w w:val="92"/>
                <w:vertAlign w:val="superscript"/>
              </w:rPr>
              <w:t>(11)</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106,174</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4"/>
            <w:vMerge w:val="restart"/>
          </w:tcPr>
          <w:p>
            <w:pPr>
              <w:jc w:val="center"/>
              <w:ind w:right="6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vMerge w:val="restart"/>
          </w:tcPr>
          <w:p>
            <w:pPr>
              <w:jc w:val="center"/>
              <w:ind w:left="28"/>
              <w:spacing w:after="0"/>
              <w:rPr>
                <w:sz w:val="20"/>
                <w:szCs w:val="20"/>
                <w:color w:val="auto"/>
              </w:rPr>
            </w:pPr>
            <w:r>
              <w:rPr>
                <w:rFonts w:ascii="Times New Roman" w:cs="Times New Roman" w:eastAsia="Times New Roman" w:hAnsi="Times New Roman"/>
                <w:sz w:val="16"/>
                <w:szCs w:val="16"/>
                <w:color w:val="0000FF"/>
                <w:w w:val="99"/>
              </w:rPr>
              <w:t>80</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422.04</w:t>
            </w:r>
            <w:r>
              <w:rPr>
                <w:rFonts w:ascii="Times New Roman" w:cs="Times New Roman" w:eastAsia="Times New Roman" w:hAnsi="Times New Roman"/>
                <w:sz w:val="20"/>
                <w:szCs w:val="20"/>
                <w:color w:val="008000"/>
                <w:w w:val="93"/>
                <w:vertAlign w:val="superscript"/>
              </w:rPr>
              <w:t>(12)</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106,094</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2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4"/>
          </w:tcPr>
          <w:p>
            <w:pPr>
              <w:jc w:val="center"/>
              <w:ind w:right="6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Pr>
          <w:p>
            <w:pPr>
              <w:jc w:val="center"/>
              <w:ind w:left="28"/>
              <w:spacing w:after="0"/>
              <w:rPr>
                <w:sz w:val="20"/>
                <w:szCs w:val="20"/>
                <w:color w:val="auto"/>
              </w:rPr>
            </w:pPr>
            <w:r>
              <w:rPr>
                <w:rFonts w:ascii="Times New Roman" w:cs="Times New Roman" w:eastAsia="Times New Roman" w:hAnsi="Times New Roman"/>
                <w:sz w:val="16"/>
                <w:szCs w:val="16"/>
                <w:color w:val="0000FF"/>
                <w:w w:val="99"/>
              </w:rPr>
              <w:t>3,560</w:t>
            </w:r>
          </w:p>
        </w:tc>
        <w:tc>
          <w:tcPr>
            <w:tcW w:w="5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tcPr>
          <w:p>
            <w:pPr>
              <w:jc w:val="center"/>
              <w:spacing w:after="0" w:line="218" w:lineRule="exact"/>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425.37</w:t>
            </w:r>
            <w:r>
              <w:rPr>
                <w:rFonts w:ascii="Times New Roman" w:cs="Times New Roman" w:eastAsia="Times New Roman" w:hAnsi="Times New Roman"/>
                <w:sz w:val="20"/>
                <w:szCs w:val="20"/>
                <w:color w:val="008000"/>
                <w:w w:val="93"/>
                <w:vertAlign w:val="superscript"/>
              </w:rPr>
              <w:t>(13)</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102,533</w:t>
            </w:r>
          </w:p>
        </w:tc>
        <w:tc>
          <w:tcPr>
            <w:tcW w:w="9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bl>
    <w:p>
      <w:pPr>
        <w:ind w:left="10240"/>
        <w:spacing w:after="0"/>
        <w:rPr>
          <w:sz w:val="20"/>
          <w:szCs w:val="20"/>
          <w:color w:val="auto"/>
        </w:rPr>
      </w:pPr>
      <w:r>
        <w:rPr>
          <w:rFonts w:ascii="Times New Roman" w:cs="Times New Roman" w:eastAsia="Times New Roman" w:hAnsi="Times New Roman"/>
          <w:sz w:val="16"/>
          <w:szCs w:val="16"/>
          <w:color w:val="0000FF"/>
        </w:rPr>
        <w:t>Partners</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V DE</w:t>
      </w:r>
    </w:p>
    <w:p>
      <w:pPr>
        <w:spacing w:after="0" w:line="1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(AIV),</w:t>
      </w:r>
    </w:p>
    <w:p>
      <w:pPr>
        <w:ind w:left="1024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4" w:right="459" w:bottom="901"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40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jc w:val="center"/>
              <w:ind w:left="588"/>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4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color w:val="0000FF"/>
              </w:rPr>
              <w:t>1,319</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426.43</w:t>
            </w:r>
            <w:r>
              <w:rPr>
                <w:rFonts w:ascii="Times New Roman" w:cs="Times New Roman" w:eastAsia="Times New Roman" w:hAnsi="Times New Roman"/>
                <w:sz w:val="20"/>
                <w:szCs w:val="20"/>
                <w:color w:val="008000"/>
                <w:w w:val="93"/>
                <w:vertAlign w:val="superscript"/>
              </w:rPr>
              <w:t>(14)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101,214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color w:val="0000FF"/>
              </w:rPr>
              <w:t>1,977</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427.58</w:t>
            </w:r>
            <w:r>
              <w:rPr>
                <w:rFonts w:ascii="Times New Roman" w:cs="Times New Roman" w:eastAsia="Times New Roman" w:hAnsi="Times New Roman"/>
                <w:sz w:val="20"/>
                <w:szCs w:val="20"/>
                <w:color w:val="008000"/>
                <w:w w:val="93"/>
                <w:vertAlign w:val="superscript"/>
              </w:rPr>
              <w:t>(15)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99,237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color w:val="0000FF"/>
              </w:rPr>
              <w:t>1,283</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428.4</w:t>
            </w:r>
            <w:r>
              <w:rPr>
                <w:rFonts w:ascii="Times New Roman" w:cs="Times New Roman" w:eastAsia="Times New Roman" w:hAnsi="Times New Roman"/>
                <w:sz w:val="20"/>
                <w:szCs w:val="20"/>
                <w:color w:val="008000"/>
                <w:w w:val="92"/>
                <w:vertAlign w:val="superscript"/>
              </w:rPr>
              <w:t>(16)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97,954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color w:val="0000FF"/>
              </w:rPr>
              <w:t>1,630</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429.61</w:t>
            </w:r>
            <w:r>
              <w:rPr>
                <w:rFonts w:ascii="Times New Roman" w:cs="Times New Roman" w:eastAsia="Times New Roman" w:hAnsi="Times New Roman"/>
                <w:sz w:val="20"/>
                <w:szCs w:val="20"/>
                <w:color w:val="008000"/>
                <w:w w:val="93"/>
                <w:vertAlign w:val="superscript"/>
              </w:rPr>
              <w:t>(17)</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96,324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vMerge w:val="restart"/>
          </w:tcPr>
          <w:p>
            <w:pPr>
              <w:jc w:val="center"/>
              <w:ind w:left="608"/>
              <w:spacing w:after="0"/>
              <w:rPr>
                <w:sz w:val="20"/>
                <w:szCs w:val="20"/>
                <w:color w:val="auto"/>
              </w:rPr>
            </w:pPr>
            <w:r>
              <w:rPr>
                <w:rFonts w:ascii="Times New Roman" w:cs="Times New Roman" w:eastAsia="Times New Roman" w:hAnsi="Times New Roman"/>
                <w:sz w:val="16"/>
                <w:szCs w:val="16"/>
                <w:color w:val="0000FF"/>
              </w:rPr>
              <w:t>06/03/2026</w:t>
            </w:r>
          </w:p>
        </w:tc>
        <w:tc>
          <w:tcPr>
            <w:tcW w:w="1040" w:type="dxa"/>
            <w:vAlign w:val="bottom"/>
          </w:tcPr>
          <w:p>
            <w:pPr>
              <w:spacing w:after="0"/>
              <w:rPr>
                <w:sz w:val="17"/>
                <w:szCs w:val="17"/>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color w:val="0000FF"/>
              </w:rPr>
              <w:t>2,117</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430.07</w:t>
            </w:r>
            <w:r>
              <w:rPr>
                <w:rFonts w:ascii="Times New Roman" w:cs="Times New Roman" w:eastAsia="Times New Roman" w:hAnsi="Times New Roman"/>
                <w:sz w:val="20"/>
                <w:szCs w:val="20"/>
                <w:color w:val="008000"/>
                <w:w w:val="93"/>
                <w:vertAlign w:val="superscript"/>
              </w:rPr>
              <w:t>(18)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94,207</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V DE</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(AIV),</w:t>
            </w:r>
          </w:p>
        </w:tc>
        <w:tc>
          <w:tcPr>
            <w:tcW w:w="0" w:type="dxa"/>
            <w:vAlign w:val="bottom"/>
          </w:tcPr>
          <w:p>
            <w:pPr>
              <w:spacing w:after="0"/>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4,891</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11"/>
        </w:trPr>
        <w:tc>
          <w:tcPr>
            <w:tcW w:w="240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00"/>
        </w:trPr>
        <w:tc>
          <w:tcPr>
            <w:tcW w:w="24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4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6"/>
                <w:szCs w:val="16"/>
                <w:color w:val="0000FF"/>
                <w:w w:val="99"/>
              </w:rPr>
              <w:t>4,277</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6"/>
                <w:szCs w:val="16"/>
                <w:color w:val="0000FF"/>
                <w:w w:val="99"/>
              </w:rPr>
              <w:t>129,705</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jc w:val="center"/>
              <w:ind w:right="223"/>
              <w:spacing w:after="0"/>
              <w:rPr>
                <w:sz w:val="20"/>
                <w:szCs w:val="20"/>
                <w:color w:val="auto"/>
              </w:rPr>
            </w:pPr>
            <w:r>
              <w:rPr>
                <w:rFonts w:ascii="Times New Roman" w:cs="Times New Roman" w:eastAsia="Times New Roman" w:hAnsi="Times New Roman"/>
                <w:sz w:val="16"/>
                <w:szCs w:val="16"/>
                <w:color w:val="0000FF"/>
                <w:w w:val="99"/>
              </w:rPr>
              <w:t>1,313,489</w:t>
            </w:r>
          </w:p>
        </w:tc>
        <w:tc>
          <w:tcPr>
            <w:tcW w:w="640" w:type="dxa"/>
            <w:vAlign w:val="bottom"/>
            <w:tcBorders>
              <w:top w:val="single" w:sz="8" w:color="2C2C2C"/>
              <w:bottom w:val="single" w:sz="8" w:color="2C2C2C"/>
            </w:tcBorders>
          </w:tcPr>
          <w:p>
            <w:pPr>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(8)</w:t>
            </w: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6"/>
                <w:szCs w:val="16"/>
                <w:color w:val="0000FF"/>
                <w:w w:val="99"/>
              </w:rPr>
              <w:t>46,753</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8"/>
          </w:tcPr>
          <w:p>
            <w:pPr>
              <w:jc w:val="center"/>
              <w:ind w:right="5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7"/>
          </w:tcPr>
          <w:p>
            <w:pPr>
              <w:jc w:val="center"/>
              <w:ind w:left="47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restart"/>
          </w:tcPr>
          <w:p>
            <w:pPr>
              <w:ind w:left="60"/>
              <w:spacing w:after="0" w:line="263"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82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138"/>
              <w:spacing w:after="0"/>
              <w:rPr>
                <w:sz w:val="20"/>
                <w:szCs w:val="20"/>
                <w:color w:val="auto"/>
              </w:rPr>
            </w:pPr>
            <w:r>
              <w:rPr>
                <w:rFonts w:ascii="Times New Roman" w:cs="Times New Roman" w:eastAsia="Times New Roman" w:hAnsi="Times New Roman"/>
                <w:sz w:val="16"/>
                <w:szCs w:val="16"/>
                <w:color w:val="0000FF"/>
              </w:rPr>
              <w:t>49,738</w:t>
            </w: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06/03/2026</w:t>
            </w: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49,738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2"/>
                <w:szCs w:val="12"/>
                <w:color w:val="0000FF"/>
              </w:rPr>
              <w:t>9,870,299</w:t>
            </w: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V</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0000FF"/>
              </w:rPr>
              <w:t>DE (AIV),</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gridSpan w:val="3"/>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-2064385</wp:posOffset>
            </wp:positionV>
            <wp:extent cx="28575" cy="2183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183765"/>
                    </a:xfrm>
                    <a:prstGeom prst="rect">
                      <a:avLst/>
                    </a:prstGeom>
                    <a:noFill/>
                  </pic:spPr>
                </pic:pic>
              </a:graphicData>
            </a:graphic>
          </wp:anchor>
        </w:drawing>
      </w:r>
    </w:p>
    <w:p>
      <w:pPr>
        <w:sectPr>
          <w:pgSz w:w="11900" w:h="16838" w:orient="portrait"/>
          <w:cols w:equalWidth="0" w:num="1">
            <w:col w:w="11080"/>
          </w:cols>
          <w:pgMar w:left="460" w:top="189" w:right="359" w:bottom="0" w:gutter="0" w:footer="0" w:header="0"/>
        </w:sectPr>
      </w:pPr>
    </w:p>
    <w:bookmarkStart w:id="2" w:name="page3"/>
    <w:bookmarkEnd w:id="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16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8500" cy="101625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3"/>
        </w:trPr>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jc w:val="center"/>
              <w:ind w:right="1081"/>
              <w:spacing w:after="0"/>
              <w:rPr>
                <w:sz w:val="20"/>
                <w:szCs w:val="20"/>
                <w:color w:val="auto"/>
              </w:rPr>
            </w:pPr>
            <w:r>
              <w:rPr>
                <w:rFonts w:ascii="Times New Roman" w:cs="Times New Roman" w:eastAsia="Times New Roman" w:hAnsi="Times New Roman"/>
                <w:sz w:val="12"/>
                <w:szCs w:val="12"/>
                <w:color w:val="0000FF"/>
              </w:rPr>
              <w:t>Class C</w:t>
            </w: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13" w:lineRule="exact"/>
              <w:rPr>
                <w:sz w:val="20"/>
                <w:szCs w:val="20"/>
                <w:color w:val="auto"/>
              </w:rPr>
            </w:pPr>
            <w:r>
              <w:rPr>
                <w:rFonts w:ascii="Times New Roman" w:cs="Times New Roman" w:eastAsia="Times New Roman" w:hAnsi="Times New Roman"/>
                <w:sz w:val="12"/>
                <w:szCs w:val="12"/>
                <w:color w:val="0000FF"/>
              </w:rPr>
              <w:t>Common</w:t>
            </w:r>
          </w:p>
        </w:tc>
        <w:tc>
          <w:tcPr>
            <w:tcW w:w="4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120" w:type="dxa"/>
            <w:vAlign w:val="bottom"/>
            <w:gridSpan w:val="6"/>
            <w:vMerge w:val="restart"/>
          </w:tcPr>
          <w:p>
            <w:pPr>
              <w:ind w:left="2700"/>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color w:val="008000"/>
              </w:rPr>
              <w:t>(2)</w:t>
            </w:r>
          </w:p>
        </w:tc>
        <w:tc>
          <w:tcPr>
            <w:tcW w:w="1940" w:type="dxa"/>
            <w:vAlign w:val="bottom"/>
            <w:vMerge w:val="restart"/>
          </w:tcPr>
          <w:p>
            <w:pPr>
              <w:ind w:left="160"/>
              <w:spacing w:after="0" w:line="113"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13"/>
                <w:szCs w:val="13"/>
                <w:color w:val="0000FF"/>
              </w:rPr>
              <w:t>36,386,615</w:t>
            </w:r>
          </w:p>
        </w:tc>
        <w:tc>
          <w:tcPr>
            <w:tcW w:w="1280" w:type="dxa"/>
            <w:vAlign w:val="bottom"/>
            <w:vMerge w:val="restart"/>
          </w:tcPr>
          <w:p>
            <w:pPr>
              <w:jc w:val="right"/>
              <w:ind w:right="198"/>
              <w:spacing w:after="0" w:line="113" w:lineRule="exact"/>
              <w:rPr>
                <w:sz w:val="20"/>
                <w:szCs w:val="20"/>
                <w:color w:val="auto"/>
              </w:rPr>
            </w:pPr>
            <w:r>
              <w:rPr>
                <w:rFonts w:ascii="Times New Roman" w:cs="Times New Roman" w:eastAsia="Times New Roman" w:hAnsi="Times New Roman"/>
                <w:sz w:val="12"/>
                <w:szCs w:val="12"/>
                <w:color w:val="0000FF"/>
              </w:rPr>
              <w:t>36,386,615</w:t>
            </w:r>
          </w:p>
        </w:tc>
        <w:tc>
          <w:tcPr>
            <w:tcW w:w="480" w:type="dxa"/>
            <w:vAlign w:val="bottom"/>
            <w:vMerge w:val="restart"/>
          </w:tcPr>
          <w:p>
            <w:pPr>
              <w:ind w:left="240"/>
              <w:spacing w:after="0" w:line="113" w:lineRule="exact"/>
              <w:rPr>
                <w:sz w:val="20"/>
                <w:szCs w:val="20"/>
                <w:color w:val="auto"/>
              </w:rPr>
            </w:pPr>
            <w:r>
              <w:rPr>
                <w:rFonts w:ascii="Times New Roman" w:cs="Times New Roman" w:eastAsia="Times New Roman" w:hAnsi="Times New Roman"/>
                <w:sz w:val="12"/>
                <w:szCs w:val="12"/>
                <w:color w:val="0000FF"/>
              </w:rPr>
              <w:t>I</w:t>
            </w: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120" w:type="dxa"/>
            <w:vAlign w:val="bottom"/>
            <w:gridSpan w:val="6"/>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9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880" w:type="dxa"/>
            <w:vAlign w:val="bottom"/>
          </w:tcPr>
          <w:p>
            <w:pPr>
              <w:ind w:left="20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(19)</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120" w:type="dxa"/>
            <w:vAlign w:val="bottom"/>
            <w:gridSpan w:val="6"/>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tcPr>
          <w:p>
            <w:pPr>
              <w:jc w:val="center"/>
              <w:ind w:right="1081"/>
              <w:spacing w:after="0"/>
              <w:rPr>
                <w:sz w:val="20"/>
                <w:szCs w:val="20"/>
                <w:color w:val="auto"/>
              </w:rPr>
            </w:pPr>
            <w:r>
              <w:rPr>
                <w:rFonts w:ascii="Times New Roman" w:cs="Times New Roman" w:eastAsia="Times New Roman" w:hAnsi="Times New Roman"/>
                <w:sz w:val="12"/>
                <w:szCs w:val="12"/>
                <w:color w:val="0000FF"/>
              </w:rPr>
              <w:t>Stock</w:t>
            </w: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12"/>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V DE (AIV), L.P.</w:t>
              </w:r>
            </w:hyperlink>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(Middle)</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gridSpan w:val="3"/>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(Zip)</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80" w:type="dxa"/>
            <w:vAlign w:val="bottom"/>
            <w:gridSpan w:val="12"/>
          </w:tcPr>
          <w:p>
            <w:pPr>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Silver Lake Technology Associates V, L.P.</w:t>
              </w:r>
            </w:hyperlink>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(Middle)</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gridSpan w:val="3"/>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(Zip)</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6"/>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V (GP), L.L.C.</w:t>
              </w:r>
            </w:hyperlink>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(Middle)</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gridSpan w:val="3"/>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(Zip)</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6"/>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(Middle)</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gridSpan w:val="3"/>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(Zip)</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6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Durban Egon</w:t>
              </w:r>
            </w:hyperlink>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(Middle)</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gridSpan w:val="3"/>
          </w:tcPr>
          <w:p>
            <w:pPr>
              <w:spacing w:after="0"/>
              <w:rPr>
                <w:sz w:val="12"/>
                <w:szCs w:val="12"/>
                <w:color w:val="auto"/>
              </w:rPr>
            </w:pPr>
          </w:p>
        </w:tc>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3120" w:type="dxa"/>
            <w:vAlign w:val="bottom"/>
            <w:gridSpan w:val="6"/>
          </w:tcPr>
          <w:p>
            <w:pPr>
              <w:ind w:left="140"/>
              <w:spacing w:after="0"/>
              <w:rPr>
                <w:sz w:val="20"/>
                <w:szCs w:val="20"/>
                <w:color w:val="auto"/>
              </w:rPr>
            </w:pPr>
            <w:r>
              <w:rPr>
                <w:rFonts w:ascii="Arial" w:cs="Arial" w:eastAsia="Arial" w:hAnsi="Arial"/>
                <w:sz w:val="12"/>
                <w:szCs w:val="12"/>
                <w:color w:val="auto"/>
              </w:rPr>
              <w:t>(Zip)</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40" w:right="20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3, 2026 and initiated in-kind distributions of shares of Class C Common</w:t>
      </w:r>
    </w:p>
    <w:p>
      <w:pPr>
        <w:sectPr>
          <w:pgSz w:w="11900" w:h="16860" w:orient="portrait"/>
          <w:cols w:equalWidth="0" w:num="1">
            <w:col w:w="11080"/>
          </w:cols>
          <w:pgMar w:left="460" w:top="189" w:right="359" w:bottom="0" w:gutter="0" w:footer="0" w:header="0"/>
        </w:sectPr>
      </w:pPr>
    </w:p>
    <w:bookmarkStart w:id="3" w:name="page4"/>
    <w:bookmarkEnd w:id="3"/>
    <w:p>
      <w:pPr>
        <w:ind w:left="3"/>
        <w:spacing w:after="0"/>
        <w:rPr>
          <w:sz w:val="20"/>
          <w:szCs w:val="20"/>
          <w:color w:val="auto"/>
        </w:rPr>
      </w:pPr>
      <w:r>
        <w:rPr>
          <w:rFonts w:ascii="Times New Roman" w:cs="Times New Roman" w:eastAsia="Times New Roman" w:hAnsi="Times New Roman"/>
          <w:sz w:val="12"/>
          <w:szCs w:val="12"/>
          <w:color w:val="008000"/>
        </w:rPr>
        <w:t>Stock on June 3, 2026. The receipt of shares of Class C Common Stock by each of the Reporting Persons in connection with such distributions was exempt from reporting pursuant to Rule 16a-13 of the Exchange Act.</w:t>
      </w:r>
    </w:p>
    <w:p>
      <w:pPr>
        <w:spacing w:after="0" w:line="49" w:lineRule="exact"/>
        <w:rPr>
          <w:sz w:val="20"/>
          <w:szCs w:val="20"/>
          <w:color w:val="auto"/>
        </w:rPr>
      </w:pPr>
    </w:p>
    <w:p>
      <w:pPr>
        <w:ind w:left="3" w:right="40"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3, 2026, certain of the Reporting Persons converted shares of Class B Common Stock into an equal number of shares of Class C Common Stock in connection with the sales and distributions described in footnote (1) above.</w:t>
      </w:r>
    </w:p>
    <w:p>
      <w:pPr>
        <w:spacing w:after="0" w:line="13" w:lineRule="exact"/>
        <w:rPr>
          <w:rFonts w:ascii="Times New Roman" w:cs="Times New Roman" w:eastAsia="Times New Roman" w:hAnsi="Times New Roman"/>
          <w:sz w:val="12"/>
          <w:szCs w:val="12"/>
          <w:color w:val="008000"/>
        </w:rPr>
      </w:pPr>
    </w:p>
    <w:p>
      <w:pPr>
        <w:ind w:left="3"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ind w:left="3" w:right="36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ind w:left="3" w:right="30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3, 2026. The receipt of such shares of Class C Common Stock was exempt from reporting pursuant to Rule 16a-13 of the Exchange Act.</w:t>
      </w:r>
    </w:p>
    <w:p>
      <w:pPr>
        <w:ind w:left="3" w:right="2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3, 2026. The receipt of such shares of Class C Common Stock indirectly by Mr. Durban was exempt from reporting pursuant to Rule 16a-13 of the Exchange Act.</w:t>
      </w:r>
    </w:p>
    <w:p>
      <w:pPr>
        <w:ind w:left="3" w:right="120"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14,785 and 90,357 shares held by SLTA SPV-2, L.P., Silver Lake Technology Associates V, L.P. and SLG, respectively, on behalf of such individuals, including shares distributed in the June 3, 2026 distributions. The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3" w:right="24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3, 2026. The receipt of such shares of Class C Common Stock was exempt from reporting pursuant to Rule 16a-13 of the Exchange Act. Mr. Durban has filed a separate Form 4 reporting transactions in securities of the Issuer on June 3, 2026.</w:t>
      </w:r>
    </w:p>
    <w:p>
      <w:pPr>
        <w:ind w:left="3" w:right="14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3, 2026. The receipt of such shares of Class C Common Stock indirectly by Mr. Durban was exempt from reporting pursuant to Rule 16a-13 of the Exchange Act.</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$420.0000 to $420.9918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10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$421.0000 to $421.9800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$422.0200 to $422.0500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$425.0000 to $425.9500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$426.0000 to $426.8900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$427.0000 to $427.9700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$428.0000 to $428.9058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$429.0000 to $429.9993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$430.0000 to $430.9900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SL SPV-2, L.P. directly holds 17,762,868 shares of Class B Common Stock, Silver Lake Partners IV, L.P. directly holds 18,234,475 shares of Class B Common Stock, Silver Lake Technology Investors IV, L.P. directly holds 268,289 shares of Class B Common Stock and Silver Lake Technology Investors V, L.P. directly holds 120,983 shares of Class B Common Stock, which securities are reported on separate Form 4 filings.</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right="8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903"/>
          </w:cols>
          <w:pgMar w:left="497" w:top="127" w:right="499" w:bottom="144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9824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Partners 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14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2140"/>
          </w:cols>
          <w:pgMar w:left="497" w:top="127" w:right="49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2" TargetMode="External"/><Relationship Id="rId20" Type="http://schemas.openxmlformats.org/officeDocument/2006/relationships/hyperlink" Target="http://www.sec.gov/cgi-bin/browse-edgar?action=getcompany&amp;CIK=0001418226" TargetMode="External"/><Relationship Id="rId21"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2026-06-05T17:20:06Z</dcterms:created>
  <dcterms:modified xsi:type="dcterms:W3CDTF">2026-06-05T17:20:06Z</dcterms:modified>
</cp:coreProperties>
</file>