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340"/>
          </w:cols>
          <w:pgMar w:left="460" w:top="215" w:right="4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2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Technology Investors V, L.P.</w:t>
              </w:r>
            </w:hyperlink>
          </w:p>
        </w:tc>
        <w:tc>
          <w:tcPr>
            <w:tcW w:w="60" w:type="dxa"/>
            <w:vAlign w:val="bottom"/>
          </w:tcPr>
          <w:p>
            <w:pPr>
              <w:spacing w:after="0"/>
              <w:rPr>
                <w:sz w:val="15"/>
                <w:szCs w:val="15"/>
                <w:color w:val="auto"/>
              </w:rPr>
            </w:pPr>
          </w:p>
        </w:tc>
        <w:tc>
          <w:tcPr>
            <w:tcW w:w="2800" w:type="dxa"/>
            <w:vAlign w:val="bottom"/>
            <w:gridSpan w:val="5"/>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Dell Technologies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72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vMerge w:val="restart"/>
          </w:tcPr>
          <w:p>
            <w:pPr>
              <w:ind w:left="220"/>
              <w:spacing w:after="0" w:line="146" w:lineRule="exact"/>
              <w:rPr>
                <w:sz w:val="20"/>
                <w:szCs w:val="20"/>
                <w:color w:val="auto"/>
              </w:rPr>
            </w:pPr>
            <w:r>
              <w:rPr>
                <w:rFonts w:ascii="Arial" w:cs="Arial" w:eastAsia="Arial" w:hAnsi="Arial"/>
                <w:sz w:val="13"/>
                <w:szCs w:val="13"/>
                <w:color w:val="auto"/>
              </w:rPr>
              <w:t>Director</w:t>
            </w:r>
          </w:p>
        </w:tc>
        <w:tc>
          <w:tcPr>
            <w:tcW w:w="1800" w:type="dxa"/>
            <w:vAlign w:val="bottom"/>
            <w:gridSpan w:val="3"/>
            <w:vMerge w:val="restart"/>
          </w:tcPr>
          <w:p>
            <w:pPr>
              <w:ind w:left="6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vMerge w:val="restart"/>
          </w:tcPr>
          <w:p>
            <w:pPr>
              <w:ind w:left="220"/>
              <w:spacing w:after="0"/>
              <w:rPr>
                <w:sz w:val="20"/>
                <w:szCs w:val="20"/>
                <w:color w:val="auto"/>
              </w:rPr>
            </w:pPr>
            <w:r>
              <w:rPr>
                <w:rFonts w:ascii="Arial" w:cs="Arial" w:eastAsia="Arial" w:hAnsi="Arial"/>
                <w:sz w:val="13"/>
                <w:szCs w:val="13"/>
                <w:color w:val="auto"/>
                <w:w w:val="95"/>
              </w:rPr>
              <w:t>Officer (give title</w:t>
            </w:r>
          </w:p>
        </w:tc>
        <w:tc>
          <w:tcPr>
            <w:tcW w:w="1800" w:type="dxa"/>
            <w:vAlign w:val="bottom"/>
            <w:gridSpan w:val="3"/>
            <w:vMerge w:val="restart"/>
          </w:tcPr>
          <w:p>
            <w:pPr>
              <w:ind w:left="6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00"/>
              <w:spacing w:after="0"/>
              <w:rPr>
                <w:sz w:val="20"/>
                <w:szCs w:val="20"/>
                <w:color w:val="auto"/>
              </w:rPr>
            </w:pPr>
            <w:r>
              <w:rPr>
                <w:rFonts w:ascii="Arial" w:cs="Arial" w:eastAsia="Arial" w:hAnsi="Arial"/>
                <w:sz w:val="13"/>
                <w:szCs w:val="13"/>
                <w:color w:val="auto"/>
              </w:rPr>
              <w:t>(First)</w:t>
            </w:r>
          </w:p>
        </w:tc>
        <w:tc>
          <w:tcPr>
            <w:tcW w:w="520" w:type="dxa"/>
            <w:vAlign w:val="bottom"/>
          </w:tcPr>
          <w:p>
            <w:pPr>
              <w:ind w:left="40"/>
              <w:spacing w:after="0"/>
              <w:rPr>
                <w:sz w:val="20"/>
                <w:szCs w:val="20"/>
                <w:color w:val="auto"/>
              </w:rPr>
            </w:pPr>
            <w:r>
              <w:rPr>
                <w:rFonts w:ascii="Arial" w:cs="Arial" w:eastAsia="Arial" w:hAnsi="Arial"/>
                <w:sz w:val="13"/>
                <w:szCs w:val="13"/>
                <w:color w:val="auto"/>
                <w:w w:val="97"/>
              </w:rPr>
              <w:t>(Middle)</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5"/>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Arial" w:cs="Arial" w:eastAsia="Arial" w:hAnsi="Arial"/>
                <w:sz w:val="13"/>
                <w:szCs w:val="13"/>
                <w:color w:val="auto"/>
              </w:rPr>
              <w:t>below)</w:t>
            </w:r>
          </w:p>
        </w:tc>
        <w:tc>
          <w:tcPr>
            <w:tcW w:w="1800" w:type="dxa"/>
            <w:vAlign w:val="bottom"/>
            <w:gridSpan w:val="3"/>
          </w:tcPr>
          <w:p>
            <w:pPr>
              <w:ind w:left="6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06/12/2026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92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80" w:type="dxa"/>
            <w:vAlign w:val="bottom"/>
            <w:gridSpan w:val="6"/>
            <w:vMerge w:val="restart"/>
          </w:tcPr>
          <w:p>
            <w:pPr>
              <w:spacing w:after="0"/>
              <w:rPr>
                <w:sz w:val="20"/>
                <w:szCs w:val="20"/>
                <w:color w:val="auto"/>
              </w:rPr>
            </w:pPr>
            <w:r>
              <w:rPr>
                <w:rFonts w:ascii="Arial" w:cs="Arial" w:eastAsia="Arial" w:hAnsi="Arial"/>
                <w:sz w:val="13"/>
                <w:szCs w:val="13"/>
                <w:color w:val="auto"/>
                <w:w w:val="98"/>
              </w:rPr>
              <w:t>4. If Amendment, Date of Original Filed (Month/Day/Year)</w:t>
            </w:r>
          </w:p>
        </w:tc>
        <w:tc>
          <w:tcPr>
            <w:tcW w:w="480" w:type="dxa"/>
            <w:vAlign w:val="bottom"/>
          </w:tcPr>
          <w:p>
            <w:pPr>
              <w:spacing w:after="0"/>
              <w:rPr>
                <w:sz w:val="6"/>
                <w:szCs w:val="6"/>
                <w:color w:val="auto"/>
              </w:rPr>
            </w:pPr>
          </w:p>
        </w:tc>
        <w:tc>
          <w:tcPr>
            <w:tcW w:w="3320" w:type="dxa"/>
            <w:vAlign w:val="bottom"/>
            <w:gridSpan w:val="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80" w:type="dxa"/>
            <w:vAlign w:val="bottom"/>
            <w:gridSpan w:val="6"/>
            <w:vMerge w:val="continue"/>
          </w:tcPr>
          <w:p>
            <w:pPr>
              <w:spacing w:after="0"/>
              <w:rPr>
                <w:sz w:val="8"/>
                <w:szCs w:val="8"/>
                <w:color w:val="auto"/>
              </w:rPr>
            </w:pPr>
          </w:p>
        </w:tc>
        <w:tc>
          <w:tcPr>
            <w:tcW w:w="480" w:type="dxa"/>
            <w:vAlign w:val="bottom"/>
          </w:tcPr>
          <w:p>
            <w:pPr>
              <w:spacing w:after="0"/>
              <w:rPr>
                <w:sz w:val="8"/>
                <w:szCs w:val="8"/>
                <w:color w:val="auto"/>
              </w:rPr>
            </w:pPr>
          </w:p>
        </w:tc>
        <w:tc>
          <w:tcPr>
            <w:tcW w:w="33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38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vMerge w:val="restart"/>
          </w:tcPr>
          <w:p>
            <w:pPr>
              <w:spacing w:after="0"/>
              <w:rPr>
                <w:sz w:val="3"/>
                <w:szCs w:val="3"/>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color w:val="0000FF"/>
              </w:rPr>
              <w:t>CA</w:t>
            </w:r>
          </w:p>
        </w:tc>
        <w:tc>
          <w:tcPr>
            <w:tcW w:w="52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94025</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Arial" w:cs="Arial" w:eastAsia="Arial" w:hAnsi="Arial"/>
                <w:sz w:val="13"/>
                <w:szCs w:val="13"/>
                <w:color w:val="auto"/>
              </w:rPr>
              <w:t>Person</w:t>
            </w: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00"/>
              <w:spacing w:after="0"/>
              <w:rPr>
                <w:sz w:val="20"/>
                <w:szCs w:val="20"/>
                <w:color w:val="auto"/>
              </w:rPr>
            </w:pPr>
            <w:r>
              <w:rPr>
                <w:rFonts w:ascii="Arial" w:cs="Arial" w:eastAsia="Arial" w:hAnsi="Arial"/>
                <w:sz w:val="13"/>
                <w:szCs w:val="13"/>
                <w:color w:val="auto"/>
              </w:rPr>
              <w:t>(State)</w:t>
            </w:r>
          </w:p>
        </w:tc>
        <w:tc>
          <w:tcPr>
            <w:tcW w:w="520" w:type="dxa"/>
            <w:vAlign w:val="bottom"/>
          </w:tcPr>
          <w:p>
            <w:pPr>
              <w:ind w:left="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1940" w:type="dxa"/>
            <w:vAlign w:val="bottom"/>
            <w:tcBorders>
              <w:bottom w:val="single" w:sz="8" w:color="2C2C2C"/>
            </w:tcBorders>
            <w:gridSpan w:val="4"/>
          </w:tcPr>
          <w:p>
            <w:pPr>
              <w:spacing w:after="0"/>
              <w:rPr>
                <w:sz w:val="10"/>
                <w:szCs w:val="10"/>
                <w:color w:val="auto"/>
              </w:rPr>
            </w:pPr>
          </w:p>
        </w:tc>
        <w:tc>
          <w:tcPr>
            <w:tcW w:w="152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7940" w:type="dxa"/>
            <w:vAlign w:val="bottom"/>
            <w:tcBorders>
              <w:top w:val="single" w:sz="8" w:color="2C2C2C"/>
            </w:tcBorders>
            <w:gridSpan w:val="15"/>
          </w:tcPr>
          <w:p>
            <w:pPr>
              <w:jc w:val="right"/>
              <w:ind w:right="51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6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2. Transaction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0" w:type="dxa"/>
            <w:vAlign w:val="bottom"/>
          </w:tcPr>
          <w:p>
            <w:pPr>
              <w:spacing w:after="0"/>
              <w:rPr>
                <w:sz w:val="14"/>
                <w:szCs w:val="14"/>
                <w:color w:val="auto"/>
              </w:rPr>
            </w:pP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Form: Direct</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5"/>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(D) or Indirect</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(I) (Instr. 4)</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5"/>
                <w:szCs w:val="5"/>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345</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345</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5"/>
            <w:vMerge w:val="continue"/>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50</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399.5</w:t>
            </w:r>
            <w:r>
              <w:rPr>
                <w:rFonts w:ascii="Times New Roman" w:cs="Times New Roman" w:eastAsia="Times New Roman" w:hAnsi="Times New Roman"/>
                <w:sz w:val="20"/>
                <w:szCs w:val="20"/>
                <w:color w:val="008000"/>
                <w:w w:val="95"/>
                <w:vertAlign w:val="superscript"/>
              </w:rPr>
              <w:t>(10)</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295</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45</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400.52</w:t>
            </w:r>
            <w:r>
              <w:rPr>
                <w:rFonts w:ascii="Times New Roman" w:cs="Times New Roman" w:eastAsia="Times New Roman" w:hAnsi="Times New Roman"/>
                <w:sz w:val="20"/>
                <w:szCs w:val="20"/>
                <w:color w:val="008000"/>
                <w:w w:val="95"/>
                <w:vertAlign w:val="superscript"/>
              </w:rPr>
              <w:t>(11)</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250</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57</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401.41</w:t>
            </w:r>
            <w:r>
              <w:rPr>
                <w:rFonts w:ascii="Times New Roman" w:cs="Times New Roman" w:eastAsia="Times New Roman" w:hAnsi="Times New Roman"/>
                <w:sz w:val="20"/>
                <w:szCs w:val="20"/>
                <w:color w:val="008000"/>
                <w:w w:val="95"/>
                <w:vertAlign w:val="superscript"/>
              </w:rPr>
              <w:t>(12)</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193</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39</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402.53</w:t>
            </w:r>
            <w:r>
              <w:rPr>
                <w:rFonts w:ascii="Times New Roman" w:cs="Times New Roman" w:eastAsia="Times New Roman" w:hAnsi="Times New Roman"/>
                <w:sz w:val="20"/>
                <w:szCs w:val="20"/>
                <w:color w:val="008000"/>
                <w:w w:val="95"/>
                <w:vertAlign w:val="superscript"/>
              </w:rPr>
              <w:t>(13)</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154</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403.35</w:t>
            </w:r>
            <w:r>
              <w:rPr>
                <w:rFonts w:ascii="Times New Roman" w:cs="Times New Roman" w:eastAsia="Times New Roman" w:hAnsi="Times New Roman"/>
                <w:sz w:val="20"/>
                <w:szCs w:val="20"/>
                <w:color w:val="008000"/>
                <w:w w:val="95"/>
                <w:vertAlign w:val="superscript"/>
              </w:rPr>
              <w:t>(14)</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136</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9"/>
                <w:szCs w:val="19"/>
                <w:color w:val="auto"/>
              </w:rPr>
            </w:pPr>
          </w:p>
        </w:tc>
        <w:tc>
          <w:tcPr>
            <w:tcW w:w="102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9"/>
                <w:szCs w:val="19"/>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11</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tcPr>
          <w:p>
            <w:pPr>
              <w:jc w:val="center"/>
              <w:spacing w:after="0" w:line="219" w:lineRule="exact"/>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404.58</w:t>
            </w:r>
            <w:r>
              <w:rPr>
                <w:rFonts w:ascii="Times New Roman" w:cs="Times New Roman" w:eastAsia="Times New Roman" w:hAnsi="Times New Roman"/>
                <w:sz w:val="20"/>
                <w:szCs w:val="20"/>
                <w:color w:val="008000"/>
                <w:w w:val="95"/>
                <w:vertAlign w:val="superscript"/>
              </w:rPr>
              <w:t>(15)</w:t>
            </w: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color w:val="0000FF"/>
              </w:rPr>
              <w:t>125</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6"/>
          <w:szCs w:val="16"/>
          <w:color w:val="0000FF"/>
        </w:rPr>
        <w:t>Technology</w:t>
      </w:r>
    </w:p>
    <w:p>
      <w:pPr>
        <w:spacing w:after="0" w:line="1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Investors V,</w:t>
      </w:r>
    </w:p>
    <w:p>
      <w:pPr>
        <w:ind w:left="10120"/>
        <w:spacing w:after="0" w:line="182" w:lineRule="auto"/>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9"/>
          <w:szCs w:val="9"/>
          <w:color w:val="008000"/>
        </w:rPr>
        <w:t>(3)(4)</w:t>
      </w:r>
    </w:p>
    <w:p>
      <w:pPr>
        <w:sectPr>
          <w:pgSz w:w="11900" w:h="16838" w:orient="portrait"/>
          <w:cols w:equalWidth="0" w:num="1">
            <w:col w:w="10980"/>
          </w:cols>
          <w:pgMar w:left="460" w:top="215" w:right="45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6997065" cy="10525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065" cy="10525125"/>
                    </a:xfrm>
                    <a:prstGeom prst="rect">
                      <a:avLst/>
                    </a:prstGeom>
                    <a:noFill/>
                  </pic:spPr>
                </pic:pic>
              </a:graphicData>
            </a:graphic>
          </wp:anchor>
        </w:drawing>
        <w:t>Table I - Non-Derivative Securities Acquired, Disposed of, or Beneficially Owned</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jc w:val="center"/>
              <w:ind w:left="549"/>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9"/>
              <w:spacing w:after="0"/>
              <w:rPr>
                <w:sz w:val="20"/>
                <w:szCs w:val="20"/>
                <w:color w:val="auto"/>
              </w:rPr>
            </w:pPr>
            <w:r>
              <w:rPr>
                <w:rFonts w:ascii="Times New Roman" w:cs="Times New Roman" w:eastAsia="Times New Roman" w:hAnsi="Times New Roman"/>
                <w:sz w:val="16"/>
                <w:szCs w:val="16"/>
                <w:color w:val="0000FF"/>
                <w:w w:val="99"/>
              </w:rPr>
              <w:t>43</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405.57</w:t>
            </w:r>
            <w:r>
              <w:rPr>
                <w:rFonts w:ascii="Times New Roman" w:cs="Times New Roman" w:eastAsia="Times New Roman" w:hAnsi="Times New Roman"/>
                <w:sz w:val="20"/>
                <w:szCs w:val="20"/>
                <w:color w:val="008000"/>
                <w:vertAlign w:val="superscript"/>
              </w:rPr>
              <w:t>(16)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9"/>
              <w:spacing w:after="0"/>
              <w:rPr>
                <w:sz w:val="20"/>
                <w:szCs w:val="20"/>
                <w:color w:val="auto"/>
              </w:rPr>
            </w:pPr>
            <w:r>
              <w:rPr>
                <w:rFonts w:ascii="Times New Roman" w:cs="Times New Roman" w:eastAsia="Times New Roman" w:hAnsi="Times New Roman"/>
                <w:sz w:val="16"/>
                <w:szCs w:val="16"/>
                <w:color w:val="0000FF"/>
                <w:w w:val="99"/>
              </w:rPr>
              <w:t>59</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406.35</w:t>
            </w:r>
            <w:r>
              <w:rPr>
                <w:rFonts w:ascii="Times New Roman" w:cs="Times New Roman" w:eastAsia="Times New Roman" w:hAnsi="Times New Roman"/>
                <w:sz w:val="20"/>
                <w:szCs w:val="20"/>
                <w:color w:val="008000"/>
                <w:vertAlign w:val="superscript"/>
              </w:rPr>
              <w:t>(17)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9"/>
              <w:spacing w:after="0"/>
              <w:rPr>
                <w:sz w:val="20"/>
                <w:szCs w:val="20"/>
                <w:color w:val="auto"/>
              </w:rPr>
            </w:pPr>
            <w:r>
              <w:rPr>
                <w:rFonts w:ascii="Times New Roman" w:cs="Times New Roman" w:eastAsia="Times New Roman" w:hAnsi="Times New Roman"/>
                <w:sz w:val="16"/>
                <w:szCs w:val="16"/>
                <w:color w:val="0000FF"/>
                <w:w w:val="99"/>
              </w:rPr>
              <w:t>21</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407.38</w:t>
            </w:r>
            <w:r>
              <w:rPr>
                <w:rFonts w:ascii="Times New Roman" w:cs="Times New Roman" w:eastAsia="Times New Roman" w:hAnsi="Times New Roman"/>
                <w:sz w:val="20"/>
                <w:szCs w:val="20"/>
                <w:color w:val="008000"/>
                <w:vertAlign w:val="superscript"/>
              </w:rPr>
              <w:t>(18)</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9"/>
              <w:spacing w:after="0"/>
              <w:rPr>
                <w:sz w:val="20"/>
                <w:szCs w:val="20"/>
                <w:color w:val="auto"/>
              </w:rPr>
            </w:pPr>
            <w:r>
              <w:rPr>
                <w:rFonts w:ascii="Times New Roman" w:cs="Times New Roman" w:eastAsia="Times New Roman" w:hAnsi="Times New Roman"/>
                <w:sz w:val="16"/>
                <w:szCs w:val="16"/>
                <w:color w:val="0000FF"/>
                <w:w w:val="99"/>
              </w:rPr>
              <w:t>2</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408.08</w:t>
            </w:r>
            <w:r>
              <w:rPr>
                <w:rFonts w:ascii="Times New Roman" w:cs="Times New Roman" w:eastAsia="Times New Roman" w:hAnsi="Times New Roman"/>
                <w:sz w:val="20"/>
                <w:szCs w:val="20"/>
                <w:color w:val="008000"/>
                <w:vertAlign w:val="superscript"/>
              </w:rPr>
              <w:t>(19)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9,359</w:t>
            </w:r>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Group,</w:t>
            </w:r>
          </w:p>
        </w:tc>
        <w:tc>
          <w:tcPr>
            <w:tcW w:w="0" w:type="dxa"/>
            <w:vAlign w:val="bottom"/>
          </w:tcPr>
          <w:p>
            <w:pPr>
              <w:spacing w:after="0"/>
              <w:rPr>
                <w:sz w:val="1"/>
                <w:szCs w:val="1"/>
                <w:color w:val="auto"/>
              </w:rPr>
            </w:pPr>
          </w:p>
        </w:tc>
      </w:tr>
      <w:tr>
        <w:trPr>
          <w:trHeight w:val="285"/>
        </w:trPr>
        <w:tc>
          <w:tcPr>
            <w:tcW w:w="2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tc>
        <w:tc>
          <w:tcPr>
            <w:tcW w:w="0" w:type="dxa"/>
            <w:vAlign w:val="bottom"/>
          </w:tcPr>
          <w:p>
            <w:pPr>
              <w:spacing w:after="0"/>
              <w:rPr>
                <w:sz w:val="1"/>
                <w:szCs w:val="1"/>
                <w:color w:val="auto"/>
              </w:rPr>
            </w:pPr>
          </w:p>
        </w:tc>
      </w:tr>
    </w:tbl>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vMerge w:val="restart"/>
          </w:tcPr>
          <w:p>
            <w:pPr>
              <w:jc w:val="center"/>
              <w:ind w:left="311"/>
              <w:spacing w:after="0"/>
              <w:rPr>
                <w:sz w:val="20"/>
                <w:szCs w:val="20"/>
                <w:color w:val="auto"/>
              </w:rPr>
            </w:pPr>
            <w:r>
              <w:rPr>
                <w:rFonts w:ascii="Times New Roman" w:cs="Times New Roman" w:eastAsia="Times New Roman" w:hAnsi="Times New Roman"/>
                <w:sz w:val="16"/>
                <w:szCs w:val="16"/>
                <w:color w:val="0000FF"/>
                <w:w w:val="99"/>
              </w:rPr>
              <w:t>4,845</w:t>
            </w:r>
          </w:p>
        </w:tc>
        <w:tc>
          <w:tcPr>
            <w:tcW w:w="700" w:type="dxa"/>
            <w:vAlign w:val="bottom"/>
          </w:tcPr>
          <w:p>
            <w:pPr>
              <w:spacing w:after="0"/>
              <w:rPr>
                <w:sz w:val="17"/>
                <w:szCs w:val="17"/>
                <w:color w:val="auto"/>
              </w:rPr>
            </w:pPr>
          </w:p>
        </w:tc>
        <w:tc>
          <w:tcPr>
            <w:tcW w:w="18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1440" w:type="dxa"/>
            <w:vAlign w:val="bottom"/>
            <w:tcBorders>
              <w:top w:val="single" w:sz="8" w:color="2C2C2C"/>
            </w:tcBorders>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164,214</w:t>
            </w:r>
          </w:p>
        </w:tc>
        <w:tc>
          <w:tcPr>
            <w:tcW w:w="18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0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tcPr>
          <w:p>
            <w:pPr>
              <w:spacing w:after="0"/>
              <w:rPr>
                <w:sz w:val="24"/>
                <w:szCs w:val="24"/>
                <w:color w:val="auto"/>
              </w:rPr>
            </w:pPr>
          </w:p>
        </w:tc>
        <w:tc>
          <w:tcPr>
            <w:tcW w:w="1440" w:type="dxa"/>
            <w:vAlign w:val="bottom"/>
            <w:tcBorders>
              <w:top w:val="single" w:sz="8" w:color="2C2C2C"/>
              <w:bottom w:val="single" w:sz="8" w:color="2C2C2C"/>
            </w:tcBorders>
            <w:gridSpan w:val="2"/>
          </w:tcPr>
          <w:p>
            <w:pPr>
              <w:jc w:val="center"/>
              <w:ind w:right="283"/>
              <w:spacing w:after="0"/>
              <w:rPr>
                <w:sz w:val="20"/>
                <w:szCs w:val="20"/>
                <w:color w:val="auto"/>
              </w:rPr>
            </w:pPr>
            <w:r>
              <w:rPr>
                <w:rFonts w:ascii="Times New Roman" w:cs="Times New Roman" w:eastAsia="Times New Roman" w:hAnsi="Times New Roman"/>
                <w:sz w:val="16"/>
                <w:szCs w:val="16"/>
                <w:color w:val="0000FF"/>
              </w:rPr>
              <w:t>1,317,963</w:t>
            </w:r>
          </w:p>
        </w:tc>
        <w:tc>
          <w:tcPr>
            <w:tcW w:w="900" w:type="dxa"/>
            <w:vAlign w:val="bottom"/>
            <w:tcBorders>
              <w:top w:val="single" w:sz="8" w:color="2C2C2C"/>
              <w:bottom w:val="single" w:sz="8" w:color="2C2C2C"/>
            </w:tcBorders>
            <w:gridSpan w:val="2"/>
          </w:tcPr>
          <w:p>
            <w:pPr>
              <w:jc w:val="center"/>
              <w:ind w:right="591"/>
              <w:spacing w:after="0" w:line="301"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47,234</w:t>
            </w:r>
          </w:p>
        </w:tc>
        <w:tc>
          <w:tcPr>
            <w:tcW w:w="18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1440" w:type="dxa"/>
            <w:vAlign w:val="bottom"/>
            <w:tcBorders>
              <w:top w:val="single" w:sz="8" w:color="2C2C2C"/>
            </w:tcBorders>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212,106</w:t>
            </w:r>
          </w:p>
        </w:tc>
        <w:tc>
          <w:tcPr>
            <w:tcW w:w="18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(20)</w:t>
            </w:r>
          </w:p>
        </w:tc>
        <w:tc>
          <w:tcPr>
            <w:tcW w:w="0" w:type="dxa"/>
            <w:vAlign w:val="bottom"/>
          </w:tcPr>
          <w:p>
            <w:pPr>
              <w:spacing w:after="0"/>
              <w:rPr>
                <w:sz w:val="1"/>
                <w:szCs w:val="1"/>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14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60" w:type="dxa"/>
            <w:vAlign w:val="bottom"/>
            <w:gridSpan w:val="10"/>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8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Form:</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0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Direct (D)</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Held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C</w:t>
            </w: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right w:val="single" w:sz="8" w:color="2C2C2C"/>
            </w:tcBorders>
            <w:gridSpan w:val="3"/>
          </w:tcPr>
          <w:p>
            <w:pPr>
              <w:ind w:left="20"/>
              <w:spacing w:after="0" w:line="139" w:lineRule="exact"/>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restart"/>
          </w:tcPr>
          <w:p>
            <w:pPr>
              <w:ind w:left="60"/>
              <w:spacing w:after="0" w:line="264"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(1)(2)</w:t>
            </w:r>
          </w:p>
        </w:tc>
        <w:tc>
          <w:tcPr>
            <w:tcW w:w="72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continue"/>
          </w:tcPr>
          <w:p>
            <w:pPr>
              <w:spacing w:after="0"/>
              <w:rPr>
                <w:sz w:val="6"/>
                <w:szCs w:val="6"/>
                <w:color w:val="auto"/>
              </w:rPr>
            </w:pPr>
          </w:p>
        </w:tc>
        <w:tc>
          <w:tcPr>
            <w:tcW w:w="88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color w:val="0000FF"/>
              </w:rPr>
              <w:t>345</w:t>
            </w: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Borders>
              <w:right w:val="single" w:sz="8" w:color="2C2C2C"/>
            </w:tcBorders>
            <w:gridSpan w:val="3"/>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Silver Lake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00" w:type="dxa"/>
            <w:vAlign w:val="bottom"/>
            <w:vMerge w:val="continue"/>
          </w:tcPr>
          <w:p>
            <w:pPr>
              <w:spacing w:after="0"/>
              <w:rPr>
                <w:sz w:val="5"/>
                <w:szCs w:val="5"/>
                <w:color w:val="auto"/>
              </w:rPr>
            </w:pP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06/12/2026</w:t>
            </w: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345</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880" w:type="dxa"/>
            <w:vAlign w:val="bottom"/>
            <w:vMerge w:val="continue"/>
          </w:tcPr>
          <w:p>
            <w:pPr>
              <w:spacing w:after="0"/>
              <w:rPr>
                <w:sz w:val="5"/>
                <w:szCs w:val="5"/>
                <w:color w:val="auto"/>
              </w:rPr>
            </w:pPr>
          </w:p>
        </w:tc>
        <w:tc>
          <w:tcPr>
            <w:tcW w:w="74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00" w:type="dxa"/>
            <w:vAlign w:val="bottom"/>
            <w:vMerge w:val="restart"/>
          </w:tcPr>
          <w:p>
            <w:pPr>
              <w:jc w:val="right"/>
              <w:ind w:right="43"/>
              <w:spacing w:after="0"/>
              <w:rPr>
                <w:sz w:val="20"/>
                <w:szCs w:val="20"/>
                <w:color w:val="auto"/>
              </w:rPr>
            </w:pPr>
            <w:r>
              <w:rPr>
                <w:rFonts w:ascii="Times New Roman" w:cs="Times New Roman" w:eastAsia="Times New Roman" w:hAnsi="Times New Roman"/>
                <w:sz w:val="13"/>
                <w:szCs w:val="13"/>
                <w:color w:val="0000FF"/>
              </w:rPr>
              <w:t>116,000</w:t>
            </w:r>
          </w:p>
        </w:tc>
        <w:tc>
          <w:tcPr>
            <w:tcW w:w="180" w:type="dxa"/>
            <w:vAlign w:val="bottom"/>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I</w:t>
            </w:r>
          </w:p>
        </w:tc>
        <w:tc>
          <w:tcPr>
            <w:tcW w:w="7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00" w:type="dxa"/>
            <w:vAlign w:val="bottom"/>
            <w:tcBorders>
              <w:right w:val="single" w:sz="8" w:color="2C2C2C"/>
            </w:tcBorders>
            <w:gridSpan w:val="3"/>
          </w:tcPr>
          <w:p>
            <w:pPr>
              <w:ind w:left="20"/>
              <w:spacing w:after="0" w:line="126" w:lineRule="exact"/>
              <w:rPr>
                <w:sz w:val="20"/>
                <w:szCs w:val="20"/>
                <w:color w:val="auto"/>
              </w:rPr>
            </w:pPr>
            <w:r>
              <w:rPr>
                <w:rFonts w:ascii="Times New Roman" w:cs="Times New Roman" w:eastAsia="Times New Roman" w:hAnsi="Times New Roman"/>
                <w:sz w:val="13"/>
                <w:szCs w:val="13"/>
                <w:color w:val="0000FF"/>
              </w:rPr>
              <w:t>Technology</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right w:val="single" w:sz="8" w:color="2C2C2C"/>
            </w:tcBorders>
            <w:gridSpan w:val="3"/>
          </w:tcPr>
          <w:p>
            <w:pPr>
              <w:ind w:left="20"/>
              <w:spacing w:after="0" w:line="146" w:lineRule="exact"/>
              <w:rPr>
                <w:sz w:val="20"/>
                <w:szCs w:val="20"/>
                <w:color w:val="auto"/>
              </w:rPr>
            </w:pPr>
            <w:r>
              <w:rPr>
                <w:rFonts w:ascii="Times New Roman" w:cs="Times New Roman" w:eastAsia="Times New Roman" w:hAnsi="Times New Roman"/>
                <w:sz w:val="13"/>
                <w:szCs w:val="13"/>
                <w:color w:val="0000FF"/>
              </w:rPr>
              <w:t>Investors V,</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right w:val="single" w:sz="8" w:color="2C2C2C"/>
            </w:tcBorders>
            <w:gridSpan w:val="3"/>
          </w:tcPr>
          <w:p>
            <w:pPr>
              <w:ind w:left="20"/>
              <w:spacing w:after="0" w:line="230" w:lineRule="exact"/>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Class C</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44,235,394</w:t>
            </w: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0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ind w:left="8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restart"/>
          </w:tcPr>
          <w:p>
            <w:pPr>
              <w:jc w:val="right"/>
              <w:spacing w:after="0" w:line="101" w:lineRule="exact"/>
              <w:rPr>
                <w:sz w:val="20"/>
                <w:szCs w:val="20"/>
                <w:color w:val="auto"/>
              </w:rPr>
            </w:pPr>
            <w:r>
              <w:rPr>
                <w:rFonts w:ascii="Times New Roman" w:cs="Times New Roman" w:eastAsia="Times New Roman" w:hAnsi="Times New Roman"/>
                <w:sz w:val="10"/>
                <w:szCs w:val="10"/>
                <w:color w:val="0000FF"/>
              </w:rPr>
              <w:t>44,235,394</w:t>
            </w:r>
          </w:p>
        </w:tc>
        <w:tc>
          <w:tcPr>
            <w:tcW w:w="180" w:type="dxa"/>
            <w:vAlign w:val="bottom"/>
          </w:tcPr>
          <w:p>
            <w:pPr>
              <w:spacing w:after="0"/>
              <w:rPr>
                <w:sz w:val="3"/>
                <w:szCs w:val="3"/>
                <w:color w:val="auto"/>
              </w:rPr>
            </w:pPr>
          </w:p>
        </w:tc>
        <w:tc>
          <w:tcPr>
            <w:tcW w:w="720" w:type="dxa"/>
            <w:vAlign w:val="bottom"/>
            <w:vMerge w:val="restart"/>
          </w:tcPr>
          <w:p>
            <w:pPr>
              <w:ind w:left="3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7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00" w:type="dxa"/>
            <w:vAlign w:val="bottom"/>
            <w:tcBorders>
              <w:right w:val="single" w:sz="8" w:color="2C2C2C"/>
            </w:tcBorders>
            <w:gridSpan w:val="3"/>
          </w:tcPr>
          <w:p>
            <w:pPr>
              <w:ind w:left="2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9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5"/>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Technology Investors V, L.P.</w:t>
              </w:r>
            </w:hyperlink>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90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10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90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94025</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-3957320</wp:posOffset>
            </wp:positionV>
            <wp:extent cx="28575" cy="2508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508885"/>
                    </a:xfrm>
                    <a:prstGeom prst="rect">
                      <a:avLst/>
                    </a:prstGeom>
                    <a:noFill/>
                  </pic:spPr>
                </pic:pic>
              </a:graphicData>
            </a:graphic>
          </wp:anchor>
        </w:drawing>
      </w:r>
    </w:p>
    <w:p>
      <w:pPr>
        <w:sectPr>
          <w:pgSz w:w="11900" w:h="16838" w:orient="portrait"/>
          <w:cols w:equalWidth="0" w:num="1">
            <w:col w:w="11080"/>
          </w:cols>
          <w:pgMar w:left="460" w:top="189" w:right="359" w:bottom="0" w:gutter="0" w:footer="0" w:header="0"/>
        </w:sectPr>
      </w:pPr>
    </w:p>
    <w:bookmarkStart w:id="2" w:name="page3"/>
    <w:bookmarkEnd w:id="2"/>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12415" cy="6928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12415" cy="6928485"/>
                    </a:xfrm>
                    <a:prstGeom prst="rect">
                      <a:avLst/>
                    </a:prstGeom>
                    <a:noFill/>
                  </pic:spPr>
                </pic:pic>
              </a:graphicData>
            </a:graphic>
          </wp:anchor>
        </w:drawing>
      </w:r>
    </w:p>
    <w:p>
      <w:pPr>
        <w:spacing w:after="0"/>
        <w:tabs>
          <w:tab w:leader="none" w:pos="1480" w:val="left"/>
          <w:tab w:leader="none" w:pos="2900" w:val="left"/>
        </w:tabs>
        <w:rPr>
          <w:sz w:val="20"/>
          <w:szCs w:val="20"/>
          <w:color w:val="auto"/>
        </w:rPr>
      </w:pPr>
      <w:r>
        <w:rPr>
          <w:sz w:val="1"/>
          <w:szCs w:val="1"/>
          <w:color w:val="auto"/>
        </w:rPr>
        <w:drawing>
          <wp:inline distT="0" distB="0" distL="0" distR="0">
            <wp:extent cx="33655" cy="1803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655" cy="180340"/>
                    </a:xfrm>
                    <a:prstGeom prst="rect">
                      <a:avLst/>
                    </a:prstGeom>
                    <a:noFill/>
                    <a:ln>
                      <a:noFill/>
                    </a:ln>
                  </pic:spPr>
                </pic:pic>
              </a:graphicData>
            </a:graphic>
          </wp:inline>
        </w:drawing>
      </w:r>
      <w:r>
        <w:rPr>
          <w:rFonts w:ascii="Arial" w:cs="Arial" w:eastAsia="Arial" w:hAnsi="Arial"/>
          <w:sz w:val="13"/>
          <w:szCs w:val="13"/>
          <w:color w:val="auto"/>
        </w:rPr>
        <w:t xml:space="preserve"> (City)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Silver Lake Technology Associates V, L.P.</w:t>
        </w:r>
      </w:hyperlink>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5"/>
          </w:tcPr>
          <w:p>
            <w:pPr>
              <w:spacing w:after="0" w:line="214"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SLTA V (GP),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5"/>
          </w:tcPr>
          <w:p>
            <w:pPr>
              <w:spacing w:after="0" w:line="214"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Silver Lake Group,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spacing w:after="0" w:line="214"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Durban Egon</w:t>
              </w:r>
            </w:hyperlink>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40" w:right="22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12, 2026.</w:t>
      </w:r>
    </w:p>
    <w:p>
      <w:pPr>
        <w:spacing w:after="0" w:line="21" w:lineRule="exact"/>
        <w:rPr>
          <w:rFonts w:ascii="Times New Roman" w:cs="Times New Roman" w:eastAsia="Times New Roman" w:hAnsi="Times New Roman"/>
          <w:sz w:val="13"/>
          <w:szCs w:val="13"/>
          <w:color w:val="008000"/>
        </w:rPr>
      </w:pPr>
    </w:p>
    <w:p>
      <w:pPr>
        <w:ind w:left="40" w:right="20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12, 2026, certain of the Reporting Persons converted shares of Class B Common Stock into an equal number of shares of Class C Common Stock in connection with the sales described in footnote (1) above.</w:t>
      </w:r>
    </w:p>
    <w:p>
      <w:pPr>
        <w:spacing w:after="0" w:line="26" w:lineRule="exact"/>
        <w:rPr>
          <w:rFonts w:ascii="Times New Roman" w:cs="Times New Roman" w:eastAsia="Times New Roman" w:hAnsi="Times New Roman"/>
          <w:sz w:val="13"/>
          <w:szCs w:val="13"/>
          <w:color w:val="008000"/>
        </w:rPr>
      </w:pPr>
    </w:p>
    <w:p>
      <w:pPr>
        <w:ind w:left="40" w:right="2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Technology Investors V, L.P. The general partner of Silver Lake Technology Investors V, L.P. is Silver Lake Technology Associates V, L.P. and the general partner of Silver Lake Technology Associates V, L.P. is SLTA V (GP), L.L.C.</w:t>
      </w:r>
    </w:p>
    <w:p>
      <w:pPr>
        <w:spacing w:after="0" w:line="21" w:lineRule="exact"/>
        <w:rPr>
          <w:rFonts w:ascii="Times New Roman" w:cs="Times New Roman" w:eastAsia="Times New Roman" w:hAnsi="Times New Roman"/>
          <w:sz w:val="13"/>
          <w:szCs w:val="13"/>
          <w:color w:val="008000"/>
        </w:rPr>
      </w:pPr>
    </w:p>
    <w:p>
      <w:pPr>
        <w:ind w:left="40" w:right="28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Group, L.L.C. ("SLG") is the managing member of SLTA V (GP), L.L.C. Egon Durban, who serves as a director of the Issuer, also serves as a Co-CEO and Managing Member of SLG. Each of the Reporting Persons may be deemed a director by deputization of the Issuer.</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C Common Stock held by SLG.</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entities in which Mr. Durban may be deemed to have an indirect pecuniary interest.</w:t>
      </w:r>
    </w:p>
    <w:p>
      <w:pPr>
        <w:spacing w:after="0" w:line="39" w:lineRule="exact"/>
        <w:rPr>
          <w:rFonts w:ascii="Times New Roman" w:cs="Times New Roman" w:eastAsia="Times New Roman" w:hAnsi="Times New Roman"/>
          <w:sz w:val="13"/>
          <w:szCs w:val="13"/>
          <w:color w:val="008000"/>
        </w:rPr>
      </w:pPr>
    </w:p>
    <w:p>
      <w:pPr>
        <w:ind w:left="40" w:right="12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reflects 24,563, 24,932, 114,663 and 56 shares held by SLTA SPV-2, L.P., Silver Lake Technology Associates V, L.P., SLG and Silver Lake Secondary Holdings L.P., respectively, on behalf of certain employees and managing members of SLG or its affiliates.</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directly by Mr. Durban.</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w:t>
      </w:r>
    </w:p>
    <w:p>
      <w:pPr>
        <w:spacing w:after="0" w:line="39" w:lineRule="exact"/>
        <w:rPr>
          <w:rFonts w:ascii="Times New Roman" w:cs="Times New Roman" w:eastAsia="Times New Roman" w:hAnsi="Times New Roman"/>
          <w:sz w:val="13"/>
          <w:szCs w:val="13"/>
          <w:color w:val="008000"/>
        </w:rPr>
      </w:pPr>
    </w:p>
    <w:p>
      <w:pPr>
        <w:ind w:left="4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$398.9913 to $399.9800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hanging="2"/>
        <w:spacing w:after="0" w:line="284" w:lineRule="auto"/>
        <w:tabs>
          <w:tab w:leader="none" w:pos="22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$400.0000 to $400.9946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$401.0000 to $401.9900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$402.0000 to $402.9999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$403.0000 to $403.9900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$404.0047 to $404.9892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$405.0000 to $405.9941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hanging="2"/>
        <w:spacing w:after="0" w:line="284"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$406.0000 to $406.9985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hanging="2"/>
        <w:spacing w:after="0" w:line="285"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$407.0000 to $407.9900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ectPr>
          <w:pgSz w:w="11900" w:h="16916" w:orient="portrait"/>
          <w:cols w:equalWidth="0" w:num="1">
            <w:col w:w="10940"/>
          </w:cols>
          <w:pgMar w:left="460" w:top="112" w:right="499" w:bottom="0" w:gutter="0" w:footer="0" w:header="0"/>
        </w:sectPr>
      </w:pPr>
    </w:p>
    <w:bookmarkStart w:id="3" w:name="page4"/>
    <w:bookmarkEnd w:id="3"/>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$408.0000 to $408.2463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jc w:val="both"/>
        <w:ind w:left="2" w:right="120" w:hanging="2"/>
        <w:spacing w:after="0" w:line="23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91,809 shares of Class C Common Stock, Silver Lake Partners IV, L.P. directly holds 69,916 shares of Class C Common Stock, Silver Lake Partners V DE (AIV), L.P. directly holds 50,381 shares of Class C Common Stock, and Silver Lake Technology Investors IV, L.P. directly holds 0 shares of Class C Common Stock, which securities and transactions are reported on separate Form 4 filings.</w:t>
      </w:r>
    </w:p>
    <w:p>
      <w:pPr>
        <w:spacing w:after="0" w:line="26" w:lineRule="exact"/>
        <w:rPr>
          <w:rFonts w:ascii="Times New Roman" w:cs="Times New Roman" w:eastAsia="Times New Roman" w:hAnsi="Times New Roman"/>
          <w:sz w:val="13"/>
          <w:szCs w:val="13"/>
          <w:color w:val="008000"/>
        </w:rPr>
      </w:pPr>
    </w:p>
    <w:p>
      <w:pPr>
        <w:jc w:val="both"/>
        <w:ind w:left="2" w:hanging="2"/>
        <w:spacing w:after="0" w:line="23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17,031,140 shares of Class B Common Stock, Silver Lake Partners IV, L.P. directly holds 17,483,318 shares of Class B Common Stock, Silver Lake Partners V DE (AIV), L.P. directly holds 9,463,699 shares of Class B Common Stock, and Silver Lake Technology Investors IV, L.P. directly holds 257,237 shares of Class B Common Stock, which securities and transactions are reported on separate Form 4 filings.</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0"/>
          <w:szCs w:val="20"/>
          <w:color w:val="auto"/>
        </w:rPr>
      </w:pPr>
    </w:p>
    <w:p>
      <w:pPr>
        <w:ind w:left="2" w:right="160"/>
        <w:spacing w:after="0" w:line="255"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902"/>
          </w:cols>
          <w:pgMar w:left="498" w:top="139" w:right="499" w:bottom="1440" w:gutter="0" w:footer="0" w:header="0"/>
        </w:sectPr>
      </w:pPr>
    </w:p>
    <w:p>
      <w:pPr>
        <w:spacing w:after="0" w:line="42"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521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750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077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055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L.P., gen. partner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290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Technology Investors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963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521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750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373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055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61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61290"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521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750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2736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5911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661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3111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662" w:space="100"/>
            <w:col w:w="2140"/>
          </w:cols>
          <w:pgMar w:left="498" w:top="139" w:right="499" w:bottom="1440" w:gutter="0" w:footer="0" w:header="0"/>
          <w:type w:val="continuous"/>
        </w:sectPr>
      </w:pPr>
    </w:p>
    <w:p>
      <w:pPr>
        <w:ind w:left="6562"/>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640" w:hanging="2"/>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2"/>
      </w:cols>
      <w:pgMar w:left="498" w:top="139"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13" Type="http://schemas.openxmlformats.org/officeDocument/2006/relationships/hyperlink" Target="http://www.sec.gov/cgi-bin/browse-edgar?action=getcompany&amp;CIK=0001735863" TargetMode="External"/><Relationship Id="rId14" Type="http://schemas.openxmlformats.org/officeDocument/2006/relationships/hyperlink" Target="http://www.sec.gov/cgi-bin/browse-edgar?action=getcompany&amp;CIK=0001571996" TargetMode="External"/><Relationship Id="rId19" Type="http://schemas.openxmlformats.org/officeDocument/2006/relationships/hyperlink" Target="http://www.sec.gov/cgi-bin/browse-edgar?action=getcompany&amp;CIK=0001737657" TargetMode="External"/><Relationship Id="rId20" Type="http://schemas.openxmlformats.org/officeDocument/2006/relationships/hyperlink" Target="http://www.sec.gov/cgi-bin/browse-edgar?action=getcompany&amp;CIK=0001737652" TargetMode="External"/><Relationship Id="rId21" Type="http://schemas.openxmlformats.org/officeDocument/2006/relationships/hyperlink" Target="http://www.sec.gov/cgi-bin/browse-edgar?action=getcompany&amp;CIK=0001418226" TargetMode="External"/><Relationship Id="rId22"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2026-06-16T15:36:40Z</dcterms:created>
  <dcterms:modified xsi:type="dcterms:W3CDTF">2026-06-16T15:36:40Z</dcterms:modified>
</cp:coreProperties>
</file>