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29" w:lineRule="exact"/>
        <w:rPr>
          <w:sz w:val="24"/>
          <w:szCs w:val="24"/>
          <w:color w:val="auto"/>
        </w:rPr>
      </w:pPr>
    </w:p>
    <w:p>
      <w:pPr>
        <w:sectPr>
          <w:pgSz w:w="11900" w:h="16838" w:orient="portrait"/>
          <w:cols w:equalWidth="0" w:num="2">
            <w:col w:w="2320" w:space="360"/>
            <w:col w:w="8300"/>
          </w:cols>
          <w:pgMar w:left="460" w:top="214" w:right="459" w:bottom="377"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4"/>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Silver Lake Partners V DE (AIV), L.P.</w:t>
              </w:r>
            </w:hyperlink>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80" w:type="dxa"/>
            <w:vAlign w:val="bottom"/>
            <w:tcBorders>
              <w:bottom w:val="single" w:sz="8" w:color="0000EE"/>
            </w:tcBorders>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1780" w:type="dxa"/>
            <w:vAlign w:val="bottom"/>
            <w:gridSpan w:val="3"/>
            <w:vMerge w:val="restart"/>
          </w:tcPr>
          <w:p>
            <w:pPr>
              <w:ind w:left="6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780" w:type="dxa"/>
            <w:vAlign w:val="bottom"/>
            <w:gridSpan w:val="3"/>
            <w:vMerge w:val="restart"/>
          </w:tcPr>
          <w:p>
            <w:pPr>
              <w:ind w:left="6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tcPr>
          <w:p>
            <w:pPr>
              <w:ind w:left="100"/>
              <w:spacing w:after="0"/>
              <w:rPr>
                <w:sz w:val="20"/>
                <w:szCs w:val="20"/>
                <w:color w:val="auto"/>
              </w:rPr>
            </w:pPr>
            <w:r>
              <w:rPr>
                <w:rFonts w:ascii="Arial" w:cs="Arial" w:eastAsia="Arial" w:hAnsi="Arial"/>
                <w:sz w:val="12"/>
                <w:szCs w:val="12"/>
                <w:color w:val="auto"/>
              </w:rPr>
              <w:t>(First)</w:t>
            </w:r>
          </w:p>
        </w:tc>
        <w:tc>
          <w:tcPr>
            <w:tcW w:w="540" w:type="dxa"/>
            <w:vAlign w:val="bottom"/>
          </w:tcPr>
          <w:p>
            <w:pPr>
              <w:ind w:left="40"/>
              <w:spacing w:after="0"/>
              <w:rPr>
                <w:sz w:val="20"/>
                <w:szCs w:val="20"/>
                <w:color w:val="auto"/>
              </w:rPr>
            </w:pPr>
            <w:r>
              <w:rPr>
                <w:rFonts w:ascii="Arial" w:cs="Arial" w:eastAsia="Arial" w:hAnsi="Arial"/>
                <w:sz w:val="12"/>
                <w:szCs w:val="12"/>
                <w:color w:val="auto"/>
              </w:rPr>
              <w:t>(Middle)</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ind w:left="180"/>
              <w:spacing w:after="0"/>
              <w:rPr>
                <w:sz w:val="20"/>
                <w:szCs w:val="20"/>
                <w:color w:val="auto"/>
              </w:rPr>
            </w:pPr>
            <w:r>
              <w:rPr>
                <w:rFonts w:ascii="Arial" w:cs="Arial" w:eastAsia="Arial" w:hAnsi="Arial"/>
                <w:sz w:val="12"/>
                <w:szCs w:val="12"/>
                <w:color w:val="auto"/>
              </w:rPr>
              <w:t>below)</w:t>
            </w:r>
          </w:p>
        </w:tc>
        <w:tc>
          <w:tcPr>
            <w:tcW w:w="1780" w:type="dxa"/>
            <w:vAlign w:val="bottom"/>
            <w:gridSpan w:val="3"/>
          </w:tcPr>
          <w:p>
            <w:pPr>
              <w:ind w:left="6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0000FF"/>
              </w:rPr>
              <w:t>06/12/2026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gridSpan w:val="6"/>
          </w:tcPr>
          <w:p>
            <w:pPr>
              <w:spacing w:after="0"/>
              <w:rPr>
                <w:sz w:val="20"/>
                <w:szCs w:val="20"/>
                <w:color w:val="auto"/>
              </w:rPr>
            </w:pPr>
            <w:r>
              <w:rPr>
                <w:rFonts w:ascii="Arial" w:cs="Arial" w:eastAsia="Arial" w:hAnsi="Arial"/>
                <w:sz w:val="12"/>
                <w:szCs w:val="12"/>
                <w:color w:val="auto"/>
              </w:rPr>
              <w:t>4. If Amendment, Date of Original Filed (Month/Day/Year)</w:t>
            </w:r>
          </w:p>
        </w:tc>
        <w:tc>
          <w:tcPr>
            <w:tcW w:w="460" w:type="dxa"/>
            <w:vAlign w:val="bottom"/>
          </w:tcPr>
          <w:p>
            <w:pPr>
              <w:spacing w:after="0"/>
              <w:rPr>
                <w:sz w:val="13"/>
                <w:szCs w:val="13"/>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color w:val="auto"/>
              </w:rPr>
              <w:t>Line)</w:t>
            </w: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94025</w:t>
            </w: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100"/>
              <w:spacing w:after="0"/>
              <w:rPr>
                <w:sz w:val="20"/>
                <w:szCs w:val="20"/>
                <w:color w:val="auto"/>
              </w:rPr>
            </w:pPr>
            <w:r>
              <w:rPr>
                <w:rFonts w:ascii="Arial" w:cs="Arial" w:eastAsia="Arial" w:hAnsi="Arial"/>
                <w:sz w:val="12"/>
                <w:szCs w:val="12"/>
                <w:color w:val="auto"/>
              </w:rPr>
              <w:t>(State)</w:t>
            </w:r>
          </w:p>
        </w:tc>
        <w:tc>
          <w:tcPr>
            <w:tcW w:w="540" w:type="dxa"/>
            <w:vAlign w:val="bottom"/>
          </w:tcPr>
          <w:p>
            <w:pPr>
              <w:ind w:left="4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960" w:type="dxa"/>
            <w:vAlign w:val="bottom"/>
            <w:tcBorders>
              <w:top w:val="single" w:sz="8" w:color="2C2C2C"/>
            </w:tcBorders>
            <w:gridSpan w:val="15"/>
          </w:tcPr>
          <w:p>
            <w:pPr>
              <w:ind w:left="1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540" w:type="dxa"/>
            <w:vAlign w:val="bottom"/>
          </w:tcPr>
          <w:p>
            <w:pPr>
              <w:spacing w:after="0"/>
              <w:rPr>
                <w:sz w:val="14"/>
                <w:szCs w:val="14"/>
                <w:color w:val="auto"/>
              </w:rPr>
            </w:pPr>
          </w:p>
        </w:tc>
        <w:tc>
          <w:tcPr>
            <w:tcW w:w="1040" w:type="dxa"/>
            <w:vAlign w:val="bottom"/>
            <w:gridSpan w:val="5"/>
          </w:tcPr>
          <w:p>
            <w:pPr>
              <w:ind w:left="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21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5"/>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880" w:type="dxa"/>
            <w:vAlign w:val="bottom"/>
          </w:tcPr>
          <w:p>
            <w:pPr>
              <w:spacing w:after="0"/>
              <w:rPr>
                <w:sz w:val="5"/>
                <w:szCs w:val="5"/>
                <w:color w:val="auto"/>
              </w:rPr>
            </w:pPr>
          </w:p>
        </w:tc>
        <w:tc>
          <w:tcPr>
            <w:tcW w:w="90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4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28,186</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70,476</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399.5</w:t>
            </w:r>
            <w:r>
              <w:rPr>
                <w:rFonts w:ascii="Times New Roman" w:cs="Times New Roman" w:eastAsia="Times New Roman" w:hAnsi="Times New Roman"/>
                <w:sz w:val="20"/>
                <w:szCs w:val="20"/>
                <w:color w:val="008000"/>
                <w:w w:val="92"/>
                <w:vertAlign w:val="superscript"/>
              </w:rPr>
              <w:t>(10)</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4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2,896</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67,580</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400.52</w:t>
            </w:r>
            <w:r>
              <w:rPr>
                <w:rFonts w:ascii="Times New Roman" w:cs="Times New Roman" w:eastAsia="Times New Roman" w:hAnsi="Times New Roman"/>
                <w:sz w:val="20"/>
                <w:szCs w:val="20"/>
                <w:color w:val="008000"/>
                <w:w w:val="93"/>
                <w:vertAlign w:val="superscript"/>
              </w:rPr>
              <w:t>(11)</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4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2,636</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64,944</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401.41</w:t>
            </w:r>
            <w:r>
              <w:rPr>
                <w:rFonts w:ascii="Times New Roman" w:cs="Times New Roman" w:eastAsia="Times New Roman" w:hAnsi="Times New Roman"/>
                <w:sz w:val="20"/>
                <w:szCs w:val="20"/>
                <w:color w:val="008000"/>
                <w:w w:val="93"/>
                <w:vertAlign w:val="superscript"/>
              </w:rPr>
              <w:t>(12)</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4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3,297</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61,647</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402.53</w:t>
            </w:r>
            <w:r>
              <w:rPr>
                <w:rFonts w:ascii="Times New Roman" w:cs="Times New Roman" w:eastAsia="Times New Roman" w:hAnsi="Times New Roman"/>
                <w:sz w:val="20"/>
                <w:szCs w:val="20"/>
                <w:color w:val="008000"/>
                <w:w w:val="93"/>
                <w:vertAlign w:val="superscript"/>
              </w:rPr>
              <w:t>(13)</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4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2,293</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59,354</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403.35</w:t>
            </w:r>
            <w:r>
              <w:rPr>
                <w:rFonts w:ascii="Times New Roman" w:cs="Times New Roman" w:eastAsia="Times New Roman" w:hAnsi="Times New Roman"/>
                <w:sz w:val="20"/>
                <w:szCs w:val="20"/>
                <w:color w:val="008000"/>
                <w:w w:val="93"/>
                <w:vertAlign w:val="superscript"/>
              </w:rPr>
              <w:t>(14)</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4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1,027</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58,327</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6"/>
          <w:szCs w:val="16"/>
          <w:color w:val="0000FF"/>
        </w:rPr>
        <w:t>DE (AIV),</w:t>
      </w:r>
    </w:p>
    <w:p>
      <w:pPr>
        <w:ind w:left="10180"/>
        <w:spacing w:after="0" w:line="187" w:lineRule="auto"/>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80"/>
          </w:cols>
          <w:pgMar w:left="460" w:top="214" w:right="459" w:bottom="377"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jc w:val="center"/>
              <w:ind w:left="588"/>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404.58</w:t>
            </w:r>
            <w:r>
              <w:rPr>
                <w:rFonts w:ascii="Times New Roman" w:cs="Times New Roman" w:eastAsia="Times New Roman" w:hAnsi="Times New Roman"/>
                <w:sz w:val="20"/>
                <w:szCs w:val="20"/>
                <w:color w:val="008000"/>
                <w:vertAlign w:val="superscript"/>
              </w:rPr>
              <w:t>(15)</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8"/>
              <w:spacing w:after="0"/>
              <w:rPr>
                <w:sz w:val="20"/>
                <w:szCs w:val="20"/>
                <w:color w:val="auto"/>
              </w:rPr>
            </w:pPr>
            <w:r>
              <w:rPr>
                <w:rFonts w:ascii="Times New Roman" w:cs="Times New Roman" w:eastAsia="Times New Roman" w:hAnsi="Times New Roman"/>
                <w:sz w:val="16"/>
                <w:szCs w:val="16"/>
                <w:color w:val="0000FF"/>
                <w:w w:val="99"/>
              </w:rPr>
              <w:t>641</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57,686</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405.57</w:t>
            </w:r>
            <w:r>
              <w:rPr>
                <w:rFonts w:ascii="Times New Roman" w:cs="Times New Roman" w:eastAsia="Times New Roman" w:hAnsi="Times New Roman"/>
                <w:sz w:val="20"/>
                <w:szCs w:val="20"/>
                <w:color w:val="008000"/>
                <w:vertAlign w:val="superscript"/>
              </w:rPr>
              <w:t>(16)</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8"/>
              <w:spacing w:after="0"/>
              <w:rPr>
                <w:sz w:val="20"/>
                <w:szCs w:val="20"/>
                <w:color w:val="auto"/>
              </w:rPr>
            </w:pPr>
            <w:r>
              <w:rPr>
                <w:rFonts w:ascii="Times New Roman" w:cs="Times New Roman" w:eastAsia="Times New Roman" w:hAnsi="Times New Roman"/>
                <w:sz w:val="16"/>
                <w:szCs w:val="16"/>
                <w:color w:val="0000FF"/>
                <w:w w:val="99"/>
              </w:rPr>
              <w:t>2,528</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55,158</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406.35</w:t>
            </w:r>
            <w:r>
              <w:rPr>
                <w:rFonts w:ascii="Times New Roman" w:cs="Times New Roman" w:eastAsia="Times New Roman" w:hAnsi="Times New Roman"/>
                <w:sz w:val="20"/>
                <w:szCs w:val="20"/>
                <w:color w:val="008000"/>
                <w:vertAlign w:val="superscript"/>
              </w:rPr>
              <w:t>(17)</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8"/>
              <w:spacing w:after="0"/>
              <w:rPr>
                <w:sz w:val="20"/>
                <w:szCs w:val="20"/>
                <w:color w:val="auto"/>
              </w:rPr>
            </w:pPr>
            <w:r>
              <w:rPr>
                <w:rFonts w:ascii="Times New Roman" w:cs="Times New Roman" w:eastAsia="Times New Roman" w:hAnsi="Times New Roman"/>
                <w:sz w:val="16"/>
                <w:szCs w:val="16"/>
                <w:color w:val="0000FF"/>
                <w:w w:val="99"/>
              </w:rPr>
              <w:t>3,409</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51,749</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407.38</w:t>
            </w:r>
            <w:r>
              <w:rPr>
                <w:rFonts w:ascii="Times New Roman" w:cs="Times New Roman" w:eastAsia="Times New Roman" w:hAnsi="Times New Roman"/>
                <w:sz w:val="20"/>
                <w:szCs w:val="20"/>
                <w:color w:val="008000"/>
                <w:vertAlign w:val="superscript"/>
              </w:rPr>
              <w:t>(18)</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8"/>
              <w:spacing w:after="0"/>
              <w:rPr>
                <w:sz w:val="20"/>
                <w:szCs w:val="20"/>
                <w:color w:val="auto"/>
              </w:rPr>
            </w:pPr>
            <w:r>
              <w:rPr>
                <w:rFonts w:ascii="Times New Roman" w:cs="Times New Roman" w:eastAsia="Times New Roman" w:hAnsi="Times New Roman"/>
                <w:sz w:val="16"/>
                <w:szCs w:val="16"/>
                <w:color w:val="0000FF"/>
                <w:w w:val="99"/>
              </w:rPr>
              <w:t>1,226</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50,523</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408.08</w:t>
            </w:r>
            <w:r>
              <w:rPr>
                <w:rFonts w:ascii="Times New Roman" w:cs="Times New Roman" w:eastAsia="Times New Roman" w:hAnsi="Times New Roman"/>
                <w:sz w:val="20"/>
                <w:szCs w:val="20"/>
                <w:color w:val="008000"/>
                <w:vertAlign w:val="superscript"/>
              </w:rPr>
              <w:t>(19)</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8"/>
              <w:spacing w:after="0"/>
              <w:rPr>
                <w:sz w:val="20"/>
                <w:szCs w:val="20"/>
                <w:color w:val="auto"/>
              </w:rPr>
            </w:pPr>
            <w:r>
              <w:rPr>
                <w:rFonts w:ascii="Times New Roman" w:cs="Times New Roman" w:eastAsia="Times New Roman" w:hAnsi="Times New Roman"/>
                <w:sz w:val="16"/>
                <w:szCs w:val="16"/>
                <w:color w:val="0000FF"/>
              </w:rPr>
              <w:t>06/12/2026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28"/>
              <w:spacing w:after="0"/>
              <w:rPr>
                <w:sz w:val="20"/>
                <w:szCs w:val="20"/>
                <w:color w:val="auto"/>
              </w:rPr>
            </w:pPr>
            <w:r>
              <w:rPr>
                <w:rFonts w:ascii="Times New Roman" w:cs="Times New Roman" w:eastAsia="Times New Roman" w:hAnsi="Times New Roman"/>
                <w:sz w:val="16"/>
                <w:szCs w:val="16"/>
                <w:color w:val="0000FF"/>
                <w:w w:val="99"/>
              </w:rPr>
              <w:t>142</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50,381</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9,359</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00"/>
        </w:trPr>
        <w:tc>
          <w:tcPr>
            <w:tcW w:w="238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9" w:right="359" w:bottom="0" w:gutter="0" w:footer="0" w:header="0"/>
        </w:sectPr>
      </w:pPr>
    </w:p>
    <w:p>
      <w:pPr>
        <w:ind w:left="10180"/>
        <w:spacing w:after="0" w:line="189" w:lineRule="auto"/>
        <w:rPr>
          <w:sz w:val="20"/>
          <w:szCs w:val="20"/>
          <w:color w:val="auto"/>
        </w:rPr>
      </w:pPr>
      <w:r>
        <w:rPr>
          <w:rFonts w:ascii="Times New Roman" w:cs="Times New Roman" w:eastAsia="Times New Roman" w:hAnsi="Times New Roman"/>
          <w:sz w:val="11"/>
          <w:szCs w:val="11"/>
          <w:color w:val="0000FF"/>
        </w:rPr>
        <w:t>Lake</w:t>
      </w:r>
    </w:p>
    <w:p>
      <w:pPr>
        <w:sectPr>
          <w:pgSz w:w="11900" w:h="16838" w:orient="portrait"/>
          <w:cols w:equalWidth="0" w:num="1">
            <w:col w:w="11080"/>
          </w:cols>
          <w:pgMar w:left="460" w:top="189" w:right="359" w:bottom="0" w:gutter="0" w:footer="0" w:header="0"/>
          <w:type w:val="continuous"/>
        </w:sectPr>
      </w:pPr>
    </w:p>
    <w:p>
      <w:pPr>
        <w:ind w:left="10180"/>
        <w:spacing w:after="0"/>
        <w:rPr>
          <w:sz w:val="20"/>
          <w:szCs w:val="20"/>
          <w:color w:val="auto"/>
        </w:rPr>
      </w:pPr>
      <w:r>
        <w:rPr>
          <w:rFonts w:ascii="Times New Roman" w:cs="Times New Roman" w:eastAsia="Times New Roman" w:hAnsi="Times New Roman"/>
          <w:sz w:val="16"/>
          <w:szCs w:val="16"/>
          <w:color w:val="0000FF"/>
        </w:rPr>
        <w:t>Group,</w:t>
      </w:r>
    </w:p>
    <w:p>
      <w:pPr>
        <w:spacing w:after="0" w:line="1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4,845</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164,214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2"/>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1,317,963</w:t>
            </w:r>
          </w:p>
        </w:tc>
        <w:tc>
          <w:tcPr>
            <w:tcW w:w="820" w:type="dxa"/>
            <w:vAlign w:val="bottom"/>
            <w:tcBorders>
              <w:top w:val="single" w:sz="8" w:color="2C2C2C"/>
              <w:bottom w:val="single" w:sz="8" w:color="2C2C2C"/>
            </w:tcBorders>
            <w:gridSpan w:val="2"/>
          </w:tcPr>
          <w:p>
            <w:pPr>
              <w:jc w:val="center"/>
              <w:ind w:right="471"/>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47,234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161,725</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(20)</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4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gridSpan w:val="9"/>
          </w:tcPr>
          <w:p>
            <w:pPr>
              <w:jc w:val="center"/>
              <w:ind w:right="5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8"/>
          </w:tcPr>
          <w:p>
            <w:pPr>
              <w:jc w:val="center"/>
              <w:ind w:left="476"/>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1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8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60" w:type="dxa"/>
            <w:vAlign w:val="bottom"/>
            <w:gridSpan w:val="2"/>
            <w:vMerge w:val="restart"/>
          </w:tcPr>
          <w:p>
            <w:pPr>
              <w:ind w:left="60"/>
              <w:spacing w:after="0" w:line="263"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6"/>
                <w:szCs w:val="6"/>
                <w:color w:val="auto"/>
              </w:rPr>
            </w:pPr>
          </w:p>
        </w:tc>
        <w:tc>
          <w:tcPr>
            <w:tcW w:w="86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color w:val="0000FF"/>
              </w:rPr>
              <w:t>28,186</w:t>
            </w: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Silver Lake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5"/>
                <w:szCs w:val="5"/>
                <w:color w:val="auto"/>
              </w:rPr>
            </w:pPr>
          </w:p>
        </w:tc>
        <w:tc>
          <w:tcPr>
            <w:tcW w:w="104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06/12/2026</w:t>
            </w:r>
          </w:p>
        </w:tc>
        <w:tc>
          <w:tcPr>
            <w:tcW w:w="10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28,186</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5"/>
                <w:szCs w:val="5"/>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vMerge w:val="restart"/>
          </w:tcPr>
          <w:p>
            <w:pPr>
              <w:jc w:val="right"/>
              <w:ind w:right="23"/>
              <w:spacing w:after="0"/>
              <w:rPr>
                <w:sz w:val="20"/>
                <w:szCs w:val="20"/>
                <w:color w:val="auto"/>
              </w:rPr>
            </w:pPr>
            <w:r>
              <w:rPr>
                <w:rFonts w:ascii="Times New Roman" w:cs="Times New Roman" w:eastAsia="Times New Roman" w:hAnsi="Times New Roman"/>
                <w:sz w:val="12"/>
                <w:szCs w:val="12"/>
                <w:color w:val="0000FF"/>
              </w:rPr>
              <w:t>9,463,699</w:t>
            </w:r>
          </w:p>
        </w:tc>
        <w:tc>
          <w:tcPr>
            <w:tcW w:w="160" w:type="dxa"/>
            <w:vAlign w:val="bottom"/>
          </w:tcPr>
          <w:p>
            <w:pPr>
              <w:spacing w:after="0"/>
              <w:rPr>
                <w:sz w:val="5"/>
                <w:szCs w:val="5"/>
                <w:color w:val="auto"/>
              </w:rPr>
            </w:pP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tcBorders>
              <w:right w:val="single" w:sz="8" w:color="2C2C2C"/>
            </w:tcBorders>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Partners V</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DE (AIV),</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right w:val="single" w:sz="8" w:color="2C2C2C"/>
            </w:tcBorders>
            <w:gridSpan w:val="3"/>
          </w:tcPr>
          <w:p>
            <w:pPr>
              <w:ind w:left="60"/>
              <w:spacing w:after="0" w:line="229"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34,887,695</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vMerge w:val="restart"/>
          </w:tcPr>
          <w:p>
            <w:pPr>
              <w:jc w:val="right"/>
              <w:ind w:right="3"/>
              <w:spacing w:after="0" w:line="101" w:lineRule="exact"/>
              <w:rPr>
                <w:sz w:val="20"/>
                <w:szCs w:val="20"/>
                <w:color w:val="auto"/>
              </w:rPr>
            </w:pPr>
            <w:r>
              <w:rPr>
                <w:rFonts w:ascii="Times New Roman" w:cs="Times New Roman" w:eastAsia="Times New Roman" w:hAnsi="Times New Roman"/>
                <w:sz w:val="11"/>
                <w:szCs w:val="11"/>
                <w:color w:val="0000FF"/>
              </w:rPr>
              <w:t>34,887,695</w:t>
            </w:r>
          </w:p>
        </w:tc>
        <w:tc>
          <w:tcPr>
            <w:tcW w:w="160" w:type="dxa"/>
            <w:vAlign w:val="bottom"/>
          </w:tcPr>
          <w:p>
            <w:pPr>
              <w:spacing w:after="0"/>
              <w:rPr>
                <w:sz w:val="3"/>
                <w:szCs w:val="3"/>
                <w:color w:val="auto"/>
              </w:rPr>
            </w:pPr>
          </w:p>
        </w:tc>
        <w:tc>
          <w:tcPr>
            <w:tcW w:w="660" w:type="dxa"/>
            <w:vAlign w:val="bottom"/>
            <w:vMerge w:val="restart"/>
          </w:tcPr>
          <w:p>
            <w:pPr>
              <w:ind w:left="2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-2420620</wp:posOffset>
            </wp:positionV>
            <wp:extent cx="28575" cy="2410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410460"/>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-132080</wp:posOffset>
            </wp:positionV>
            <wp:extent cx="2814320" cy="834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14320" cy="8340090"/>
                    </a:xfrm>
                    <a:prstGeom prst="rect">
                      <a:avLst/>
                    </a:prstGeom>
                    <a:noFill/>
                  </pic:spPr>
                </pic:pic>
              </a:graphicData>
            </a:graphic>
          </wp:anchor>
        </w:drawing>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Silver Lake Partners V DE (AIV), L.P.</w:t>
        </w:r>
      </w:hyperlink>
    </w:p>
    <w:p>
      <w:pPr>
        <w:spacing w:after="0" w:line="285" w:lineRule="exact"/>
        <w:rPr>
          <w:sz w:val="20"/>
          <w:szCs w:val="20"/>
          <w:color w:val="auto"/>
        </w:rPr>
      </w:pPr>
    </w:p>
    <w:p>
      <w:pPr>
        <w:ind w:left="100"/>
        <w:spacing w:after="0"/>
        <w:tabs>
          <w:tab w:leader="none" w:pos="146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2775 SAND HILL ROAD, SUITE 100</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4"/>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18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6"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Silver Lake Technology Associates V, L.P.</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5"/>
          </w:tcPr>
          <w:p>
            <w:pPr>
              <w:spacing w:after="0" w:line="212"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SLTA V (GP),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5"/>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Group,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Durban Egon</w:t>
              </w:r>
            </w:hyperlink>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20" w:right="60" w:hanging="3"/>
        <w:spacing w:after="0" w:line="282"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12, 2026.</w:t>
      </w:r>
    </w:p>
    <w:p>
      <w:pPr>
        <w:ind w:left="20" w:right="280" w:hanging="3"/>
        <w:spacing w:after="0" w:line="260"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12, 2026, certain of the Reporting Persons converted shares of Class B Common Stock into an equal number of shares of Class C Common Stock in connection with the sales described in footnote (1) above.</w:t>
      </w:r>
    </w:p>
    <w:p>
      <w:pPr>
        <w:spacing w:after="0" w:line="13" w:lineRule="exact"/>
        <w:rPr>
          <w:rFonts w:ascii="Times New Roman" w:cs="Times New Roman" w:eastAsia="Times New Roman" w:hAnsi="Times New Roman"/>
          <w:sz w:val="12"/>
          <w:szCs w:val="12"/>
          <w:color w:val="008000"/>
        </w:rPr>
      </w:pPr>
    </w:p>
    <w:p>
      <w:pPr>
        <w:ind w:left="20" w:hanging="3"/>
        <w:spacing w:after="0" w:line="282"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Partners V DE (AIV), L.P. The general partner of Silver Lake Partners V DE (AIV), L.P. is Silver Lake Technology Associates V, L.P. and the general partner of Silver Lake Technology Associates V, L.P. is SLTA V (GP), L.L.C.</w:t>
      </w:r>
    </w:p>
    <w:p>
      <w:pPr>
        <w:ind w:left="20" w:right="360" w:hanging="3"/>
        <w:spacing w:after="0" w:line="282"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V (GP), L.L.C. Egon Durban, who serves as a director of the Issuer, also serves as a Co-CEO and Managing Member of SLG. Each of the Reporting Persons may be deemed a director by deputization of the Issuer.</w:t>
      </w: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w:t>
      </w:r>
    </w:p>
    <w:p>
      <w:pPr>
        <w:spacing w:after="0" w:line="49" w:lineRule="exact"/>
        <w:rPr>
          <w:rFonts w:ascii="Times New Roman" w:cs="Times New Roman" w:eastAsia="Times New Roman" w:hAnsi="Times New Roman"/>
          <w:sz w:val="12"/>
          <w:szCs w:val="12"/>
          <w:color w:val="008000"/>
        </w:rPr>
      </w:pPr>
    </w:p>
    <w:p>
      <w:pPr>
        <w:ind w:left="20" w:right="200" w:hanging="3"/>
        <w:spacing w:after="0" w:line="282"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directly by Mr. Durban.</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w:t>
      </w:r>
    </w:p>
    <w:p>
      <w:pPr>
        <w:spacing w:after="0" w:line="49" w:lineRule="exact"/>
        <w:rPr>
          <w:rFonts w:ascii="Times New Roman" w:cs="Times New Roman" w:eastAsia="Times New Roman" w:hAnsi="Times New Roman"/>
          <w:sz w:val="12"/>
          <w:szCs w:val="12"/>
          <w:color w:val="008000"/>
        </w:rPr>
      </w:pPr>
    </w:p>
    <w:p>
      <w:pPr>
        <w:ind w:left="20" w:right="80" w:hanging="3"/>
        <w:spacing w:after="0" w:line="282" w:lineRule="auto"/>
        <w:tabs>
          <w:tab w:leader="none" w:pos="20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$398.9913 to $399.9800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100" w:hanging="3"/>
        <w:spacing w:after="0" w:line="282" w:lineRule="auto"/>
        <w:tabs>
          <w:tab w:leader="none" w:pos="20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$400.0000 to $400.9946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ectPr>
          <w:pgSz w:w="11900" w:h="16838" w:orient="portrait"/>
          <w:cols w:equalWidth="0" w:num="1">
            <w:col w:w="10920"/>
          </w:cols>
          <w:pgMar w:left="480" w:top="118" w:right="499" w:bottom="0" w:gutter="0" w:footer="0" w:header="0"/>
        </w:sectPr>
      </w:pPr>
    </w:p>
    <w:bookmarkStart w:id="3" w:name="page4"/>
    <w:bookmarkEnd w:id="3"/>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$401.0000 to $401.9900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$402.0000 to $402.9999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$403.0000 to $403.9900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$404.0047 to $404.9892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$405.0000 to $405.9941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$406.0000 to $406.9985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$407.0000 to $407.9900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$408.0000 to $408.2463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140" w:hanging="3"/>
        <w:spacing w:after="0" w:line="260"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91,809 shares of Class C Common Stock, Silver Lake Partners IV, L.P. directly holds 69,916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p>
      <w:pPr>
        <w:spacing w:after="0" w:line="13" w:lineRule="exact"/>
        <w:rPr>
          <w:rFonts w:ascii="Times New Roman" w:cs="Times New Roman" w:eastAsia="Times New Roman" w:hAnsi="Times New Roman"/>
          <w:sz w:val="12"/>
          <w:szCs w:val="12"/>
          <w:color w:val="008000"/>
        </w:rPr>
      </w:pPr>
    </w:p>
    <w:p>
      <w:pPr>
        <w:jc w:val="both"/>
        <w:ind w:left="3" w:right="20" w:hanging="3"/>
        <w:spacing w:after="0" w:line="260"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17,031,140 shares of Class B Common Stock, Silver Lake Partners IV, L.P. directly holds 17,483,318 shares of Class B Common Stock, Silver Lake Technology Investors IV, L.P. directly holds 257,237 shares of Class B Common Stock and Silver Lake Technology Investors V, L.P. directly holds 116,000 shares of Class B Common Stock, which securities and transactions are reported on separate Form 4 filings.</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3"/>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23"/>
          </w:cols>
          <w:pgMar w:left="497" w:top="127" w:right="579" w:bottom="1440" w:gutter="0" w:footer="0" w:header="0"/>
        </w:sectPr>
      </w:pPr>
    </w:p>
    <w:p>
      <w:pPr>
        <w:spacing w:after="0" w:line="42"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661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9824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9824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954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Partners V DE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14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6616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71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954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6002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6002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6616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2717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579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579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086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63" w:space="100"/>
            <w:col w:w="2060"/>
          </w:cols>
          <w:pgMar w:left="497" w:top="127" w:right="579" w:bottom="1440" w:gutter="0" w:footer="0" w:header="0"/>
          <w:type w:val="continuous"/>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20"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3"/>
      </w:cols>
      <w:pgMar w:left="497" w:top="12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13" Type="http://schemas.openxmlformats.org/officeDocument/2006/relationships/hyperlink" Target="http://www.sec.gov/cgi-bin/browse-edgar?action=getcompany&amp;CIK=0001737659" TargetMode="External"/><Relationship Id="rId14" Type="http://schemas.openxmlformats.org/officeDocument/2006/relationships/hyperlink" Target="http://www.sec.gov/cgi-bin/browse-edgar?action=getcompany&amp;CIK=0001571996" TargetMode="External"/><Relationship Id="rId18" Type="http://schemas.openxmlformats.org/officeDocument/2006/relationships/hyperlink" Target="http://www.sec.gov/cgi-bin/browse-edgar?action=getcompany&amp;CIK=0001737657" TargetMode="External"/><Relationship Id="rId19" Type="http://schemas.openxmlformats.org/officeDocument/2006/relationships/hyperlink" Target="http://www.sec.gov/cgi-bin/browse-edgar?action=getcompany&amp;CIK=0001737652" TargetMode="External"/><Relationship Id="rId20"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2026-06-16T15:52:35Z</dcterms:created>
  <dcterms:modified xsi:type="dcterms:W3CDTF">2026-06-16T15:52:35Z</dcterms:modified>
</cp:coreProperties>
</file>