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June 11, 2026.</w:t>
      </w:r>
    </w:p>
    <w:p>
      <w:pPr>
        <w:spacing w:after="0" w:line="18" w:lineRule="exact"/>
        <w:rPr>
          <w:sz w:val="24"/>
          <w:szCs w:val="24"/>
          <w:color w:val="auto"/>
        </w:rPr>
      </w:pPr>
    </w:p>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827405</wp:posOffset>
            </wp:positionH>
            <wp:positionV relativeFrom="paragraph">
              <wp:posOffset>63500</wp:posOffset>
            </wp:positionV>
            <wp:extent cx="55130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97155</wp:posOffset>
            </wp:positionV>
            <wp:extent cx="55130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17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92710</wp:posOffset>
            </wp:positionV>
            <wp:extent cx="11620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15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100965</wp:posOffset>
            </wp:positionV>
            <wp:extent cx="11620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1" w:lineRule="exact"/>
        <w:rPr>
          <w:sz w:val="24"/>
          <w:szCs w:val="24"/>
          <w:color w:val="auto"/>
        </w:rPr>
      </w:pPr>
    </w:p>
    <w:tbl>
      <w:tblPr>
        <w:tblLayout w:type="fixed"/>
        <w:tblInd w:w="1720" w:type="dxa"/>
        <w:tblCellMar>
          <w:top w:w="0" w:type="dxa"/>
          <w:left w:w="0" w:type="dxa"/>
          <w:bottom w:w="0" w:type="dxa"/>
          <w:right w:w="0" w:type="dxa"/>
        </w:tblCellMar>
      </w:tblPr>
      <w:tr>
        <w:trPr>
          <w:trHeight w:val="184"/>
        </w:trPr>
        <w:tc>
          <w:tcPr>
            <w:tcW w:w="2500" w:type="dxa"/>
            <w:vAlign w:val="bottom"/>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7"/>
              </w:rPr>
              <w:t>DELL TECHNOLOGIES INC.</w:t>
            </w:r>
          </w:p>
        </w:tc>
        <w:tc>
          <w:tcPr>
            <w:tcW w:w="312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6"/>
              </w:rPr>
              <w:t>DELL INTERNATIONAL L.L.C.</w:t>
            </w:r>
          </w:p>
        </w:tc>
        <w:tc>
          <w:tcPr>
            <w:tcW w:w="2040" w:type="dxa"/>
            <w:vAlign w:val="bottom"/>
          </w:tcPr>
          <w:p>
            <w:pPr>
              <w:jc w:val="center"/>
              <w:ind w:left="396"/>
              <w:spacing w:after="0"/>
              <w:rPr>
                <w:sz w:val="20"/>
                <w:szCs w:val="20"/>
                <w:color w:val="auto"/>
              </w:rPr>
            </w:pPr>
            <w:r>
              <w:rPr>
                <w:rFonts w:ascii="Times New Roman" w:cs="Times New Roman" w:eastAsia="Times New Roman" w:hAnsi="Times New Roman"/>
                <w:sz w:val="16"/>
                <w:szCs w:val="16"/>
                <w:b w:val="1"/>
                <w:bCs w:val="1"/>
                <w:color w:val="auto"/>
                <w:w w:val="96"/>
              </w:rPr>
              <w:t>EMC CORPORATION</w:t>
            </w:r>
          </w:p>
        </w:tc>
      </w:tr>
      <w:tr>
        <w:trPr>
          <w:trHeight w:val="117"/>
        </w:trPr>
        <w:tc>
          <w:tcPr>
            <w:tcW w:w="2500" w:type="dxa"/>
            <w:vAlign w:val="bottom"/>
          </w:tcPr>
          <w:p>
            <w:pPr>
              <w:jc w:val="center"/>
              <w:ind w:right="316"/>
              <w:spacing w:after="0" w:line="118" w:lineRule="exact"/>
              <w:rPr>
                <w:sz w:val="20"/>
                <w:szCs w:val="20"/>
                <w:color w:val="auto"/>
              </w:rPr>
            </w:pPr>
            <w:r>
              <w:rPr>
                <w:rFonts w:ascii="Times New Roman" w:cs="Times New Roman" w:eastAsia="Times New Roman" w:hAnsi="Times New Roman"/>
                <w:sz w:val="11"/>
                <w:szCs w:val="11"/>
                <w:b w:val="1"/>
                <w:bCs w:val="1"/>
                <w:color w:val="auto"/>
              </w:rPr>
              <w:t>(Exact name of registrant</w:t>
            </w:r>
          </w:p>
        </w:tc>
        <w:tc>
          <w:tcPr>
            <w:tcW w:w="312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1"/>
                <w:szCs w:val="11"/>
                <w:b w:val="1"/>
                <w:bCs w:val="1"/>
                <w:color w:val="auto"/>
              </w:rPr>
              <w:t>(Exact name of registrant</w:t>
            </w:r>
          </w:p>
        </w:tc>
        <w:tc>
          <w:tcPr>
            <w:tcW w:w="2040" w:type="dxa"/>
            <w:vAlign w:val="bottom"/>
          </w:tcPr>
          <w:p>
            <w:pPr>
              <w:jc w:val="center"/>
              <w:ind w:left="416"/>
              <w:spacing w:after="0" w:line="118" w:lineRule="exact"/>
              <w:rPr>
                <w:sz w:val="20"/>
                <w:szCs w:val="20"/>
                <w:color w:val="auto"/>
              </w:rPr>
            </w:pPr>
            <w:r>
              <w:rPr>
                <w:rFonts w:ascii="Times New Roman" w:cs="Times New Roman" w:eastAsia="Times New Roman" w:hAnsi="Times New Roman"/>
                <w:sz w:val="11"/>
                <w:szCs w:val="11"/>
                <w:b w:val="1"/>
                <w:bCs w:val="1"/>
                <w:color w:val="auto"/>
              </w:rPr>
              <w:t>(Exact name of registrant</w:t>
            </w:r>
          </w:p>
        </w:tc>
      </w:tr>
      <w:tr>
        <w:trPr>
          <w:trHeight w:val="149"/>
        </w:trPr>
        <w:tc>
          <w:tcPr>
            <w:tcW w:w="2500" w:type="dxa"/>
            <w:vAlign w:val="bottom"/>
          </w:tcPr>
          <w:p>
            <w:pPr>
              <w:jc w:val="center"/>
              <w:ind w:right="316"/>
              <w:spacing w:after="0"/>
              <w:rPr>
                <w:sz w:val="20"/>
                <w:szCs w:val="20"/>
                <w:color w:val="auto"/>
              </w:rPr>
            </w:pPr>
            <w:r>
              <w:rPr>
                <w:rFonts w:ascii="Times New Roman" w:cs="Times New Roman" w:eastAsia="Times New Roman" w:hAnsi="Times New Roman"/>
                <w:sz w:val="11"/>
                <w:szCs w:val="11"/>
                <w:b w:val="1"/>
                <w:bCs w:val="1"/>
                <w:color w:val="auto"/>
              </w:rPr>
              <w:t>as specified in its charter)</w:t>
            </w:r>
          </w:p>
        </w:tc>
        <w:tc>
          <w:tcPr>
            <w:tcW w:w="3120" w:type="dxa"/>
            <w:vAlign w:val="bottom"/>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rPr>
              <w:t>as specified in its charter)</w:t>
            </w:r>
          </w:p>
        </w:tc>
        <w:tc>
          <w:tcPr>
            <w:tcW w:w="2040" w:type="dxa"/>
            <w:vAlign w:val="bottom"/>
          </w:tcPr>
          <w:p>
            <w:pPr>
              <w:jc w:val="center"/>
              <w:ind w:left="416"/>
              <w:spacing w:after="0"/>
              <w:rPr>
                <w:sz w:val="20"/>
                <w:szCs w:val="20"/>
                <w:color w:val="auto"/>
              </w:rPr>
            </w:pPr>
            <w:r>
              <w:rPr>
                <w:rFonts w:ascii="Times New Roman" w:cs="Times New Roman" w:eastAsia="Times New Roman" w:hAnsi="Times New Roman"/>
                <w:sz w:val="11"/>
                <w:szCs w:val="11"/>
                <w:b w:val="1"/>
                <w:bCs w:val="1"/>
                <w:color w:val="auto"/>
              </w:rPr>
              <w:t>as specified in its charter)</w:t>
            </w:r>
          </w:p>
        </w:tc>
      </w:tr>
      <w:tr>
        <w:trPr>
          <w:trHeight w:val="195"/>
        </w:trPr>
        <w:tc>
          <w:tcPr>
            <w:tcW w:w="2500" w:type="dxa"/>
            <w:vAlign w:val="bottom"/>
          </w:tcPr>
          <w:p>
            <w:pPr>
              <w:jc w:val="center"/>
              <w:ind w:right="316"/>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12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040" w:type="dxa"/>
            <w:vAlign w:val="bottom"/>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9"/>
              </w:rPr>
              <w:t>Massachusetts</w:t>
            </w:r>
          </w:p>
        </w:tc>
      </w:tr>
    </w:tbl>
    <w:p>
      <w:pPr>
        <w:spacing w:after="0" w:line="1" w:lineRule="exact"/>
        <w:rPr>
          <w:sz w:val="24"/>
          <w:szCs w:val="24"/>
          <w:color w:val="auto"/>
        </w:rPr>
      </w:pPr>
    </w:p>
    <w:p>
      <w:pPr>
        <w:sectPr>
          <w:pgSz w:w="11900" w:h="16838" w:orient="portrait"/>
          <w:cols w:equalWidth="0" w:num="1">
            <w:col w:w="10159"/>
          </w:cols>
          <w:pgMar w:left="300" w:top="208" w:right="1440" w:bottom="1440" w:gutter="0" w:footer="0" w:header="0"/>
        </w:sectPr>
      </w:pPr>
    </w:p>
    <w:p>
      <w:pPr>
        <w:ind w:left="2060"/>
        <w:spacing w:after="0" w:line="222" w:lineRule="auto"/>
        <w:rPr>
          <w:sz w:val="20"/>
          <w:szCs w:val="20"/>
          <w:color w:val="auto"/>
        </w:rPr>
      </w:pPr>
      <w:r>
        <w:rPr>
          <w:rFonts w:ascii="Times New Roman" w:cs="Times New Roman" w:eastAsia="Times New Roman" w:hAnsi="Times New Roman"/>
          <w:sz w:val="11"/>
          <w:szCs w:val="11"/>
          <w:b w:val="1"/>
          <w:bCs w:val="1"/>
          <w:color w:val="auto"/>
        </w:rPr>
        <w:t>(State or other jurisdiction of</w:t>
      </w:r>
    </w:p>
    <w:p>
      <w:pPr>
        <w:ind w:left="20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line="222" w:lineRule="auto"/>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line="222" w:lineRule="auto"/>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36" w:lineRule="exact"/>
        <w:rPr>
          <w:sz w:val="24"/>
          <w:szCs w:val="24"/>
          <w:color w:val="auto"/>
        </w:rPr>
      </w:pPr>
    </w:p>
    <w:p>
      <w:pPr>
        <w:sectPr>
          <w:pgSz w:w="11900" w:h="16838" w:orient="portrait"/>
          <w:cols w:equalWidth="0" w:num="3">
            <w:col w:w="4280" w:space="720"/>
            <w:col w:w="2140" w:space="720"/>
            <w:col w:w="2299"/>
          </w:cols>
          <w:pgMar w:left="300" w:top="208" w:right="1440" w:bottom="1440" w:gutter="0" w:footer="0" w:header="0"/>
          <w:type w:val="continuous"/>
        </w:sectPr>
      </w:pPr>
    </w:p>
    <w:tbl>
      <w:tblPr>
        <w:tblLayout w:type="fixed"/>
        <w:tblInd w:w="1460" w:type="dxa"/>
        <w:tblCellMar>
          <w:top w:w="0" w:type="dxa"/>
          <w:left w:w="0" w:type="dxa"/>
          <w:bottom w:w="0" w:type="dxa"/>
          <w:right w:w="0" w:type="dxa"/>
        </w:tblCellMar>
      </w:tblPr>
      <w:tr>
        <w:trPr>
          <w:trHeight w:val="153"/>
        </w:trPr>
        <w:tc>
          <w:tcPr>
            <w:tcW w:w="2800" w:type="dxa"/>
            <w:vAlign w:val="bottom"/>
          </w:tcPr>
          <w:p>
            <w:pPr>
              <w:jc w:val="right"/>
              <w:ind w:right="1120"/>
              <w:spacing w:after="0"/>
              <w:rPr>
                <w:sz w:val="20"/>
                <w:szCs w:val="20"/>
                <w:color w:val="auto"/>
              </w:rPr>
            </w:pPr>
            <w:r>
              <w:rPr>
                <w:rFonts w:ascii="Times New Roman" w:cs="Times New Roman" w:eastAsia="Times New Roman" w:hAnsi="Times New Roman"/>
                <w:sz w:val="13"/>
                <w:szCs w:val="13"/>
                <w:b w:val="1"/>
                <w:bCs w:val="1"/>
                <w:color w:val="auto"/>
              </w:rPr>
              <w:t>80-0890963</w:t>
            </w:r>
          </w:p>
        </w:tc>
        <w:tc>
          <w:tcPr>
            <w:tcW w:w="2900" w:type="dxa"/>
            <w:vAlign w:val="bottom"/>
          </w:tcPr>
          <w:p>
            <w:pPr>
              <w:jc w:val="right"/>
              <w:ind w:right="1060"/>
              <w:spacing w:after="0"/>
              <w:rPr>
                <w:sz w:val="20"/>
                <w:szCs w:val="20"/>
                <w:color w:val="auto"/>
              </w:rPr>
            </w:pPr>
            <w:r>
              <w:rPr>
                <w:rFonts w:ascii="Times New Roman" w:cs="Times New Roman" w:eastAsia="Times New Roman" w:hAnsi="Times New Roman"/>
                <w:sz w:val="13"/>
                <w:szCs w:val="13"/>
                <w:b w:val="1"/>
                <w:bCs w:val="1"/>
                <w:color w:val="auto"/>
              </w:rPr>
              <w:t>81-3562797</w:t>
            </w:r>
          </w:p>
        </w:tc>
        <w:tc>
          <w:tcPr>
            <w:tcW w:w="2740" w:type="dxa"/>
            <w:vAlign w:val="bottom"/>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04-2680009</w:t>
            </w:r>
          </w:p>
        </w:tc>
      </w:tr>
      <w:tr>
        <w:trPr>
          <w:trHeight w:val="117"/>
        </w:trPr>
        <w:tc>
          <w:tcPr>
            <w:tcW w:w="280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290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2740" w:type="dxa"/>
            <w:vAlign w:val="bottom"/>
          </w:tcPr>
          <w:p>
            <w:pPr>
              <w:jc w:val="cente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800" w:type="dxa"/>
            <w:vAlign w:val="bottom"/>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c>
          <w:tcPr>
            <w:tcW w:w="2740" w:type="dxa"/>
            <w:vAlign w:val="bottom"/>
          </w:tcPr>
          <w:p>
            <w:pPr>
              <w:jc w:val="center"/>
              <w:ind w:left="80"/>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187"/>
        </w:trPr>
        <w:tc>
          <w:tcPr>
            <w:tcW w:w="280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One Dell Way</w:t>
            </w:r>
          </w:p>
        </w:tc>
        <w:tc>
          <w:tcPr>
            <w:tcW w:w="2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One Dell Way</w:t>
            </w:r>
          </w:p>
        </w:tc>
        <w:tc>
          <w:tcPr>
            <w:tcW w:w="2740" w:type="dxa"/>
            <w:vAlign w:val="bottom"/>
          </w:tcPr>
          <w:p>
            <w:pPr>
              <w:jc w:val="center"/>
              <w:ind w:left="60"/>
              <w:spacing w:after="0"/>
              <w:rPr>
                <w:sz w:val="20"/>
                <w:szCs w:val="20"/>
                <w:color w:val="auto"/>
              </w:rPr>
            </w:pPr>
            <w:r>
              <w:rPr>
                <w:rFonts w:ascii="Times New Roman" w:cs="Times New Roman" w:eastAsia="Times New Roman" w:hAnsi="Times New Roman"/>
                <w:sz w:val="13"/>
                <w:szCs w:val="13"/>
                <w:b w:val="1"/>
                <w:bCs w:val="1"/>
                <w:color w:val="auto"/>
                <w:w w:val="98"/>
              </w:rPr>
              <w:t>176 South Street</w:t>
            </w:r>
          </w:p>
        </w:tc>
      </w:tr>
      <w:tr>
        <w:trPr>
          <w:trHeight w:val="160"/>
        </w:trPr>
        <w:tc>
          <w:tcPr>
            <w:tcW w:w="280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Round Rock, Texas 78682</w:t>
            </w:r>
          </w:p>
        </w:tc>
        <w:tc>
          <w:tcPr>
            <w:tcW w:w="2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Round Rock, Texas 78682</w:t>
            </w:r>
          </w:p>
        </w:tc>
        <w:tc>
          <w:tcPr>
            <w:tcW w:w="274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Hopkinton, Massachusetts 01748</w:t>
            </w:r>
          </w:p>
        </w:tc>
      </w:tr>
      <w:tr>
        <w:trPr>
          <w:trHeight w:val="153"/>
        </w:trPr>
        <w:tc>
          <w:tcPr>
            <w:tcW w:w="2800" w:type="dxa"/>
            <w:vAlign w:val="bottom"/>
          </w:tcPr>
          <w:p>
            <w:pPr>
              <w:jc w:val="right"/>
              <w:ind w:right="1020"/>
              <w:spacing w:after="0"/>
              <w:rPr>
                <w:sz w:val="20"/>
                <w:szCs w:val="20"/>
                <w:color w:val="auto"/>
              </w:rPr>
            </w:pPr>
            <w:r>
              <w:rPr>
                <w:rFonts w:ascii="Times New Roman" w:cs="Times New Roman" w:eastAsia="Times New Roman" w:hAnsi="Times New Roman"/>
                <w:sz w:val="13"/>
                <w:szCs w:val="13"/>
                <w:b w:val="1"/>
                <w:bCs w:val="1"/>
                <w:color w:val="auto"/>
              </w:rPr>
              <w:t>(800) 289-3355</w:t>
            </w:r>
          </w:p>
        </w:tc>
        <w:tc>
          <w:tcPr>
            <w:tcW w:w="2900" w:type="dxa"/>
            <w:vAlign w:val="bottom"/>
          </w:tcPr>
          <w:p>
            <w:pPr>
              <w:jc w:val="right"/>
              <w:ind w:right="960"/>
              <w:spacing w:after="0"/>
              <w:rPr>
                <w:sz w:val="20"/>
                <w:szCs w:val="20"/>
                <w:color w:val="auto"/>
              </w:rPr>
            </w:pPr>
            <w:r>
              <w:rPr>
                <w:rFonts w:ascii="Times New Roman" w:cs="Times New Roman" w:eastAsia="Times New Roman" w:hAnsi="Times New Roman"/>
                <w:sz w:val="13"/>
                <w:szCs w:val="13"/>
                <w:b w:val="1"/>
                <w:bCs w:val="1"/>
                <w:color w:val="auto"/>
              </w:rPr>
              <w:t>(800) 289-3355</w:t>
            </w:r>
          </w:p>
        </w:tc>
        <w:tc>
          <w:tcPr>
            <w:tcW w:w="2740" w:type="dxa"/>
            <w:vAlign w:val="bottom"/>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(508) 435-1000</w:t>
            </w:r>
          </w:p>
        </w:tc>
      </w:tr>
      <w:tr>
        <w:trPr>
          <w:trHeight w:val="117"/>
        </w:trPr>
        <w:tc>
          <w:tcPr>
            <w:tcW w:w="280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1"/>
                <w:szCs w:val="11"/>
                <w:b w:val="1"/>
                <w:bCs w:val="1"/>
                <w:color w:val="auto"/>
              </w:rPr>
              <w:t>(Address, including zip code, and telephone number,</w:t>
            </w:r>
          </w:p>
        </w:tc>
        <w:tc>
          <w:tcPr>
            <w:tcW w:w="290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(Address, including zip code, and telephone number,</w:t>
            </w:r>
          </w:p>
        </w:tc>
        <w:tc>
          <w:tcPr>
            <w:tcW w:w="2740" w:type="dxa"/>
            <w:vAlign w:val="bottom"/>
          </w:tcPr>
          <w:p>
            <w:pPr>
              <w:jc w:val="cente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(Address, including zip code, and telephone number,</w:t>
            </w:r>
          </w:p>
        </w:tc>
      </w:tr>
      <w:tr>
        <w:trPr>
          <w:trHeight w:val="117"/>
        </w:trPr>
        <w:tc>
          <w:tcPr>
            <w:tcW w:w="280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rPr>
              <w:t>including area code, of registrant’s principal executive</w:t>
            </w:r>
          </w:p>
        </w:tc>
        <w:tc>
          <w:tcPr>
            <w:tcW w:w="290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including area code, of registrant’s principal executive</w:t>
            </w:r>
          </w:p>
        </w:tc>
        <w:tc>
          <w:tcPr>
            <w:tcW w:w="2740" w:type="dxa"/>
            <w:vAlign w:val="bottom"/>
          </w:tcPr>
          <w:p>
            <w:pPr>
              <w:jc w:val="cente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including area code, of registrant’s principal executive</w:t>
            </w:r>
          </w:p>
        </w:tc>
      </w:tr>
      <w:tr>
        <w:trPr>
          <w:trHeight w:val="149"/>
        </w:trPr>
        <w:tc>
          <w:tcPr>
            <w:tcW w:w="2800" w:type="dxa"/>
            <w:vAlign w:val="bottom"/>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offices)</w:t>
            </w: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offices)</w:t>
            </w:r>
          </w:p>
        </w:tc>
        <w:tc>
          <w:tcPr>
            <w:tcW w:w="2740" w:type="dxa"/>
            <w:vAlign w:val="bottom"/>
          </w:tcPr>
          <w:p>
            <w:pPr>
              <w:jc w:val="center"/>
              <w:ind w:left="60"/>
              <w:spacing w:after="0"/>
              <w:rPr>
                <w:sz w:val="20"/>
                <w:szCs w:val="20"/>
                <w:color w:val="auto"/>
              </w:rPr>
            </w:pPr>
            <w:r>
              <w:rPr>
                <w:rFonts w:ascii="Times New Roman" w:cs="Times New Roman" w:eastAsia="Times New Roman" w:hAnsi="Times New Roman"/>
                <w:sz w:val="11"/>
                <w:szCs w:val="11"/>
                <w:b w:val="1"/>
                <w:bCs w:val="1"/>
                <w:color w:val="auto"/>
              </w:rPr>
              <w:t>offices)</w:t>
            </w:r>
          </w:p>
        </w:tc>
      </w:tr>
    </w:tbl>
    <w:p>
      <w:pPr>
        <w:spacing w:after="0" w:line="6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3"/>
          <w:szCs w:val="13"/>
          <w:b w:val="1"/>
          <w:bCs w:val="1"/>
          <w:color w:val="auto"/>
        </w:rPr>
        <w:t>SEE TABLE OF ADDITIONAL REGISTRANT GUARANTORS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109220</wp:posOffset>
            </wp:positionV>
            <wp:extent cx="11620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Richard J. Rothberg, Esq.</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General Counsel and Secretary</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Dell Technologies Inc.</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One Dell Way</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Round Rock, Texas 78682</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(800) 289-3355</w:t>
      </w:r>
    </w:p>
    <w:p>
      <w:pPr>
        <w:spacing w:after="0" w:line="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85090</wp:posOffset>
            </wp:positionV>
            <wp:extent cx="11620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1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i w:val="1"/>
          <w:iCs w:val="1"/>
          <w:color w:val="auto"/>
        </w:rPr>
        <w:t>With a copy to:</w:t>
      </w:r>
    </w:p>
    <w:p>
      <w:pPr>
        <w:spacing w:after="0" w:line="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Hui Lin</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Jessica Asrat</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Simpson Thacher &amp; Bartlett LLP</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425 Lexington Ave</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New York, New York 10017</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Telephone: (212) 455-2000</w:t>
      </w:r>
    </w:p>
    <w:p>
      <w:pPr>
        <w:spacing w:after="0" w:line="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85090</wp:posOffset>
            </wp:positionV>
            <wp:extent cx="11620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Approximate date of commencement of proposed sale to the public:</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3002915</wp:posOffset>
            </wp:positionH>
            <wp:positionV relativeFrom="paragraph">
              <wp:posOffset>104140</wp:posOffset>
            </wp:positionV>
            <wp:extent cx="11620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164" w:lineRule="exact"/>
        <w:rPr>
          <w:sz w:val="24"/>
          <w:szCs w:val="24"/>
          <w:color w:val="auto"/>
        </w:rPr>
      </w:pPr>
    </w:p>
    <w:p>
      <w:pPr>
        <w:ind w:left="166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70" w:lineRule="exact"/>
        <w:rPr>
          <w:sz w:val="24"/>
          <w:szCs w:val="24"/>
          <w:color w:val="auto"/>
        </w:rPr>
      </w:pPr>
    </w:p>
    <w:p>
      <w:pPr>
        <w:ind w:left="1300" w:right="17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1300" w:right="17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 w:lineRule="exact"/>
        <w:rPr>
          <w:sz w:val="24"/>
          <w:szCs w:val="24"/>
          <w:color w:val="auto"/>
        </w:rPr>
      </w:pPr>
    </w:p>
    <w:p>
      <w:pPr>
        <w:ind w:left="1300" w:right="17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 w:lineRule="exact"/>
        <w:rPr>
          <w:sz w:val="24"/>
          <w:szCs w:val="24"/>
          <w:color w:val="auto"/>
        </w:rPr>
      </w:pPr>
    </w:p>
    <w:p>
      <w:pPr>
        <w:ind w:left="1300" w:right="17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1300" w:right="17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w:t>
      </w:r>
    </w:p>
    <w:p>
      <w:pPr>
        <w:spacing w:after="0" w:line="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1"/>
          <w:szCs w:val="11"/>
          <w:color w:val="auto"/>
        </w:rPr>
        <w:t>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1300" w:type="dxa"/>
        <w:tblCellMar>
          <w:top w:w="0" w:type="dxa"/>
          <w:left w:w="0" w:type="dxa"/>
          <w:bottom w:w="0" w:type="dxa"/>
          <w:right w:w="0" w:type="dxa"/>
        </w:tblCellMar>
      </w:tblPr>
      <w:tr>
        <w:trPr>
          <w:trHeight w:val="191"/>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10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4240" w:type="dxa"/>
            <w:vAlign w:val="bottom"/>
          </w:tcPr>
          <w:p>
            <w:pPr>
              <w:ind w:left="2900"/>
              <w:spacing w:after="0"/>
              <w:rPr>
                <w:sz w:val="20"/>
                <w:szCs w:val="20"/>
                <w:color w:val="auto"/>
              </w:rPr>
            </w:pPr>
            <w:r>
              <w:rPr>
                <w:rFonts w:ascii="Times New Roman" w:cs="Times New Roman" w:eastAsia="Times New Roman" w:hAnsi="Times New Roman"/>
                <w:sz w:val="11"/>
                <w:szCs w:val="11"/>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10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4240" w:type="dxa"/>
            <w:vAlign w:val="bottom"/>
          </w:tcPr>
          <w:p>
            <w:pPr>
              <w:ind w:left="29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3"/>
        </w:trPr>
        <w:tc>
          <w:tcPr>
            <w:tcW w:w="1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240" w:type="dxa"/>
            <w:vAlign w:val="bottom"/>
          </w:tcPr>
          <w:p>
            <w:pPr>
              <w:ind w:left="2900"/>
              <w:spacing w:after="0"/>
              <w:rPr>
                <w:sz w:val="20"/>
                <w:szCs w:val="20"/>
                <w:color w:val="auto"/>
              </w:rPr>
            </w:pPr>
            <w:r>
              <w:rPr>
                <w:rFonts w:ascii="Times New Roman" w:cs="Times New Roman" w:eastAsia="Times New Roman" w:hAnsi="Times New Roman"/>
                <w:sz w:val="11"/>
                <w:szCs w:val="11"/>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 w:lineRule="exact"/>
        <w:rPr>
          <w:sz w:val="24"/>
          <w:szCs w:val="24"/>
          <w:color w:val="auto"/>
        </w:rPr>
      </w:pPr>
    </w:p>
    <w:p>
      <w:pPr>
        <w:jc w:val="both"/>
        <w:ind w:left="1300" w:right="17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827405</wp:posOffset>
            </wp:positionH>
            <wp:positionV relativeFrom="paragraph">
              <wp:posOffset>55245</wp:posOffset>
            </wp:positionV>
            <wp:extent cx="55130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88900</wp:posOffset>
            </wp:positionV>
            <wp:extent cx="55130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ectPr>
          <w:pgSz w:w="11900" w:h="16838" w:orient="portrait"/>
          <w:cols w:equalWidth="0" w:num="1">
            <w:col w:w="10159"/>
          </w:cols>
          <w:pgMar w:left="300" w:top="208"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TABLE OF ADDITIONAL REGISTRANT GUARANTORS</w:t>
      </w:r>
    </w:p>
    <w:p>
      <w:pPr>
        <w:spacing w:after="0" w:line="1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additional registrants listed below may guarantee the debt securities:</w:t>
      </w:r>
    </w:p>
    <w:p>
      <w:pPr>
        <w:sectPr>
          <w:pgSz w:w="11900" w:h="16838" w:orient="portrait"/>
          <w:cols w:equalWidth="0" w:num="1">
            <w:col w:w="10159"/>
          </w:cols>
          <w:pgMar w:left="300" w:top="389" w:right="1440" w:bottom="1440" w:gutter="0" w:footer="0" w:header="0"/>
        </w:sectPr>
      </w:pPr>
    </w:p>
    <w:p>
      <w:pPr>
        <w:spacing w:after="0" w:line="304"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1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Exact Name of Registrant Guarantor as</w:t>
            </w:r>
          </w:p>
        </w:tc>
        <w:tc>
          <w:tcPr>
            <w:tcW w:w="9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State or Other</w:t>
            </w:r>
          </w:p>
        </w:tc>
        <w:tc>
          <w:tcPr>
            <w:tcW w:w="0" w:type="dxa"/>
            <w:vAlign w:val="bottom"/>
          </w:tcPr>
          <w:p>
            <w:pPr>
              <w:spacing w:after="0"/>
              <w:rPr>
                <w:sz w:val="1"/>
                <w:szCs w:val="1"/>
                <w:color w:val="auto"/>
              </w:rPr>
            </w:pPr>
          </w:p>
        </w:tc>
      </w:tr>
      <w:tr>
        <w:trPr>
          <w:trHeight w:val="117"/>
        </w:trPr>
        <w:tc>
          <w:tcPr>
            <w:tcW w:w="19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w:t>
            </w:r>
          </w:p>
        </w:tc>
        <w:tc>
          <w:tcPr>
            <w:tcW w:w="0" w:type="dxa"/>
            <w:vAlign w:val="bottom"/>
          </w:tcPr>
          <w:p>
            <w:pPr>
              <w:spacing w:after="0"/>
              <w:rPr>
                <w:sz w:val="1"/>
                <w:szCs w:val="1"/>
                <w:color w:val="auto"/>
              </w:rPr>
            </w:pPr>
          </w:p>
        </w:tc>
      </w:tr>
      <w:tr>
        <w:trPr>
          <w:trHeight w:val="117"/>
        </w:trPr>
        <w:tc>
          <w:tcPr>
            <w:tcW w:w="194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Specified in its Charter (or Other</w:t>
            </w:r>
          </w:p>
        </w:tc>
        <w:tc>
          <w:tcPr>
            <w:tcW w:w="92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Incorporation or</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Organizational Document)</w:t>
            </w:r>
          </w:p>
        </w:tc>
        <w:tc>
          <w:tcPr>
            <w:tcW w:w="9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Organization</w:t>
            </w:r>
          </w:p>
        </w:tc>
        <w:tc>
          <w:tcPr>
            <w:tcW w:w="0" w:type="dxa"/>
            <w:vAlign w:val="bottom"/>
          </w:tcPr>
          <w:p>
            <w:pPr>
              <w:spacing w:after="0"/>
              <w:rPr>
                <w:sz w:val="1"/>
                <w:szCs w:val="1"/>
                <w:color w:val="auto"/>
              </w:rPr>
            </w:pPr>
          </w:p>
        </w:tc>
      </w:tr>
      <w:tr>
        <w:trPr>
          <w:trHeight w:val="166"/>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Dell Inc.</w:t>
            </w:r>
          </w:p>
        </w:tc>
        <w:tc>
          <w:tcPr>
            <w:tcW w:w="9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581"/>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Denali Intermediate Inc.</w:t>
            </w:r>
          </w:p>
        </w:tc>
        <w:tc>
          <w:tcPr>
            <w:tcW w:w="9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I.R.S.</w:t>
      </w:r>
    </w:p>
    <w:p>
      <w:pPr>
        <w:jc w:val="center"/>
        <w:ind w:right="280"/>
        <w:spacing w:after="0" w:line="230" w:lineRule="auto"/>
        <w:rPr>
          <w:sz w:val="20"/>
          <w:szCs w:val="20"/>
          <w:color w:val="auto"/>
        </w:rPr>
      </w:pPr>
      <w:r>
        <w:rPr>
          <w:rFonts w:ascii="Times New Roman" w:cs="Times New Roman" w:eastAsia="Times New Roman" w:hAnsi="Times New Roman"/>
          <w:sz w:val="11"/>
          <w:szCs w:val="11"/>
          <w:b w:val="1"/>
          <w:bCs w:val="1"/>
          <w:color w:val="auto"/>
        </w:rPr>
        <w:t>Employer</w:t>
      </w:r>
    </w:p>
    <w:p>
      <w:pPr>
        <w:jc w:val="center"/>
        <w:ind w:right="280"/>
        <w:spacing w:after="0" w:line="222" w:lineRule="auto"/>
        <w:rPr>
          <w:sz w:val="20"/>
          <w:szCs w:val="20"/>
          <w:color w:val="auto"/>
        </w:rPr>
      </w:pPr>
      <w:r>
        <w:rPr>
          <w:rFonts w:ascii="Times New Roman" w:cs="Times New Roman" w:eastAsia="Times New Roman" w:hAnsi="Times New Roman"/>
          <w:sz w:val="11"/>
          <w:szCs w:val="11"/>
          <w:b w:val="1"/>
          <w:bCs w:val="1"/>
          <w:color w:val="auto"/>
        </w:rPr>
        <w:t>Identification</w:t>
      </w:r>
    </w:p>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-1905</wp:posOffset>
            </wp:positionV>
            <wp:extent cx="5513070" cy="330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3070" cy="3308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74-2487834</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38-3897772</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Address, Including Zip Code,</w:t>
      </w:r>
    </w:p>
    <w:p>
      <w:pPr>
        <w:jc w:val="center"/>
        <w:ind w:right="159"/>
        <w:spacing w:after="0" w:line="230" w:lineRule="auto"/>
        <w:rPr>
          <w:sz w:val="20"/>
          <w:szCs w:val="20"/>
          <w:color w:val="auto"/>
        </w:rPr>
      </w:pPr>
      <w:r>
        <w:rPr>
          <w:rFonts w:ascii="Times New Roman" w:cs="Times New Roman" w:eastAsia="Times New Roman" w:hAnsi="Times New Roman"/>
          <w:sz w:val="11"/>
          <w:szCs w:val="11"/>
          <w:b w:val="1"/>
          <w:bCs w:val="1"/>
          <w:color w:val="auto"/>
        </w:rPr>
        <w:t>and Telephone Number,</w:t>
      </w:r>
    </w:p>
    <w:p>
      <w:pPr>
        <w:jc w:val="center"/>
        <w:ind w:right="159"/>
        <w:spacing w:after="0" w:line="222" w:lineRule="auto"/>
        <w:rPr>
          <w:sz w:val="20"/>
          <w:szCs w:val="20"/>
          <w:color w:val="auto"/>
        </w:rPr>
      </w:pPr>
      <w:r>
        <w:rPr>
          <w:rFonts w:ascii="Times New Roman" w:cs="Times New Roman" w:eastAsia="Times New Roman" w:hAnsi="Times New Roman"/>
          <w:sz w:val="11"/>
          <w:szCs w:val="11"/>
          <w:b w:val="1"/>
          <w:bCs w:val="1"/>
          <w:color w:val="auto"/>
        </w:rPr>
        <w:t>Including Area Code, of</w:t>
      </w:r>
    </w:p>
    <w:p>
      <w:pPr>
        <w:jc w:val="center"/>
        <w:ind w:right="159"/>
        <w:spacing w:after="0" w:line="222" w:lineRule="auto"/>
        <w:rPr>
          <w:sz w:val="20"/>
          <w:szCs w:val="20"/>
          <w:color w:val="auto"/>
        </w:rPr>
      </w:pPr>
      <w:r>
        <w:rPr>
          <w:rFonts w:ascii="Times New Roman" w:cs="Times New Roman" w:eastAsia="Times New Roman" w:hAnsi="Times New Roman"/>
          <w:sz w:val="11"/>
          <w:szCs w:val="11"/>
          <w:b w:val="1"/>
          <w:bCs w:val="1"/>
          <w:color w:val="auto"/>
        </w:rPr>
        <w:t>Registrant Guarantor’s</w:t>
      </w:r>
    </w:p>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Principal Executive Offices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Dell Way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Round Rock, Texas 78682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 1-800-289-3355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Dell 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Round Rock, Texas 78682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 1-800-289-3355</w:t>
      </w:r>
    </w:p>
    <w:p>
      <w:pPr>
        <w:sectPr>
          <w:pgSz w:w="11900" w:h="16838" w:orient="portrait"/>
          <w:cols w:equalWidth="0" w:num="3">
            <w:col w:w="5120" w:space="460"/>
            <w:col w:w="940" w:space="340"/>
            <w:col w:w="3299"/>
          </w:cols>
          <w:pgMar w:left="300" w:top="389"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137795</wp:posOffset>
            </wp:positionV>
            <wp:extent cx="2526665" cy="344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6665"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Dell International L.L.C.</w:t>
      </w:r>
    </w:p>
    <w:p>
      <w:pPr>
        <w:spacing w:after="0" w:line="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EMC Corporation</w:t>
      </w:r>
    </w:p>
    <w:p>
      <w:pPr>
        <w:spacing w:after="0" w:line="1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192405</wp:posOffset>
            </wp:positionV>
            <wp:extent cx="11620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left="1300" w:right="179" w:firstLine="347"/>
        <w:spacing w:after="0" w:line="263" w:lineRule="auto"/>
        <w:rPr>
          <w:sz w:val="20"/>
          <w:szCs w:val="20"/>
          <w:color w:val="auto"/>
        </w:rPr>
      </w:pPr>
      <w:r>
        <w:rPr>
          <w:rFonts w:ascii="Times New Roman" w:cs="Times New Roman" w:eastAsia="Times New Roman" w:hAnsi="Times New Roman"/>
          <w:sz w:val="14"/>
          <w:szCs w:val="14"/>
          <w:color w:val="auto"/>
        </w:rPr>
        <w:t>Dell International L.L.C. (“Dell International”) and EMC Corporation (“EMC” and, together with Dell International, the “Issuers”) may, from time to time, offer and sell debt securities. Debt securities issued by the Issuers may be guaranteed by Dell Technologies (as defined below) and any of the additional Registrant Guarantors named in the Table of Additional Registrant Guarantors (the “additional Registrant Guarantors”). Any debt securities issued will be the senior unsecured obligations of the Issuers, Dell Technologies and, as applicable, one or more of the additional Registrant Guarantors.</w:t>
      </w:r>
    </w:p>
    <w:p>
      <w:pPr>
        <w:spacing w:after="0" w:line="316"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The Issuers may offer and sell these debt securities separately or together, in one or more series and in amounts, at prices and on terms described in one or more offerings. When the Issuers decide to sell a particular series of these debt securities, the terms of the debt securities, including the initial offering price and the aggregate amount of the offering, will be provided in one or more supplements to this prospectus. A prospectus supplement may also add, update or change information contained in this prospectus.</w:t>
      </w:r>
    </w:p>
    <w:p>
      <w:pPr>
        <w:spacing w:after="0" w:line="140"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The debt securities may be sold to or through one or more underwriters, dealers and agents, or directly to purchasers, on a continuous or delayed basis. The prospectus supplement for each offering of debt securities will describe in detail the plan of distribution for that offering. For general information about the distribution of securities offered, please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in this prospectus.</w:t>
      </w:r>
    </w:p>
    <w:p>
      <w:pPr>
        <w:spacing w:after="0" w:line="124" w:lineRule="exact"/>
        <w:rPr>
          <w:sz w:val="20"/>
          <w:szCs w:val="20"/>
          <w:color w:val="auto"/>
        </w:rPr>
      </w:pPr>
    </w:p>
    <w:p>
      <w:pPr>
        <w:jc w:val="both"/>
        <w:ind w:left="1300" w:right="179" w:firstLine="347"/>
        <w:spacing w:after="0" w:line="254" w:lineRule="auto"/>
        <w:rPr>
          <w:sz w:val="20"/>
          <w:szCs w:val="20"/>
          <w:color w:val="auto"/>
        </w:rPr>
      </w:pPr>
      <w:r>
        <w:rPr>
          <w:rFonts w:ascii="Times New Roman" w:cs="Times New Roman" w:eastAsia="Times New Roman" w:hAnsi="Times New Roman"/>
          <w:sz w:val="17"/>
          <w:szCs w:val="17"/>
          <w:b w:val="1"/>
          <w:bCs w:val="1"/>
          <w:color w:val="auto"/>
        </w:rPr>
        <w:t>Investing in securities registered hereby involves risks. See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color w:val="auto"/>
        </w:rPr>
        <w:t>” beginning on page 7 of this prospectus and any similar section contained in the applicable prospectus supplement concerning factors you should consider before investing in any securities.</w:t>
      </w:r>
    </w:p>
    <w:p>
      <w:pPr>
        <w:spacing w:after="0" w:line="136"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Neither the United States (the “U.S.”) Securities and Exchange Commission (the “SEC”) nor any state securities commission has approved or disapproved of these securities or passed upon the accuracy or adequacy of this prospectus. Any representation to the contrary is a criminal offense.</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The date of this prospectus is June 11, 2026.</w:t>
      </w:r>
    </w:p>
    <w:p>
      <w:pPr>
        <w:sectPr>
          <w:pgSz w:w="11900" w:h="16838" w:orient="portrait"/>
          <w:cols w:equalWidth="0" w:num="1">
            <w:col w:w="10159"/>
          </w:cols>
          <w:pgMar w:left="300" w:top="38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80" w:type="dxa"/>
            <w:vAlign w:val="bottom"/>
          </w:tcPr>
          <w:p>
            <w:pPr>
              <w:spacing w:after="0"/>
              <w:rPr>
                <w:sz w:val="16"/>
                <w:szCs w:val="16"/>
                <w:color w:val="auto"/>
              </w:rPr>
            </w:pPr>
          </w:p>
        </w:tc>
      </w:tr>
      <w:tr>
        <w:trPr>
          <w:trHeight w:val="294"/>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3"/>
        </w:trPr>
        <w:tc>
          <w:tcPr>
            <w:tcW w:w="6760" w:type="dxa"/>
            <w:vAlign w:val="bottom"/>
            <w:gridSpan w:val="16"/>
          </w:tcPr>
          <w:p>
            <w:pPr>
              <w:spacing w:after="0" w:line="153" w:lineRule="exact"/>
              <w:rPr>
                <w:sz w:val="20"/>
                <w:szCs w:val="20"/>
                <w:color w:val="auto"/>
              </w:rPr>
            </w:pPr>
            <w:r>
              <w:rPr>
                <w:rFonts w:ascii="Times New Roman" w:cs="Times New Roman" w:eastAsia="Times New Roman" w:hAnsi="Times New Roman"/>
                <w:sz w:val="14"/>
                <w:szCs w:val="14"/>
                <w:color w:val="0000EE"/>
              </w:rPr>
              <w:t>About this Prospectus</w:t>
            </w:r>
          </w:p>
        </w:tc>
        <w:tc>
          <w:tcPr>
            <w:tcW w:w="18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50"/>
        </w:trPr>
        <w:tc>
          <w:tcPr>
            <w:tcW w:w="3280" w:type="dxa"/>
            <w:vAlign w:val="bottom"/>
            <w:tcBorders>
              <w:bottom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3480" w:type="dxa"/>
            <w:vAlign w:val="bottom"/>
            <w:gridSpan w:val="2"/>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w:t>
            </w:r>
          </w:p>
        </w:tc>
      </w:tr>
      <w:tr>
        <w:trPr>
          <w:trHeight w:val="150"/>
        </w:trPr>
        <w:tc>
          <w:tcPr>
            <w:tcW w:w="67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Industry and Market Data</w:t>
            </w: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50"/>
        </w:trPr>
        <w:tc>
          <w:tcPr>
            <w:tcW w:w="2880" w:type="dxa"/>
            <w:vAlign w:val="bottom"/>
            <w:tcBorders>
              <w:bottom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Trademarks and Other Intellectual Property Rights</w:t>
            </w:r>
          </w:p>
        </w:tc>
        <w:tc>
          <w:tcPr>
            <w:tcW w:w="3880" w:type="dxa"/>
            <w:vAlign w:val="bottom"/>
            <w:gridSpan w:val="3"/>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r>
      <w:tr>
        <w:trPr>
          <w:trHeight w:val="150"/>
        </w:trPr>
        <w:tc>
          <w:tcPr>
            <w:tcW w:w="124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Basis of Presentation</w:t>
            </w:r>
          </w:p>
        </w:tc>
        <w:tc>
          <w:tcPr>
            <w:tcW w:w="5520" w:type="dxa"/>
            <w:vAlign w:val="bottom"/>
            <w:gridSpan w:val="10"/>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r>
      <w:tr>
        <w:trPr>
          <w:trHeight w:val="150"/>
        </w:trPr>
        <w:tc>
          <w:tcPr>
            <w:tcW w:w="67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50"/>
        </w:trPr>
        <w:tc>
          <w:tcPr>
            <w:tcW w:w="67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w:t>
            </w:r>
          </w:p>
        </w:tc>
      </w:tr>
      <w:tr>
        <w:trPr>
          <w:trHeight w:val="150"/>
        </w:trPr>
        <w:tc>
          <w:tcPr>
            <w:tcW w:w="1300" w:type="dxa"/>
            <w:vAlign w:val="bottom"/>
            <w:tcBorders>
              <w:top w:val="single" w:sz="8" w:color="0000EE"/>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rPr>
              <w:t>Dell Technologies Inc.</w:t>
            </w:r>
          </w:p>
        </w:tc>
        <w:tc>
          <w:tcPr>
            <w:tcW w:w="1580" w:type="dxa"/>
            <w:vAlign w:val="bottom"/>
            <w:tcBorders>
              <w:top w:val="single" w:sz="8" w:color="0000EE"/>
            </w:tcBorders>
            <w:gridSpan w:val="4"/>
          </w:tcPr>
          <w:p>
            <w:pPr>
              <w:spacing w:after="0"/>
              <w:rPr>
                <w:sz w:val="13"/>
                <w:szCs w:val="13"/>
                <w:color w:val="auto"/>
              </w:rPr>
            </w:pPr>
          </w:p>
        </w:tc>
        <w:tc>
          <w:tcPr>
            <w:tcW w:w="3880" w:type="dxa"/>
            <w:vAlign w:val="bottom"/>
            <w:gridSpan w:val="3"/>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w:t>
            </w:r>
          </w:p>
        </w:tc>
      </w:tr>
      <w:tr>
        <w:trPr>
          <w:trHeight w:val="150"/>
        </w:trPr>
        <w:tc>
          <w:tcPr>
            <w:tcW w:w="4900" w:type="dxa"/>
            <w:vAlign w:val="bottom"/>
            <w:tcBorders>
              <w:bottom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Dell International L.L.C., EMC Corporation and the Additional Registrant Guarantors</w:t>
            </w:r>
          </w:p>
        </w:tc>
        <w:tc>
          <w:tcPr>
            <w:tcW w:w="1860" w:type="dxa"/>
            <w:vAlign w:val="bottom"/>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r>
      <w:tr>
        <w:trPr>
          <w:trHeight w:val="150"/>
        </w:trPr>
        <w:tc>
          <w:tcPr>
            <w:tcW w:w="67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Corporate Information</w:t>
            </w: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r>
      <w:tr>
        <w:trPr>
          <w:trHeight w:val="150"/>
        </w:trPr>
        <w:tc>
          <w:tcPr>
            <w:tcW w:w="1260" w:type="dxa"/>
            <w:vAlign w:val="bottom"/>
            <w:tcBorders>
              <w:top w:val="single" w:sz="8" w:color="0000EE"/>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Recent Developments</w:t>
            </w:r>
          </w:p>
        </w:tc>
        <w:tc>
          <w:tcPr>
            <w:tcW w:w="20" w:type="dxa"/>
            <w:vAlign w:val="bottom"/>
            <w:tcBorders>
              <w:top w:val="single" w:sz="8" w:color="0000EE"/>
            </w:tcBorders>
          </w:tcPr>
          <w:p>
            <w:pPr>
              <w:spacing w:after="0"/>
              <w:rPr>
                <w:sz w:val="13"/>
                <w:szCs w:val="13"/>
                <w:color w:val="auto"/>
              </w:rPr>
            </w:pPr>
          </w:p>
        </w:tc>
        <w:tc>
          <w:tcPr>
            <w:tcW w:w="5480" w:type="dxa"/>
            <w:vAlign w:val="bottom"/>
            <w:gridSpan w:val="8"/>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r>
      <w:tr>
        <w:trPr>
          <w:trHeight w:val="150"/>
        </w:trPr>
        <w:tc>
          <w:tcPr>
            <w:tcW w:w="72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9"/>
              </w:rPr>
              <w:t>Risk Factors</w:t>
            </w:r>
          </w:p>
        </w:tc>
        <w:tc>
          <w:tcPr>
            <w:tcW w:w="6040" w:type="dxa"/>
            <w:vAlign w:val="bottom"/>
            <w:gridSpan w:val="14"/>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w:t>
            </w:r>
          </w:p>
        </w:tc>
      </w:tr>
      <w:tr>
        <w:trPr>
          <w:trHeight w:val="150"/>
        </w:trPr>
        <w:tc>
          <w:tcPr>
            <w:tcW w:w="67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Use of Proceeds</w:t>
            </w: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50"/>
        </w:trPr>
        <w:tc>
          <w:tcPr>
            <w:tcW w:w="67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w:t>
            </w:r>
          </w:p>
        </w:tc>
      </w:tr>
      <w:tr>
        <w:trPr>
          <w:trHeight w:val="150"/>
        </w:trPr>
        <w:tc>
          <w:tcPr>
            <w:tcW w:w="1720" w:type="dxa"/>
            <w:vAlign w:val="bottom"/>
            <w:tcBorders>
              <w:top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5040" w:type="dxa"/>
            <w:vAlign w:val="bottom"/>
            <w:gridSpan w:val="5"/>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20</w:t>
            </w:r>
          </w:p>
        </w:tc>
      </w:tr>
      <w:tr>
        <w:trPr>
          <w:trHeight w:val="20"/>
        </w:trPr>
        <w:tc>
          <w:tcPr>
            <w:tcW w:w="4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60" w:type="dxa"/>
            <w:vAlign w:val="bottom"/>
            <w:gridSpan w:val="11"/>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50"/>
        </w:trPr>
        <w:tc>
          <w:tcPr>
            <w:tcW w:w="67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Validity of Securities</w:t>
            </w: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21</w:t>
            </w:r>
          </w:p>
        </w:tc>
      </w:tr>
      <w:tr>
        <w:trPr>
          <w:trHeight w:val="150"/>
        </w:trPr>
        <w:tc>
          <w:tcPr>
            <w:tcW w:w="44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8"/>
              </w:rPr>
              <w:t>Experts</w:t>
            </w:r>
          </w:p>
        </w:tc>
        <w:tc>
          <w:tcPr>
            <w:tcW w:w="760" w:type="dxa"/>
            <w:vAlign w:val="bottom"/>
            <w:tcBorders>
              <w:top w:val="single" w:sz="8" w:color="0000EE"/>
            </w:tcBorders>
            <w:gridSpan w:val="4"/>
          </w:tcPr>
          <w:p>
            <w:pPr>
              <w:spacing w:after="0"/>
              <w:rPr>
                <w:sz w:val="13"/>
                <w:szCs w:val="13"/>
                <w:color w:val="auto"/>
              </w:rPr>
            </w:pPr>
          </w:p>
        </w:tc>
        <w:tc>
          <w:tcPr>
            <w:tcW w:w="5560" w:type="dxa"/>
            <w:vAlign w:val="bottom"/>
            <w:gridSpan w:val="11"/>
          </w:tcPr>
          <w:p>
            <w:pPr>
              <w:spacing w:after="0"/>
              <w:rPr>
                <w:sz w:val="13"/>
                <w:szCs w:val="13"/>
                <w:color w:val="auto"/>
              </w:rPr>
            </w:pPr>
          </w:p>
        </w:tc>
        <w:tc>
          <w:tcPr>
            <w:tcW w:w="1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21</w:t>
            </w:r>
          </w:p>
        </w:tc>
      </w:tr>
    </w:tbl>
    <w:p>
      <w:pPr>
        <w:spacing w:after="0" w:line="175" w:lineRule="exact"/>
        <w:rPr>
          <w:sz w:val="20"/>
          <w:szCs w:val="20"/>
          <w:color w:val="auto"/>
        </w:rPr>
      </w:pPr>
    </w:p>
    <w:p>
      <w:pPr>
        <w:jc w:val="both"/>
        <w:ind w:left="1300" w:right="179" w:firstLine="347"/>
        <w:spacing w:after="0" w:line="259" w:lineRule="auto"/>
        <w:rPr>
          <w:sz w:val="20"/>
          <w:szCs w:val="20"/>
          <w:color w:val="auto"/>
        </w:rPr>
      </w:pPr>
      <w:r>
        <w:rPr>
          <w:rFonts w:ascii="Times New Roman" w:cs="Times New Roman" w:eastAsia="Times New Roman" w:hAnsi="Times New Roman"/>
          <w:sz w:val="14"/>
          <w:szCs w:val="14"/>
          <w:b w:val="1"/>
          <w:bCs w:val="1"/>
          <w:color w:val="auto"/>
        </w:rPr>
        <w:t>We have not authorized anyone to provide any information or make any representations other than those contained in this prospectus, the related registration statement, in any applicable prospectus supplement, free writing prospectus or in the materials that we have incorporated by reference into this prospectus and any applicable prospectus supplement. We have not authorized anyone to provide you with different information. The Issuers are not making an offer of these securities in any jurisdiction where the offer is not permitted. You should not assume that the information in this prospectus, any applicable prospectus supplement, any such free writing prospectus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1" w:lineRule="exact"/>
        <w:rPr>
          <w:sz w:val="20"/>
          <w:szCs w:val="20"/>
          <w:color w:val="auto"/>
        </w:rPr>
      </w:pPr>
    </w:p>
    <w:p>
      <w:pPr>
        <w:jc w:val="both"/>
        <w:ind w:left="1300" w:right="179" w:firstLine="347"/>
        <w:spacing w:after="0" w:line="257"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the Issuers, Dell Technologies and the additional Registrant Guarantors filed with the SEC, as Dell Technologies is a “well-known seasoned issuer” as defined in Rule 405 under the Securities Act of 1933, as amended (the “Securities Act”). This prospectus provides you with a general description of the securities the Issuers, Dell Technologies and the additional Registrant Guarantors may offer. Each time this prospectus is used to offer securities, a prospectus supplement will be provided and, if applicable, a pricing supplement. The prospectus supplement and any applicable pricing supplement will describe the specific amounts, prices and other material terms of the securities being offered at that time. The prospectus supplement and any applicable pricing supplement may also add, update or change the information in this prospectus. You should read this prospectus, the applicable prospectus supplement and any applicable pricing supplement, together with the information contained in the documents referred to under the heading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If there is any inconsistency between information in this prospectus and any prospectus supplement or free writing prospectus, you should rely on the information in the applicable prospectus supplement or free writing prospectus.</w:t>
      </w:r>
    </w:p>
    <w:p>
      <w:pPr>
        <w:spacing w:after="0" w:line="3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jc w:val="both"/>
        <w:ind w:left="1300" w:right="179" w:firstLine="347"/>
        <w:spacing w:after="0" w:line="257"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contain “forward-looking statements” within the meaning of Section 27A of the Securities Act and Section 21E of the Securities Exchange Act of 1934, as amended (the “Exchange Act”). The words “may,” “will,” “anticipate,” “estimate,” “expect,” “intend,” “plan,” “aim,” “seek,”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in our Annual Report (the “Annual Report”) on Form 10-K for the fiscal year ended January 30, 2026, in this prospectus and in our other periodic and current reports filed with the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149"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These statements regarding future events or our future performance or results inherently are subject to a variety of risks, contingencies and other uncertainties that could cause actual results, performance or achievements to differ materially from those described in or implied by the forward-looking statements. The risks, contingencies and other uncertainties that could cause our business and actual results of operations, financial condition and prospects to differ materially from our expectations include, but are not limited to:</w:t>
      </w:r>
    </w:p>
    <w:p>
      <w:pPr>
        <w:spacing w:after="0" w:line="66" w:lineRule="exact"/>
        <w:rPr>
          <w:sz w:val="20"/>
          <w:szCs w:val="20"/>
          <w:color w:val="auto"/>
        </w:rPr>
      </w:pPr>
    </w:p>
    <w:p>
      <w:pPr>
        <w:ind w:left="2060" w:hanging="331"/>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global economic conditions and instability in financial markets;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pressures;</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results of our business units;</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our product and component vendors;</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single-source or limited-source suppliers;</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demands for artificial intelligence (“AI”) solutions;</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of our AI solutions and use of AI in our internal functions and operations;</w:t>
      </w:r>
    </w:p>
    <w:p>
      <w:pPr>
        <w:spacing w:after="0" w:line="104"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deliver high-quality products, software, and services, or to manage solutions and product and services transitions in an effective manner;</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successfully implement our cost efficiency plans;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incidents, including cyber-attacks;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foreign operations and ability to generate substantial non-U.S. net revenue;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service, customer, and geographic sales mix and seasonal sales trends;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our sales channel partners;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acquisitions and dispositions we pursue;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the capital markets by us or our customers;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 economic conditions, changing customer mix, and additional regulation;</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default risks;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impairments to our goodwill or intangible assets;</w:t>
      </w:r>
    </w:p>
    <w:p>
      <w:pPr>
        <w:spacing w:after="0" w:line="105"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or reduction of services or rates under, any contracts with our customers, including government contracts, and our ability to perform such contracts at our estimated costs;</w:t>
      </w:r>
    </w:p>
    <w:p>
      <w:pPr>
        <w:spacing w:after="0" w:line="49"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protect our proprietary intellectual property or obtain licenses to intellectual property developed by others on commercially reasonable and competitive terms;</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disruptions, including disruptions to our information technology and manufacturing infrastructure;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hedge our exposure to fluctuations in foreign currency exchange rates and interest rates;</w:t>
      </w:r>
    </w:p>
    <w:p>
      <w:pPr>
        <w:spacing w:after="0" w:line="105"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legislative or regulatory tax changes, expiration of tax holidays or favorable tax rate structures, or unfavorable outcomes in tax audits and other tax compliance matters;</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fair value or impairment of portfolio investments;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results of legal proceedings;</w:t>
      </w:r>
    </w:p>
    <w:p>
      <w:pPr>
        <w:spacing w:after="0" w:line="105"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and varied stakeholder expectations and regulatory requirements with respect to sustainability and environmental, social, and governance activities;</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climate-related risks and legal, regulatory, or market measures related to climate;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changing environmental and safety laws;</w:t>
      </w:r>
    </w:p>
    <w:p>
      <w:pPr>
        <w:spacing w:after="0" w:line="104"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requirements of anti-corruption laws, economic sanctions and other trade laws, human rights laws and other laws regulating our international operations;</w:t>
      </w:r>
    </w:p>
    <w:p>
      <w:pPr>
        <w:spacing w:after="0" w:line="49"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the services of our Chief Executive Officer and our loss of, or inability to continue to attract, retain and motivate, executive talent and other employees;</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indebtedness; and</w:t>
      </w:r>
    </w:p>
    <w:p>
      <w:pPr>
        <w:spacing w:after="0" w:line="102"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included in or incorporated by reference into this prospectus.</w:t>
      </w:r>
    </w:p>
    <w:p>
      <w:pPr>
        <w:spacing w:after="0" w:line="181" w:lineRule="exact"/>
        <w:rPr>
          <w:sz w:val="20"/>
          <w:szCs w:val="20"/>
          <w:color w:val="auto"/>
        </w:rPr>
      </w:pPr>
    </w:p>
    <w:p>
      <w:pPr>
        <w:jc w:val="both"/>
        <w:ind w:left="1300" w:right="179" w:firstLine="347"/>
        <w:spacing w:after="0" w:line="260" w:lineRule="auto"/>
        <w:rPr>
          <w:sz w:val="20"/>
          <w:szCs w:val="20"/>
          <w:color w:val="auto"/>
        </w:rPr>
      </w:pPr>
      <w:r>
        <w:rPr>
          <w:rFonts w:ascii="Times New Roman" w:cs="Times New Roman" w:eastAsia="Times New Roman" w:hAnsi="Times New Roman"/>
          <w:sz w:val="14"/>
          <w:szCs w:val="14"/>
          <w:color w:val="auto"/>
        </w:rPr>
        <w:t>Because of these risks, contingencies and other uncertainties, you are cautioned not to place undue reliance on these forward-looking statements, which speak only as of the date made. All subsequent written or oral forward-looking statements attributable to us or any person acting on our behalf are expressly qualified in their entirety by the cautionary statements contained or referred to in this section. While we may elect to update forward-looking statements in the future, we specifically disclaim any obligation to do so, even if our expectations change or if new events, circumstances or information arises, and investors should not rely on those forward-looking statements as representing our views as of any date subsequent to the date of this prospectus, except as may be required under applicable federal securities law.</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9"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INDUSTRY AND MARKET DATA</w:t>
      </w:r>
    </w:p>
    <w:p>
      <w:pPr>
        <w:spacing w:after="0" w:line="181"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include information with respect to market share and other industry-related and statistical information, which are based on information from independent industry organizations and other third-party sources. We also have derived some industry and market information from our internal analysis based upon data available from such independent and third-party sources and our internal research. We believe such information to be accurate as of their respective dates. However, this information is subject to the limits on the availability and reliability of raw data, the voluntary nature of the data gathering process and other limitations and uncertainties. In addition, our internal research is based upon our understanding of industry conditions, and such information has not been verified by any independent sources. We cannot guarantee the accuracy or completeness of any such information contained or incorporated by reference in this prospectus. Such information also involves risks and uncertainties and is subject to change based on various factors, including those discussed under the heading “</w:t>
      </w:r>
      <w:r>
        <w:rPr>
          <w:rFonts w:ascii="Times New Roman" w:cs="Times New Roman" w:eastAsia="Times New Roman" w:hAnsi="Times New Roman"/>
          <w:sz w:val="14"/>
          <w:szCs w:val="14"/>
          <w:i w:val="1"/>
          <w:iCs w:val="1"/>
          <w:color w:val="auto"/>
        </w:rPr>
        <w:t>Cautionary Note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Regarding Forward-Looking Statements</w:t>
      </w:r>
      <w:r>
        <w:rPr>
          <w:rFonts w:ascii="Times New Roman" w:cs="Times New Roman" w:eastAsia="Times New Roman" w:hAnsi="Times New Roman"/>
          <w:sz w:val="14"/>
          <w:szCs w:val="14"/>
          <w:color w:val="auto"/>
        </w:rPr>
        <w:t>.”</w:t>
      </w:r>
    </w:p>
    <w:p>
      <w:pPr>
        <w:spacing w:after="0" w:line="3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TRADEMARKS AND OTHER INTELLECTUAL PROPERTY RIGHTS</w:t>
      </w:r>
    </w:p>
    <w:p>
      <w:pPr>
        <w:spacing w:after="0" w:line="181" w:lineRule="exact"/>
        <w:rPr>
          <w:sz w:val="20"/>
          <w:szCs w:val="20"/>
          <w:color w:val="auto"/>
        </w:rPr>
      </w:pPr>
    </w:p>
    <w:p>
      <w:pPr>
        <w:jc w:val="both"/>
        <w:ind w:left="1300" w:right="179" w:firstLine="347"/>
        <w:spacing w:after="0" w:line="261" w:lineRule="auto"/>
        <w:rPr>
          <w:sz w:val="20"/>
          <w:szCs w:val="20"/>
          <w:color w:val="auto"/>
        </w:rPr>
      </w:pPr>
      <w:r>
        <w:rPr>
          <w:rFonts w:ascii="Times New Roman" w:cs="Times New Roman" w:eastAsia="Times New Roman" w:hAnsi="Times New Roman"/>
          <w:sz w:val="14"/>
          <w:szCs w:val="14"/>
          <w:color w:val="auto"/>
        </w:rPr>
        <w:t>We own or have rights to trademarks, service marks or trade names that we use in connection with the operation of our business. Certain trademarks and/or trade names are subject to registrations or applications to register with the United States Patent and Trademark Office or the equivalent in certain foreign jurisdictions, while others are not subject to registration but are protected by common law rights. These registered and unregistered marks include our corporate names, logos, and website names used herein. Each trademark, service mark, or trade name by any other company appearing in this prospectus or any accompanying prospectus supplement (or in documents we have incorporated by reference) belongs to its owner.</w:t>
      </w:r>
    </w:p>
    <w:p>
      <w:pPr>
        <w:spacing w:after="0" w:line="316" w:lineRule="exact"/>
        <w:rPr>
          <w:sz w:val="20"/>
          <w:szCs w:val="20"/>
          <w:color w:val="auto"/>
        </w:rPr>
      </w:pPr>
    </w:p>
    <w:p>
      <w:pPr>
        <w:jc w:val="both"/>
        <w:ind w:left="1300" w:right="179" w:firstLine="347"/>
        <w:spacing w:after="0" w:line="234" w:lineRule="auto"/>
        <w:rPr>
          <w:sz w:val="20"/>
          <w:szCs w:val="20"/>
          <w:color w:val="auto"/>
        </w:rPr>
      </w:pPr>
      <w:r>
        <w:rPr>
          <w:rFonts w:ascii="Times New Roman" w:cs="Times New Roman" w:eastAsia="Times New Roman" w:hAnsi="Times New Roman"/>
          <w:sz w:val="14"/>
          <w:szCs w:val="14"/>
          <w:color w:val="auto"/>
        </w:rPr>
        <w:t xml:space="preserve">Solely for convenience, trademarks, service marks, and trade names referred to in this prospectus or any accompanying prospectus supplement (or in documents we have incorporated by reference)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under applicable law, our rights or the right of the applicable licensors to these trademarks, service marks or trade names. We do not intend our use or display of other parties’ trademarks, service marks or trade names to imply, and such use or display should not be construed to imply, a relationship with, or endorsement or sponsorship of us by, those other parties.</w:t>
      </w:r>
    </w:p>
    <w:p>
      <w:pPr>
        <w:spacing w:after="0" w:line="3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81"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This prospectus includes and incorporates by reference the historical consolidated financial statements and other financial data of Dell Technologies, which may guarantee any debt securities offered pursuant to the registration statement of which this prospectus forms a part. Each of the Issuers is a direct wholly-owned subsidiary of Dell Inc., an additional Registrant Guarantor, and an indirect wholly-owned subsidiary of Dell Technologies. No separate financial information has been provided in this prospectus for Dell International or EMC.</w:t>
      </w:r>
    </w:p>
    <w:p>
      <w:pPr>
        <w:spacing w:after="0" w:line="140"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Unless otherwise mentioned or unless the context requires otherwise, when used in this prospectus, the terms “Dell Technologies,” “we,” “our,” or “us” refer to Dell Technologies Inc., a Delaware corporation, or, as the context requires, to Dell Technologies Inc. and its consolidated subsidiaries.</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9"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1" w:lineRule="exact"/>
        <w:rPr>
          <w:sz w:val="20"/>
          <w:szCs w:val="20"/>
          <w:color w:val="auto"/>
        </w:rPr>
      </w:pPr>
    </w:p>
    <w:p>
      <w:pPr>
        <w:jc w:val="both"/>
        <w:ind w:left="1300" w:right="179" w:firstLine="347"/>
        <w:spacing w:after="0" w:line="263"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filings with the SEC, including the filings that are incorporated by reference into this prospectus, are available to the public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Investors also may consult our website for more information. Our website is </w:t>
      </w:r>
      <w:r>
        <w:rPr>
          <w:rFonts w:ascii="Times New Roman" w:cs="Times New Roman" w:eastAsia="Times New Roman" w:hAnsi="Times New Roman"/>
          <w:sz w:val="14"/>
          <w:szCs w:val="14"/>
          <w:i w:val="1"/>
          <w:iCs w:val="1"/>
          <w:color w:val="auto"/>
        </w:rPr>
        <w:t>www.dell.com</w:t>
      </w:r>
      <w:r>
        <w:rPr>
          <w:rFonts w:ascii="Times New Roman" w:cs="Times New Roman" w:eastAsia="Times New Roman" w:hAnsi="Times New Roman"/>
          <w:sz w:val="14"/>
          <w:szCs w:val="14"/>
          <w:color w:val="auto"/>
        </w:rPr>
        <w:t xml:space="preserve"> and the Investors page of our website is </w:t>
      </w:r>
      <w:r>
        <w:rPr>
          <w:rFonts w:ascii="Times New Roman" w:cs="Times New Roman" w:eastAsia="Times New Roman" w:hAnsi="Times New Roman"/>
          <w:sz w:val="14"/>
          <w:szCs w:val="14"/>
          <w:i w:val="1"/>
          <w:iCs w:val="1"/>
          <w:color w:val="auto"/>
        </w:rPr>
        <w:t>https://investors.delltechnologies.com</w:t>
      </w:r>
      <w:r>
        <w:rPr>
          <w:rFonts w:ascii="Times New Roman" w:cs="Times New Roman" w:eastAsia="Times New Roman" w:hAnsi="Times New Roman"/>
          <w:sz w:val="14"/>
          <w:szCs w:val="14"/>
          <w:color w:val="auto"/>
        </w:rPr>
        <w:t>. The information contained in, or that may be accessed through, our website is not incorporated by reference into this prospectus or any prospectus supplement.</w:t>
      </w: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1"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This prospectus is part of the registration statement and does not contain all of the information included in the registration statement. Whenever a reference is made in this prospectus to any contract or other document of Dell Technologies or its subsidiaries, the reference may not be complete and you should refer to the exhibits that are a part of the registration statement for a copy of the contract or document.</w:t>
      </w:r>
    </w:p>
    <w:p>
      <w:pPr>
        <w:spacing w:after="0" w:line="136"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later information that we file with the SEC (including any prospectus supplement) will automatically update and supersede this information. We incorporate by reference the documents listed below (other than documents or information deemed to have been furnished and not filed in accordance with SEC rules, unless otherwise expressly incorporated by reference herein):</w:t>
      </w:r>
    </w:p>
    <w:p>
      <w:pPr>
        <w:spacing w:after="0" w:line="68" w:lineRule="exact"/>
        <w:rPr>
          <w:sz w:val="20"/>
          <w:szCs w:val="20"/>
          <w:color w:val="auto"/>
        </w:rPr>
      </w:pPr>
    </w:p>
    <w:p>
      <w:pPr>
        <w:jc w:val="both"/>
        <w:ind w:left="2060" w:right="179" w:hanging="331"/>
        <w:spacing w:after="0" w:line="271"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 Technologies’ Annual Report on </w:t>
      </w:r>
      <w:hyperlink r:id="rId2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January 30, 2026 (including information specifically incorporated by reference into such Annual Report on Form 10-K from our </w:t>
      </w:r>
      <w:hyperlink r:id="rId29">
        <w:r>
          <w:rPr>
            <w:rFonts w:ascii="Times New Roman" w:cs="Times New Roman" w:eastAsia="Times New Roman" w:hAnsi="Times New Roman"/>
            <w:sz w:val="14"/>
            <w:szCs w:val="14"/>
            <w:u w:val="single" w:color="auto"/>
            <w:color w:val="0000EE"/>
          </w:rPr>
          <w:t>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our 2026 Annual Meeting of Stockholders filed on May 15, 2026);</w:t>
      </w:r>
    </w:p>
    <w:p>
      <w:pPr>
        <w:spacing w:after="0" w:line="61"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 Technologies’ Quarterly Report on </w:t>
      </w:r>
      <w:hyperlink r:id="rId30">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May 1, 2026; and</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 Technologies’ Current Reports on Form 8-K filed with the SEC on </w:t>
      </w:r>
      <w:hyperlink r:id="rId31">
        <w:r>
          <w:rPr>
            <w:rFonts w:ascii="Times New Roman" w:cs="Times New Roman" w:eastAsia="Times New Roman" w:hAnsi="Times New Roman"/>
            <w:sz w:val="14"/>
            <w:szCs w:val="14"/>
            <w:u w:val="single" w:color="auto"/>
            <w:color w:val="0000EE"/>
          </w:rPr>
          <w:t>April 20,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2">
        <w:r>
          <w:rPr>
            <w:rFonts w:ascii="Times New Roman" w:cs="Times New Roman" w:eastAsia="Times New Roman" w:hAnsi="Times New Roman"/>
            <w:sz w:val="14"/>
            <w:szCs w:val="14"/>
            <w:u w:val="single" w:color="auto"/>
            <w:color w:val="0000EE"/>
          </w:rPr>
          <w:t>June 10, 2026</w:t>
        </w:r>
      </w:hyperlink>
      <w:r>
        <w:rPr>
          <w:rFonts w:ascii="Times New Roman" w:cs="Times New Roman" w:eastAsia="Times New Roman" w:hAnsi="Times New Roman"/>
          <w:sz w:val="14"/>
          <w:szCs w:val="14"/>
          <w:color w:val="auto"/>
        </w:rPr>
        <w:t>.</w:t>
      </w:r>
    </w:p>
    <w:p>
      <w:pPr>
        <w:spacing w:after="0" w:line="179" w:lineRule="exact"/>
        <w:rPr>
          <w:rFonts w:ascii="Times New Roman" w:cs="Times New Roman" w:eastAsia="Times New Roman" w:hAnsi="Times New Roman"/>
          <w:sz w:val="14"/>
          <w:szCs w:val="14"/>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We also incorporate by reference all documents that we subsequently file with the SEC pursuant to Section 13(a), 13(c), 14 or 15(d) of the Exchange Act on or after the date of this prospectus and prior to the termination of the offering of the securities hereunder. Nothing in this prospectus shall be deemed to incorporate information furnished but not filed with the SEC, unless specifically noted otherwise.</w:t>
      </w:r>
    </w:p>
    <w:p>
      <w:pPr>
        <w:spacing w:after="0" w:line="136" w:lineRule="exact"/>
        <w:rPr>
          <w:rFonts w:ascii="Times New Roman" w:cs="Times New Roman" w:eastAsia="Times New Roman" w:hAnsi="Times New Roman"/>
          <w:sz w:val="14"/>
          <w:szCs w:val="14"/>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Any statement made in this prospectus or in a document incorporated by reference into this prospectus will be deemed to be modified or superseded for purposes of this prospectus to the extent that a statement contained in this prospectus or in any other subsequently filed document that also is incorporated by reference modifies or supersedes that statement. Any statement so modified or superseded will not be deemed, except as so modified or superseded, to constitute a part of this prospectus.</w:t>
      </w:r>
    </w:p>
    <w:p>
      <w:pPr>
        <w:spacing w:after="0" w:line="140" w:lineRule="exact"/>
        <w:rPr>
          <w:rFonts w:ascii="Times New Roman" w:cs="Times New Roman" w:eastAsia="Times New Roman" w:hAnsi="Times New Roman"/>
          <w:sz w:val="14"/>
          <w:szCs w:val="14"/>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2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Dell Technologies Inc.</w:t>
      </w:r>
    </w:p>
    <w:p>
      <w:pPr>
        <w:spacing w:after="0" w:line="2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One Dell Way</w:t>
      </w:r>
    </w:p>
    <w:p>
      <w:pPr>
        <w:spacing w:after="0" w:line="9"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Round Rock, Texas 78682</w:t>
      </w:r>
    </w:p>
    <w:p>
      <w:pPr>
        <w:spacing w:after="0" w:line="9"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9"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(512) 728-7800</w:t>
      </w:r>
    </w:p>
    <w:p>
      <w:pPr>
        <w:spacing w:after="0" w:line="163" w:lineRule="exact"/>
        <w:rPr>
          <w:rFonts w:ascii="Times New Roman" w:cs="Times New Roman" w:eastAsia="Times New Roman" w:hAnsi="Times New Roman"/>
          <w:sz w:val="14"/>
          <w:szCs w:val="14"/>
          <w:color w:val="auto"/>
        </w:rPr>
      </w:pPr>
    </w:p>
    <w:p>
      <w:pPr>
        <w:jc w:val="both"/>
        <w:ind w:left="1300" w:right="179" w:firstLine="347"/>
        <w:spacing w:after="0" w:line="291" w:lineRule="auto"/>
        <w:rPr>
          <w:sz w:val="20"/>
          <w:szCs w:val="20"/>
          <w:color w:val="auto"/>
        </w:rPr>
      </w:pPr>
      <w:r>
        <w:rPr>
          <w:rFonts w:ascii="Times New Roman" w:cs="Times New Roman" w:eastAsia="Times New Roman" w:hAnsi="Times New Roman"/>
          <w:sz w:val="14"/>
          <w:szCs w:val="14"/>
          <w:color w:val="auto"/>
        </w:rPr>
        <w:t>In addition, you may access the documents incorporated by reference herein free of charge on the SEC’s website. See also “</w:t>
      </w:r>
      <w:r>
        <w:rPr>
          <w:rFonts w:ascii="Times New Roman" w:cs="Times New Roman" w:eastAsia="Times New Roman" w:hAnsi="Times New Roman"/>
          <w:sz w:val="14"/>
          <w:szCs w:val="14"/>
          <w:i w:val="1"/>
          <w:iCs w:val="1"/>
          <w:color w:val="auto"/>
        </w:rPr>
        <w:t>Where You Can Find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More Information</w:t>
      </w:r>
      <w:r>
        <w:rPr>
          <w:rFonts w:ascii="Times New Roman" w:cs="Times New Roman" w:eastAsia="Times New Roman" w:hAnsi="Times New Roman"/>
          <w:sz w:val="14"/>
          <w:szCs w:val="14"/>
          <w:color w:val="auto"/>
        </w:rPr>
        <w:t>.”</w:t>
      </w:r>
    </w:p>
    <w:p>
      <w:pPr>
        <w:spacing w:after="0" w:line="69"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DELL TECHNOLOGIES INC.</w:t>
      </w:r>
    </w:p>
    <w:p>
      <w:pPr>
        <w:spacing w:after="0" w:line="181" w:lineRule="exact"/>
        <w:rPr>
          <w:sz w:val="20"/>
          <w:szCs w:val="20"/>
          <w:color w:val="auto"/>
        </w:rPr>
      </w:pPr>
    </w:p>
    <w:p>
      <w:pPr>
        <w:jc w:val="both"/>
        <w:ind w:left="1300" w:right="179" w:firstLine="347"/>
        <w:spacing w:after="0" w:line="260" w:lineRule="auto"/>
        <w:rPr>
          <w:sz w:val="20"/>
          <w:szCs w:val="20"/>
          <w:color w:val="auto"/>
        </w:rPr>
      </w:pPr>
      <w:r>
        <w:rPr>
          <w:rFonts w:ascii="Times New Roman" w:cs="Times New Roman" w:eastAsia="Times New Roman" w:hAnsi="Times New Roman"/>
          <w:sz w:val="14"/>
          <w:szCs w:val="14"/>
          <w:color w:val="auto"/>
        </w:rPr>
        <w:t>Dell Technologies is a leader in the global technology industry focused on providing broad and innovative technology solutions for the data and AI era. These solutions range from client devices and peripherals to infrastructure solutions across servers, networking, and storage to meet the evolving needs of our customers and drive better business outcomes. With our extensive portfolio and commitment to innovation, we design, deploy, and support secure, integrated solutions that extend from the edge to the core to the cloud. We deliver AI-optimized, software-defined, and cloud native infrastructure solutions across a broad partner ecosystem to help customers address evolving information technology (“IT”) needs, drive outcomes, and capture growth as customer spending priorities evolve.</w:t>
      </w:r>
    </w:p>
    <w:p>
      <w:pPr>
        <w:spacing w:after="0" w:line="145" w:lineRule="exact"/>
        <w:rPr>
          <w:sz w:val="20"/>
          <w:szCs w:val="20"/>
          <w:color w:val="auto"/>
        </w:rPr>
      </w:pPr>
    </w:p>
    <w:p>
      <w:pPr>
        <w:jc w:val="both"/>
        <w:ind w:left="1300" w:right="179" w:firstLine="347"/>
        <w:spacing w:after="0" w:line="260" w:lineRule="auto"/>
        <w:rPr>
          <w:sz w:val="20"/>
          <w:szCs w:val="20"/>
          <w:color w:val="auto"/>
        </w:rPr>
      </w:pPr>
      <w:r>
        <w:rPr>
          <w:rFonts w:ascii="Times New Roman" w:cs="Times New Roman" w:eastAsia="Times New Roman" w:hAnsi="Times New Roman"/>
          <w:sz w:val="14"/>
          <w:szCs w:val="14"/>
          <w:color w:val="auto"/>
        </w:rPr>
        <w:t>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We provide leading end-to-end solutions across our portfolio of products and services. Our go-to-market operations include an extensive direct sales force, with the ability to build deep customer relationships, and a global network of channel partners. Our global services footprint consists of service and support professionals and vendor-managed service centers that support customers across the world. Our world-class supply chain operates at a significant scale with the ability to remain agile in a variety of environments.</w:t>
      </w:r>
    </w:p>
    <w:p>
      <w:pPr>
        <w:spacing w:after="0" w:line="145"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We offer customers choice in how they acquire our solutions, including utility, subscription, as-a-Service, leases, loans, and immediate pay models. These options allow our customers to pay upfront or over time, providing them with operational and financial flexibility.</w:t>
      </w:r>
    </w:p>
    <w:p>
      <w:pPr>
        <w:spacing w:after="0" w:line="124"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Our vision is to become the most essential technology partner. We help customers address their IT needs and digital transformation objectives as they embrace today’s changing technology landscape. We intend to realize our vision by executing our strategy of leveraging our strengths to extend our leadership positions and capture new growth.</w:t>
      </w:r>
    </w:p>
    <w:p>
      <w:pPr>
        <w:spacing w:after="0" w:line="136"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We believe we are well-positioned in our industry and that our results will continue to benefit from our operational advantages, which position us for long-term growth and value creation while keeping our purpose at the forefront of our decision-making: to create technologies that drive human progress.</w:t>
      </w:r>
    </w:p>
    <w:p>
      <w:pPr>
        <w:spacing w:after="0" w:line="136"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w:t>
      </w:r>
    </w:p>
    <w:p>
      <w:pPr>
        <w:spacing w:after="0" w:line="136"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and make decisions, improve business outcomes and the customer experience, and reduce costs by leveraging new technology to optimize business processes. We believe our differentiated operating advantages, our leadership, and our way of doing business provide a foundation to foster growth, drive efficiencies, and capitalize on each successive wave of innovation in a dynamic industry.</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9"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DELL INTERNATIONAL L.L.C., EMC CORPORATION AND THE ADDITIONAL</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REGISTRANT GUARANTORS</w:t>
      </w:r>
    </w:p>
    <w:p>
      <w:pPr>
        <w:spacing w:after="0" w:line="165"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Each of Dell International and EMC is a direct wholly-owned subsidiary of Dell Inc. and an indirect wholly-owned consolidated subsidiary of Dell Technologies. With respect to the additional Registrant Guarantors, Denali Intermediate Inc. is a direct wholly-owned consolidated subsidiary of Dell Technologies, and Dell Inc. is a direct wholly-owned subsidiary of Denali Intermediate Inc. and an indirect wholly-owned consolidated subsidiary of Dell Technologies. Dell International, EMC, Denali Intermediate Inc. and Dell Inc. are holding companies that directly or indirectly hold all of the operating subsidiaries of Dell Technologies.</w:t>
      </w:r>
    </w:p>
    <w:p>
      <w:pPr>
        <w:spacing w:after="0" w:line="31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1" w:lineRule="exact"/>
        <w:rPr>
          <w:sz w:val="20"/>
          <w:szCs w:val="20"/>
          <w:color w:val="auto"/>
        </w:rPr>
      </w:pPr>
    </w:p>
    <w:p>
      <w:pPr>
        <w:jc w:val="both"/>
        <w:ind w:left="1300" w:right="179" w:firstLine="347"/>
        <w:spacing w:after="0" w:line="259" w:lineRule="auto"/>
        <w:rPr>
          <w:sz w:val="20"/>
          <w:szCs w:val="20"/>
          <w:color w:val="auto"/>
        </w:rPr>
      </w:pPr>
      <w:r>
        <w:rPr>
          <w:rFonts w:ascii="Times New Roman" w:cs="Times New Roman" w:eastAsia="Times New Roman" w:hAnsi="Times New Roman"/>
          <w:sz w:val="14"/>
          <w:szCs w:val="14"/>
          <w:color w:val="auto"/>
        </w:rPr>
        <w:t xml:space="preserve">Dell Technologies (under the name Denali Holding Inc.) was incorporated in the State of Delaware in 2013 in connection with the going-private transaction in October 2013 pursuant to which the public stockholders of Dell Inc. received cash for their shares of Dell Inc. common stock. Denali Holding Inc. changed its name to Dell Technologies Inc. on August 25, 2016. In addition, Dell Technologies anticipates changing its jurisdiction of incorporation to Texas, subject to the approval of stockholders. See “Recent Developments.” Our global corporate headquarters is located at One Dell Way, Round Rock, Texas 78682. Our telephone number is (512) 728-7800. Our website is </w:t>
      </w:r>
      <w:r>
        <w:rPr>
          <w:rFonts w:ascii="Times New Roman" w:cs="Times New Roman" w:eastAsia="Times New Roman" w:hAnsi="Times New Roman"/>
          <w:sz w:val="14"/>
          <w:szCs w:val="14"/>
          <w:i w:val="1"/>
          <w:iCs w:val="1"/>
          <w:color w:val="auto"/>
        </w:rPr>
        <w:t>www.dell.com</w:t>
      </w:r>
      <w:r>
        <w:rPr>
          <w:rFonts w:ascii="Times New Roman" w:cs="Times New Roman" w:eastAsia="Times New Roman" w:hAnsi="Times New Roman"/>
          <w:sz w:val="14"/>
          <w:szCs w:val="14"/>
          <w:color w:val="auto"/>
        </w:rPr>
        <w:t xml:space="preserve"> and the Investors page of our website is </w:t>
      </w:r>
      <w:r>
        <w:rPr>
          <w:rFonts w:ascii="Times New Roman" w:cs="Times New Roman" w:eastAsia="Times New Roman" w:hAnsi="Times New Roman"/>
          <w:sz w:val="14"/>
          <w:szCs w:val="14"/>
          <w:i w:val="1"/>
          <w:iCs w:val="1"/>
          <w:color w:val="auto"/>
        </w:rPr>
        <w:t>https://investors.delltechnologies.com</w:t>
      </w:r>
      <w:r>
        <w:rPr>
          <w:rFonts w:ascii="Times New Roman" w:cs="Times New Roman" w:eastAsia="Times New Roman" w:hAnsi="Times New Roman"/>
          <w:sz w:val="14"/>
          <w:szCs w:val="14"/>
          <w:color w:val="auto"/>
        </w:rPr>
        <w:t>. Information contained or linked on our website is not part of, and is not incorporated by reference into,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w:t>
      </w:r>
    </w:p>
    <w:p>
      <w:pPr>
        <w:spacing w:after="0" w:line="146"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Dell International (under the name New Dell International LLC) was incorporated in the State of Delaware in 2016 in connection with Dell Technologies’ acquisition of EMC. New Dell International LLC changed its name to Dell International L.L.C. on September 8, 2016. Dell Inc. and Denali Intermediate Inc. were incorporated in the State of Delaware in 1987 and 2013, respectively. The principal address of Dell International, Denali Intermediate Inc. and Dell Inc. is One Dell Way, Round Rock, Texas 78682.</w:t>
      </w:r>
    </w:p>
    <w:p>
      <w:pPr>
        <w:spacing w:after="0" w:line="140"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EMC was incorporated in Massachusetts in 1979. EMC’s corporate headquarters are located at 176 South Street, Hopkinton, Massachusetts 01748. EMC’s telephone number is (508) 435-1000.</w:t>
      </w:r>
    </w:p>
    <w:p>
      <w:pPr>
        <w:spacing w:after="0" w:line="29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81" w:lineRule="exact"/>
        <w:rPr>
          <w:sz w:val="20"/>
          <w:szCs w:val="20"/>
          <w:color w:val="auto"/>
        </w:rPr>
      </w:pPr>
    </w:p>
    <w:p>
      <w:pPr>
        <w:jc w:val="both"/>
        <w:ind w:left="1300" w:right="179" w:firstLine="347"/>
        <w:spacing w:after="0" w:line="257" w:lineRule="auto"/>
        <w:rPr>
          <w:sz w:val="20"/>
          <w:szCs w:val="20"/>
          <w:color w:val="auto"/>
        </w:rPr>
      </w:pPr>
      <w:r>
        <w:rPr>
          <w:rFonts w:ascii="Times New Roman" w:cs="Times New Roman" w:eastAsia="Times New Roman" w:hAnsi="Times New Roman"/>
          <w:sz w:val="14"/>
          <w:szCs w:val="14"/>
          <w:color w:val="auto"/>
        </w:rPr>
        <w:t>On May 3, 2026, Dell Technologies’ board of directors unanimously approved changing the jurisdiction of Dell Technologies’ state of incorporation from Delaware to Texas, subject to the approval of our stockholders (the “Redomestication”). The Redomestication, if approved, will be effected through a conversion of Dell Technologies pursuant to Section 266 of the Delaware General Corporation Law and Title 1, Chapter 10, Subchapter C of the Texas Business Organizations Code pursuant to, and in accordance with, a plan of conversion (the “Plan of Conversion”). By operation of the Plan of Conversion and upon consummation of the Redomestication, among other things, Dell Technologies will continue in existence as a Texas corporation and will continue to operate our business under its current name, “Dell Technologies Inc.” In addition, (i) each issued and outstanding share of our Class A, Class B and Class C common stock will be automatically converted into one outstanding share of Class A, Class B and Class C common stock, respectively, of the Texas corporation; and (ii) each outstanding stock option, restricted stock unit, performance stock unit, other equity award or other right to acquire shares of Class C common stock of the Delaware corporation will continue in existence and automatically become a stock option, restricted stock unit, performance stock unit, other equity award or other right to acquire an equal number of shares, respectively, of Class C common stock of the Texas corporation under the same terms and conditions.</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9"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1"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Investing in any securities offered pursuant to the registration statement of which this prospectus forms a part involves risks. Before making a decision to invest in any securities, you should carefully consider the risk factors discussed in the Annual Report and in other documents that Dell Technologies files with the SEC that update, supplement or supersede such information, all of which are incorporated by reference into this prospectus, as well as the other information contained or incorporated by reference into this prospectus and in any accompanying prospectus supplement.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9"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1" w:lineRule="exact"/>
        <w:rPr>
          <w:sz w:val="20"/>
          <w:szCs w:val="20"/>
          <w:color w:val="auto"/>
        </w:rPr>
      </w:pPr>
    </w:p>
    <w:p>
      <w:pPr>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The Issuers intend to use the net proceeds from the sales of securities as set forth in the applicable prospectus supplement and/or free writing prospectus.</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9"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81"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This prospectus describes certain general terms and provisions of the debt securities. The debt securities covered by this prospectus will be the Issuers’ and, as applicable, Dell Technologies’ and the additional Registrant Guarantors’ senior unsecured obligations. The debt securities will be issued under one or more base indentures, together with related officer’s certificates or supplemental indentures between the Issuers, the guarantors party thereto and The Bank of New York Mellon Trust Company, N.A., as trustee (the “Trustee”), including under the indenture, dated as of January 24, 2023, among the Issuers, the guarantors party thereto (the “Guarantors”) and the Trustee (together with any related supplemental indentures or officer’s certificates, the “Existing Indenture”). We refer herein to each of the Existing Indenture and any other indenture under which debt securities will be issued pursuant to this prospectus as the “Indenture.” The terms of the Indenture and any debt securities issued thereunder will be set forth in the prospectus supplement relating to such debt securities. The prospectus supplement will also indicate whether the general terms and provisions described in this prospectus apply to a particular series of debt securities.</w:t>
      </w:r>
    </w:p>
    <w:p>
      <w:pPr>
        <w:spacing w:after="0" w:line="145"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We have summarized some terms of the Existing Indenture below. We expect that the terms of the Indenture, if other than the Existing Indenture (any such other Indentures, a “New Indenture”), will be substantially similar to the Existing Indenture; however, we will describe the specific terms of the debt securities to be issued under any such New Indenture in a supplement to this prospectus. The below summary of the Existing Indenture is not complete. The Existing Indenture is incorporated by reference as an exhibit to the registration statement of which this prospectus is a part. You should read the Existing Indenture for a complete statement of the provisions summarized in this prospectus and for provisions that may be important to you. The Existing Indenture is subject to the provisions of the Trust Indenture Act of 1939, as amended (the “Trust Indenture Act”), that are required to be a part of the Existing Indenture and which are deemed to be incorporated into the Existing Indenture and shall, to the extent applicable, be governed by those provisions.</w:t>
      </w:r>
    </w:p>
    <w:p>
      <w:pPr>
        <w:spacing w:after="0" w:line="148"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In this section of the prospectus, references to the “Issuers” are to Dell International and EMC and not any of their Subsidiaries. When we refer to specific sections contained in the Existing Indenture or terms defined in the Existing Indenture, including important terms, which we capitalize here, we use them in this prospectus in the same way we use them in the Existing Indenture, and you should refer to the Existing Indenture itself for detailed, specific, legal descriptions thereof.</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Summary of the Existing Indenture</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6" w:lineRule="exact"/>
        <w:rPr>
          <w:sz w:val="20"/>
          <w:szCs w:val="20"/>
          <w:color w:val="auto"/>
        </w:rPr>
      </w:pPr>
    </w:p>
    <w:p>
      <w:pPr>
        <w:jc w:val="both"/>
        <w:ind w:left="1300" w:right="179" w:firstLine="347"/>
        <w:spacing w:after="0" w:line="281" w:lineRule="auto"/>
        <w:rPr>
          <w:sz w:val="20"/>
          <w:szCs w:val="20"/>
          <w:color w:val="auto"/>
        </w:rPr>
      </w:pPr>
      <w:r>
        <w:rPr>
          <w:rFonts w:ascii="Times New Roman" w:cs="Times New Roman" w:eastAsia="Times New Roman" w:hAnsi="Times New Roman"/>
          <w:sz w:val="14"/>
          <w:szCs w:val="14"/>
          <w:color w:val="auto"/>
        </w:rPr>
        <w:t>The Existing Indenture does not limit the amount of debt securities that the Issuers may issue thereunder. To the extent permitted by the Existing Indenture, the Issuers may issue debt securities under the Existing Indenture up to an aggregate principal amount as they may authorize from time to time.</w:t>
      </w:r>
    </w:p>
    <w:p>
      <w:pPr>
        <w:spacing w:after="0" w:line="30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 prospectus supplement relating to the offering of a series of debt securities will include specific terms relating to that series of debt securities.</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These terms will include some or all of the following:</w:t>
      </w:r>
    </w:p>
    <w:p>
      <w:pPr>
        <w:spacing w:after="0" w:line="91" w:lineRule="exact"/>
        <w:rPr>
          <w:sz w:val="20"/>
          <w:szCs w:val="20"/>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of the series;</w:t>
      </w:r>
    </w:p>
    <w:p>
      <w:pPr>
        <w:spacing w:after="0" w:line="104"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 of the series that may be authenticated and delivered under the Existing Indenture;</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Issuers will sell the debt securities of the series;</w:t>
      </w:r>
    </w:p>
    <w:p>
      <w:pPr>
        <w:spacing w:after="0" w:line="104"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to whom any interest on the debt securities of the series shall be payable, if other than the Person in whose name such debt security (or one or more predecessor debt securities) is registered at the close of business on the applicable record date;</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and premium, if any, of the debt securities of the series are payable;</w:t>
      </w:r>
    </w:p>
    <w:p>
      <w:pPr>
        <w:spacing w:after="0" w:line="1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and the method for calculating the interest rate;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be payable and the related record dates;</w:t>
      </w:r>
    </w:p>
    <w:p>
      <w:pPr>
        <w:spacing w:after="0" w:line="105" w:lineRule="exact"/>
        <w:rPr>
          <w:rFonts w:ascii="Times New Roman" w:cs="Times New Roman" w:eastAsia="Times New Roman" w:hAnsi="Times New Roman"/>
          <w:sz w:val="14"/>
          <w:szCs w:val="14"/>
          <w:color w:val="auto"/>
        </w:rPr>
      </w:pPr>
    </w:p>
    <w:p>
      <w:pPr>
        <w:jc w:val="both"/>
        <w:ind w:left="2060" w:right="179" w:hanging="331"/>
        <w:spacing w:after="0" w:line="271"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any premium and interest on the debt securities of the series will be payable, where the debt securities of such series may be surrendered for registration of transfer or exchange and where notices and demands to or upon the Issuers in respect of the debt securities of such series and the Existing Indenture may be served, and the method of such payment;</w:t>
      </w:r>
    </w:p>
    <w:p>
      <w:pPr>
        <w:spacing w:after="0" w:line="61"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the debt securities of the series may be redeemed at the option of the Issuers;</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mandatory or optional sinking fund or analogous provisions;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upon which the debt securities of the series may be exchanged for other securities issued by the Issuers;</w:t>
      </w:r>
    </w:p>
    <w:p>
      <w:pPr>
        <w:spacing w:after="0" w:line="105"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of the series will be issuable, if other than denominations of $2,000 and integral multiples of $1,000 in excess thereof;</w:t>
      </w:r>
    </w:p>
    <w:p>
      <w:pPr>
        <w:spacing w:after="0" w:line="49"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payment of principal of and any premium and interest on the debt securities of the series shall be payable if other than United States dollars;</w:t>
      </w:r>
    </w:p>
    <w:p>
      <w:pPr>
        <w:spacing w:after="0" w:line="49"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index, formula or other method used to determine the amount of payments of principal of and any premium and interest on the debt securities;</w:t>
      </w:r>
    </w:p>
    <w:p>
      <w:pPr>
        <w:spacing w:after="0" w:line="49"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amount payable at the stated maturity of the debt securities of the series will not be determinable as of any one or more dates prior to the stated maturity, the amount that will be deemed to be the principal amount as of any date for any purpose;</w:t>
      </w:r>
    </w:p>
    <w:p>
      <w:pPr>
        <w:spacing w:after="0" w:line="49"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and any addition to or change in, the covenants or definitions specified in the Existing Indenture as then in effect or in the terms specified in the Existing Indenture as then in effect relating to permitted consolidations, mergers or sales of assets;</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deletions or changes to the provisions of the Existing Indenture relating to covenant defeasance and legal defeasance;</w:t>
      </w:r>
    </w:p>
    <w:p>
      <w:pPr>
        <w:spacing w:after="0" w:line="105" w:lineRule="exact"/>
        <w:rPr>
          <w:rFonts w:ascii="Times New Roman" w:cs="Times New Roman" w:eastAsia="Times New Roman" w:hAnsi="Times New Roman"/>
          <w:sz w:val="14"/>
          <w:szCs w:val="14"/>
          <w:color w:val="auto"/>
        </w:rPr>
      </w:pPr>
    </w:p>
    <w:p>
      <w:pPr>
        <w:jc w:val="both"/>
        <w:ind w:left="2060" w:right="179" w:hanging="331"/>
        <w:spacing w:after="0" w:line="271"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the debt securities of such series are to be issuable in temporary or permanent global form or both, and, if so, the depositary for the global securities and the terms and conditions, if any, relating to the exchange of interests in the global securities for the individual securities represented thereby in definitive registered form;</w:t>
      </w:r>
    </w:p>
    <w:p>
      <w:pPr>
        <w:spacing w:after="0" w:line="61"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and any authenticating or paying agents, transfer agents or registrars;</w:t>
      </w:r>
    </w:p>
    <w:p>
      <w:pPr>
        <w:spacing w:after="0" w:line="105" w:lineRule="exact"/>
        <w:rPr>
          <w:rFonts w:ascii="Times New Roman" w:cs="Times New Roman" w:eastAsia="Times New Roman" w:hAnsi="Times New Roman"/>
          <w:sz w:val="14"/>
          <w:szCs w:val="14"/>
          <w:color w:val="auto"/>
        </w:rPr>
      </w:pPr>
    </w:p>
    <w:p>
      <w:pPr>
        <w:jc w:val="both"/>
        <w:ind w:left="2060" w:right="179" w:hanging="331"/>
        <w:spacing w:after="0" w:line="271"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with respect to the debt securities of the series and any change in the right of the Trustee or the holders of the debt securities of the series to declare the principal, premium and interest with respect to the debt securities of such series due and payable; and</w:t>
      </w:r>
    </w:p>
    <w:p>
      <w:pPr>
        <w:spacing w:after="0" w:line="61" w:lineRule="exact"/>
        <w:rPr>
          <w:rFonts w:ascii="Times New Roman" w:cs="Times New Roman" w:eastAsia="Times New Roman" w:hAnsi="Times New Roman"/>
          <w:sz w:val="14"/>
          <w:szCs w:val="14"/>
          <w:color w:val="auto"/>
        </w:rPr>
      </w:pPr>
    </w:p>
    <w:p>
      <w:pPr>
        <w:jc w:val="both"/>
        <w:ind w:left="2060" w:right="179" w:hanging="331"/>
        <w:spacing w:after="0" w:line="271"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of the series and the related Security Guarantees, if any (whether or not such other terms are consistent or inconsistent with the provisions of the Existing Indenture and any deletions from or modifications or additions to the Existing Indenture in respect of such debt securities of the series or such Security Guarantees, if any).</w:t>
      </w:r>
    </w:p>
    <w:p>
      <w:pPr>
        <w:spacing w:after="0" w:line="136"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 xml:space="preserve">Debt securities may be issued as original issue discount securities to be sold at a discount from their principal amount. Furthermore, we may from time to time, without notice to or the consent of the holders of any series of debt securities, create and issue further debt securities of any such series ranking equally with, and having the same terms and conditions as, the debt securities of such series in all respects (or in all respects other than the payment of interest accruing prior to the issue date of such further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additional debt securities are not fungible with the initial debt securities of such series for U.S. federal income tax</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9"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179"/>
        <w:spacing w:after="0" w:line="288" w:lineRule="auto"/>
        <w:rPr>
          <w:sz w:val="20"/>
          <w:szCs w:val="20"/>
          <w:color w:val="auto"/>
        </w:rPr>
      </w:pPr>
      <w:r>
        <w:rPr>
          <w:rFonts w:ascii="Times New Roman" w:cs="Times New Roman" w:eastAsia="Times New Roman" w:hAnsi="Times New Roman"/>
          <w:sz w:val="14"/>
          <w:szCs w:val="14"/>
          <w:color w:val="auto"/>
        </w:rPr>
        <w:t>purposes, such additional debt securities will have a separate CUSIP number. United States federal income tax consequences and other special considerations applicable to any future debt securities will be described in the prospectus supplement relating thereto.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debt securities will be:</w:t>
      </w:r>
    </w:p>
    <w:p>
      <w:pPr>
        <w:spacing w:after="0" w:line="105" w:lineRule="exact"/>
        <w:rPr>
          <w:sz w:val="20"/>
          <w:szCs w:val="20"/>
          <w:color w:val="auto"/>
        </w:rPr>
      </w:pPr>
    </w:p>
    <w:p>
      <w:pPr>
        <w:ind w:left="2060" w:hanging="331"/>
        <w:spacing w:after="0"/>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unsecured obligations of the Issuers;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in right of payment to any future subordinated indebtedness of the Issuers;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pari passu in right of payment with all existing and future senior indebtedness of the Issuers;</w:t>
      </w:r>
    </w:p>
    <w:p>
      <w:pPr>
        <w:spacing w:after="0" w:line="105"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senior to all existing and future indebtedness and other liabilities of any Person that is a direct or indirect parent of the Issuers; and</w:t>
      </w:r>
    </w:p>
    <w:p>
      <w:pPr>
        <w:spacing w:after="0" w:line="49"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subordinated to all existing and future indebtedness and other liabilities of Subsidiaries of the Issuers, other than indebtedness and liabilities owed to one of the Issuers or Guarantors.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Security Guarantees</w:t>
      </w:r>
    </w:p>
    <w:p>
      <w:pPr>
        <w:spacing w:after="0" w:line="96"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Unless the terms of a particular series of debt securities provide otherwise, the Guarantors, as primary obligors and not merely as sureties, will jointly and severally irrevocably and unconditionally guarantee, on a senior unsecured basis, the performance and full and punctual payment when due, whether at maturity, by acceleration or otherwise, of all obligations of the Issuers under any series of debt securities and the Existing Indenture, whether for payment of principal of, premium, if any, or interest on the debt securities of such series, expenses, indemnification or otherwise, on the terms set forth in the Existing Indenture.</w:t>
      </w:r>
    </w:p>
    <w:p>
      <w:pPr>
        <w:spacing w:after="0" w:line="143"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As of the date of this prospectus, the Guarantors under the Existing Indenture are Dell Technologies, Denali Intermediate Inc. and Dell Inc. The Security Guarantee of each Guarantor will be:</w:t>
      </w:r>
    </w:p>
    <w:p>
      <w:pPr>
        <w:spacing w:after="0" w:line="50" w:lineRule="exact"/>
        <w:rPr>
          <w:sz w:val="20"/>
          <w:szCs w:val="20"/>
          <w:color w:val="auto"/>
        </w:rPr>
      </w:pPr>
    </w:p>
    <w:p>
      <w:pPr>
        <w:ind w:left="2060" w:hanging="331"/>
        <w:spacing w:after="0"/>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senior unsecured obligation of such Guarantor;</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in right of payment to all existing and future subordinated indebtedness of such Guarantor;</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pari passu in right of payment with all existing and future senior indebtedness of such Guarantor; and</w:t>
      </w:r>
    </w:p>
    <w:p>
      <w:pPr>
        <w:spacing w:after="0" w:line="104"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subordinated to all existing and future indebtedness and other liabilities of Subsidiaries of the Issuers, other than indebtedness and liabilities owed to one of the Issuers or Guarantors.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Release of Security Guarantees</w:t>
      </w:r>
    </w:p>
    <w:p>
      <w:pPr>
        <w:spacing w:after="0" w:line="96"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Unless the terms of a particular series of debt securities provide otherwise, each Security Guarantee of a series of debt securities by a Guarantor shall provide by its terms that its obligations under the Existing Indenture with respect to such series and such Security Guarantee shall be automatically and unconditionally released and discharged upon the Issuers exercising the legal defeasance option or covenant defeasance option with respect to such series as described under “</w:t>
      </w:r>
      <w:r>
        <w:rPr>
          <w:rFonts w:ascii="Times New Roman" w:cs="Times New Roman" w:eastAsia="Times New Roman" w:hAnsi="Times New Roman"/>
          <w:sz w:val="14"/>
          <w:szCs w:val="14"/>
          <w:i w:val="1"/>
          <w:iCs w:val="1"/>
          <w:color w:val="auto"/>
        </w:rPr>
        <w:t>Legal Defeasance and Covenant Defeasance</w:t>
      </w:r>
      <w:r>
        <w:rPr>
          <w:rFonts w:ascii="Times New Roman" w:cs="Times New Roman" w:eastAsia="Times New Roman" w:hAnsi="Times New Roman"/>
          <w:sz w:val="14"/>
          <w:szCs w:val="14"/>
          <w:color w:val="auto"/>
        </w:rPr>
        <w:t>” or the Issuers’ obligations under the Existing Indenture with respect to such series being discharged in accordance with the terms of the Existing Indenture.</w:t>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Merger, Consolidation, Amalgamation or Sale of All or Substantially All Assets</w:t>
      </w:r>
    </w:p>
    <w:p>
      <w:pPr>
        <w:spacing w:after="0" w:line="96"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The Issuers and the Guarantors will not merge, consolidate or amalgamate with or into or wind up into, (whether or not such Issuer or Guarantor is the surviving Person), consummate a Division as the Dividing Person or sell, assign, transfer, lease, convey or otherwise dispose of all or substantially all of the properties or assets of</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9"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Dell Technologies and its Subsidiaries, taken as a whole, in one or more related transactions, to any Person unless:</w:t>
      </w:r>
    </w:p>
    <w:p>
      <w:pPr>
        <w:spacing w:after="0" w:line="105" w:lineRule="exact"/>
        <w:rPr>
          <w:sz w:val="20"/>
          <w:szCs w:val="20"/>
          <w:color w:val="auto"/>
        </w:rPr>
      </w:pPr>
    </w:p>
    <w:p>
      <w:pPr>
        <w:jc w:val="both"/>
        <w:ind w:left="2060" w:right="179" w:hanging="416"/>
        <w:spacing w:after="0" w:line="258" w:lineRule="auto"/>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(x) in the case of a Division where an Issuer or Guarantor is the Dividing Person, each Division Successor shall remain or become an Issuer or a Guarantor, as the case may be, and (y) in all other cases, an Issuer or a Guarantor, as the case may be, is the surviving Person or the Person formed by or surviving any such merger, consolidation or amalgamation (if other than an Issuer or a Guarantor)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(in each of clauses (x) and (y), such Issuer, such Guarantor or such Person, as the case may be, being herein called the “Successor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where the Successor Company of an Issuer is not a corporation, a co-issuer of the debt securities is a corporation;</w:t>
      </w:r>
    </w:p>
    <w:p>
      <w:pPr>
        <w:spacing w:after="0" w:line="73" w:lineRule="exact"/>
        <w:rPr>
          <w:rFonts w:ascii="Times New Roman" w:cs="Times New Roman" w:eastAsia="Times New Roman" w:hAnsi="Times New Roman"/>
          <w:sz w:val="14"/>
          <w:szCs w:val="14"/>
          <w:color w:val="auto"/>
        </w:rPr>
      </w:pPr>
    </w:p>
    <w:p>
      <w:pPr>
        <w:jc w:val="both"/>
        <w:ind w:left="2060" w:right="179" w:hanging="416"/>
        <w:spacing w:after="0" w:line="265" w:lineRule="auto"/>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Company, if other than an Issuer or a Guarantor, expressly assumes, in the case of a Guarantor, all the obligations of such Guarantor under the Existing Indenture and its Security Guarantee and, in the case of an Issuer, all of the obligations of such Issuer under the Existing Indenture and the debt securities, in each case, pursuant to supplemental indentures or other documents or instruments in form reasonably satisfactory to the Trustee; and</w:t>
      </w:r>
    </w:p>
    <w:p>
      <w:pPr>
        <w:spacing w:after="0" w:line="65" w:lineRule="exact"/>
        <w:rPr>
          <w:rFonts w:ascii="Times New Roman" w:cs="Times New Roman" w:eastAsia="Times New Roman" w:hAnsi="Times New Roman"/>
          <w:sz w:val="14"/>
          <w:szCs w:val="14"/>
          <w:color w:val="auto"/>
        </w:rPr>
      </w:pPr>
    </w:p>
    <w:p>
      <w:pPr>
        <w:ind w:left="2060" w:hanging="416"/>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such transaction, no Event of Default exists.</w:t>
      </w:r>
    </w:p>
    <w:p>
      <w:pPr>
        <w:spacing w:after="0" w:line="179"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The Successor Company will succeed to, and be substituted for, an Issuer or a Guarantor, as the case may be, under the Existing Indenture, the Security Guarantees and the debt securities, as applicable, and such Issuer or Guarantor, as applicable, will automatically be released and discharged from its obligations under the Existing Indenture, the Security Guarantees and the debt securities, as applicable. Notwithstanding the foregoing,</w:t>
      </w:r>
    </w:p>
    <w:p>
      <w:pPr>
        <w:spacing w:after="0" w:line="61" w:lineRule="exact"/>
        <w:rPr>
          <w:sz w:val="20"/>
          <w:szCs w:val="20"/>
          <w:color w:val="auto"/>
        </w:rPr>
      </w:pPr>
    </w:p>
    <w:p>
      <w:pPr>
        <w:ind w:left="2060" w:right="179" w:hanging="416"/>
        <w:spacing w:after="0" w:line="288" w:lineRule="auto"/>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Subsidiary of Dell Technologies may merge, consolidate or amalgamate with or into or sell, assign, transfer, lease, convey or otherwise dispose of all or part of its properties and assets to Dell Technologies and any of its Subsidiaries (including the Issuers); and</w:t>
      </w:r>
    </w:p>
    <w:p>
      <w:pPr>
        <w:spacing w:after="0" w:line="49" w:lineRule="exact"/>
        <w:rPr>
          <w:rFonts w:ascii="Times New Roman" w:cs="Times New Roman" w:eastAsia="Times New Roman" w:hAnsi="Times New Roman"/>
          <w:sz w:val="14"/>
          <w:szCs w:val="14"/>
          <w:color w:val="auto"/>
        </w:rPr>
      </w:pPr>
    </w:p>
    <w:p>
      <w:pPr>
        <w:jc w:val="both"/>
        <w:ind w:left="2060" w:right="179" w:hanging="416"/>
        <w:spacing w:after="0" w:line="271" w:lineRule="auto"/>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Issuer or a Guarantor may merge, consolidate or amalgamate with or into with an Affiliate of such Issuer or such Guarantor, as the case may be, solely for the purpose of reincorporating such Issuer or such Guarantor in the United States, any state thereof, the District of Columbia or any territory thereof.</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Reports and Other Information</w:t>
      </w:r>
    </w:p>
    <w:p>
      <w:pPr>
        <w:spacing w:after="0" w:line="96"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To the extent any debt securities are outstanding, Dell Technologies shall deliver to the Trustee any reports, information and documents that Dell Technologies is required to file with the SEC pursuant to Section 13 or 15(d) of the Exchange Act within 30 days after such report, information or document is required to be filed with the SEC. All such reports, information or documents that Dell Technologies files with the SEC via the SEC’s EDGAR system shall be deemed to be filed with the Trustee and transmitted to holders of debt securities at the time such reports, information or documents are filed via the EDGAR system (or any successor system).</w:t>
      </w:r>
    </w:p>
    <w:p>
      <w:pPr>
        <w:spacing w:after="0" w:line="143"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Delivery of the foregoing reports, information and documents to the Trustee is for informational purposes only and the Trustee’s receipt of such shall not constitute constructive or actual knowledge or notice of any information contained therein or determinable from information contained therein, including the Issuers’ compliance with any of their covenants under the Existing Indenture (as to which the Trustee is entitled to rely exclusively on officer’s certificates).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6"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each of the following events is defined in the Existing Indenture as an “Event of Default” (whatever the reason therefor and whether or not it will be</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9"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1300" w:right="179"/>
        <w:spacing w:after="0" w:line="288" w:lineRule="auto"/>
        <w:rPr>
          <w:sz w:val="20"/>
          <w:szCs w:val="20"/>
          <w:color w:val="auto"/>
        </w:rPr>
      </w:pPr>
      <w:r>
        <w:rPr>
          <w:rFonts w:ascii="Times New Roman" w:cs="Times New Roman" w:eastAsia="Times New Roman" w:hAnsi="Times New Roman"/>
          <w:sz w:val="14"/>
          <w:szCs w:val="14"/>
          <w:color w:val="auto"/>
        </w:rPr>
        <w:t>voluntary or involuntary or be effected by operation of law or pursuant to any judgment, decree or order of any court or any order, rule or regulation of any administrative or governmental body) with respect to the debt securities of any series:</w:t>
      </w:r>
    </w:p>
    <w:p>
      <w:pPr>
        <w:spacing w:after="0" w:line="50" w:lineRule="exact"/>
        <w:rPr>
          <w:sz w:val="20"/>
          <w:szCs w:val="20"/>
          <w:color w:val="auto"/>
        </w:rPr>
      </w:pPr>
    </w:p>
    <w:p>
      <w:pPr>
        <w:ind w:left="2060" w:hanging="416"/>
        <w:spacing w:after="0"/>
        <w:tabs>
          <w:tab w:leader="none" w:pos="2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pay the principal of (or premium, if any, on) such series of debt securities when due and payable;</w:t>
      </w:r>
    </w:p>
    <w:p>
      <w:pPr>
        <w:spacing w:after="0" w:line="105" w:lineRule="exact"/>
        <w:rPr>
          <w:rFonts w:ascii="Times New Roman" w:cs="Times New Roman" w:eastAsia="Times New Roman" w:hAnsi="Times New Roman"/>
          <w:sz w:val="14"/>
          <w:szCs w:val="14"/>
          <w:color w:val="auto"/>
        </w:rPr>
      </w:pPr>
    </w:p>
    <w:p>
      <w:pPr>
        <w:ind w:left="2060" w:right="179" w:hanging="416"/>
        <w:spacing w:after="0" w:line="288" w:lineRule="auto"/>
        <w:tabs>
          <w:tab w:leader="none" w:pos="2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pay any interest installment or Additional Amounts on such series of debt securities when due and payable, which failure continues for 30 days;</w:t>
      </w:r>
    </w:p>
    <w:p>
      <w:pPr>
        <w:spacing w:after="0" w:line="49" w:lineRule="exact"/>
        <w:rPr>
          <w:rFonts w:ascii="Times New Roman" w:cs="Times New Roman" w:eastAsia="Times New Roman" w:hAnsi="Times New Roman"/>
          <w:sz w:val="14"/>
          <w:szCs w:val="14"/>
          <w:color w:val="auto"/>
        </w:rPr>
      </w:pPr>
    </w:p>
    <w:p>
      <w:pPr>
        <w:jc w:val="both"/>
        <w:ind w:left="2060" w:right="179" w:hanging="416"/>
        <w:spacing w:after="0" w:line="260" w:lineRule="auto"/>
        <w:tabs>
          <w:tab w:leader="none" w:pos="2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failure by the Issuers to comply for 90 days after written notice given by the Trustee or the holders of not less than 30% in aggregate principal amount of the outstanding debt securities of such series with its covenants or other agreements (other than those described in clause (1) or (2) above) contained in the Existing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of a failure to comply with the provisions described under “— </w:t>
      </w:r>
      <w:r>
        <w:rPr>
          <w:rFonts w:ascii="Times New Roman" w:cs="Times New Roman" w:eastAsia="Times New Roman" w:hAnsi="Times New Roman"/>
          <w:sz w:val="14"/>
          <w:szCs w:val="14"/>
          <w:i w:val="1"/>
          <w:iCs w:val="1"/>
          <w:color w:val="auto"/>
        </w:rPr>
        <w:t>Reports and Other Information</w:t>
      </w:r>
      <w:r>
        <w:rPr>
          <w:rFonts w:ascii="Times New Roman" w:cs="Times New Roman" w:eastAsia="Times New Roman" w:hAnsi="Times New Roman"/>
          <w:sz w:val="14"/>
          <w:szCs w:val="14"/>
          <w:color w:val="auto"/>
        </w:rPr>
        <w:t xml:space="preserve">,” such period of continuance of such default or breach shall be 180 days after written notice described in this clause (3) has been given;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notice may be given with respect to any action taken, and reported publicly or to the holders of debt securities, more than two years prior to such notice; and</w:t>
      </w:r>
    </w:p>
    <w:p>
      <w:pPr>
        <w:spacing w:after="0" w:line="70" w:lineRule="exact"/>
        <w:rPr>
          <w:rFonts w:ascii="Times New Roman" w:cs="Times New Roman" w:eastAsia="Times New Roman" w:hAnsi="Times New Roman"/>
          <w:sz w:val="14"/>
          <w:szCs w:val="14"/>
          <w:color w:val="auto"/>
        </w:rPr>
      </w:pPr>
    </w:p>
    <w:p>
      <w:pPr>
        <w:ind w:left="2060" w:hanging="416"/>
        <w:spacing w:after="0"/>
        <w:tabs>
          <w:tab w:leader="none" w:pos="2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involving an Issuer (the “bankruptcy provisions”).</w:t>
      </w:r>
    </w:p>
    <w:p>
      <w:pPr>
        <w:spacing w:after="0" w:line="179"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 xml:space="preserve">Unless otherwise specified in the applicable prospectus supplement, if an Event of Default enumerated above with respect to the debt securities of any series at the time outstanding shall occur and be continuing, then either the Trustee or the holders of at least 30% in aggregate principal amount of the outstanding debt securities of such series may declare the principal, premium, if any, interest and any other monetary obligations on all the debt securities of such series to be due and payable immediately by a notice in writing to the Issuers (and to the Trustee if given by the holders of such debt securities). At any time after such a declaration of acceleration has been made, but before a judgment or decree for payment of the money due has been obtained by the Trustee, the holders of a majority in aggregate principal amount of the outstanding debt securities of such series, by written notice to the Issuers and the Trustee, may, in certain circumstances, rescind and annul such acceleration. If an Event of Default relating to the bankruptcy provisions occurs and is continuing, the principal of and interest on all the debt securities will </w:t>
      </w:r>
      <w:r>
        <w:rPr>
          <w:rFonts w:ascii="Times New Roman" w:cs="Times New Roman" w:eastAsia="Times New Roman" w:hAnsi="Times New Roman"/>
          <w:sz w:val="14"/>
          <w:szCs w:val="14"/>
          <w:i w:val="1"/>
          <w:iCs w:val="1"/>
          <w:color w:val="auto"/>
        </w:rPr>
        <w:t>ipso facto</w:t>
      </w:r>
      <w:r>
        <w:rPr>
          <w:rFonts w:ascii="Times New Roman" w:cs="Times New Roman" w:eastAsia="Times New Roman" w:hAnsi="Times New Roman"/>
          <w:sz w:val="14"/>
          <w:szCs w:val="14"/>
          <w:color w:val="auto"/>
        </w:rPr>
        <w:t xml:space="preserve"> become and be immediately due and payable without any declaration or other act on the part of the Trustee or any holders of debt securities.</w:t>
      </w:r>
    </w:p>
    <w:p>
      <w:pPr>
        <w:spacing w:after="0" w:line="145"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Subject to certain restrictions, no holder of any debt securities of any series shall have any right to institute any proceeding with respect to the Existing Indenture or the debt securities of such series or for any remedy thereunder, unless such holder previously shall have given to the Trustee written notice of a continuing Event of Default with respect to the debt securities of such series and unless also the holders of not less than 30% in aggregate principal amount of the outstanding debt securities of such series shall have made written request upon the Trustee, and have offered to the Trustee indemnity satisfactory to the Trustee against the costs, expenses and liabilities to be incurred in compliance with the request, and the Trustee, for 60 days after receipt of such notice, request and offer of indemnity, shall have failed to institute such proceeding and, during such 60-day period, the Trustee shall not have received direction inconsistent with such request in writing by the holders of a majority in aggregate principal amount of the outstanding debt securities of such series. These limitations do not apply, however, to a suit instituted by a holder of a debt security for the enforcement of payment of the principal of, premium, if any, or interest on such note on or after the respective due date expressed in such debt security.</w:t>
      </w:r>
    </w:p>
    <w:p>
      <w:pPr>
        <w:spacing w:after="0" w:line="145"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Subject to certain restrictions, the holders of a majority in aggregate principal amount of the outstanding debt securities of a series will have the right to direct the time, method and place of conducting any proceeding for exercising any remedy available to the Trustee or of exercising any trust or power conferred on the Trustee with respect to such series, and the Trustee may act at the direction of holders of debt securities without liability. The Trustee, however, may refuse to follow any direction that conflicts with law or the Existing Indenture or that the Trustee determines is unduly prejudicial to the rights of any other holder of a debt security of such series or that would involve the Trustee in personal liability.</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9"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 xml:space="preserve">If a Default with respect to any series of debt securities occurs and is continuing and the Trustee has received written notice thereof, the Trustee must mail (or otherwise transmit in accordance with the procedures of The Depository Trust Company) to each holder of such series of debt securities notice of the Default within 90 days of having received such notice;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except in the case of a Default in the payment of principal or premium, if any, or interest on any debt security, the Trustee may withhold from the holders of such series of debt securities notice of any continuing Default if and so long as a committee of the Trustee’s responsible officers in good faith determines that withholding the notice is in the interests of the holders of such series of debt securities. The Issuers will be required to deliver to the Trustee, within 120 days after the end of each fiscal year of Dell Technologies, an officer’s certificate indicating whether the signer of the certificate knows of any failure by the Issuers or the Guarantors to comply with all conditions and covenants of the Existing Indenture during such fiscal year.</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Amendment, Supplement and Waiver</w:t>
      </w:r>
    </w:p>
    <w:p>
      <w:pPr>
        <w:spacing w:after="0" w:line="96"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To the extent permitted by the Existing Indenture and subject to the following paragraphs, without the consent of any holders of debt securities, the Issuers, the Guarantors and the Trustee may from time to time amend, supplement or modify the Existing Indenture, including to provide for the issuance of additional debt securities under the Existing Indenture (including Additional Securities of such series, if any).</w:t>
      </w:r>
    </w:p>
    <w:p>
      <w:pPr>
        <w:spacing w:after="0" w:line="136" w:lineRule="exact"/>
        <w:rPr>
          <w:sz w:val="20"/>
          <w:szCs w:val="20"/>
          <w:color w:val="auto"/>
        </w:rPr>
      </w:pPr>
    </w:p>
    <w:p>
      <w:pPr>
        <w:jc w:val="both"/>
        <w:ind w:left="1300" w:right="179" w:firstLine="347"/>
        <w:spacing w:after="0" w:line="257" w:lineRule="auto"/>
        <w:rPr>
          <w:sz w:val="20"/>
          <w:szCs w:val="20"/>
          <w:color w:val="auto"/>
        </w:rPr>
      </w:pPr>
      <w:r>
        <w:rPr>
          <w:rFonts w:ascii="Times New Roman" w:cs="Times New Roman" w:eastAsia="Times New Roman" w:hAnsi="Times New Roman"/>
          <w:sz w:val="14"/>
          <w:szCs w:val="14"/>
          <w:color w:val="auto"/>
        </w:rPr>
        <w:t xml:space="preserve">Subject to certain exceptions, modifications and amendments of the Existing Indenture, the debt securities of one or more series and the Security Guarantees may be made by the Issuers, any Guarantor (with respect to its Security Guarantee) and the Trustee with the consent of the holders of not less than a majority in aggregate principal amount of the outstanding debt securities of such series (including Additional Securities of such series, if any) then outstanding voting as a single class (including consents obtained in connection with a purchase of, or a tender offer or exchange offer for, the debt securities of such series), and any past Default or Event of Default with respect to such series of debt securities or compliance in respect of a series of debt securities with any provision of the Existing Indenture, the Security Guarantees or such series of debt securities may be waived with the consent of the holders of not less than a majority in aggregate principal amount of the then outstanding debt securities of such series (including Additional Securities of such series, if any) voting as a single class (including consents obtained in connection with a tender offer or exchange offer for, or purchase of, the debt securities of such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no such modification or amendment may, without the consent of the holder of each outstanding debt security affected thereby:</w:t>
      </w:r>
    </w:p>
    <w:p>
      <w:pPr>
        <w:spacing w:after="0" w:line="74" w:lineRule="exact"/>
        <w:rPr>
          <w:sz w:val="20"/>
          <w:szCs w:val="20"/>
          <w:color w:val="auto"/>
        </w:rPr>
      </w:pPr>
    </w:p>
    <w:p>
      <w:pPr>
        <w:ind w:left="2060" w:hanging="331"/>
        <w:spacing w:after="0"/>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principal of or interest on, any such debt security;</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the rate of interest on, any such debt security;</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premium, if any, or redemption price payable upon the redemption of any such debt security;</w:t>
      </w:r>
    </w:p>
    <w:p>
      <w:pPr>
        <w:spacing w:after="0" w:line="105"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the principal of an original discount debt security that would be due and payable upon a declaration of acceleration of the maturity thereof;</w:t>
      </w:r>
    </w:p>
    <w:p>
      <w:pPr>
        <w:spacing w:after="0" w:line="49"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place of payment where, or the coin or currency in which, the principal of, premium, if any, or interest on any such debt security is payable;</w:t>
      </w:r>
    </w:p>
    <w:p>
      <w:pPr>
        <w:spacing w:after="0" w:line="49" w:lineRule="exact"/>
        <w:rPr>
          <w:rFonts w:ascii="Times New Roman" w:cs="Times New Roman" w:eastAsia="Times New Roman" w:hAnsi="Times New Roman"/>
          <w:sz w:val="14"/>
          <w:szCs w:val="14"/>
          <w:color w:val="auto"/>
        </w:rPr>
      </w:pPr>
    </w:p>
    <w:p>
      <w:pPr>
        <w:jc w:val="both"/>
        <w:ind w:left="2060" w:right="179" w:hanging="331"/>
        <w:spacing w:after="0" w:line="271" w:lineRule="auto"/>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contractual right expressly set forth in the Existing Indenture or any debt security of any holder to institute suit for the enforcement of any payment of principal of, premium, if any, or interest (or Additional Amounts, if any) on such debt security on or after the stated maturity or redemption date of any such debt security;</w:t>
      </w:r>
    </w:p>
    <w:p>
      <w:pPr>
        <w:spacing w:after="0" w:line="61" w:lineRule="exact"/>
        <w:rPr>
          <w:rFonts w:ascii="Times New Roman" w:cs="Times New Roman" w:eastAsia="Times New Roman" w:hAnsi="Times New Roman"/>
          <w:sz w:val="14"/>
          <w:szCs w:val="14"/>
          <w:color w:val="auto"/>
        </w:rPr>
      </w:pPr>
    </w:p>
    <w:p>
      <w:pPr>
        <w:jc w:val="both"/>
        <w:ind w:left="2060" w:right="179" w:hanging="331"/>
        <w:spacing w:after="0" w:line="271" w:lineRule="auto"/>
        <w:tabs>
          <w:tab w:leader="none" w:pos="20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aggregate principal amount of the outstanding debt securities of any series, the consent of whose holders is required to approve any such modification or amendment or for any waiver of compliance with certain provisions of the Existing Indenture or of certain Defaults;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9"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2060" w:right="179" w:hanging="331"/>
        <w:spacing w:after="0" w:line="265" w:lineRule="auto"/>
        <w:tabs>
          <w:tab w:leader="none" w:pos="2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in the Existing Indenture regarding the waiver of past Defaults and the waiver of certain covenants by the holders of each such debt security affected thereby, except to increase any percentage vote required or to provide that certain other provisions of the Existing Indenture may not be modified or waived without the consent of the holder of each debt security affected thereby; or</w:t>
      </w:r>
    </w:p>
    <w:p>
      <w:pPr>
        <w:spacing w:after="0" w:line="6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above provisions.</w:t>
      </w:r>
    </w:p>
    <w:p>
      <w:pPr>
        <w:spacing w:after="0" w:line="179"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Notwithstanding the foregoing, the Issuers, the Guarantors (only with respect to its Security Guarantee, and for the avoidance of doubt excluding any amendment or supplement the sole purpose of which is to add an additional Guarantor) and the Trustee may amend or supplement the Existing Indenture or the debt securities of one or more series and any related Security Guarantee without the consent of any holder:</w:t>
      </w:r>
    </w:p>
    <w:p>
      <w:pPr>
        <w:spacing w:after="0" w:line="61" w:lineRule="exact"/>
        <w:rPr>
          <w:sz w:val="20"/>
          <w:szCs w:val="20"/>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or omission or correct any defect or inconsistency;</w:t>
      </w:r>
    </w:p>
    <w:p>
      <w:pPr>
        <w:spacing w:after="0" w:line="105" w:lineRule="exact"/>
        <w:rPr>
          <w:rFonts w:ascii="Times New Roman" w:cs="Times New Roman" w:eastAsia="Times New Roman" w:hAnsi="Times New Roman"/>
          <w:sz w:val="14"/>
          <w:szCs w:val="14"/>
          <w:color w:val="auto"/>
        </w:rPr>
      </w:pPr>
    </w:p>
    <w:p>
      <w:pPr>
        <w:jc w:val="both"/>
        <w:ind w:left="2060" w:right="179" w:hanging="331"/>
        <w:spacing w:after="0" w:line="271" w:lineRule="auto"/>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convey, transfer, assign, mortgage or pledge any property to or with the Trustee, or to make such other provisions in regard to matters or questions arising under the Existing Indenture, in each case as shall not adversely affect the interests of any holders of the debt securities of such series in any material respect;</w:t>
      </w:r>
    </w:p>
    <w:p>
      <w:pPr>
        <w:spacing w:after="0" w:line="61" w:lineRule="exact"/>
        <w:rPr>
          <w:rFonts w:ascii="Times New Roman" w:cs="Times New Roman" w:eastAsia="Times New Roman" w:hAnsi="Times New Roman"/>
          <w:sz w:val="14"/>
          <w:szCs w:val="14"/>
          <w:color w:val="auto"/>
        </w:rPr>
      </w:pPr>
    </w:p>
    <w:p>
      <w:pPr>
        <w:jc w:val="both"/>
        <w:ind w:left="2060" w:right="179" w:hanging="331"/>
        <w:spacing w:after="0" w:line="271" w:lineRule="auto"/>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an Issuer or any Guarantor and the assumption by any such successor of the covenants, agreements and obligations of such Issuer or Guarantor, as the case may be, under the debt securities, the Security Guarantees or the Existing Indenture, as described above under “</w:t>
      </w:r>
      <w:r>
        <w:rPr>
          <w:rFonts w:ascii="Times New Roman" w:cs="Times New Roman" w:eastAsia="Times New Roman" w:hAnsi="Times New Roman"/>
          <w:sz w:val="14"/>
          <w:szCs w:val="14"/>
          <w:i w:val="1"/>
          <w:iCs w:val="1"/>
          <w:color w:val="auto"/>
        </w:rPr>
        <w:t>Merger, Consolidation, Amalgamation or Sale of All or Substantially All Assets</w:t>
      </w:r>
      <w:r>
        <w:rPr>
          <w:rFonts w:ascii="Times New Roman" w:cs="Times New Roman" w:eastAsia="Times New Roman" w:hAnsi="Times New Roman"/>
          <w:sz w:val="14"/>
          <w:szCs w:val="14"/>
          <w:color w:val="auto"/>
        </w:rPr>
        <w:t>”;</w:t>
      </w:r>
    </w:p>
    <w:p>
      <w:pPr>
        <w:spacing w:after="0" w:line="61" w:lineRule="exact"/>
        <w:rPr>
          <w:rFonts w:ascii="Times New Roman" w:cs="Times New Roman" w:eastAsia="Times New Roman" w:hAnsi="Times New Roman"/>
          <w:sz w:val="14"/>
          <w:szCs w:val="14"/>
          <w:color w:val="auto"/>
        </w:rPr>
      </w:pPr>
    </w:p>
    <w:p>
      <w:pPr>
        <w:jc w:val="both"/>
        <w:ind w:left="2060" w:right="179" w:hanging="331"/>
        <w:spacing w:after="0" w:line="265" w:lineRule="auto"/>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right or power conferred upon the Issuers with respect to such series or to add further covenants, restrictions, conditions or provisions relating to the Issuers or the Guarantors for the protection of the holders of any series of debt securities, and to add any additional defaults or Events of Default for the Issuers’ or any Guarantor’s failure to comply with any such further covenants, restrictions, conditions or provisions;</w:t>
      </w:r>
    </w:p>
    <w:p>
      <w:pPr>
        <w:spacing w:after="0" w:line="65"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modify or amend the Existing Indenture (including any supplemental indenture) to make changes as are required for the Existing Indenture to comply with the Trust Indenture Act;</w:t>
      </w:r>
    </w:p>
    <w:p>
      <w:pPr>
        <w:spacing w:after="0" w:line="49"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Security Guarantees with respect to any or all of the debt securities of such series or to release any Guarantor or Security Guarantee if at the time of such release such Guarantor is not otherwise required to be a Guarantor;</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collateral with respect to any or all of the debt securities of such series;</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Additional Securities in accordance with the terms of the Existing Indenture;</w:t>
      </w:r>
    </w:p>
    <w:p>
      <w:pPr>
        <w:spacing w:after="0" w:line="105"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 of such series;</w:t>
      </w:r>
    </w:p>
    <w:p>
      <w:pPr>
        <w:spacing w:after="0" w:line="105" w:lineRule="exact"/>
        <w:rPr>
          <w:rFonts w:ascii="Times New Roman" w:cs="Times New Roman" w:eastAsia="Times New Roman" w:hAnsi="Times New Roman"/>
          <w:sz w:val="14"/>
          <w:szCs w:val="14"/>
          <w:color w:val="auto"/>
        </w:rPr>
      </w:pPr>
    </w:p>
    <w:p>
      <w:pPr>
        <w:ind w:left="2060" w:right="179" w:hanging="331"/>
        <w:spacing w:after="0" w:line="288" w:lineRule="auto"/>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by a successor or separate Trustee with respect to the debt securities of such series;</w:t>
      </w:r>
    </w:p>
    <w:p>
      <w:pPr>
        <w:spacing w:after="0" w:line="49"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rules of any applicable securities depositary;</w:t>
      </w:r>
    </w:p>
    <w:p>
      <w:pPr>
        <w:spacing w:after="0" w:line="10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04" w:lineRule="exact"/>
        <w:rPr>
          <w:rFonts w:ascii="Times New Roman" w:cs="Times New Roman" w:eastAsia="Times New Roman" w:hAnsi="Times New Roman"/>
          <w:sz w:val="14"/>
          <w:szCs w:val="14"/>
          <w:color w:val="auto"/>
        </w:rPr>
      </w:pPr>
    </w:p>
    <w:p>
      <w:pPr>
        <w:jc w:val="both"/>
        <w:ind w:left="2060" w:right="179" w:hanging="331"/>
        <w:spacing w:after="0" w:line="265" w:lineRule="auto"/>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text of the Existing Indenture, the debt securities, any related Security Guarantee or any security documents to the description of such debt securities contained in this prospectus, any prospectus supplement or any similar document with respect to the offering of the debt securities of such series to the extent such descriptions were intended to be a verbatim recitation of a provision in the Existing Indenture, such debt securities, such Security Guarantee or such security documents;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9"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2060" w:right="179" w:hanging="331"/>
        <w:spacing w:after="0" w:line="266" w:lineRule="auto"/>
        <w:tabs>
          <w:tab w:leader="none" w:pos="2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make any amendment to the provisions of the Existing Indenture relating to the transfer and legending of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(a) compliance with the Existing Indenture as so amended would not result in such debt securities being transferred in violation of the Securities Act or any other applicable securities law and (b) such amendment does not adversely affect the rights of holders to transfer such debt securities; or</w:t>
      </w:r>
    </w:p>
    <w:p>
      <w:pPr>
        <w:spacing w:after="0" w:line="64" w:lineRule="exact"/>
        <w:rPr>
          <w:rFonts w:ascii="Times New Roman" w:cs="Times New Roman" w:eastAsia="Times New Roman" w:hAnsi="Times New Roman"/>
          <w:sz w:val="14"/>
          <w:szCs w:val="14"/>
          <w:color w:val="auto"/>
        </w:rPr>
      </w:pPr>
    </w:p>
    <w:p>
      <w:pPr>
        <w:ind w:left="2060" w:hanging="331"/>
        <w:spacing w:after="0"/>
        <w:tabs>
          <w:tab w:leader="none" w:pos="2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forms or terms of debt securities of any series as permitted by the provisions of the Existing Indenture.</w:t>
      </w:r>
    </w:p>
    <w:p>
      <w:pPr>
        <w:spacing w:after="0" w:line="179"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The consent of the holders of debt securities is not necessary to approve the particular form of any proposed amendment. It is sufficient if such consent approves the substance of the proposed amendment.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96" w:lineRule="exact"/>
        <w:rPr>
          <w:sz w:val="20"/>
          <w:szCs w:val="20"/>
          <w:color w:val="auto"/>
        </w:rPr>
      </w:pPr>
    </w:p>
    <w:p>
      <w:pPr>
        <w:jc w:val="both"/>
        <w:ind w:left="1300" w:right="179" w:firstLine="347"/>
        <w:spacing w:after="0" w:line="256" w:lineRule="auto"/>
        <w:rPr>
          <w:sz w:val="20"/>
          <w:szCs w:val="20"/>
          <w:color w:val="auto"/>
        </w:rPr>
      </w:pPr>
      <w:r>
        <w:rPr>
          <w:rFonts w:ascii="Times New Roman" w:cs="Times New Roman" w:eastAsia="Times New Roman" w:hAnsi="Times New Roman"/>
          <w:sz w:val="14"/>
          <w:szCs w:val="14"/>
          <w:color w:val="auto"/>
        </w:rPr>
        <w:t xml:space="preserve">The Existing Indenture provides that, when (1) the Issuers deliver to the Trustee all outstanding debt securities of a series under the Existing Indenture for cancellation or (2) all outstanding debt securities of a series under the Existing Indenture not previously delivered to the Trustee for cancellation have become due and payable, whether at maturity or on a redemption date as a result of the mailing of notice of redemption, will become due and payable within one year, or are to be called for redemption within one year under arrangements reasonably satisfactory to the Trustee for the giving of notice of redemption by the Trustee in the name, and at the expense, of the Issuers, and, in the case of clause (2), the Issuers irrevocably deposit with the Trustee U.S. dollars, or U.S. government obligations, or both, sufficient to pay at maturity or upon redemption all such outstanding debt securities of such series, including interest thereon to maturity or such redemption date, and if in either case the Issuers pay all other sums payable by the Issuers under the Existing Indenture with respect to such series of debt securities and satisfy certain other conditions, then the Existing Indenture will, subject to certain exceptions, cease to be of further effect with respect to such series of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upon any redemption that occurs prior to a par call date, the amount deposited shall be sufficient for purposes of the Existing Indenture to the extent that an amount is deposited with the Trustee equal to the redemption price calculated as of the date of the notice of redemption, with any deficit as of the date of redemption (any such amount, the “Redemption Price Deficit”) only required to be deposited with the Trustee on or prior to the date of redemption. Any Redemption Price Deficit shall be set forth in an officer’s certificate delivered to the Trustee simultaneously with the deposit of such Redemption Price Deficit that confirms that such Redemption Price Deficit shall be applied toward such redemption.</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Legal Defeasance and Covenant Defeasance</w:t>
      </w:r>
    </w:p>
    <w:p>
      <w:pPr>
        <w:spacing w:after="0" w:line="96" w:lineRule="exact"/>
        <w:rPr>
          <w:sz w:val="20"/>
          <w:szCs w:val="20"/>
          <w:color w:val="auto"/>
        </w:rPr>
      </w:pPr>
    </w:p>
    <w:p>
      <w:pPr>
        <w:jc w:val="both"/>
        <w:ind w:left="1300" w:right="179" w:firstLine="347"/>
        <w:spacing w:after="0" w:line="256" w:lineRule="auto"/>
        <w:rPr>
          <w:sz w:val="20"/>
          <w:szCs w:val="20"/>
          <w:color w:val="auto"/>
        </w:rPr>
      </w:pPr>
      <w:r>
        <w:rPr>
          <w:rFonts w:ascii="Times New Roman" w:cs="Times New Roman" w:eastAsia="Times New Roman" w:hAnsi="Times New Roman"/>
          <w:sz w:val="14"/>
          <w:szCs w:val="14"/>
          <w:color w:val="auto"/>
        </w:rPr>
        <w:t>The Existing Indenture provides that the Issuers may elect with respect to any series of debt securities either (1) to defease and be discharged from any and all obligations with respect to such debt securities (except for, among other things, certain obligations to register the transfer or exchange of the debt securities, to replace temporary or mutilated, destroyed, lost or stolen debt securities, to maintain an office or agency with respect to debt securities and to hold moneys for payment in trust) (“legal defeasance”) or (2) to be released from their obligations to comply with the restrictive covenants under the Existing Indenture, and any omission to comply with such obligations will not constitute a Default or an Event of Default with respect to such debt securities, and clause (3) under “Events of Default” will no longer be applied (“covenant defeasance”). If the Issuers exercise their legal defeasance option or their covenant defeasance option with respect to a series of debt securities, each Guarantor will be released from all of its obligations with respect to its Security Guarantee with respect to such series of debt securities. Legal defeasance or covenant defeasance, as the case may be, will be conditioned upon, among other things, the irrevocable deposit by the Issuers with the Trustee, in trust, of an amount in U.S. dollars, or U.S. government obligations (that through the scheduled payment of principal and interest in accordance with their terms will provide money in an amount), or both, sufficient in the opinion of a nationally recognized public accounting firm to pay the principal or premium, if any, and interest on the applicable debt securities on the scheduled due dates therefor.</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9"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1300" w:right="179" w:firstLine="347"/>
        <w:spacing w:after="0" w:line="260" w:lineRule="auto"/>
        <w:rPr>
          <w:sz w:val="20"/>
          <w:szCs w:val="20"/>
          <w:color w:val="auto"/>
        </w:rPr>
      </w:pPr>
      <w:r>
        <w:rPr>
          <w:rFonts w:ascii="Times New Roman" w:cs="Times New Roman" w:eastAsia="Times New Roman" w:hAnsi="Times New Roman"/>
          <w:sz w:val="14"/>
          <w:szCs w:val="14"/>
          <w:color w:val="auto"/>
        </w:rPr>
        <w:t>If the Issuers effect covenant defeasance with respect to any series of debt securities and such debt securities are declared due and payable because of the occurrence of any Event of Default other than under clause (3) under “</w:t>
      </w:r>
      <w:r>
        <w:rPr>
          <w:rFonts w:ascii="Times New Roman" w:cs="Times New Roman" w:eastAsia="Times New Roman" w:hAnsi="Times New Roman"/>
          <w:sz w:val="14"/>
          <w:szCs w:val="14"/>
          <w:i w:val="1"/>
          <w:iCs w:val="1"/>
          <w:color w:val="auto"/>
        </w:rPr>
        <w:t>Events of Default</w:t>
      </w:r>
      <w:r>
        <w:rPr>
          <w:rFonts w:ascii="Times New Roman" w:cs="Times New Roman" w:eastAsia="Times New Roman" w:hAnsi="Times New Roman"/>
          <w:sz w:val="14"/>
          <w:szCs w:val="14"/>
          <w:color w:val="auto"/>
        </w:rPr>
        <w:t>,” the amount in U.S. dollars, or U.S. government obligations, or both, on deposit with the Trustee will be sufficient, in the opinion of a nationally recognized firm of independent public accountants, to pay amounts due on such debt securities at the time of the stated maturity but may not be sufficient to pay amounts due on such debt securities at the time of the acceleration resulting from such Event of Default. However, the Issuers would remain liable to make payment of such amounts due at the time of acceleration.</w:t>
      </w:r>
    </w:p>
    <w:p>
      <w:pPr>
        <w:spacing w:after="0" w:line="145"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To effect legal defeasance or covenant defeasance, the Issuers will be required to deliver to the Trustee an opinion of counsel that the deposit and related defeasance will not cause the holders of the applicable debt securities to recognize income, gain or loss for U.S. federal income tax purposes. If the Issuers elect legal defeasance, that opinion of counsel must be based upon a ruling from the U.S. Internal Revenue Service or a change in law to that effect.</w:t>
      </w:r>
    </w:p>
    <w:p>
      <w:pPr>
        <w:spacing w:after="0" w:line="1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Issuers may exercise their legal defeasance option notwithstanding their prior exercise of their covenant defeasance option.</w:t>
      </w:r>
    </w:p>
    <w:p>
      <w:pPr>
        <w:spacing w:after="0" w:line="2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Form of Debt Securities</w:t>
      </w:r>
    </w:p>
    <w:p>
      <w:pPr>
        <w:spacing w:after="0" w:line="96"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Each debt security will be represented either by a certificate issued in definitive form to a particular investor or by one or more global securities representing the entire issuance of securities. Certificated securities in definitive form and global securities will be issued in registered form.</w:t>
      </w:r>
    </w:p>
    <w:p>
      <w:pPr>
        <w:spacing w:after="0" w:line="124"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Definitive securities name you or your nominee as the owner of the security, and in order to transfer or exchange these securities or to receive payments other than interest or other interim payments, you or your nominee must physically deliver the securities to the office or agency designated by the Issuers. Global securities name a depositary or its nominee as the owner of the debt securities represented by the global securities.</w:t>
      </w:r>
    </w:p>
    <w:p>
      <w:pPr>
        <w:spacing w:after="0" w:line="136" w:lineRule="exact"/>
        <w:rPr>
          <w:sz w:val="20"/>
          <w:szCs w:val="20"/>
          <w:color w:val="auto"/>
        </w:rPr>
      </w:pPr>
    </w:p>
    <w:p>
      <w:pPr>
        <w:jc w:val="both"/>
        <w:ind w:left="1300" w:right="179" w:firstLine="347"/>
        <w:spacing w:after="0" w:line="260" w:lineRule="auto"/>
        <w:rPr>
          <w:sz w:val="20"/>
          <w:szCs w:val="20"/>
          <w:color w:val="auto"/>
        </w:rPr>
      </w:pPr>
      <w:r>
        <w:rPr>
          <w:rFonts w:ascii="Times New Roman" w:cs="Times New Roman" w:eastAsia="Times New Roman" w:hAnsi="Times New Roman"/>
          <w:sz w:val="14"/>
          <w:szCs w:val="14"/>
          <w:color w:val="auto"/>
        </w:rPr>
        <w:t>We may issue the debt securities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45" w:lineRule="exact"/>
        <w:rPr>
          <w:sz w:val="20"/>
          <w:szCs w:val="20"/>
          <w:color w:val="auto"/>
        </w:rPr>
      </w:pPr>
    </w:p>
    <w:p>
      <w:pPr>
        <w:jc w:val="both"/>
        <w:ind w:left="1300" w:right="179" w:firstLine="347"/>
        <w:spacing w:after="0" w:line="281" w:lineRule="auto"/>
        <w:rPr>
          <w:sz w:val="20"/>
          <w:szCs w:val="20"/>
          <w:color w:val="auto"/>
        </w:rPr>
      </w:pPr>
      <w:r>
        <w:rPr>
          <w:rFonts w:ascii="Times New Roman" w:cs="Times New Roman" w:eastAsia="Times New Roman" w:hAnsi="Times New Roman"/>
          <w:sz w:val="14"/>
          <w:szCs w:val="14"/>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30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Ownership of beneficial interests in a global security will be limited to persons, called participants, that have accounts with the depositary.</w:t>
      </w:r>
    </w:p>
    <w:p>
      <w:pPr>
        <w:spacing w:after="0" w:line="179" w:lineRule="exact"/>
        <w:rPr>
          <w:sz w:val="20"/>
          <w:szCs w:val="20"/>
          <w:color w:val="auto"/>
        </w:rPr>
      </w:pPr>
    </w:p>
    <w:p>
      <w:pPr>
        <w:jc w:val="both"/>
        <w:ind w:left="1300" w:right="179" w:firstLine="347"/>
        <w:spacing w:after="0" w:line="259" w:lineRule="auto"/>
        <w:rPr>
          <w:sz w:val="20"/>
          <w:szCs w:val="20"/>
          <w:color w:val="auto"/>
        </w:rPr>
      </w:pPr>
      <w:r>
        <w:rPr>
          <w:rFonts w:ascii="Times New Roman" w:cs="Times New Roman" w:eastAsia="Times New Roman" w:hAnsi="Times New Roman"/>
          <w:sz w:val="14"/>
          <w:szCs w:val="14"/>
          <w:color w:val="auto"/>
        </w:rPr>
        <w:t>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9"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1300" w:right="179" w:firstLine="347"/>
        <w:spacing w:after="0" w:line="257"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Existing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Existing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Existing Indenture. We understand that under existing industry practices, if we request any action of holders or if an owner of a beneficial interest in a global security desires to give or take any action that a holder is entitled to give or take under the Existing Indenture,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46"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Principal (or premium, if any) and interest payments on debt securities represented by a global security registered in the name of a depositary or its nominee will be made to the depositary or its nominee, as the case may be, as the registered owner of the global security.</w:t>
      </w:r>
    </w:p>
    <w:p>
      <w:pPr>
        <w:spacing w:after="0" w:line="124"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We expect that the depositary for any of the securities represented by a global security, upon receipt of any payment of principal, premium, interest or other distribution of underlying securities or other property to holders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and will be the responsibility of those participants.</w:t>
      </w:r>
    </w:p>
    <w:p>
      <w:pPr>
        <w:spacing w:after="0" w:line="143"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We may at any time and in our sole discretion decide not to have any of the securities represented by one or more global securities. If we make that decision, we will issue securities in definitive form in exchange for the global security or securities representing those securities. Any securities issued in definitive form in exchange for a global security will be registered in the name or names that the depositary gives to the Trustee or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96"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The Trustee is The Bank of New York Mellon Trust Company, N.A., which maintains its corporate trust offices at 601 Travis Street, 16th Floor, Houston, Texas 77002. The Trustee provides certain corporate trust services to us in the ordinary course of business and may provide such services in the future. The Trustee is the trustee under indentures covering certain of our outstanding notes and debentures.</w:t>
      </w:r>
    </w:p>
    <w:p>
      <w:pPr>
        <w:spacing w:after="0" w:line="136"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The Existing Indenture contains certain limitations on the rights of the Trustee, should it become a creditor of an Issuer or a Guarantor, to obtain payment of claims in certain cases, or to realize on certain property received in respect of any such claim as security or otherwise. The Trustee is permitted to engage in other transactions; however, if it acquires any conflicting interest it must eliminate such conflict within 90 days, apply to the SEC for permission to continue or resign as Trustee.</w:t>
      </w:r>
    </w:p>
    <w:p>
      <w:pPr>
        <w:spacing w:after="0" w:line="140"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The Existing Indenture provides that in case an Event of Default shall occur (which shall not be cured), the Trustee will be required, in the exercise of its power, to use the degree of care of a prudent person under the circumstances in the conduct of his own affairs. The Trustee is under no obligation to exercise any of its rights or</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9"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1300" w:right="179"/>
        <w:spacing w:after="0" w:line="288" w:lineRule="auto"/>
        <w:rPr>
          <w:sz w:val="20"/>
          <w:szCs w:val="20"/>
          <w:color w:val="auto"/>
        </w:rPr>
      </w:pPr>
      <w:r>
        <w:rPr>
          <w:rFonts w:ascii="Times New Roman" w:cs="Times New Roman" w:eastAsia="Times New Roman" w:hAnsi="Times New Roman"/>
          <w:sz w:val="14"/>
          <w:szCs w:val="14"/>
          <w:color w:val="auto"/>
        </w:rPr>
        <w:t>powers under the Existing Indenture at the request of any holders of debt securities, unless such holder shall have offered to the Trustee security and indemnity satisfactory to it against any loss, liability or expense.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6"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The Existing Indenture is governed by, and construed in accordance with, the laws of the State of New York. The Existing Indenture is subject to the provisions of the Trust Indenture Act that are required to be part of the Existing Indenture and is, to the extent applicable, governed by such provisions.</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Certain Compliance Determinations</w:t>
      </w:r>
    </w:p>
    <w:p>
      <w:pPr>
        <w:spacing w:after="0" w:line="96"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The Existing Indenture provides that, if a Guarantor is either (1) a direct or indirect parent company of Dell Technologies and does not hold any material assets other than the Equity Interests of Dell Technologies or (2) a direct or indirect wholly-owned subsidiary of Dell Technologies and does not hold any material assets other than the Equity Interests of the Issuers and their direct or indirect parent companies (in each case, as determined in good faith by the board of directors (or similar governing body) or senior management of such Guarantor), any calculations or measures that are stated to be determined with reference to Dell Technologies’ financial statements may be determined with reference to such Guarantor’s financial statements instead.</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9"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Issuers may sell the offered securities from time to time in one or more transactions: (a) through agents; (b) through underwriters or dealers;</w:t>
      </w:r>
    </w:p>
    <w:p>
      <w:pPr>
        <w:spacing w:after="0" w:line="23" w:lineRule="exact"/>
        <w:rPr>
          <w:sz w:val="20"/>
          <w:szCs w:val="20"/>
          <w:color w:val="auto"/>
        </w:rPr>
      </w:pPr>
    </w:p>
    <w:p>
      <w:pPr>
        <w:jc w:val="both"/>
        <w:ind w:left="1300" w:right="179" w:firstLine="3"/>
        <w:spacing w:after="0" w:line="260" w:lineRule="auto"/>
        <w:tabs>
          <w:tab w:leader="none" w:pos="149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 (d) in privately negotiated transactions; (e) directly to one or more purchasers; or (f) through a combination of any of these methods of sale. We will identify the specific plan of distribution, including any underwriters, dealers, agents or direct purchasers and their compensation, in a prospectus supplement.</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9"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VALIDITY OF SECURITIES</w:t>
      </w:r>
    </w:p>
    <w:p>
      <w:pPr>
        <w:spacing w:after="0" w:line="96"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The validity and enforceability of the securities will be passed upon for us by Simpson Thacher &amp; Bartlett LLP, New York, New York. An investment vehicle comprised of several partners of Simpson Thacher &amp; Bartlett LLP, members of their families, related persons and others own interests representing less than 1% of the capital commitments of funds affiliated with Silver Lake Management Company III, L.L.C. and Silver Lake Management Company IV, L.L.C.</w:t>
      </w:r>
    </w:p>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1"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January 30, 2026 have been so incorporated in reliance on the report of PricewaterhouseCoopers LLP, an independent registered public accounting firm, given on the authority of said firm as experts in auditing and accounting.</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9"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OTHER EXPENSES OF ISSUANCE AND DISTRIBUTION.</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14.</w:t>
      </w:r>
    </w:p>
    <w:p>
      <w:pPr>
        <w:spacing w:after="0" w:line="80" w:lineRule="exact"/>
        <w:rPr>
          <w:sz w:val="20"/>
          <w:szCs w:val="20"/>
          <w:color w:val="auto"/>
        </w:rPr>
      </w:pPr>
    </w:p>
    <w:p>
      <w:pPr>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The following table lists the expenses expected to be incurred by us in connection with the issuance and distribution of securities registered under this registration statement.</w:t>
      </w:r>
    </w:p>
    <w:p>
      <w:pPr>
        <w:spacing w:after="0" w:line="160" w:lineRule="exact"/>
        <w:rPr>
          <w:sz w:val="20"/>
          <w:szCs w:val="20"/>
          <w:color w:val="auto"/>
        </w:rPr>
      </w:pPr>
    </w:p>
    <w:tbl>
      <w:tblPr>
        <w:tblLayout w:type="fixed"/>
        <w:tblInd w:w="2700" w:type="dxa"/>
        <w:tblCellMar>
          <w:top w:w="0" w:type="dxa"/>
          <w:left w:w="0" w:type="dxa"/>
          <w:bottom w:w="0" w:type="dxa"/>
          <w:right w:w="0" w:type="dxa"/>
        </w:tblCellMar>
      </w:tblPr>
      <w:tr>
        <w:trPr>
          <w:trHeight w:val="17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r>
      <w:tr>
        <w:trPr>
          <w:trHeight w:val="17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distribution expenses</w:t>
            </w:r>
          </w:p>
        </w:tc>
        <w:tc>
          <w:tcPr>
            <w:tcW w:w="1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expenses, including listing fees and Blue Sky fees</w:t>
            </w:r>
          </w:p>
        </w:tc>
        <w:tc>
          <w:tcPr>
            <w:tcW w:w="1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5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7" w:lineRule="exact"/>
        <w:rPr>
          <w:sz w:val="20"/>
          <w:szCs w:val="20"/>
          <w:color w:val="auto"/>
        </w:rPr>
      </w:pPr>
    </w:p>
    <w:p>
      <w:pPr>
        <w:ind w:left="1640" w:right="179" w:hanging="337"/>
        <w:spacing w:after="0" w:line="264" w:lineRule="auto"/>
        <w:tabs>
          <w:tab w:leader="none" w:pos="1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 because the registration fee is being deferred pursuant to Rule 456(b) and Rule 457(r). See Exhibit 107 to this registration statement for additional details.</w:t>
      </w:r>
    </w:p>
    <w:p>
      <w:pPr>
        <w:jc w:val="both"/>
        <w:ind w:left="1640" w:right="179" w:hanging="337"/>
        <w:spacing w:after="0" w:line="260" w:lineRule="auto"/>
        <w:tabs>
          <w:tab w:leader="none" w:pos="1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an indeterminate amount of securities is covered by this registration statement, the expenses of the issuance and distribution of the securities cannot be determined at this time. The estimates of such expenses in connection with securities offered and sold pursuant to this registration statement will be included in the applicable prospectus supplement.</w:t>
      </w:r>
    </w:p>
    <w:p>
      <w:pPr>
        <w:spacing w:after="0" w:line="2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INDEMNIFICATION OF DIRECTORS AND OFFICERS.</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15.</w:t>
      </w:r>
    </w:p>
    <w:p>
      <w:pPr>
        <w:spacing w:after="0" w:line="80" w:lineRule="exact"/>
        <w:rPr>
          <w:sz w:val="20"/>
          <w:szCs w:val="20"/>
          <w:color w:val="auto"/>
        </w:rPr>
      </w:pPr>
    </w:p>
    <w:p>
      <w:pPr>
        <w:ind w:left="1300" w:right="179" w:firstLine="350"/>
        <w:spacing w:after="0" w:line="288" w:lineRule="auto"/>
        <w:tabs>
          <w:tab w:leader="none" w:pos="18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registration statement, the following entities are incorporated under the laws of the State of Delaware: Dell Inc., Dell Technologies and Denali Intermediate Inc.</w:t>
      </w:r>
    </w:p>
    <w:p>
      <w:pPr>
        <w:spacing w:after="0" w:line="2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Delaware General Corporation Law</w:t>
      </w:r>
    </w:p>
    <w:p>
      <w:pPr>
        <w:spacing w:after="0" w:line="96" w:lineRule="exact"/>
        <w:rPr>
          <w:sz w:val="20"/>
          <w:szCs w:val="20"/>
          <w:color w:val="auto"/>
        </w:rPr>
      </w:pPr>
    </w:p>
    <w:p>
      <w:pPr>
        <w:jc w:val="both"/>
        <w:ind w:left="1300" w:right="179" w:firstLine="347"/>
        <w:spacing w:after="0" w:line="257" w:lineRule="auto"/>
        <w:rPr>
          <w:sz w:val="20"/>
          <w:szCs w:val="20"/>
          <w:color w:val="auto"/>
        </w:rPr>
      </w:pPr>
      <w:r>
        <w:rPr>
          <w:rFonts w:ascii="Times New Roman" w:cs="Times New Roman" w:eastAsia="Times New Roman" w:hAnsi="Times New Roman"/>
          <w:sz w:val="14"/>
          <w:szCs w:val="14"/>
          <w:color w:val="auto"/>
        </w:rPr>
        <w:t xml:space="preserve">Section 145(a)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w:t>
      </w:r>
      <w:r>
        <w:rPr>
          <w:rFonts w:ascii="Times New Roman" w:cs="Times New Roman" w:eastAsia="Times New Roman" w:hAnsi="Times New Roman"/>
          <w:sz w:val="14"/>
          <w:szCs w:val="14"/>
          <w:i w:val="1"/>
          <w:iCs w:val="1"/>
          <w:color w:val="auto"/>
        </w:rPr>
        <w:t>nolo contendere</w:t>
      </w:r>
      <w:r>
        <w:rPr>
          <w:rFonts w:ascii="Times New Roman" w:cs="Times New Roman" w:eastAsia="Times New Roman" w:hAnsi="Times New Roman"/>
          <w:sz w:val="14"/>
          <w:szCs w:val="14"/>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46"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Section 145(b) of the Delaware General Corporation Law provides that a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9"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1300" w:right="179"/>
        <w:spacing w:after="0" w:line="259" w:lineRule="auto"/>
        <w:rPr>
          <w:sz w:val="20"/>
          <w:szCs w:val="20"/>
          <w:color w:val="auto"/>
        </w:rPr>
      </w:pPr>
      <w:r>
        <w:rPr>
          <w:rFonts w:ascii="Times New Roman" w:cs="Times New Roman" w:eastAsia="Times New Roman" w:hAnsi="Times New Roman"/>
          <w:sz w:val="14"/>
          <w:szCs w:val="14"/>
          <w:color w:val="auto"/>
        </w:rPr>
        <w:t>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46"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Section 145(c) of the Delaware General Corporation Law provides that to the extent that a present or former director or officer of a corporation has been successful on the merits or otherwise in defense of any action, suit or proceeding referred to in Section 145(a) and (b), or in defense of any claim, issue or matter therein, such person shall be indemnified against expenses (including attorneys’ fees) actually and reasonably incurred by such person in connection therewith.</w:t>
      </w:r>
    </w:p>
    <w:p>
      <w:pPr>
        <w:spacing w:after="0" w:line="140" w:lineRule="exact"/>
        <w:rPr>
          <w:sz w:val="20"/>
          <w:szCs w:val="20"/>
          <w:color w:val="auto"/>
        </w:rPr>
      </w:pPr>
    </w:p>
    <w:p>
      <w:pPr>
        <w:jc w:val="both"/>
        <w:ind w:left="1300" w:right="179" w:firstLine="347"/>
        <w:spacing w:after="0" w:line="259" w:lineRule="auto"/>
        <w:rPr>
          <w:sz w:val="20"/>
          <w:szCs w:val="20"/>
          <w:color w:val="auto"/>
        </w:rPr>
      </w:pPr>
      <w:r>
        <w:rPr>
          <w:rFonts w:ascii="Times New Roman" w:cs="Times New Roman" w:eastAsia="Times New Roman" w:hAnsi="Times New Roman"/>
          <w:sz w:val="14"/>
          <w:szCs w:val="14"/>
          <w:color w:val="auto"/>
        </w:rPr>
        <w:t>Section 145(d) of the Delaware General Corporation Law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such person has met the applicable standard of conduct set forth in Section 145(a) and (b). Such determination shall be made, with respect to a person who is a director or officer of the corporation at the time of such determination, (1) by a majority vote of the directors who were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46" w:lineRule="exact"/>
        <w:rPr>
          <w:sz w:val="20"/>
          <w:szCs w:val="20"/>
          <w:color w:val="auto"/>
        </w:rPr>
      </w:pPr>
    </w:p>
    <w:p>
      <w:pPr>
        <w:jc w:val="both"/>
        <w:ind w:left="1300" w:right="179" w:firstLine="347"/>
        <w:spacing w:after="0" w:line="259" w:lineRule="auto"/>
        <w:rPr>
          <w:sz w:val="20"/>
          <w:szCs w:val="20"/>
          <w:color w:val="auto"/>
        </w:rPr>
      </w:pPr>
      <w:r>
        <w:rPr>
          <w:rFonts w:ascii="Times New Roman" w:cs="Times New Roman" w:eastAsia="Times New Roman" w:hAnsi="Times New Roman"/>
          <w:sz w:val="14"/>
          <w:szCs w:val="14"/>
          <w:color w:val="auto"/>
        </w:rPr>
        <w:t>Section 145(e) of the Delaware General Corporation Law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46"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Section 145(f) of the Delaware General Corporation Law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or repeal or elimination of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48"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Section 145(g) of the Delaware General Corporation Law provides that a corporation shall have the power to purchase and maintain insurance on behalf of any person who is or was a director, officer, employee or agent of the corporation, or is or was serving at the request of the corporation as a director, officer, employee or agent</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9"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1300" w:right="179"/>
        <w:spacing w:after="0" w:line="271" w:lineRule="auto"/>
        <w:rPr>
          <w:sz w:val="20"/>
          <w:szCs w:val="20"/>
          <w:color w:val="auto"/>
        </w:rPr>
      </w:pPr>
      <w:r>
        <w:rPr>
          <w:rFonts w:ascii="Times New Roman" w:cs="Times New Roman" w:eastAsia="Times New Roman" w:hAnsi="Times New Roman"/>
          <w:sz w:val="14"/>
          <w:szCs w:val="14"/>
          <w:color w:val="auto"/>
        </w:rPr>
        <w:t>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36"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Section 145(j) of the Delaware General Corporation Law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36" w:lineRule="exact"/>
        <w:rPr>
          <w:sz w:val="20"/>
          <w:szCs w:val="20"/>
          <w:color w:val="auto"/>
        </w:rPr>
      </w:pPr>
    </w:p>
    <w:p>
      <w:pPr>
        <w:jc w:val="both"/>
        <w:ind w:left="1300" w:right="179" w:firstLine="347"/>
        <w:spacing w:after="0" w:line="262" w:lineRule="auto"/>
        <w:rPr>
          <w:sz w:val="20"/>
          <w:szCs w:val="20"/>
          <w:color w:val="auto"/>
        </w:rPr>
      </w:pPr>
      <w:r>
        <w:rPr>
          <w:rFonts w:ascii="Times New Roman" w:cs="Times New Roman" w:eastAsia="Times New Roman" w:hAnsi="Times New Roman"/>
          <w:sz w:val="14"/>
          <w:szCs w:val="14"/>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22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Organizational Documents of Delaware Corporations</w:t>
      </w:r>
    </w:p>
    <w:p>
      <w:pPr>
        <w:spacing w:after="0" w:line="96" w:lineRule="exact"/>
        <w:rPr>
          <w:sz w:val="20"/>
          <w:szCs w:val="20"/>
          <w:color w:val="auto"/>
        </w:rPr>
      </w:pPr>
    </w:p>
    <w:p>
      <w:pPr>
        <w:jc w:val="both"/>
        <w:ind w:left="1300" w:right="179" w:firstLine="347"/>
        <w:spacing w:after="0" w:line="255" w:lineRule="auto"/>
        <w:rPr>
          <w:sz w:val="20"/>
          <w:szCs w:val="20"/>
          <w:color w:val="auto"/>
        </w:rPr>
      </w:pPr>
      <w:r>
        <w:rPr>
          <w:rFonts w:ascii="Times New Roman" w:cs="Times New Roman" w:eastAsia="Times New Roman" w:hAnsi="Times New Roman"/>
          <w:sz w:val="14"/>
          <w:szCs w:val="14"/>
          <w:color w:val="auto"/>
        </w:rPr>
        <w:t xml:space="preserve">The certificate of incorporation of Dell Technologies provides that each person who was or is made a party or is threatened to be made a party to or is involved in any action, suit or proceeding, whether civil, criminal, administrative or investigative (as used in this paragraph, a “proceeding”), by reason of the fact that he or she, or a person of whom he or she is the legal representative, is or was or has agreed to become a director or officer of the corporation or is or was serving or has agreed to serve at the request of the corporation as a director or officer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or having agreed to serve as a director or officer,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without limitation, attorneys’ fees, judgments, fines, ERISA excise taxes or penalties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his or her heirs, executors and administrators;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corporation shall indemnify any such person seeking indemnification in connection with a proceeding (or part thereof) initiated by such person only if such proceeding (or part thereof) was authorized by the board of directors. The right to indemnification conferred shall be a contract right and shall include the right to be paid by the corporation the expenses incurred in defending any such proceeding in advance of its final disposition;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if the Delaware General Corporation Law requires, the payment of such expenses incurred by a current, former or proposed director or officer in his or her capacity as a director or officer or proposed director or officer (and not in any other capacity in which service was or is or has been agreed to be rendered by such person while a director or officer, including, without limitation, service to an employee benefit plan) in advance of the final disposition of a proceeding shall be made only upon delivery to the corporation of an undertaking, by or on behalf of such indemnified person, to repay all amounts so advanced if it shall ultimately be determined that such indemnified person is not entitled to be indemnified.</w:t>
      </w:r>
    </w:p>
    <w:p>
      <w:pPr>
        <w:spacing w:after="0" w:line="154" w:lineRule="exact"/>
        <w:rPr>
          <w:sz w:val="20"/>
          <w:szCs w:val="20"/>
          <w:color w:val="auto"/>
        </w:rPr>
      </w:pPr>
    </w:p>
    <w:p>
      <w:pPr>
        <w:jc w:val="both"/>
        <w:ind w:left="1300" w:right="179" w:firstLine="347"/>
        <w:spacing w:after="0" w:line="265" w:lineRule="auto"/>
        <w:rPr>
          <w:sz w:val="20"/>
          <w:szCs w:val="20"/>
          <w:color w:val="auto"/>
        </w:rPr>
      </w:pPr>
      <w:r>
        <w:rPr>
          <w:rFonts w:ascii="Times New Roman" w:cs="Times New Roman" w:eastAsia="Times New Roman" w:hAnsi="Times New Roman"/>
          <w:sz w:val="14"/>
          <w:szCs w:val="14"/>
          <w:color w:val="auto"/>
        </w:rPr>
        <w:t>The bylaws of Dell Inc. and Denali Intermediate Inc. provide that each person who was or is a party or is threatened to be made a party to or is involved in any threatened, pending or completed action, suit or proceeding, whether civil, criminal, administrative or investigative and whether by or in the right of the corporation or otherwise (as used in this paragraph, a “proceeding”), by reason of the fact that he or she, or a person of whom he or she is the legal representative, is or was a director or officer of the corporation or is or was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9"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1300" w:right="179"/>
        <w:spacing w:after="0" w:line="255" w:lineRule="auto"/>
        <w:rPr>
          <w:sz w:val="20"/>
          <w:szCs w:val="20"/>
          <w:color w:val="auto"/>
        </w:rPr>
      </w:pPr>
      <w:r>
        <w:rPr>
          <w:rFonts w:ascii="Times New Roman" w:cs="Times New Roman" w:eastAsia="Times New Roman" w:hAnsi="Times New Roman"/>
          <w:sz w:val="14"/>
          <w:szCs w:val="14"/>
          <w:color w:val="auto"/>
        </w:rPr>
        <w:t xml:space="preserve">serving at the request of the corporation as a director, officer, employee, partner (limited or general), limited liability company member or manager, or agent of another corporation or of a partnership, joint venture, limited liability company, trust or other enterprise, including service with respect to an employee benefit plan, shall be (and shall be deemed to have a contractual right to be) indemnified and held harmless by the corporation (and any successor to the corporation by merger or otherwise) to the fullest extent authorized by, and subject to the conditions and (except as provided therein) procedures set forth in the Delaware General Corporation Law, as the same exists or may hereafter be amended (but any such amendment shall not be deemed to limit or prohibit the rights of indemnification hereunder for past acts or omissions of any such person insofar as such amendment limits or prohibits the indemnification rights that said law permitted the corporation to provide prior to such amendment), against all expenses, liabilities and losses (including attorneys’ fees, judgments, fines, ERISA taxes or penalties and amounts paid or to be paid in settlement) reasonably incurred or suffered by such person in connection therewith;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however, that the corporation shall indemnify any such person seeking indemnification in connection with a proceeding (or part thereof) initiated by such person (except for certain suits or actions) only if such proceeding (or part thereof) was authorized by the board of directors of the corporation. Persons who are not directors or officers of the corporation and are not so serving at the request of the corporation may be similarly indemnified in respect of such service to the extent authorized at any time by the board of directors of the corporation. The indemnification also shall include the right to be paid by the corporation (and such successor) the expenses (including attorneys’ fees) incurred in the defense of or other involvement in any such proceeding in advance of its final disposition;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however, that, if and to the extent the Delaware General Corporation Law requires, the payment of such expenses (including attorneys’ fees) incurred by a director or officer in advance of the final disposition of a proceeding shall be made only upon delivery to the corporation of an undertaking by or on behalf of such director or officer to repay all amounts so paid in advance if it shall ultimately be determined that such director or officer is not entitled to be indemnified under the bylaws or otherwise;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such expenses incurred by other employees and agents may be so paid in advance upon such terms and conditions, if any, as the board of directors deems appropriate.</w:t>
      </w:r>
    </w:p>
    <w:p>
      <w:pPr>
        <w:spacing w:after="0" w:line="155" w:lineRule="exact"/>
        <w:rPr>
          <w:sz w:val="20"/>
          <w:szCs w:val="20"/>
          <w:color w:val="auto"/>
        </w:rPr>
      </w:pPr>
    </w:p>
    <w:p>
      <w:pPr>
        <w:jc w:val="both"/>
        <w:ind w:left="1300" w:right="179" w:firstLine="347"/>
        <w:spacing w:after="0" w:line="255" w:lineRule="auto"/>
        <w:rPr>
          <w:sz w:val="20"/>
          <w:szCs w:val="20"/>
          <w:color w:val="auto"/>
        </w:rPr>
      </w:pPr>
      <w:r>
        <w:rPr>
          <w:rFonts w:ascii="Times New Roman" w:cs="Times New Roman" w:eastAsia="Times New Roman" w:hAnsi="Times New Roman"/>
          <w:sz w:val="14"/>
          <w:szCs w:val="14"/>
          <w:color w:val="auto"/>
        </w:rPr>
        <w:t xml:space="preserve">The bylaws of Dell Technologies provide that each person who was or is a party, is threatened to be made a party to, or is otherwise involved in, as a witness or otherwise, any threatened, pending or completed action, suit or proceeding (brought in the right of the corporation or otherwise), whether civil, criminal, administrative or investigative and whether formal or informal, including any and all appeals (as used in this paragraph, a “proceeding”), by reason of the fact that he or she is or was or has agreed to become a director or an officer of the corporation, or while serving as a director or officer of the corporation, is or was serving or has agreed to serve at the request of the corporation as a director, officer, employee or agent (which, for purposes hereof, shall include a trustee, fiduciary, partner or manager or similar capacity) of another corporation, limited liability company, partnership, joint venture, trust, employee benefit plan or other enterprise (as used in this paragraph, a “Person”), or by reason of any action alleged to have been taken or omitted by such person in any such capacity or in any other capacity while serving or having agreed to serve as a director, officer, employee or agent (as used in this paragraph, an “indemnitee”), shall be indemnified and held harmless by the corporation to the fullest extent permitted by the Delaware General Corporation Law, as the same exists or may hereafter be amended (but, in the case of any such amendment, only to the extent that such amendment permits the corporation to provide broader indemnification rights than the Delaware General Corporation Law permitted the corporation to provide prior to such amendment), from and against all loss and liability suffered and expenses (including, without limitation, attorneys’ fees, costs and expenses), judgments, fines ERISA excise taxes or penalties and amounts paid or to be paid in settlement actually and reasonably incurred by or on behalf of an indemnitee in connection with such action, suit or proceeding, including any appeals or suffered by such indemnitee in connection therewith and such indemnification shall continue as to an indemnitee who has ceased to serve in the capacity which initially entitled such indemnitee to indemnity hereunder and shall inure to the benefit of his or her heirs, executors and administrators;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except as provided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the corporation shall not be obligated (a) to indemnify an indemnitee for any amounts paid in</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9"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1300" w:right="179"/>
        <w:spacing w:after="0" w:line="260" w:lineRule="auto"/>
        <w:rPr>
          <w:sz w:val="20"/>
          <w:szCs w:val="20"/>
          <w:color w:val="auto"/>
        </w:rPr>
      </w:pPr>
      <w:r>
        <w:rPr>
          <w:rFonts w:ascii="Times New Roman" w:cs="Times New Roman" w:eastAsia="Times New Roman" w:hAnsi="Times New Roman"/>
          <w:sz w:val="14"/>
          <w:szCs w:val="14"/>
          <w:color w:val="auto"/>
        </w:rPr>
        <w:t>settlement of an action, suit or proceeding unless the corporation consents to such settlement, which consent shall not be unreasonably withheld, delayed or conditioned, or (b) to indemnify an indemnitee for any disgorgement of profits made from the purchase or sale by indemnitee of securities of the corporation under Section 16(b) of the Exchange Act. In addition, subject to certain exceptions, the corporation shall not be liable under to make any payment of amounts otherwise indemnifiable hereunder (including, without limitation, judgments, fines and amounts paid in settlement) if and to the extent that the indemnitee has otherwise actually received such payment pursuant to this indemnity right or any insurance policy, contract, agreement or otherwise.</w:t>
      </w:r>
    </w:p>
    <w:p>
      <w:pPr>
        <w:spacing w:after="0" w:line="145"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Dell Technologies also maintains standard policies of insurance that provide coverage (i) to its directors and officers against losses arising from claims made by reason of breach of duty or other wrongful act and (ii) to Dell Technologies with respect to indemnification payments that Dell Technologies may make to such directors and officers.</w:t>
      </w:r>
    </w:p>
    <w:p>
      <w:pPr>
        <w:spacing w:after="0" w:line="13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(b) Dell International L.L.C. is a limited liability company organized under the laws of the State of Delaware.</w:t>
      </w:r>
    </w:p>
    <w:p>
      <w:pPr>
        <w:spacing w:after="0" w:line="2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Delaware Limited Liability Company Act</w:t>
      </w:r>
    </w:p>
    <w:p>
      <w:pPr>
        <w:spacing w:after="0" w:line="96"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Section 18-108 of the Delaware Limited Liability Company Act empowers a Delaware limited liability company to indemnify and hold harmless any member or manager or other person from and against any and all claims and demands whatsoever.</w:t>
      </w:r>
    </w:p>
    <w:p>
      <w:pPr>
        <w:spacing w:after="0" w:line="2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Organizational Documents of the Delaware Limited Liability Company</w:t>
      </w:r>
    </w:p>
    <w:p>
      <w:pPr>
        <w:spacing w:after="0" w:line="96" w:lineRule="exact"/>
        <w:rPr>
          <w:sz w:val="20"/>
          <w:szCs w:val="20"/>
          <w:color w:val="auto"/>
        </w:rPr>
      </w:pPr>
    </w:p>
    <w:p>
      <w:pPr>
        <w:jc w:val="both"/>
        <w:ind w:left="1300" w:right="179" w:firstLine="347"/>
        <w:spacing w:after="0" w:line="255" w:lineRule="auto"/>
        <w:rPr>
          <w:sz w:val="20"/>
          <w:szCs w:val="20"/>
          <w:color w:val="auto"/>
        </w:rPr>
      </w:pPr>
      <w:r>
        <w:rPr>
          <w:rFonts w:ascii="Times New Roman" w:cs="Times New Roman" w:eastAsia="Times New Roman" w:hAnsi="Times New Roman"/>
          <w:sz w:val="14"/>
          <w:szCs w:val="14"/>
          <w:color w:val="auto"/>
        </w:rPr>
        <w:t xml:space="preserve">The limited liability company agreement of Dell International L.L.C. provides that, to the fullest extent permitted by applicable law, the company shall indemnify and hold harmless each (a) each managing member, other member or officer, in each case in his, her or its capacity as such, (b) any person (other than the company) of which a member is an officer, director, shareholder, partner, member, employee, representative or agent and (c) any affiliate (other than the company), officer, director, shareholder, partner, member, employee, representative or agent of any of the foregoing (as used in this paragraph, collectively, “Covered Persons”) from and against any and all liabilities, obligations, losses, damages, fines, taxes and interest and penalties thereon (other than taxes based on fees or other compensation received by such Covered Person from the company), claims, demands, actions, suits, proceedings (whether civil, criminal, administrative, investigative or otherwise), costs, expenses and disbursements (including reasonable and documented legal and accounting fees and expenses, costs of investigation and sums paid in settlement) of any kind or nature whatsoever (as used in this paragraph, collectively, “Claims and Expenses”) that may be imposed on, incurred by or asserted at any time against such Covered Person in any way related to or arising out of the limited liability company agreement, the company or the management or administration of the company or in connection with the business or affairs of the company or the activities of such Covered Person on behalf of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Covered Person shall not be entitled to indemnification hereunder against Claims and Expenses that are finally determined by a court of competent jurisdiction to have resulted from such Covered Person’s act or omission (i) that is a criminal act by such person that such person had no reasonable cause to believe was lawful or</w:t>
      </w:r>
    </w:p>
    <w:p>
      <w:pPr>
        <w:spacing w:after="0" w:line="4" w:lineRule="exact"/>
        <w:rPr>
          <w:sz w:val="20"/>
          <w:szCs w:val="20"/>
          <w:color w:val="auto"/>
        </w:rPr>
      </w:pPr>
    </w:p>
    <w:p>
      <w:pPr>
        <w:jc w:val="both"/>
        <w:ind w:left="1300" w:right="179" w:firstLine="3"/>
        <w:spacing w:after="0" w:line="260" w:lineRule="auto"/>
        <w:tabs>
          <w:tab w:leader="none" w:pos="151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constitutes fraud, gross negligence or knowing and willful misconduct by such person. The rights of any Covered Person to indemnification will be in addition to any other rights any such Covered Person may have under any other agreement or instrument in which such Covered Person is or becomes a party or is or otherwise becomes a beneficiary or under law or regulation.</w:t>
      </w:r>
    </w:p>
    <w:p>
      <w:pPr>
        <w:spacing w:after="0" w:line="143" w:lineRule="exact"/>
        <w:rPr>
          <w:rFonts w:ascii="Times New Roman" w:cs="Times New Roman" w:eastAsia="Times New Roman" w:hAnsi="Times New Roman"/>
          <w:sz w:val="14"/>
          <w:szCs w:val="14"/>
          <w:color w:val="auto"/>
        </w:rPr>
      </w:pPr>
    </w:p>
    <w:p>
      <w:pPr>
        <w:ind w:left="1840" w:hanging="190"/>
        <w:spacing w:after="0"/>
        <w:tabs>
          <w:tab w:leader="none" w:pos="184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EMC Corporation is a corporation incorporated under the laws of the Commonwealth of Massachusetts.</w:t>
      </w:r>
    </w:p>
    <w:p>
      <w:pPr>
        <w:spacing w:after="0" w:line="26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Massachusetts General Laws</w:t>
      </w:r>
    </w:p>
    <w:p>
      <w:pPr>
        <w:spacing w:after="0" w:line="96" w:lineRule="exact"/>
        <w:rPr>
          <w:sz w:val="20"/>
          <w:szCs w:val="20"/>
          <w:color w:val="auto"/>
        </w:rPr>
      </w:pPr>
    </w:p>
    <w:p>
      <w:pPr>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Massachusetts General Laws (“MGL”) Chapter 156D, Part 8, Subdivision E, provides that a corporation may, subject to certain limitations, indemnify its directors, officers, employees and other agents, and individuals</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9"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1300" w:right="179"/>
        <w:spacing w:after="0" w:line="262" w:lineRule="auto"/>
        <w:rPr>
          <w:sz w:val="20"/>
          <w:szCs w:val="20"/>
          <w:color w:val="auto"/>
        </w:rPr>
      </w:pPr>
      <w:r>
        <w:rPr>
          <w:rFonts w:ascii="Times New Roman" w:cs="Times New Roman" w:eastAsia="Times New Roman" w:hAnsi="Times New Roman"/>
          <w:sz w:val="14"/>
          <w:szCs w:val="14"/>
          <w:color w:val="auto"/>
        </w:rPr>
        <w:t>serving with respect to any employee benefit plan, and must, in certain cases, indemnify a director or officer for his or her reasonable costs if he or she is wholly successful in his defense in a proceeding to which he or she was a party because he or she was a director or officer of the corporation. In certain circumstances, a court may order a corporation to indemnify its officers or directors or advance their expenses. MGL Chapter 156D, Section 8.58 allows a corporation to limit or expand its obligation to indemnify its directors, officers, employees and agents in the corporation’s articles of organization, a bylaw adopted by the shareholders, or a contract adopted by its board of directors or shareholders.</w:t>
      </w:r>
    </w:p>
    <w:p>
      <w:pPr>
        <w:spacing w:after="0" w:line="22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Organizational Documents of the Massachusetts Corporation</w:t>
      </w:r>
    </w:p>
    <w:p>
      <w:pPr>
        <w:spacing w:after="0" w:line="96" w:lineRule="exact"/>
        <w:rPr>
          <w:sz w:val="20"/>
          <w:szCs w:val="20"/>
          <w:color w:val="auto"/>
        </w:rPr>
      </w:pPr>
    </w:p>
    <w:p>
      <w:pPr>
        <w:jc w:val="both"/>
        <w:ind w:left="1300" w:right="179" w:firstLine="347"/>
        <w:spacing w:after="0" w:line="255" w:lineRule="auto"/>
        <w:rPr>
          <w:sz w:val="20"/>
          <w:szCs w:val="20"/>
          <w:color w:val="auto"/>
        </w:rPr>
      </w:pPr>
      <w:r>
        <w:rPr>
          <w:rFonts w:ascii="Times New Roman" w:cs="Times New Roman" w:eastAsia="Times New Roman" w:hAnsi="Times New Roman"/>
          <w:sz w:val="14"/>
          <w:szCs w:val="14"/>
          <w:color w:val="auto"/>
        </w:rPr>
        <w:t xml:space="preserve">The bylaws of EMC provide that the corporation shall, to the extent legally permissible, indemnify each of its directors and officers (including persons who act at its request as directors, officers or trustees of another organization or in any capacity with respect to any employee benefit plan) against all liabilities and expenses, including amounts paid in satisfaction of judgments, in compromise or as fines and penalties, and counsel fees, reasonably incurred by such director or officer in connection with the defense or disposition of any action, suit or other proceeding, whether civil or criminal, in which such director or officer may be involved or with which such director or officer may be threatened, while in office or thereafter, by reason of such individual being or having been such a director or officer, except with respect to, any matter as to which such director or officer shall have been adjudicated in any proceeding not to have acted in good faith in the reasonable belief that such individual’s action was in the best interests of the corporation (any person serving another organization in one or more of the indicated capacities at the request of the corporation who shall have acted in good faith in the reasonable belief that such individual’s action was in the best interests of such other organization to be deemed as having acted in such manner with respect to the corporation) or, to the extent that such matter relates to service with respect to any employee benefit plan, in the best interests of the participants or beneficiaries of such employee benefit plan;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as to any matter disposed of by a compromise payment by such director or officer, pursuant to a consent decree or otherwise, no indemnification either for said payment or for any other expenses shall be provided unless such compromise shall be approved as in the best interests of the corporation, after notice that it involves such indemnification:</w:t>
      </w:r>
    </w:p>
    <w:p>
      <w:pPr>
        <w:spacing w:after="0" w:line="4" w:lineRule="exact"/>
        <w:rPr>
          <w:sz w:val="20"/>
          <w:szCs w:val="20"/>
          <w:color w:val="auto"/>
        </w:rPr>
      </w:pPr>
    </w:p>
    <w:p>
      <w:pPr>
        <w:jc w:val="both"/>
        <w:ind w:left="1300" w:right="179" w:firstLine="3"/>
        <w:spacing w:after="0" w:line="257" w:lineRule="auto"/>
        <w:tabs>
          <w:tab w:leader="none" w:pos="1493"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disinterested majority of the directors then in office; or (b) by a majority of the disinterested directors then in office, provided that there has been obtained an opinion in writing of independent legal counsel to the effect that such director or officer appears to have acted in good faith in the reasonable belief that such individual’s action was in the best interests of the corporation; or (c) by the holders of a majority of the outstanding stock at the time entitled to vote for directors, voting as a single class, exclusive of any stock owned by any interested director or officer. This right of indemnification shall not be exclusive of or affect any other rights to which any director or officer may be entitled.</w:t>
      </w:r>
    </w:p>
    <w:p>
      <w:pPr>
        <w:spacing w:after="0" w:line="145" w:lineRule="exact"/>
        <w:rPr>
          <w:rFonts w:ascii="Times New Roman" w:cs="Times New Roman" w:eastAsia="Times New Roman" w:hAnsi="Times New Roman"/>
          <w:sz w:val="14"/>
          <w:szCs w:val="14"/>
          <w:color w:val="auto"/>
        </w:rPr>
      </w:pPr>
    </w:p>
    <w:p>
      <w:pPr>
        <w:ind w:left="1300" w:right="179" w:firstLine="350"/>
        <w:spacing w:after="0" w:line="288" w:lineRule="auto"/>
        <w:tabs>
          <w:tab w:leader="none" w:pos="185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Redomestication is approved by our stockholders, at the effective time of such Redomestication, Dell Technologies will be converted to a corporation incorporated under the laws of the State of Texas.</w:t>
      </w:r>
    </w:p>
    <w:p>
      <w:pPr>
        <w:spacing w:after="0" w:line="2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Texas Business Organizations Code</w:t>
      </w:r>
    </w:p>
    <w:p>
      <w:pPr>
        <w:spacing w:after="0" w:line="96" w:lineRule="exact"/>
        <w:rPr>
          <w:sz w:val="20"/>
          <w:szCs w:val="20"/>
          <w:color w:val="auto"/>
        </w:rPr>
      </w:pPr>
    </w:p>
    <w:p>
      <w:pPr>
        <w:jc w:val="both"/>
        <w:ind w:left="1300" w:right="179" w:firstLine="347"/>
        <w:spacing w:after="0" w:line="257" w:lineRule="auto"/>
        <w:rPr>
          <w:sz w:val="20"/>
          <w:szCs w:val="20"/>
          <w:color w:val="auto"/>
        </w:rPr>
      </w:pPr>
      <w:r>
        <w:rPr>
          <w:rFonts w:ascii="Times New Roman" w:cs="Times New Roman" w:eastAsia="Times New Roman" w:hAnsi="Times New Roman"/>
          <w:sz w:val="14"/>
          <w:szCs w:val="14"/>
          <w:color w:val="auto"/>
        </w:rPr>
        <w:t>Section 8.003 of Title 1 of the Texas Business Organizations Code (“TBOC”) provides that the certificate of formation of a corporation may restrict the circumstances under which the corporation must or may indemnify a person. Sections 8.051 and 8.101 of the TBOC provides that a corporation must indemnify a governing person, former governing person or delegate in connection with a proceeding in which the person is a respondent because the person is or was a governing person or delegate if the person is wholly successful, on the merits or otherwise, in the defense of the proceeding, and may indemnify such a person under certain other circumstances and subject to certain limitations. Section 8.052 permits a court to order a corporation to indemnify a governing person, former governing person or delegate to the extent the court determines that the person is fairly and reasonably entitled to indemnification in view of all the relevant circumstances. In addition, Section 7.001 of Title 1 of the TBOC allows a Texas corporation in its certificate of formation to provide that a governing person of the organization is not liable, or is liable only to the extent provided by the certificate of formation or similar instrument, to the organization or its owners or members for monetary damages for an act or omission by the person in the person’s capacity as a governing person, except under certain circumstances.</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89"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1300" w:right="179" w:firstLine="347"/>
        <w:spacing w:after="0" w:line="260" w:lineRule="auto"/>
        <w:rPr>
          <w:sz w:val="20"/>
          <w:szCs w:val="20"/>
          <w:color w:val="auto"/>
        </w:rPr>
      </w:pPr>
      <w:r>
        <w:rPr>
          <w:rFonts w:ascii="Times New Roman" w:cs="Times New Roman" w:eastAsia="Times New Roman" w:hAnsi="Times New Roman"/>
          <w:sz w:val="14"/>
          <w:szCs w:val="14"/>
          <w:color w:val="auto"/>
        </w:rPr>
        <w:t>Under the TBOC, a Texas corporation is permitted to provide that a “managerial official” (including a director or officer) is not liable, or is liable only to the extent provided by the certificate of formation, to the corporation or its shareholders for monetary damages for an act or omission by the person in the person’s capacity as a managerial official. The TBOC, however, does not permit any limitation of the liability of a managerial official for:</w:t>
      </w:r>
    </w:p>
    <w:p>
      <w:pPr>
        <w:spacing w:after="0" w:line="2" w:lineRule="exact"/>
        <w:rPr>
          <w:sz w:val="20"/>
          <w:szCs w:val="20"/>
          <w:color w:val="auto"/>
        </w:rPr>
      </w:pPr>
    </w:p>
    <w:p>
      <w:pPr>
        <w:jc w:val="both"/>
        <w:ind w:left="1300" w:right="179" w:firstLine="3"/>
        <w:spacing w:after="0" w:line="255" w:lineRule="auto"/>
        <w:tabs>
          <w:tab w:leader="none" w:pos="150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the duty of loyalty to the corporation or its shareholders; (2) an act or omission not in good faith that constitutes a breach of duty of the person to the corporation or involves intentional misconduct or a knowing violation of law; (3) a transaction from which the managerial official receives an improper benefit, regardless of whether the benefit resulted from an action taken within the scope of the person’s duties; or (4) an act or omission for which the liability of a managerial official is expressly provided by an applicable statute. In addition, under the TBOC, a Texas enterprise is allowed to purchase or procure or establish and maintain insurance or another arrangement to indemnify or hold harmless an existing or former governing person, delegate, officer, employee or agent against any liability (1) asserted against and incurred by the person in that capacity or (2) arising out of the person’s status in that capacity. The insurance or other arrangement established may insure or indemnify against the liability described above without regard to whether the enterprise otherwise would have had the power to indemnify the person against that liability under the TBOC.</w:t>
      </w:r>
    </w:p>
    <w:p>
      <w:pPr>
        <w:spacing w:after="0" w:line="23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Organizational Documents of the Texas Corporation</w:t>
      </w:r>
    </w:p>
    <w:p>
      <w:pPr>
        <w:spacing w:after="0" w:line="96" w:lineRule="exact"/>
        <w:rPr>
          <w:sz w:val="20"/>
          <w:szCs w:val="20"/>
          <w:color w:val="auto"/>
        </w:rPr>
      </w:pPr>
    </w:p>
    <w:p>
      <w:pPr>
        <w:jc w:val="both"/>
        <w:ind w:left="1300" w:right="179" w:firstLine="347"/>
        <w:spacing w:after="0" w:line="259" w:lineRule="auto"/>
        <w:rPr>
          <w:sz w:val="20"/>
          <w:szCs w:val="20"/>
          <w:color w:val="auto"/>
        </w:rPr>
      </w:pPr>
      <w:r>
        <w:rPr>
          <w:rFonts w:ascii="Times New Roman" w:cs="Times New Roman" w:eastAsia="Times New Roman" w:hAnsi="Times New Roman"/>
          <w:sz w:val="14"/>
          <w:szCs w:val="14"/>
          <w:color w:val="auto"/>
        </w:rPr>
        <w:t>Upon their effectiveness, the new charter and bylaws of Dell Technologies will authorize the indemnification of the corporation’s directors and officers to the fullest extent permitted by Texas law as it exists or may be amended from time to time, and the advancement of expenses (including attorneys’ fees) upon receipt of (1) a written affirmation by the person of the person’s good faith belief that the person has met the standard of conduct necessary for indemnification and (2) a written undertaking by or on behalf of the person to repay the amount paid or reimbursed if the final determination is that the person has not met that standard or that indemnification is prohibited by the TBOC. The new charter of Dell Technologies will also contain an exculpatory provision that forecloses personal liability for the corporation’s directors and officers for breaches of the fiduciary duty of care consistent with the TBOC.</w:t>
      </w:r>
    </w:p>
    <w:p>
      <w:pPr>
        <w:spacing w:after="0" w:line="146" w:lineRule="exact"/>
        <w:rPr>
          <w:sz w:val="20"/>
          <w:szCs w:val="20"/>
          <w:color w:val="auto"/>
        </w:rPr>
      </w:pPr>
    </w:p>
    <w:p>
      <w:pPr>
        <w:jc w:val="both"/>
        <w:ind w:left="1300" w:right="179" w:firstLine="350"/>
        <w:spacing w:after="0" w:line="271" w:lineRule="auto"/>
        <w:tabs>
          <w:tab w:leader="none" w:pos="185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agreement that we may enter into in connection with an offering pursuant to this registration statement may provide for indemnification by the underwriters of us and our officers and directors, and by us of the underwriters, for certain liabilities arising under the Securities Act or otherwise in connection with such offering.</w:t>
      </w:r>
    </w:p>
    <w:p>
      <w:pPr>
        <w:spacing w:after="0" w:line="2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EXHIBITS AND FINANCIAL STATEMENT SCHEDULES.</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16.</w:t>
      </w:r>
    </w:p>
    <w:p>
      <w:pPr>
        <w:spacing w:after="0" w:line="78" w:lineRule="exact"/>
        <w:rPr>
          <w:sz w:val="20"/>
          <w:szCs w:val="20"/>
          <w:color w:val="auto"/>
        </w:rPr>
      </w:pPr>
    </w:p>
    <w:p>
      <w:pPr>
        <w:ind w:left="1860" w:hanging="210"/>
        <w:spacing w:after="0"/>
        <w:tabs>
          <w:tab w:leader="none" w:pos="1860" w:val="left"/>
        </w:tabs>
        <w:numPr>
          <w:ilvl w:val="0"/>
          <w:numId w:val="2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Exhibits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See the Exhibit Index immediately preceding the signature pages hereto, which is incorporated by reference as if fully set forth</w:t>
      </w:r>
    </w:p>
    <w:p>
      <w:pPr>
        <w:spacing w:after="0" w:line="25" w:lineRule="exact"/>
        <w:rPr>
          <w:rFonts w:ascii="Times New Roman" w:cs="Times New Roman" w:eastAsia="Times New Roman" w:hAnsi="Times New Roman"/>
          <w:sz w:val="14"/>
          <w:szCs w:val="14"/>
          <w:b w:val="1"/>
          <w:bCs w:val="1"/>
          <w:i w:val="1"/>
          <w:iCs w:val="1"/>
          <w:color w:val="auto"/>
        </w:rPr>
      </w:pPr>
    </w:p>
    <w:p>
      <w:pPr>
        <w:ind w:left="13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herein.</w:t>
      </w:r>
    </w:p>
    <w:p>
      <w:pPr>
        <w:spacing w:after="0" w:line="163" w:lineRule="exact"/>
        <w:rPr>
          <w:rFonts w:ascii="Times New Roman" w:cs="Times New Roman" w:eastAsia="Times New Roman" w:hAnsi="Times New Roman"/>
          <w:sz w:val="14"/>
          <w:szCs w:val="14"/>
          <w:b w:val="1"/>
          <w:bCs w:val="1"/>
          <w:i w:val="1"/>
          <w:iCs w:val="1"/>
          <w:color w:val="auto"/>
        </w:rPr>
      </w:pPr>
    </w:p>
    <w:p>
      <w:pPr>
        <w:ind w:left="1860" w:hanging="210"/>
        <w:spacing w:after="0"/>
        <w:tabs>
          <w:tab w:leader="none" w:pos="1860" w:val="left"/>
        </w:tabs>
        <w:numPr>
          <w:ilvl w:val="0"/>
          <w:numId w:val="2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Financial Statement Schedules</w:t>
      </w:r>
      <w:r>
        <w:rPr>
          <w:rFonts w:ascii="Times New Roman" w:cs="Times New Roman" w:eastAsia="Times New Roman" w:hAnsi="Times New Roman"/>
          <w:sz w:val="14"/>
          <w:szCs w:val="14"/>
          <w:color w:val="auto"/>
        </w:rPr>
        <w:t>. None.</w:t>
      </w:r>
    </w:p>
    <w:p>
      <w:pPr>
        <w:spacing w:after="0" w:line="2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UNDERTAKINGS</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17.</w:t>
      </w:r>
    </w:p>
    <w:p>
      <w:pPr>
        <w:spacing w:after="0" w:line="91" w:lineRule="exact"/>
        <w:rPr>
          <w:sz w:val="20"/>
          <w:szCs w:val="20"/>
          <w:color w:val="auto"/>
        </w:rPr>
      </w:pPr>
    </w:p>
    <w:p>
      <w:pPr>
        <w:ind w:left="1640" w:hanging="337"/>
        <w:spacing w:after="0"/>
        <w:tabs>
          <w:tab w:leader="none" w:pos="1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undersigned registrants hereby undertakes:</w:t>
      </w:r>
    </w:p>
    <w:p>
      <w:pPr>
        <w:spacing w:after="0" w:line="104" w:lineRule="exact"/>
        <w:rPr>
          <w:rFonts w:ascii="Times New Roman" w:cs="Times New Roman" w:eastAsia="Times New Roman" w:hAnsi="Times New Roman"/>
          <w:sz w:val="14"/>
          <w:szCs w:val="14"/>
          <w:color w:val="auto"/>
        </w:rPr>
      </w:pPr>
    </w:p>
    <w:p>
      <w:pPr>
        <w:ind w:left="2060" w:hanging="416"/>
        <w:spacing w:after="0"/>
        <w:tabs>
          <w:tab w:leader="none" w:pos="20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4" w:lineRule="exact"/>
        <w:rPr>
          <w:rFonts w:ascii="Times New Roman" w:cs="Times New Roman" w:eastAsia="Times New Roman" w:hAnsi="Times New Roman"/>
          <w:sz w:val="14"/>
          <w:szCs w:val="14"/>
          <w:color w:val="auto"/>
        </w:rPr>
      </w:pPr>
    </w:p>
    <w:p>
      <w:pPr>
        <w:ind w:left="2420" w:hanging="340"/>
        <w:spacing w:after="0"/>
        <w:tabs>
          <w:tab w:leader="none" w:pos="2420" w:val="left"/>
        </w:tabs>
        <w:numPr>
          <w:ilvl w:val="2"/>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04" w:lineRule="exact"/>
        <w:rPr>
          <w:rFonts w:ascii="Times New Roman" w:cs="Times New Roman" w:eastAsia="Times New Roman" w:hAnsi="Times New Roman"/>
          <w:sz w:val="14"/>
          <w:szCs w:val="14"/>
          <w:color w:val="auto"/>
        </w:rPr>
      </w:pPr>
    </w:p>
    <w:p>
      <w:pPr>
        <w:jc w:val="both"/>
        <w:ind w:left="2420" w:right="179" w:hanging="340"/>
        <w:spacing w:after="0" w:line="265" w:lineRule="auto"/>
        <w:tabs>
          <w:tab w:leader="none" w:pos="2420" w:val="left"/>
        </w:tabs>
        <w:numPr>
          <w:ilvl w:val="2"/>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89"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jc w:val="both"/>
        <w:ind w:left="2440" w:right="179"/>
        <w:spacing w:after="0" w:line="271" w:lineRule="auto"/>
        <w:rPr>
          <w:sz w:val="20"/>
          <w:szCs w:val="20"/>
          <w:color w:val="auto"/>
        </w:rPr>
      </w:pPr>
      <w:r>
        <w:rPr>
          <w:rFonts w:ascii="Times New Roman" w:cs="Times New Roman" w:eastAsia="Times New Roman" w:hAnsi="Times New Roman"/>
          <w:sz w:val="14"/>
          <w:szCs w:val="14"/>
          <w:color w:val="auto"/>
        </w:rPr>
        <w:t>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1" w:lineRule="exact"/>
        <w:rPr>
          <w:sz w:val="20"/>
          <w:szCs w:val="20"/>
          <w:color w:val="auto"/>
        </w:rPr>
      </w:pPr>
    </w:p>
    <w:p>
      <w:pPr>
        <w:ind w:left="2420" w:right="179" w:hanging="340"/>
        <w:spacing w:after="0" w:line="288" w:lineRule="auto"/>
        <w:tabs>
          <w:tab w:leader="none" w:pos="2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39" w:lineRule="exact"/>
        <w:rPr>
          <w:sz w:val="20"/>
          <w:szCs w:val="20"/>
          <w:color w:val="auto"/>
        </w:rPr>
      </w:pPr>
    </w:p>
    <w:p>
      <w:pPr>
        <w:jc w:val="both"/>
        <w:ind w:left="2080" w:right="179"/>
        <w:spacing w:after="0" w:line="265" w:lineRule="auto"/>
        <w:rPr>
          <w:sz w:val="20"/>
          <w:szCs w:val="20"/>
          <w:color w:val="auto"/>
        </w:rPr>
      </w:pPr>
      <w:r>
        <w:rPr>
          <w:rFonts w:ascii="Times New Roman" w:cs="Times New Roman" w:eastAsia="Times New Roman" w:hAnsi="Times New Roman"/>
          <w:sz w:val="14"/>
          <w:szCs w:val="14"/>
          <w:color w:val="auto"/>
        </w:rPr>
        <w:t>provided, however, that the undertakings set forth in paragraphs (a)(1)(i), (a)(1)(ii) and (a)(1)(iii) do not apply if the information required to be included in a post-effective amendment by those paragraphs is contained in reports filed with or furnished to the SEC by the registrants pursuant to Section 13 or Section 15(d) of the Exchange Act that are incorporated by reference in the registration statement, or is contained in a form of prospectus filed pursuant to Rule 424(b) that is part of the registration statement.</w:t>
      </w:r>
    </w:p>
    <w:p>
      <w:pPr>
        <w:spacing w:after="0" w:line="66" w:lineRule="exact"/>
        <w:rPr>
          <w:sz w:val="20"/>
          <w:szCs w:val="20"/>
          <w:color w:val="auto"/>
        </w:rPr>
      </w:pPr>
    </w:p>
    <w:p>
      <w:pPr>
        <w:jc w:val="both"/>
        <w:ind w:left="2060" w:right="179" w:hanging="416"/>
        <w:spacing w:after="0" w:line="271" w:lineRule="auto"/>
        <w:tabs>
          <w:tab w:leader="none" w:pos="2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1" w:lineRule="exact"/>
        <w:rPr>
          <w:rFonts w:ascii="Times New Roman" w:cs="Times New Roman" w:eastAsia="Times New Roman" w:hAnsi="Times New Roman"/>
          <w:sz w:val="14"/>
          <w:szCs w:val="14"/>
          <w:color w:val="auto"/>
        </w:rPr>
      </w:pPr>
    </w:p>
    <w:p>
      <w:pPr>
        <w:ind w:left="2060" w:right="179" w:hanging="416"/>
        <w:spacing w:after="0" w:line="288" w:lineRule="auto"/>
        <w:tabs>
          <w:tab w:leader="none" w:pos="2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9" w:lineRule="exact"/>
        <w:rPr>
          <w:rFonts w:ascii="Times New Roman" w:cs="Times New Roman" w:eastAsia="Times New Roman" w:hAnsi="Times New Roman"/>
          <w:sz w:val="14"/>
          <w:szCs w:val="14"/>
          <w:color w:val="auto"/>
        </w:rPr>
      </w:pPr>
    </w:p>
    <w:p>
      <w:pPr>
        <w:ind w:left="2060" w:hanging="416"/>
        <w:spacing w:after="0"/>
        <w:tabs>
          <w:tab w:leader="none" w:pos="2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05" w:lineRule="exact"/>
        <w:rPr>
          <w:rFonts w:ascii="Times New Roman" w:cs="Times New Roman" w:eastAsia="Times New Roman" w:hAnsi="Times New Roman"/>
          <w:sz w:val="14"/>
          <w:szCs w:val="14"/>
          <w:color w:val="auto"/>
        </w:rPr>
      </w:pPr>
    </w:p>
    <w:p>
      <w:pPr>
        <w:ind w:left="2420" w:right="179" w:hanging="340"/>
        <w:spacing w:after="0" w:line="288" w:lineRule="auto"/>
        <w:tabs>
          <w:tab w:leader="none" w:pos="24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49" w:lineRule="exact"/>
        <w:rPr>
          <w:rFonts w:ascii="Times New Roman" w:cs="Times New Roman" w:eastAsia="Times New Roman" w:hAnsi="Times New Roman"/>
          <w:sz w:val="14"/>
          <w:szCs w:val="14"/>
          <w:color w:val="auto"/>
        </w:rPr>
      </w:pPr>
    </w:p>
    <w:p>
      <w:pPr>
        <w:jc w:val="both"/>
        <w:ind w:left="2420" w:right="179" w:hanging="340"/>
        <w:spacing w:after="0" w:line="256" w:lineRule="auto"/>
        <w:tabs>
          <w:tab w:leader="none" w:pos="24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issuers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7" w:lineRule="exact"/>
        <w:rPr>
          <w:rFonts w:ascii="Times New Roman" w:cs="Times New Roman" w:eastAsia="Times New Roman" w:hAnsi="Times New Roman"/>
          <w:sz w:val="14"/>
          <w:szCs w:val="14"/>
          <w:color w:val="auto"/>
        </w:rPr>
      </w:pPr>
    </w:p>
    <w:p>
      <w:pPr>
        <w:jc w:val="both"/>
        <w:ind w:left="2060" w:right="179" w:hanging="416"/>
        <w:spacing w:after="0" w:line="262" w:lineRule="auto"/>
        <w:tabs>
          <w:tab w:leader="none" w:pos="2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registrants under the Securities Act to any purchaser in the initial distribution of the securities, each of the undersigned registrants undertakes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w:t>
      </w:r>
    </w:p>
    <w:p>
      <w:pPr>
        <w:spacing w:after="0" w:line="68" w:lineRule="exact"/>
        <w:rPr>
          <w:rFonts w:ascii="Times New Roman" w:cs="Times New Roman" w:eastAsia="Times New Roman" w:hAnsi="Times New Roman"/>
          <w:sz w:val="14"/>
          <w:szCs w:val="14"/>
          <w:color w:val="auto"/>
        </w:rPr>
      </w:pPr>
    </w:p>
    <w:p>
      <w:pPr>
        <w:ind w:left="2420" w:right="179" w:hanging="340"/>
        <w:spacing w:after="0" w:line="288" w:lineRule="auto"/>
        <w:tabs>
          <w:tab w:leader="none" w:pos="24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registrants relating to the offering required to be filed pursuant to Rule 424;</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II-8</w:t>
      </w:r>
    </w:p>
    <w:p>
      <w:pPr>
        <w:sectPr>
          <w:pgSz w:w="11900" w:h="16838" w:orient="portrait"/>
          <w:cols w:equalWidth="0" w:num="1">
            <w:col w:w="10159"/>
          </w:cols>
          <w:pgMar w:left="300" w:top="389"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6" w:lineRule="exact"/>
        <w:rPr>
          <w:sz w:val="20"/>
          <w:szCs w:val="20"/>
          <w:color w:val="auto"/>
        </w:rPr>
      </w:pPr>
    </w:p>
    <w:p>
      <w:pPr>
        <w:ind w:left="2420" w:right="179" w:hanging="340"/>
        <w:spacing w:after="0" w:line="288" w:lineRule="auto"/>
        <w:tabs>
          <w:tab w:leader="none" w:pos="242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registrants or used or referred to by the undersigned registrants;</w:t>
      </w:r>
    </w:p>
    <w:p>
      <w:pPr>
        <w:spacing w:after="0" w:line="49" w:lineRule="exact"/>
        <w:rPr>
          <w:rFonts w:ascii="Times New Roman" w:cs="Times New Roman" w:eastAsia="Times New Roman" w:hAnsi="Times New Roman"/>
          <w:sz w:val="14"/>
          <w:szCs w:val="14"/>
          <w:color w:val="auto"/>
        </w:rPr>
      </w:pPr>
    </w:p>
    <w:p>
      <w:pPr>
        <w:ind w:left="2420" w:right="179" w:hanging="340"/>
        <w:spacing w:after="0" w:line="288" w:lineRule="auto"/>
        <w:tabs>
          <w:tab w:leader="none" w:pos="242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registrants or its securities provided by or on behalf of the undersigned registrants; and</w:t>
      </w:r>
    </w:p>
    <w:p>
      <w:pPr>
        <w:spacing w:after="0" w:line="49" w:lineRule="exact"/>
        <w:rPr>
          <w:rFonts w:ascii="Times New Roman" w:cs="Times New Roman" w:eastAsia="Times New Roman" w:hAnsi="Times New Roman"/>
          <w:sz w:val="14"/>
          <w:szCs w:val="14"/>
          <w:color w:val="auto"/>
        </w:rPr>
      </w:pPr>
    </w:p>
    <w:p>
      <w:pPr>
        <w:ind w:left="2420" w:hanging="340"/>
        <w:spacing w:after="0"/>
        <w:tabs>
          <w:tab w:leader="none" w:pos="242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registrants to the purchaser.</w:t>
      </w:r>
    </w:p>
    <w:p>
      <w:pPr>
        <w:spacing w:after="0" w:line="200" w:lineRule="exact"/>
        <w:rPr>
          <w:rFonts w:ascii="Times New Roman" w:cs="Times New Roman" w:eastAsia="Times New Roman" w:hAnsi="Times New Roman"/>
          <w:sz w:val="14"/>
          <w:szCs w:val="14"/>
          <w:color w:val="auto"/>
        </w:rPr>
      </w:pPr>
    </w:p>
    <w:p>
      <w:pPr>
        <w:jc w:val="both"/>
        <w:ind w:left="1640" w:right="179" w:hanging="337"/>
        <w:spacing w:after="0" w:line="262" w:lineRule="auto"/>
        <w:tabs>
          <w:tab w:leader="none" w:pos="1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undersigned registrants hereby undertakes that, for purposes of determining any liability under the Securities Act, each filing of such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63" w:lineRule="exact"/>
        <w:rPr>
          <w:rFonts w:ascii="Times New Roman" w:cs="Times New Roman" w:eastAsia="Times New Roman" w:hAnsi="Times New Roman"/>
          <w:sz w:val="14"/>
          <w:szCs w:val="14"/>
          <w:color w:val="auto"/>
        </w:rPr>
      </w:pPr>
    </w:p>
    <w:p>
      <w:pPr>
        <w:jc w:val="both"/>
        <w:ind w:left="1640" w:right="179" w:hanging="337"/>
        <w:spacing w:after="0" w:line="258" w:lineRule="auto"/>
        <w:tabs>
          <w:tab w:leader="none" w:pos="1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registrants pursuant to the foregoing provisions, or otherwise, each of the registrants has been advised that in the opinion of the SEC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8" w:lineRule="exact"/>
        <w:rPr>
          <w:rFonts w:ascii="Times New Roman" w:cs="Times New Roman" w:eastAsia="Times New Roman" w:hAnsi="Times New Roman"/>
          <w:sz w:val="14"/>
          <w:szCs w:val="14"/>
          <w:color w:val="auto"/>
        </w:rPr>
      </w:pPr>
    </w:p>
    <w:p>
      <w:pPr>
        <w:jc w:val="both"/>
        <w:ind w:left="1640" w:right="179" w:hanging="337"/>
        <w:spacing w:after="0" w:line="264" w:lineRule="auto"/>
        <w:tabs>
          <w:tab w:leader="none" w:pos="1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undersigned registrants undertakes to file an application for the purpose of determining the eligibility of the trustee to act under subsection (a) of Section 310 of the Trust Indenture Act in accordance with the rules and regulations prescribed by the SEC under Section 305(b)</w:t>
      </w:r>
    </w:p>
    <w:p>
      <w:pPr>
        <w:ind w:left="1840" w:hanging="196"/>
        <w:spacing w:after="0"/>
        <w:tabs>
          <w:tab w:leader="none" w:pos="18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Trust Indenture Act.</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II-9</w:t>
      </w:r>
    </w:p>
    <w:p>
      <w:pPr>
        <w:sectPr>
          <w:pgSz w:w="11900" w:h="16838" w:orient="portrait"/>
          <w:cols w:equalWidth="0" w:num="1">
            <w:col w:w="10159"/>
          </w:cols>
          <w:pgMar w:left="300" w:top="389"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020" w:type="dxa"/>
            <w:vAlign w:val="bottom"/>
            <w:gridSpan w:val="9"/>
          </w:tcPr>
          <w:p>
            <w:pPr>
              <w:jc w:val="center"/>
              <w:ind w:right="364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1000" w:type="dxa"/>
            <w:vAlign w:val="bottom"/>
            <w:gridSpan w:val="2"/>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62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3"/>
        </w:trPr>
        <w:tc>
          <w:tcPr>
            <w:tcW w:w="60" w:type="dxa"/>
            <w:vAlign w:val="bottom"/>
          </w:tcPr>
          <w:p>
            <w:pPr>
              <w:spacing w:after="0"/>
              <w:rPr>
                <w:sz w:val="11"/>
                <w:szCs w:val="11"/>
                <w:color w:val="auto"/>
              </w:rPr>
            </w:pPr>
          </w:p>
        </w:tc>
        <w:tc>
          <w:tcPr>
            <w:tcW w:w="1000" w:type="dxa"/>
            <w:vAlign w:val="bottom"/>
            <w:gridSpan w:val="2"/>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7620" w:type="dxa"/>
            <w:vAlign w:val="bottom"/>
            <w:tcBorders>
              <w:bottom w:val="single" w:sz="8" w:color="auto"/>
            </w:tcBorders>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1.1*</w:t>
            </w:r>
          </w:p>
        </w:tc>
        <w:tc>
          <w:tcPr>
            <w:tcW w:w="76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Form of Underwriting Agreement for debt securities registered hereby.</w:t>
            </w:r>
          </w:p>
        </w:tc>
        <w:tc>
          <w:tcPr>
            <w:tcW w:w="0" w:type="dxa"/>
            <w:vAlign w:val="bottom"/>
          </w:tcPr>
          <w:p>
            <w:pPr>
              <w:spacing w:after="0"/>
              <w:rPr>
                <w:sz w:val="1"/>
                <w:szCs w:val="1"/>
                <w:color w:val="auto"/>
              </w:rPr>
            </w:pPr>
          </w:p>
        </w:tc>
      </w:tr>
      <w:tr>
        <w:trPr>
          <w:trHeight w:val="224"/>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3.1</w:t>
            </w:r>
          </w:p>
        </w:tc>
        <w:tc>
          <w:tcPr>
            <w:tcW w:w="76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Amended and Restated Certificate of Formation of Dell International L.L.C. (incorporated by reference to Exhibit 3.1 to the</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Registration Statement on Form S-3 of Dell Technologies Inc., Dell International L.L.C., EMC Corporation and the other registrants</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560" w:type="dxa"/>
            <w:vAlign w:val="bottom"/>
            <w:tcBorders>
              <w:bottom w:val="single" w:sz="8" w:color="0000EE"/>
            </w:tcBorders>
            <w:gridSpan w:val="3"/>
          </w:tcPr>
          <w:p>
            <w:pPr>
              <w:spacing w:after="0" w:line="150"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listed therein (File No. 333-269159) filed on January 9, 2023).</w:t>
              </w:r>
            </w:hyperlink>
          </w:p>
        </w:tc>
        <w:tc>
          <w:tcPr>
            <w:tcW w:w="40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3.2</w:t>
            </w:r>
          </w:p>
        </w:tc>
        <w:tc>
          <w:tcPr>
            <w:tcW w:w="76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Second Amended and Restated Limited Liability Company Agreement of Dell International L.L.C. (incorporated by reference to</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Exhibit 3.2 to the Registration Statement on Form S-3 of Dell Technologies Inc., Dell International L.L.C., EMC Corporation and the</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gridSpan w:val="11"/>
          </w:tcPr>
          <w:p>
            <w:pPr>
              <w:spacing w:after="0" w:line="150"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other registrants listed therein (File No. 333-269159) filed on January 9, 2023).</w:t>
              </w:r>
            </w:hyperlink>
          </w:p>
        </w:tc>
        <w:tc>
          <w:tcPr>
            <w:tcW w:w="0" w:type="dxa"/>
            <w:vAlign w:val="bottom"/>
          </w:tcPr>
          <w:p>
            <w:pPr>
              <w:spacing w:after="0"/>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3.3**</w:t>
            </w:r>
          </w:p>
        </w:tc>
        <w:tc>
          <w:tcPr>
            <w:tcW w:w="39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Restated Articles of Organization of EMC Corporation, as amended.</w:t>
            </w:r>
          </w:p>
        </w:tc>
        <w:tc>
          <w:tcPr>
            <w:tcW w:w="600" w:type="dxa"/>
            <w:vAlign w:val="bottom"/>
            <w:tcBorders>
              <w:top w:val="single" w:sz="8" w:color="0000EE"/>
            </w:tcBorders>
            <w:gridSpan w:val="2"/>
          </w:tcPr>
          <w:p>
            <w:pPr>
              <w:spacing w:after="0"/>
              <w:rPr>
                <w:sz w:val="20"/>
                <w:szCs w:val="20"/>
                <w:color w:val="auto"/>
              </w:rPr>
            </w:pPr>
          </w:p>
        </w:tc>
        <w:tc>
          <w:tcPr>
            <w:tcW w:w="31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3.4</w:t>
            </w:r>
          </w:p>
        </w:tc>
        <w:tc>
          <w:tcPr>
            <w:tcW w:w="76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Amended and Restated Bylaws of EMC Corporation (incorporated by reference to Exhibit 3.4 to the Registration Statement on Form</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S-4 of Dell International L.L.C., EMC Corporation and the other registrants listed therein (File No. 333-255258-27) filed on April 15,</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w w:val="99"/>
              </w:rPr>
            </w:pPr>
            <w:hyperlink r:id="rId62">
              <w:r>
                <w:rPr>
                  <w:rFonts w:ascii="Times New Roman" w:cs="Times New Roman" w:eastAsia="Times New Roman" w:hAnsi="Times New Roman"/>
                  <w:sz w:val="14"/>
                  <w:szCs w:val="14"/>
                  <w:color w:val="0000EE"/>
                  <w:w w:val="99"/>
                </w:rPr>
                <w:t>2021).</w:t>
              </w:r>
            </w:hyperlink>
          </w:p>
        </w:tc>
        <w:tc>
          <w:tcPr>
            <w:tcW w:w="2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3.5</w:t>
            </w:r>
          </w:p>
        </w:tc>
        <w:tc>
          <w:tcPr>
            <w:tcW w:w="76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Sixth Amended and Restated Certificate of Incorporation of Dell Technologies Inc. (incorporated by reference to Exhibit 3.1 to Dell</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gridSpan w:val="11"/>
          </w:tcPr>
          <w:p>
            <w:pPr>
              <w:spacing w:after="0" w:line="150"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Technologies Inc.’s Current Report on Form 8-K (File No. 001-37867) filed on June 29, 2022).</w:t>
              </w:r>
            </w:hyperlink>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3.6</w:t>
            </w:r>
          </w:p>
        </w:tc>
        <w:tc>
          <w:tcPr>
            <w:tcW w:w="76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Third Amended and Restated Bylaws of Dell Technologies Inc. (incorporated by reference to Exhibit 3.2 to Dell Technologies Inc.’s</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gridSpan w:val="11"/>
          </w:tcPr>
          <w:p>
            <w:pPr>
              <w:spacing w:after="0" w:line="150"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Current Report on Form 8-K (File No. 001-37867) filed on June 29, 2022).</w:t>
              </w:r>
            </w:hyperlink>
          </w:p>
        </w:tc>
        <w:tc>
          <w:tcPr>
            <w:tcW w:w="0" w:type="dxa"/>
            <w:vAlign w:val="bottom"/>
          </w:tcPr>
          <w:p>
            <w:pPr>
              <w:spacing w:after="0"/>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3.7**</w:t>
            </w:r>
          </w:p>
        </w:tc>
        <w:tc>
          <w:tcPr>
            <w:tcW w:w="4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Amended and Restated Certificate of Incorporation of Dell Inc.</w:t>
            </w:r>
          </w:p>
        </w:tc>
        <w:tc>
          <w:tcPr>
            <w:tcW w:w="336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3.8</w:t>
            </w:r>
          </w:p>
        </w:tc>
        <w:tc>
          <w:tcPr>
            <w:tcW w:w="76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Amended and Restated Bylaws of Dell Inc. (incorporated by reference to Exhibit 3.8 to the Registration Statement on Form S-4 of</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Dell International L.L.C., EMC Corporation and the other registrants listed therein (File No. 333-255258-27) filed on April 15, 2021).</w:t>
              </w:r>
            </w:hyperlink>
          </w:p>
        </w:tc>
        <w:tc>
          <w:tcPr>
            <w:tcW w:w="0" w:type="dxa"/>
            <w:vAlign w:val="bottom"/>
          </w:tcPr>
          <w:p>
            <w:pPr>
              <w:spacing w:after="0"/>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3.9</w:t>
            </w:r>
          </w:p>
        </w:tc>
        <w:tc>
          <w:tcPr>
            <w:tcW w:w="76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Second Amended and Restated Certificate of Incorporation of Denali Intermediate Inc. (incorporated by reference to Exhibit 3.61 to</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the Registration Statement on Form S-4 of Dell International L.L.C., EMC Corporation and the other registrants listed therein (File</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0" w:type="dxa"/>
            <w:vAlign w:val="bottom"/>
            <w:tcBorders>
              <w:bottom w:val="single" w:sz="8" w:color="0000EE"/>
            </w:tcBorders>
            <w:gridSpan w:val="2"/>
          </w:tcPr>
          <w:p>
            <w:pPr>
              <w:spacing w:after="0" w:line="150"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No. 333-255258-27) filed on April 15, 2021).</w:t>
              </w:r>
            </w:hyperlink>
          </w:p>
        </w:tc>
        <w:tc>
          <w:tcPr>
            <w:tcW w:w="50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3.10</w:t>
            </w:r>
          </w:p>
        </w:tc>
        <w:tc>
          <w:tcPr>
            <w:tcW w:w="76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Second Amended and Restated Bylaws of Denali Intermediate Inc. (incorporated by reference to Exhibit 3.62 to the Registration</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Statement  on  Form  S-4  of  Dell  International  L.L.C.,  EMC  Corporation  and  the  other  registrants  listed  therein  (File</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0" w:type="dxa"/>
            <w:vAlign w:val="bottom"/>
            <w:tcBorders>
              <w:bottom w:val="single" w:sz="8" w:color="0000EE"/>
            </w:tcBorders>
            <w:gridSpan w:val="2"/>
          </w:tcPr>
          <w:p>
            <w:pPr>
              <w:spacing w:after="0" w:line="150"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No. 333-255258-27) filed on April 15, 2021).</w:t>
              </w:r>
            </w:hyperlink>
          </w:p>
        </w:tc>
        <w:tc>
          <w:tcPr>
            <w:tcW w:w="50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4.1</w:t>
            </w:r>
          </w:p>
        </w:tc>
        <w:tc>
          <w:tcPr>
            <w:tcW w:w="76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Base Indenture, dated as of January 24, 2023, among Dell International L.L.C., EMC Corporation, the guarantors party thereto and</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The Bank of New York Mellon Trust Company, N.A., as Trustee (incorporated by reference to Exhibit 4.1 to the Current Report on</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60" w:type="dxa"/>
            <w:vAlign w:val="bottom"/>
            <w:tcBorders>
              <w:bottom w:val="single" w:sz="8" w:color="0000EE"/>
            </w:tcBorders>
            <w:gridSpan w:val="8"/>
          </w:tcPr>
          <w:p>
            <w:pPr>
              <w:spacing w:after="0" w:line="150"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Form 8-K of Dell Technologies Inc. (File No. 001-37867) filed on January 24, 2023).</w:t>
              </w:r>
            </w:hyperlink>
          </w:p>
        </w:tc>
        <w:tc>
          <w:tcPr>
            <w:tcW w:w="27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4.2</w:t>
            </w:r>
          </w:p>
        </w:tc>
        <w:tc>
          <w:tcPr>
            <w:tcW w:w="76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2028 Notes Supplemental Indenture No. 1, dated as of January 24, 2023, among Dell International L.L.C., EMC Corporation, the</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20" w:type="dxa"/>
            <w:vAlign w:val="bottom"/>
            <w:gridSpan w:val="11"/>
          </w:tcPr>
          <w:p>
            <w:pPr>
              <w:spacing w:after="0" w:line="150"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EE"/>
                </w:rPr>
                <w:t xml:space="preserve"> to the Current Report on Form 8-K of Dell Technologies Inc. (File No. 001-37867) filed on January 24, 2023).</w:t>
              </w:r>
            </w:hyperlink>
          </w:p>
        </w:tc>
        <w:tc>
          <w:tcPr>
            <w:tcW w:w="0" w:type="dxa"/>
            <w:vAlign w:val="bottom"/>
          </w:tcPr>
          <w:p>
            <w:pPr>
              <w:spacing w:after="0"/>
              <w:rPr>
                <w:sz w:val="1"/>
                <w:szCs w:val="1"/>
                <w:color w:val="auto"/>
              </w:rPr>
            </w:pPr>
          </w:p>
        </w:tc>
      </w:tr>
      <w:tr>
        <w:trPr>
          <w:trHeight w:val="299"/>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tcPr>
          <w:p>
            <w:pPr>
              <w:spacing w:after="0"/>
              <w:rPr>
                <w:sz w:val="24"/>
                <w:szCs w:val="24"/>
                <w:color w:val="auto"/>
              </w:rPr>
            </w:pPr>
          </w:p>
        </w:tc>
        <w:tc>
          <w:tcPr>
            <w:tcW w:w="3880" w:type="dxa"/>
            <w:vAlign w:val="bottom"/>
            <w:tcBorders>
              <w:top w:val="single" w:sz="8" w:color="0000EE"/>
            </w:tcBorders>
            <w:gridSpan w:val="8"/>
          </w:tcPr>
          <w:p>
            <w:pPr>
              <w:jc w:val="center"/>
              <w:ind w:right="2520"/>
              <w:spacing w:after="0"/>
              <w:rPr>
                <w:sz w:val="20"/>
                <w:szCs w:val="20"/>
                <w:color w:val="auto"/>
              </w:rPr>
            </w:pPr>
            <w:r>
              <w:rPr>
                <w:rFonts w:ascii="Times New Roman" w:cs="Times New Roman" w:eastAsia="Times New Roman" w:hAnsi="Times New Roman"/>
                <w:sz w:val="14"/>
                <w:szCs w:val="14"/>
                <w:color w:val="auto"/>
                <w:w w:val="99"/>
              </w:rPr>
              <w:t>II-10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9"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2033 Notes Supplemental Indenture No. 1, dated as of January 24, 2023,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7640" w:type="dxa"/>
            <w:vAlign w:val="bottom"/>
            <w:gridSpan w:val="5"/>
          </w:tcPr>
          <w:p>
            <w:pPr>
              <w:spacing w:after="0" w:line="150"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0000EE"/>
                </w:rPr>
                <w:t xml:space="preserve"> to the Current Report on Form 8-K of Dell Technologies Inc. (File No. 001-37867) filed on January 24, 2023).</w:t>
              </w:r>
            </w:hyperlink>
          </w:p>
        </w:tc>
      </w:tr>
      <w:tr>
        <w:trPr>
          <w:trHeight w:val="20"/>
        </w:trPr>
        <w:tc>
          <w:tcPr>
            <w:tcW w:w="1040" w:type="dxa"/>
            <w:vAlign w:val="bottom"/>
          </w:tcPr>
          <w:p>
            <w:pPr>
              <w:spacing w:after="0" w:line="20" w:lineRule="exact"/>
              <w:rPr>
                <w:sz w:val="1"/>
                <w:szCs w:val="1"/>
                <w:color w:val="auto"/>
              </w:rPr>
            </w:pPr>
          </w:p>
        </w:tc>
        <w:tc>
          <w:tcPr>
            <w:tcW w:w="6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2034 Notes Supplemental Indenture No. 1, dated as of March 18, 2024,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6420" w:type="dxa"/>
            <w:vAlign w:val="bottom"/>
            <w:tcBorders>
              <w:bottom w:val="single" w:sz="8" w:color="0000EE"/>
            </w:tcBorders>
            <w:gridSpan w:val="2"/>
          </w:tcPr>
          <w:p>
            <w:pPr>
              <w:spacing w:after="0" w:line="150"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the Current Report on Form 8-K of Dell Technologies Inc. (File No. 001-37867) filed on March 18, 2024).</w:t>
              </w:r>
            </w:hyperlink>
          </w:p>
        </w:tc>
        <w:tc>
          <w:tcPr>
            <w:tcW w:w="1220" w:type="dxa"/>
            <w:vAlign w:val="bottom"/>
            <w:gridSpan w:val="3"/>
          </w:tcPr>
          <w:p>
            <w:pPr>
              <w:spacing w:after="0"/>
              <w:rPr>
                <w:sz w:val="13"/>
                <w:szCs w:val="13"/>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2030 Notes Supplemental Indenture No. 1, dated as of October 8, 2024,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6480" w:type="dxa"/>
            <w:vAlign w:val="bottom"/>
            <w:tcBorders>
              <w:bottom w:val="single" w:sz="8" w:color="0000EE"/>
            </w:tcBorders>
            <w:gridSpan w:val="4"/>
          </w:tcPr>
          <w:p>
            <w:pPr>
              <w:spacing w:after="0" w:line="150"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the Current Report on Form 8-K of Dell Technologies Inc. (File No. 001-37867) filed on October 8, 2024).</w:t>
              </w:r>
            </w:hyperlink>
          </w:p>
        </w:tc>
        <w:tc>
          <w:tcPr>
            <w:tcW w:w="1160" w:type="dxa"/>
            <w:vAlign w:val="bottom"/>
          </w:tcPr>
          <w:p>
            <w:pPr>
              <w:spacing w:after="0"/>
              <w:rPr>
                <w:sz w:val="13"/>
                <w:szCs w:val="13"/>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2035 Notes Supplemental Indenture No. 1, dated as of October 8, 2024,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6480" w:type="dxa"/>
            <w:vAlign w:val="bottom"/>
            <w:tcBorders>
              <w:bottom w:val="single" w:sz="8" w:color="0000EE"/>
            </w:tcBorders>
            <w:gridSpan w:val="4"/>
          </w:tcPr>
          <w:p>
            <w:pPr>
              <w:spacing w:after="0" w:line="150"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EE"/>
                </w:rPr>
                <w:t xml:space="preserve"> to the Current Report on Form 8-K of Dell Technologies Inc. (File No. 001-37867) filed on October 8, 2024).</w:t>
              </w:r>
            </w:hyperlink>
          </w:p>
        </w:tc>
        <w:tc>
          <w:tcPr>
            <w:tcW w:w="1160" w:type="dxa"/>
            <w:vAlign w:val="bottom"/>
          </w:tcPr>
          <w:p>
            <w:pPr>
              <w:spacing w:after="0"/>
              <w:rPr>
                <w:sz w:val="13"/>
                <w:szCs w:val="13"/>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2028 Notes Supplemental Indenture No. 1, dated as of April 1, 2025,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628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the Current Report on Form 8-K of Dell Technologies Inc. (File No. 001-37867) filed on April 1, 2025).</w:t>
              </w:r>
            </w:hyperlink>
          </w:p>
        </w:tc>
        <w:tc>
          <w:tcPr>
            <w:tcW w:w="1360" w:type="dxa"/>
            <w:vAlign w:val="bottom"/>
            <w:gridSpan w:val="4"/>
          </w:tcPr>
          <w:p>
            <w:pPr>
              <w:spacing w:after="0"/>
              <w:rPr>
                <w:sz w:val="13"/>
                <w:szCs w:val="13"/>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2030 Notes Supplemental Indenture No. 1, dated as of April 1, 2025,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628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EE"/>
                </w:rPr>
                <w:t xml:space="preserve"> to the Current Report on Form 8-K of Dell Technologies Inc. (File No. 001-37867) filed on April 1, 2025).</w:t>
              </w:r>
            </w:hyperlink>
          </w:p>
        </w:tc>
        <w:tc>
          <w:tcPr>
            <w:tcW w:w="1360" w:type="dxa"/>
            <w:vAlign w:val="bottom"/>
            <w:gridSpan w:val="4"/>
          </w:tcPr>
          <w:p>
            <w:pPr>
              <w:spacing w:after="0"/>
              <w:rPr>
                <w:sz w:val="13"/>
                <w:szCs w:val="13"/>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4.9</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2032 Notes Supplemental Indenture No. 1, dated as of April 1, 2025,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628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0000EE"/>
                </w:rPr>
                <w:t xml:space="preserve"> to the Current Report on Form 8-K of Dell Technologies Inc. (File No. 001-37867) filed on April 1, 2025).</w:t>
              </w:r>
            </w:hyperlink>
          </w:p>
        </w:tc>
        <w:tc>
          <w:tcPr>
            <w:tcW w:w="1360" w:type="dxa"/>
            <w:vAlign w:val="bottom"/>
            <w:gridSpan w:val="4"/>
          </w:tcPr>
          <w:p>
            <w:pPr>
              <w:spacing w:after="0"/>
              <w:rPr>
                <w:sz w:val="13"/>
                <w:szCs w:val="13"/>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4.10</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2035 Notes Supplemental Indenture No. 1, dated as of April 1, 2025,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628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0000EE"/>
                </w:rPr>
                <w:t xml:space="preserve"> to the Current Report on Form 8-K of Dell Technologies Inc. (File No. 001-37867) filed on April 1, 2025).</w:t>
              </w:r>
            </w:hyperlink>
          </w:p>
        </w:tc>
        <w:tc>
          <w:tcPr>
            <w:tcW w:w="1360" w:type="dxa"/>
            <w:vAlign w:val="bottom"/>
            <w:gridSpan w:val="4"/>
          </w:tcPr>
          <w:p>
            <w:pPr>
              <w:spacing w:after="0"/>
              <w:rPr>
                <w:sz w:val="13"/>
                <w:szCs w:val="13"/>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4.11</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2029 Notes Supplemental Indenture No. 1, dated as of October 6, 2025,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6480" w:type="dxa"/>
            <w:vAlign w:val="bottom"/>
            <w:tcBorders>
              <w:bottom w:val="single" w:sz="8" w:color="0000EE"/>
            </w:tcBorders>
            <w:gridSpan w:val="4"/>
          </w:tcPr>
          <w:p>
            <w:pPr>
              <w:spacing w:after="0" w:line="150"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the Current Report on Form 8-K of Dell Technologies Inc. (File No. 001-37867) filed on October 6, 2025).</w:t>
              </w:r>
            </w:hyperlink>
          </w:p>
        </w:tc>
        <w:tc>
          <w:tcPr>
            <w:tcW w:w="1160" w:type="dxa"/>
            <w:vAlign w:val="bottom"/>
          </w:tcPr>
          <w:p>
            <w:pPr>
              <w:spacing w:after="0"/>
              <w:rPr>
                <w:sz w:val="13"/>
                <w:szCs w:val="13"/>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4.12</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2031 Notes Supplemental Indenture No. 1, dated as of October 6, 2025,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6480" w:type="dxa"/>
            <w:vAlign w:val="bottom"/>
            <w:tcBorders>
              <w:bottom w:val="single" w:sz="8" w:color="0000EE"/>
            </w:tcBorders>
            <w:gridSpan w:val="4"/>
          </w:tcPr>
          <w:p>
            <w:pPr>
              <w:spacing w:after="0" w:line="150"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EE"/>
                </w:rPr>
                <w:t xml:space="preserve"> to the Current Report on Form 8-K of Dell Technologies Inc. (File No. 001-37867) filed on October 6, 2025).</w:t>
              </w:r>
            </w:hyperlink>
          </w:p>
        </w:tc>
        <w:tc>
          <w:tcPr>
            <w:tcW w:w="1160" w:type="dxa"/>
            <w:vAlign w:val="bottom"/>
          </w:tcPr>
          <w:p>
            <w:pPr>
              <w:spacing w:after="0"/>
              <w:rPr>
                <w:sz w:val="13"/>
                <w:szCs w:val="13"/>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4.13</w:t>
            </w:r>
          </w:p>
        </w:tc>
        <w:tc>
          <w:tcPr>
            <w:tcW w:w="76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2032 Notes Supplemental Indenture No. 1, dated as of October 6, 2025, among Dell International L.L.C., EMC Corporation, the</w:t>
              </w:r>
            </w:hyperlink>
          </w:p>
        </w:tc>
      </w:tr>
      <w:tr>
        <w:trPr>
          <w:trHeight w:val="150"/>
        </w:trPr>
        <w:tc>
          <w:tcPr>
            <w:tcW w:w="1040" w:type="dxa"/>
            <w:vAlign w:val="bottom"/>
          </w:tcPr>
          <w:p>
            <w:pPr>
              <w:spacing w:after="0"/>
              <w:rPr>
                <w:sz w:val="13"/>
                <w:szCs w:val="13"/>
                <w:color w:val="auto"/>
              </w:rPr>
            </w:pPr>
          </w:p>
        </w:tc>
        <w:tc>
          <w:tcPr>
            <w:tcW w:w="76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40" w:type="dxa"/>
            <w:vAlign w:val="bottom"/>
          </w:tcPr>
          <w:p>
            <w:pPr>
              <w:spacing w:after="0"/>
              <w:rPr>
                <w:sz w:val="13"/>
                <w:szCs w:val="13"/>
                <w:color w:val="auto"/>
              </w:rPr>
            </w:pPr>
          </w:p>
        </w:tc>
        <w:tc>
          <w:tcPr>
            <w:tcW w:w="6440" w:type="dxa"/>
            <w:vAlign w:val="bottom"/>
            <w:tcBorders>
              <w:bottom w:val="single" w:sz="8" w:color="0000EE"/>
            </w:tcBorders>
            <w:gridSpan w:val="3"/>
          </w:tcPr>
          <w:p>
            <w:pPr>
              <w:spacing w:after="0" w:line="150"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0000EE"/>
                </w:rPr>
                <w:t xml:space="preserve"> to the Current Report on Form 8-K of Dell Technologies Inc. (File No. 001-37867) filed on October 6, 2025).</w:t>
              </w:r>
            </w:hyperlink>
          </w:p>
        </w:tc>
        <w:tc>
          <w:tcPr>
            <w:tcW w:w="1200" w:type="dxa"/>
            <w:vAlign w:val="bottom"/>
            <w:gridSpan w:val="2"/>
          </w:tcPr>
          <w:p>
            <w:pPr>
              <w:spacing w:after="0"/>
              <w:rPr>
                <w:sz w:val="13"/>
                <w:szCs w:val="13"/>
                <w:color w:val="auto"/>
              </w:rPr>
            </w:pPr>
          </w:p>
        </w:tc>
      </w:tr>
      <w:tr>
        <w:trPr>
          <w:trHeight w:val="299"/>
        </w:trPr>
        <w:tc>
          <w:tcPr>
            <w:tcW w:w="1040" w:type="dxa"/>
            <w:vAlign w:val="bottom"/>
          </w:tcPr>
          <w:p>
            <w:pPr>
              <w:spacing w:after="0"/>
              <w:rPr>
                <w:sz w:val="24"/>
                <w:szCs w:val="24"/>
                <w:color w:val="auto"/>
              </w:rPr>
            </w:pPr>
          </w:p>
        </w:tc>
        <w:tc>
          <w:tcPr>
            <w:tcW w:w="7640" w:type="dxa"/>
            <w:vAlign w:val="bottom"/>
            <w:gridSpan w:val="5"/>
          </w:tcPr>
          <w:p>
            <w:pPr>
              <w:ind w:left="3160"/>
              <w:spacing w:after="0"/>
              <w:rPr>
                <w:sz w:val="20"/>
                <w:szCs w:val="20"/>
                <w:color w:val="auto"/>
              </w:rPr>
            </w:pPr>
            <w:r>
              <w:rPr>
                <w:rFonts w:ascii="Times New Roman" w:cs="Times New Roman" w:eastAsia="Times New Roman" w:hAnsi="Times New Roman"/>
                <w:sz w:val="14"/>
                <w:szCs w:val="14"/>
                <w:color w:val="auto"/>
              </w:rPr>
              <w:t>II-11</w:t>
            </w:r>
          </w:p>
        </w:tc>
      </w:tr>
    </w:tbl>
    <w:p>
      <w:pPr>
        <w:sectPr>
          <w:pgSz w:w="11900" w:h="16838" w:orient="portrait"/>
          <w:cols w:equalWidth="0" w:num="1">
            <w:col w:w="10159"/>
          </w:cols>
          <w:pgMar w:left="300" w:top="389"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    4.14</w:t>
            </w:r>
          </w:p>
        </w:tc>
        <w:tc>
          <w:tcPr>
            <w:tcW w:w="762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2036 Notes Supplemental Indenture No. 1, dated as of October 6, 2025, among Dell International L.L.C., EMC Corporation, the</w:t>
              </w:r>
            </w:hyperlink>
          </w:p>
        </w:tc>
      </w:tr>
      <w:tr>
        <w:trPr>
          <w:trHeight w:val="150"/>
        </w:trPr>
        <w:tc>
          <w:tcPr>
            <w:tcW w:w="1060" w:type="dxa"/>
            <w:vAlign w:val="bottom"/>
          </w:tcPr>
          <w:p>
            <w:pPr>
              <w:spacing w:after="0"/>
              <w:rPr>
                <w:sz w:val="13"/>
                <w:szCs w:val="13"/>
                <w:color w:val="auto"/>
              </w:rPr>
            </w:pPr>
          </w:p>
        </w:tc>
        <w:tc>
          <w:tcPr>
            <w:tcW w:w="7620" w:type="dxa"/>
            <w:vAlign w:val="bottom"/>
            <w:tcBorders>
              <w:bottom w:val="single" w:sz="8" w:color="0000EE"/>
            </w:tcBorders>
            <w:gridSpan w:val="7"/>
          </w:tcPr>
          <w:p>
            <w:pPr>
              <w:spacing w:after="0" w:line="150"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guarantors party thereto and The Bank of New York Mellon Trust Company, N.A., as Trustee (incorporated by reference to Exhibit</w:t>
              </w:r>
            </w:hyperlink>
          </w:p>
        </w:tc>
      </w:tr>
      <w:tr>
        <w:trPr>
          <w:trHeight w:val="150"/>
        </w:trPr>
        <w:tc>
          <w:tcPr>
            <w:tcW w:w="1060" w:type="dxa"/>
            <w:vAlign w:val="bottom"/>
          </w:tcPr>
          <w:p>
            <w:pPr>
              <w:spacing w:after="0"/>
              <w:rPr>
                <w:sz w:val="13"/>
                <w:szCs w:val="13"/>
                <w:color w:val="auto"/>
              </w:rPr>
            </w:pPr>
          </w:p>
        </w:tc>
        <w:tc>
          <w:tcPr>
            <w:tcW w:w="6440" w:type="dxa"/>
            <w:vAlign w:val="bottom"/>
            <w:tcBorders>
              <w:bottom w:val="single" w:sz="8" w:color="0000EE"/>
            </w:tcBorders>
            <w:gridSpan w:val="6"/>
          </w:tcPr>
          <w:p>
            <w:pPr>
              <w:spacing w:after="0" w:line="150"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0000EE"/>
                </w:rPr>
                <w:t xml:space="preserve"> to the Current Report on Form 8-K of Dell Technologies Inc. (File No. 001-37867) filed on October 6, 2025).</w:t>
              </w:r>
            </w:hyperlink>
          </w:p>
        </w:tc>
        <w:tc>
          <w:tcPr>
            <w:tcW w:w="1180" w:type="dxa"/>
            <w:vAlign w:val="bottom"/>
          </w:tcPr>
          <w:p>
            <w:pPr>
              <w:spacing w:after="0"/>
              <w:rPr>
                <w:sz w:val="13"/>
                <w:szCs w:val="13"/>
                <w:color w:val="auto"/>
              </w:rPr>
            </w:pPr>
          </w:p>
        </w:tc>
      </w:tr>
      <w:tr>
        <w:trPr>
          <w:trHeight w:val="235"/>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2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Opinion of Simpson Thacher &amp; Bartlett LLP.</w:t>
            </w:r>
          </w:p>
        </w:tc>
        <w:tc>
          <w:tcPr>
            <w:tcW w:w="5040" w:type="dxa"/>
            <w:vAlign w:val="bottom"/>
            <w:gridSpan w:val="5"/>
          </w:tcPr>
          <w:p>
            <w:pPr>
              <w:spacing w:after="0"/>
              <w:rPr>
                <w:sz w:val="20"/>
                <w:szCs w:val="20"/>
                <w:color w:val="auto"/>
              </w:rPr>
            </w:pPr>
          </w:p>
        </w:tc>
      </w:tr>
      <w:tr>
        <w:trPr>
          <w:trHeight w:val="235"/>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  22.1**</w:t>
            </w:r>
          </w:p>
        </w:tc>
        <w:tc>
          <w:tcPr>
            <w:tcW w:w="762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List of Guarantor Subsidiaries and Issuers of Guaranteed Securities.</w:t>
            </w:r>
          </w:p>
        </w:tc>
      </w:tr>
      <w:tr>
        <w:trPr>
          <w:trHeight w:val="235"/>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23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Consent of PricewaterhouseCoopers LLP.</w:t>
            </w:r>
          </w:p>
        </w:tc>
        <w:tc>
          <w:tcPr>
            <w:tcW w:w="1480" w:type="dxa"/>
            <w:vAlign w:val="bottom"/>
            <w:tcBorders>
              <w:top w:val="single" w:sz="8" w:color="0000EE"/>
            </w:tcBorders>
            <w:gridSpan w:val="2"/>
          </w:tcPr>
          <w:p>
            <w:pPr>
              <w:spacing w:after="0"/>
              <w:rPr>
                <w:sz w:val="20"/>
                <w:szCs w:val="20"/>
                <w:color w:val="auto"/>
              </w:rPr>
            </w:pPr>
          </w:p>
        </w:tc>
        <w:tc>
          <w:tcPr>
            <w:tcW w:w="3760" w:type="dxa"/>
            <w:vAlign w:val="bottom"/>
            <w:gridSpan w:val="4"/>
          </w:tcPr>
          <w:p>
            <w:pPr>
              <w:spacing w:after="0"/>
              <w:rPr>
                <w:sz w:val="20"/>
                <w:szCs w:val="20"/>
                <w:color w:val="auto"/>
              </w:rPr>
            </w:pPr>
          </w:p>
        </w:tc>
      </w:tr>
      <w:tr>
        <w:trPr>
          <w:trHeight w:val="235"/>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4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Consent of Simpson Thacher &amp; Bartlett LLP (included as part of Exhibit 5.1).</w:t>
            </w:r>
          </w:p>
        </w:tc>
        <w:tc>
          <w:tcPr>
            <w:tcW w:w="3180" w:type="dxa"/>
            <w:vAlign w:val="bottom"/>
            <w:gridSpan w:val="3"/>
          </w:tcPr>
          <w:p>
            <w:pPr>
              <w:spacing w:after="0"/>
              <w:rPr>
                <w:sz w:val="20"/>
                <w:szCs w:val="20"/>
                <w:color w:val="auto"/>
              </w:rPr>
            </w:pPr>
          </w:p>
        </w:tc>
      </w:tr>
      <w:tr>
        <w:trPr>
          <w:trHeight w:val="235"/>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4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Powers of Attorney (included in signature pages of this Registration Statement).</w:t>
            </w:r>
          </w:p>
        </w:tc>
        <w:tc>
          <w:tcPr>
            <w:tcW w:w="3060" w:type="dxa"/>
            <w:vAlign w:val="bottom"/>
            <w:gridSpan w:val="2"/>
          </w:tcPr>
          <w:p>
            <w:pPr>
              <w:spacing w:after="0"/>
              <w:rPr>
                <w:sz w:val="20"/>
                <w:szCs w:val="20"/>
                <w:color w:val="auto"/>
              </w:rPr>
            </w:pPr>
          </w:p>
        </w:tc>
      </w:tr>
    </w:tbl>
    <w:p>
      <w:pPr>
        <w:spacing w:after="0" w:line="92" w:lineRule="exact"/>
        <w:rPr>
          <w:sz w:val="20"/>
          <w:szCs w:val="20"/>
          <w:color w:val="auto"/>
        </w:rPr>
      </w:pPr>
    </w:p>
    <w:p>
      <w:pPr>
        <w:ind w:left="2360" w:right="179" w:hanging="1057"/>
        <w:spacing w:after="0" w:line="271" w:lineRule="auto"/>
        <w:tabs>
          <w:tab w:leader="none" w:pos="136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25.1**</w:t>
      </w:r>
      <w:r>
        <w:rPr>
          <w:rFonts w:ascii="Times New Roman" w:cs="Times New Roman" w:eastAsia="Times New Roman" w:hAnsi="Times New Roman"/>
          <w:sz w:val="14"/>
          <w:szCs w:val="14"/>
          <w:u w:val="single" w:color="auto"/>
          <w:color w:val="0000EE"/>
        </w:rPr>
        <w:t>Form T-1 Statement of Eligibility under the Trust Indenture Act of 1939, as amended, of The Bank of New York Mellon Trust Company, N.A. with respect to the form of Base Indenture among Dell International L.L.C., EMC Corporation, the guarantors party thereto and The Bank of New York Mellon Trust Company, N.A.</w:t>
      </w:r>
    </w:p>
    <w:p>
      <w:pPr>
        <w:spacing w:after="0" w:line="50" w:lineRule="exact"/>
        <w:rPr>
          <w:sz w:val="20"/>
          <w:szCs w:val="20"/>
          <w:color w:val="auto"/>
        </w:rPr>
      </w:pPr>
    </w:p>
    <w:p>
      <w:pPr>
        <w:ind w:left="1300"/>
        <w:spacing w:after="0"/>
        <w:tabs>
          <w:tab w:leader="none" w:pos="2340" w:val="left"/>
        </w:tabs>
        <w:rPr>
          <w:sz w:val="20"/>
          <w:szCs w:val="20"/>
          <w:color w:val="auto"/>
        </w:rPr>
      </w:pPr>
      <w:r>
        <w:rPr>
          <w:rFonts w:ascii="Times New Roman" w:cs="Times New Roman" w:eastAsia="Times New Roman" w:hAnsi="Times New Roman"/>
          <w:sz w:val="14"/>
          <w:szCs w:val="14"/>
          <w:color w:val="auto"/>
        </w:rPr>
        <w:t>   107**</w:t>
      </w:r>
      <w:r>
        <w:rPr>
          <w:sz w:val="20"/>
          <w:szCs w:val="20"/>
          <w:color w:val="auto"/>
        </w:rPr>
        <w:tab/>
      </w: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82550</wp:posOffset>
            </wp:positionV>
            <wp:extent cx="6083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38" w:lineRule="exact"/>
        <w:rPr>
          <w:sz w:val="20"/>
          <w:szCs w:val="20"/>
          <w:color w:val="auto"/>
        </w:rPr>
      </w:pPr>
    </w:p>
    <w:p>
      <w:pPr>
        <w:ind w:left="1300" w:right="1279" w:firstLine="3"/>
        <w:spacing w:after="0" w:line="288" w:lineRule="auto"/>
        <w:tabs>
          <w:tab w:leader="none" w:pos="1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necessary, by amendment or as an exhibit to a Current Report on Form 8-K and incorporated by reference herein. ** Filed herewith.</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II-12</w:t>
      </w:r>
    </w:p>
    <w:p>
      <w:pPr>
        <w:sectPr>
          <w:pgSz w:w="11900" w:h="16838" w:orient="portrait"/>
          <w:cols w:equalWidth="0" w:num="1">
            <w:col w:w="10159"/>
          </w:cols>
          <w:pgMar w:left="300" w:top="389"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Round Rock, Texas, on this 11th day of June, 2026.</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Date: June 11, 2026</w:t>
      </w:r>
    </w:p>
    <w:p>
      <w:pPr>
        <w:spacing w:after="0" w:line="20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DELL INTERNATIONAL L.L.C.</w:t>
      </w:r>
    </w:p>
    <w:p>
      <w:pPr>
        <w:spacing w:after="0" w:line="1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DELL INC., its Sole Member</w:t>
      </w:r>
    </w:p>
    <w:p>
      <w:pPr>
        <w:spacing w:after="0" w:line="179"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Christopher Garcia</w:t>
            </w:r>
          </w:p>
        </w:tc>
      </w:tr>
      <w:tr>
        <w:trPr>
          <w:trHeight w:val="157"/>
        </w:trPr>
        <w:tc>
          <w:tcPr>
            <w:tcW w:w="4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Christopher Garcia</w:t>
            </w:r>
          </w:p>
        </w:tc>
      </w:t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and Assistant Secretary</w:t>
            </w:r>
          </w:p>
        </w:tc>
      </w:tr>
    </w:tbl>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Each person whose signature appears below hereby constitutes and appoints David Kennedy, Richard J. Rothberg and Christopher Garcia, and each of them, any of whom may act without joinder of the other, as the individual’s true and lawful attorneys-in-fact and agents, with full power of substitution and resubstitution, for the person and in his or her name, place and stead, in any and all capacities, to sign this Registration Statement and any and all amendments, including post-effective amendments to this Registration Statement, including any filings pursuant to Rule 462(b) under the Securities Act of 1933, as amended, and to file the same, with all exhibits thereto, and all other documents in connection therewith to be filed with the Securities and Exchange Commission, and hereby grants to such attorneys-in-fact and agents, and each of them, full power and authority to do and perform each and every act and anything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45"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and Power of Attorney have been signed by the following persons in the capacities indicated on this 11th day of June, 2026.</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4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spacing w:after="0"/>
              <w:rPr>
                <w:sz w:val="12"/>
                <w:szCs w:val="12"/>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320"/>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S. Dell</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S. Dell</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Kennedy</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Kennedy</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3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Richard Troy Sharp</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Vice President, Corporate Finance and Chief Accounting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Troy Sharp</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28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II-13</w:t>
            </w:r>
          </w:p>
        </w:tc>
      </w:tr>
    </w:tbl>
    <w:p>
      <w:pPr>
        <w:sectPr>
          <w:pgSz w:w="11900" w:h="16838" w:orient="portrait"/>
          <w:cols w:equalWidth="0" w:num="1">
            <w:col w:w="10159"/>
          </w:cols>
          <w:pgMar w:left="300" w:top="389"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Round Rock, Texas, on this 11th day of June, 2026.</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Date: June 11, 2026</w:t>
      </w:r>
    </w:p>
    <w:p>
      <w:pPr>
        <w:spacing w:after="0" w:line="20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EMC CORPORATION</w:t>
      </w:r>
    </w:p>
    <w:p>
      <w:pPr>
        <w:spacing w:after="0" w:line="179"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Christopher Garcia</w:t>
            </w:r>
          </w:p>
        </w:tc>
      </w:tr>
      <w:tr>
        <w:trPr>
          <w:trHeight w:val="157"/>
        </w:trPr>
        <w:tc>
          <w:tcPr>
            <w:tcW w:w="4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Christopher Garcia</w:t>
            </w:r>
          </w:p>
        </w:tc>
      </w:t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and Assistant Secretary</w:t>
            </w:r>
          </w:p>
        </w:tc>
      </w:tr>
    </w:tbl>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Each person whose signature appears below hereby constitutes and appoints David Kennedy, Richard J. Rothberg and Christopher Garcia, and each of them, any of whom may act without joinder of the other, as the individual’s true and lawful attorneys-in-fact and agents, with full power of substitution and resubstitution, for the person and in his or her name, place and stead, in any and all capacities, to sign this Registration Statement and any and all amendments, including post-effective amendments to this Registration Statement, including any filings pursuant to Rule 462(b) under the Securities Act of 1933, as amended, and to file the same, with all exhibits thereto, and all other documents in connection therewith to be filed with the Securities and Exchange Commission, and hereby grants to such attorneys-in-fact and agents, and each of them, full power and authority to do and perform each and every act and anything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45"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and Power of Attorney have been signed by the following persons in the capacities indicated on this 11th day of June, 2026.</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4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spacing w:after="0"/>
              <w:rPr>
                <w:sz w:val="12"/>
                <w:szCs w:val="12"/>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320"/>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S. Dell</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S. Dell</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Charles Yeager</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Charles Yeager</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3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Richard Troy Sharp</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Vice President, Corporate Finance and Chief Accounting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Troy Sharp</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33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Christopher Garcia</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Christopher Garcia</w:t>
            </w:r>
          </w:p>
        </w:tc>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28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II-14</w:t>
            </w:r>
          </w:p>
        </w:tc>
      </w:tr>
    </w:tbl>
    <w:p>
      <w:pPr>
        <w:sectPr>
          <w:pgSz w:w="11900" w:h="16838" w:orient="portrait"/>
          <w:cols w:equalWidth="0" w:num="1">
            <w:col w:w="10159"/>
          </w:cols>
          <w:pgMar w:left="300" w:top="389"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Round Rock, Texas, on this 11th day of June, 2026.</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Date: June 11, 2026</w:t>
      </w:r>
    </w:p>
    <w:p>
      <w:pPr>
        <w:spacing w:after="0" w:line="20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DELL INC.</w:t>
      </w:r>
    </w:p>
    <w:p>
      <w:pPr>
        <w:spacing w:after="0" w:line="179"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Christopher Garcia</w:t>
            </w:r>
          </w:p>
        </w:tc>
      </w:tr>
      <w:tr>
        <w:trPr>
          <w:trHeight w:val="157"/>
        </w:trPr>
        <w:tc>
          <w:tcPr>
            <w:tcW w:w="4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Christopher Garcia</w:t>
            </w:r>
          </w:p>
        </w:tc>
      </w:t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and Assistant Secretary</w:t>
            </w:r>
          </w:p>
        </w:tc>
      </w:tr>
    </w:tbl>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Each person whose signature appears below hereby constitutes and appoints David Kennedy, Richard J. Rothberg and Christopher Garcia, and each of them, any of whom may act without joinder of the other, as the individual’s true and lawful attorneys-in-fact and agents, with full power of substitution and resubstitution, for the person and in his or her name, place and stead, in any and all capacities, to sign this Registration Statement and any and all amendments, including post-effective amendments to this Registration Statement, including any filings pursuant to Rule 462(b) under the Securities Act of 1933, as amended, and to file the same, with all exhibits thereto, and all other documents in connection therewith to be filed with the Securities and Exchange Commission, and hereby grants to such attorneys-in-fact and agents, and each of them, full power and authority to do and perform each and every act and anything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45"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and Power of Attorney have been signed by the following persons in the capacities indicated on this 11th day of June, 2026.</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4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spacing w:after="0"/>
              <w:rPr>
                <w:sz w:val="12"/>
                <w:szCs w:val="12"/>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320"/>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S. Dell</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S. Dell</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Kennedy</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Kennedy</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3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Richard Troy Sharp</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Vice President, Corporate Finance and Chief Accounting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Troy Sharp</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33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Christopher Garcia</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Christopher Garcia</w:t>
            </w:r>
          </w:p>
        </w:tc>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28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II-15</w:t>
            </w:r>
          </w:p>
        </w:tc>
      </w:tr>
    </w:tbl>
    <w:p>
      <w:pPr>
        <w:sectPr>
          <w:pgSz w:w="11900" w:h="16838" w:orient="portrait"/>
          <w:cols w:equalWidth="0" w:num="1">
            <w:col w:w="10159"/>
          </w:cols>
          <w:pgMar w:left="300" w:top="389"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Round Rock, Texas, on this 11th day of June, 2026.</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Date: June 11, 2026</w:t>
      </w:r>
    </w:p>
    <w:p>
      <w:pPr>
        <w:spacing w:after="0" w:line="20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DELL TECHNOLOGIES INC.</w:t>
      </w:r>
    </w:p>
    <w:p>
      <w:pPr>
        <w:spacing w:after="0" w:line="179"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Michael S. Dell</w:t>
            </w:r>
          </w:p>
        </w:tc>
      </w:tr>
      <w:tr>
        <w:trPr>
          <w:trHeight w:val="157"/>
        </w:trPr>
        <w:tc>
          <w:tcPr>
            <w:tcW w:w="4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Michael S. Dell</w:t>
            </w:r>
          </w:p>
        </w:tc>
      </w:t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Chairman and Chief Executive Officer</w:t>
            </w:r>
          </w:p>
        </w:tc>
      </w:tr>
    </w:tbl>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Each person whose signature appears below hereby constitutes and appoints David Kennedy, Richard J. Rothberg and Christopher Garcia, and each of them, any of whom may act without joinder of the other, as the individual’s true and lawful attorneys-in-fact and agents, with full power of substitution and resubstitution, for the person and in his or her name, place and stead, in any and all capacities, to sign this Registration Statement and any and all amendments, including post-effective amendments to this Registration Statement, including any filings pursuant to Rule 462(b) under the Securities Act of 1933, as amended, and to file the same, with all exhibits thereto, and all other documents in connection therewith to be filed with the Securities and Exchange Commission, and hereby grants to such attorneys-in-fact and agents, and each of them, full power and authority to do and perform each and every act and anything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45"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and Power of Attorney have been signed by the following persons in the capacities indicated on this 11th day of June, 2026.</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4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spacing w:after="0"/>
              <w:rPr>
                <w:sz w:val="12"/>
                <w:szCs w:val="12"/>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320"/>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S. Dell</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S. Dell</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Kennedy</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Kennedy</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3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Richard Troy Sharp</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Vice President, Corporate Finance and</w:t>
            </w:r>
          </w:p>
        </w:tc>
      </w:tr>
      <w:tr>
        <w:trPr>
          <w:trHeight w:val="136"/>
        </w:trPr>
        <w:tc>
          <w:tcPr>
            <w:tcW w:w="39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Richard Troy Sharp</w:t>
            </w:r>
          </w:p>
        </w:tc>
        <w:tc>
          <w:tcPr>
            <w:tcW w:w="180" w:type="dxa"/>
            <w:vAlign w:val="bottom"/>
          </w:tcPr>
          <w:p>
            <w:pPr>
              <w:spacing w:after="0"/>
              <w:rPr>
                <w:sz w:val="11"/>
                <w:szCs w:val="11"/>
                <w:color w:val="auto"/>
              </w:rPr>
            </w:pPr>
          </w:p>
        </w:tc>
        <w:tc>
          <w:tcPr>
            <w:tcW w:w="45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Chief Accounting Officer</w:t>
            </w:r>
          </w:p>
        </w:tc>
      </w:tr>
      <w:tr>
        <w:trPr>
          <w:trHeight w:val="184"/>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351"/>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W. Dorman</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W. Dorman</w:t>
            </w:r>
          </w:p>
        </w:tc>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33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Egon Durban</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Egon Durban</w:t>
            </w:r>
          </w:p>
        </w:tc>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28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II-16</w:t>
            </w:r>
          </w:p>
        </w:tc>
      </w:tr>
    </w:tbl>
    <w:p>
      <w:pPr>
        <w:sectPr>
          <w:pgSz w:w="11900" w:h="16838" w:orient="portrait"/>
          <w:cols w:equalWidth="0" w:num="1">
            <w:col w:w="10159"/>
          </w:cols>
          <w:pgMar w:left="300" w:top="389"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300" w:type="dxa"/>
        <w:tblCellMar>
          <w:top w:w="0" w:type="dxa"/>
          <w:left w:w="0" w:type="dxa"/>
          <w:bottom w:w="0" w:type="dxa"/>
          <w:right w:w="0" w:type="dxa"/>
        </w:tblCellMar>
      </w:tblPr>
      <w:tr>
        <w:trPr>
          <w:trHeight w:val="14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spacing w:after="0"/>
              <w:rPr>
                <w:sz w:val="12"/>
                <w:szCs w:val="12"/>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320"/>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David Grain</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Grain</w:t>
            </w:r>
          </w:p>
        </w:tc>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33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William D. Green</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William D. Green</w:t>
            </w:r>
          </w:p>
        </w:tc>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33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Ellen J. Kullman</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Ellen J. Kullman</w:t>
            </w:r>
          </w:p>
        </w:tc>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33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Steven Mollenkopf</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Steven Mollenkopf</w:t>
            </w:r>
          </w:p>
        </w:tc>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33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Lynn Vojvodich Radakovich</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Lynn Vojvodich Radakovich</w:t>
            </w:r>
          </w:p>
        </w:tc>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28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II-17</w:t>
            </w:r>
          </w:p>
        </w:tc>
      </w:tr>
    </w:tbl>
    <w:p>
      <w:pPr>
        <w:sectPr>
          <w:pgSz w:w="11900" w:h="16838" w:orient="portrait"/>
          <w:cols w:equalWidth="0" w:num="1">
            <w:col w:w="10159"/>
          </w:cols>
          <w:pgMar w:left="300" w:top="389"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jc w:val="both"/>
        <w:ind w:left="1300" w:right="17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Round Rock, Texas, on this 11th day of June, 2026.</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Date: June 11, 2026</w:t>
      </w:r>
    </w:p>
    <w:p>
      <w:pPr>
        <w:spacing w:after="0" w:line="20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DENALI INTERMEDIATE INC.</w:t>
      </w:r>
    </w:p>
    <w:p>
      <w:pPr>
        <w:spacing w:after="0" w:line="179"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Christopher Garcia</w:t>
            </w:r>
          </w:p>
        </w:tc>
      </w:tr>
      <w:tr>
        <w:trPr>
          <w:trHeight w:val="157"/>
        </w:trPr>
        <w:tc>
          <w:tcPr>
            <w:tcW w:w="4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Christopher Garcia</w:t>
            </w:r>
          </w:p>
        </w:tc>
      </w:t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and Assistant Secretary</w:t>
            </w:r>
          </w:p>
        </w:tc>
      </w:tr>
    </w:tbl>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jc w:val="both"/>
        <w:ind w:left="1300" w:right="179" w:firstLine="347"/>
        <w:spacing w:after="0" w:line="258" w:lineRule="auto"/>
        <w:rPr>
          <w:sz w:val="20"/>
          <w:szCs w:val="20"/>
          <w:color w:val="auto"/>
        </w:rPr>
      </w:pPr>
      <w:r>
        <w:rPr>
          <w:rFonts w:ascii="Times New Roman" w:cs="Times New Roman" w:eastAsia="Times New Roman" w:hAnsi="Times New Roman"/>
          <w:sz w:val="14"/>
          <w:szCs w:val="14"/>
          <w:color w:val="auto"/>
        </w:rPr>
        <w:t>Each person whose signature appears below hereby constitutes and appoints David Kennedy, Richard J. Rothberg and Christopher Garcia, and each of them, any of whom may act without joinder of the other, as the individual’s true and lawful attorneys-in-fact and agents, with full power of substitution and resubstitution, for the person and in his or her name, place and stead, in any and all capacities, to sign this Registration Statement and any and all amendments, including post-effective amendments to this Registration Statement, including any filings pursuant to Rule 462(b) under the Securities Act of 1933, as amended, and to file the same, with all exhibits thereto, and all other documents in connection therewith to be filed with the Securities and Exchange Commission, and hereby grants to such attorneys-in-fact and agents, and each of them, full power and authority to do and perform each and every act and anything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45" w:lineRule="exact"/>
        <w:rPr>
          <w:sz w:val="20"/>
          <w:szCs w:val="20"/>
          <w:color w:val="auto"/>
        </w:rPr>
      </w:pPr>
    </w:p>
    <w:p>
      <w:pPr>
        <w:jc w:val="both"/>
        <w:ind w:left="1300" w:right="17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and Power of Attorney have been signed by the following persons in the capacities indicated on this 11th day of June, 2026.</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14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spacing w:after="0"/>
              <w:rPr>
                <w:sz w:val="12"/>
                <w:szCs w:val="12"/>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320"/>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S. Dell</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S. Dell</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Kennedy</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Kennedy</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36"/>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Richard Troy Sharp</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Vice President, Corporate Finance and Chief Accounting Officer</w:t>
            </w:r>
          </w:p>
        </w:tc>
      </w:tr>
      <w:tr>
        <w:trPr>
          <w:trHeight w:val="176"/>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Troy Sharp</w:t>
            </w:r>
          </w:p>
        </w:tc>
        <w:tc>
          <w:tcPr>
            <w:tcW w:w="180" w:type="dxa"/>
            <w:vAlign w:val="bottom"/>
          </w:tcPr>
          <w:p>
            <w:pPr>
              <w:spacing w:after="0"/>
              <w:rPr>
                <w:sz w:val="15"/>
                <w:szCs w:val="15"/>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33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Christopher Garcia</w:t>
            </w:r>
          </w:p>
        </w:tc>
        <w:tc>
          <w:tcPr>
            <w:tcW w:w="1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Christopher Garcia</w:t>
            </w:r>
          </w:p>
        </w:tc>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28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II-18</w:t>
            </w:r>
          </w:p>
        </w:tc>
      </w:tr>
    </w:tbl>
    <w:p>
      <w:pPr>
        <w:sectPr>
          <w:pgSz w:w="11900" w:h="16838" w:orient="portrait"/>
          <w:cols w:equalWidth="0" w:num="1">
            <w:col w:w="10159"/>
          </w:cols>
          <w:pgMar w:left="300" w:top="389" w:right="1440" w:bottom="1440" w:gutter="0" w:footer="0" w:header="0"/>
        </w:sectPr>
      </w:pPr>
    </w:p>
    <w:bookmarkStart w:id="43" w:name="page44"/>
    <w:bookmarkEnd w:id="43"/>
    <w:p>
      <w:pPr>
        <w:ind w:left="10620"/>
        <w:spacing w:after="0"/>
        <w:rPr>
          <w:sz w:val="20"/>
          <w:szCs w:val="20"/>
          <w:color w:val="auto"/>
        </w:rPr>
      </w:pPr>
      <w:r>
        <w:rPr>
          <w:rFonts w:ascii="Times New Roman" w:cs="Times New Roman" w:eastAsia="Times New Roman" w:hAnsi="Times New Roman"/>
          <w:sz w:val="14"/>
          <w:szCs w:val="14"/>
          <w:b w:val="1"/>
          <w:bCs w:val="1"/>
          <w:color w:val="auto"/>
        </w:rPr>
        <w:t>Exhibit 3.3</w:t>
      </w:r>
    </w:p>
    <w:p>
      <w:pPr>
        <w:sectPr>
          <w:pgSz w:w="11900" w:h="16838" w:orient="portrait"/>
          <w:cols w:equalWidth="0" w:num="1">
            <w:col w:w="11280"/>
          </w:cols>
          <w:pgMar w:left="300" w:top="123" w:right="31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34"/>
          <w:szCs w:val="34"/>
          <w:b w:val="1"/>
          <w:bCs w:val="1"/>
          <w:color w:val="auto"/>
        </w:rPr>
        <w: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34"/>
          <w:szCs w:val="34"/>
          <w:b w:val="1"/>
          <w:bCs w:val="1"/>
          <w:color w:val="auto"/>
        </w:rPr>
        <w:t>PC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373" w:lineRule="exact"/>
        <w:rPr>
          <w:sz w:val="20"/>
          <w:szCs w:val="20"/>
          <w:color w:val="auto"/>
        </w:rPr>
      </w:pPr>
    </w:p>
    <w:p>
      <w:pPr>
        <w:ind w:left="320" w:hanging="315"/>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Exact name of corporation:</w:t>
      </w:r>
    </w:p>
    <w:p>
      <w:pPr>
        <w:spacing w:after="0" w:line="21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Registered office address: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20"/>
          <w:szCs w:val="20"/>
          <w:b w:val="1"/>
          <w:bCs w:val="1"/>
          <w:color w:val="auto"/>
        </w:rPr>
        <w:t>The Commonwealth of Massachusetts</w:t>
      </w:r>
    </w:p>
    <w:p>
      <w:pPr>
        <w:spacing w:after="0" w:line="2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 w:type="dxa"/>
            <w:vAlign w:val="bottom"/>
          </w:tcPr>
          <w:p>
            <w:pPr>
              <w:spacing w:after="0"/>
              <w:rPr>
                <w:sz w:val="14"/>
                <w:szCs w:val="14"/>
                <w:color w:val="auto"/>
              </w:rPr>
            </w:pPr>
          </w:p>
        </w:tc>
        <w:tc>
          <w:tcPr>
            <w:tcW w:w="638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Restated Articles of Organization</w:t>
            </w:r>
          </w:p>
        </w:tc>
        <w:tc>
          <w:tcPr>
            <w:tcW w:w="240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FORM MUST BE TYPED</w:t>
            </w:r>
          </w:p>
        </w:tc>
      </w:tr>
      <w:tr>
        <w:trPr>
          <w:trHeight w:val="184"/>
        </w:trPr>
        <w:tc>
          <w:tcPr>
            <w:tcW w:w="120" w:type="dxa"/>
            <w:vAlign w:val="bottom"/>
          </w:tcPr>
          <w:p>
            <w:pPr>
              <w:spacing w:after="0"/>
              <w:rPr>
                <w:sz w:val="16"/>
                <w:szCs w:val="16"/>
                <w:color w:val="auto"/>
              </w:rPr>
            </w:pPr>
          </w:p>
        </w:tc>
        <w:tc>
          <w:tcPr>
            <w:tcW w:w="63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(General Laws Chapter 156D, Section 10.07; 950 CMR 113.35)</w:t>
            </w:r>
          </w:p>
        </w:tc>
        <w:tc>
          <w:tcPr>
            <w:tcW w:w="2400" w:type="dxa"/>
            <w:vAlign w:val="bottom"/>
          </w:tcPr>
          <w:p>
            <w:pPr>
              <w:spacing w:after="0"/>
              <w:rPr>
                <w:sz w:val="16"/>
                <w:szCs w:val="16"/>
                <w:color w:val="auto"/>
              </w:rPr>
            </w:pPr>
          </w:p>
        </w:tc>
      </w:tr>
      <w:tr>
        <w:trPr>
          <w:trHeight w:val="362"/>
        </w:trPr>
        <w:tc>
          <w:tcPr>
            <w:tcW w:w="120" w:type="dxa"/>
            <w:vAlign w:val="bottom"/>
          </w:tcPr>
          <w:p>
            <w:pPr>
              <w:spacing w:after="0"/>
              <w:rPr>
                <w:sz w:val="24"/>
                <w:szCs w:val="24"/>
                <w:color w:val="auto"/>
              </w:rPr>
            </w:pPr>
          </w:p>
        </w:tc>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 042680009</w:t>
            </w:r>
          </w:p>
        </w:tc>
        <w:tc>
          <w:tcPr>
            <w:tcW w:w="2400" w:type="dxa"/>
            <w:vAlign w:val="bottom"/>
            <w:tcBorders>
              <w:bottom w:val="single" w:sz="8" w:color="auto"/>
            </w:tcBorders>
          </w:tcPr>
          <w:p>
            <w:pPr>
              <w:spacing w:after="0"/>
              <w:rPr>
                <w:sz w:val="24"/>
                <w:szCs w:val="24"/>
                <w:color w:val="auto"/>
              </w:rPr>
            </w:pPr>
          </w:p>
        </w:tc>
      </w:tr>
      <w:tr>
        <w:trPr>
          <w:trHeight w:val="352"/>
        </w:trPr>
        <w:tc>
          <w:tcPr>
            <w:tcW w:w="6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176 South Street, Hopkinton, MA 01748</w:t>
            </w:r>
          </w:p>
        </w:tc>
        <w:tc>
          <w:tcPr>
            <w:tcW w:w="2400" w:type="dxa"/>
            <w:vAlign w:val="bottom"/>
            <w:tcBorders>
              <w:bottom w:val="single" w:sz="8" w:color="auto"/>
            </w:tcBorders>
          </w:tcPr>
          <w:p>
            <w:pPr>
              <w:spacing w:after="0"/>
              <w:rPr>
                <w:sz w:val="24"/>
                <w:szCs w:val="24"/>
                <w:color w:val="auto"/>
              </w:rPr>
            </w:pPr>
          </w:p>
        </w:tc>
      </w:tr>
      <w:tr>
        <w:trPr>
          <w:trHeight w:val="177"/>
        </w:trPr>
        <w:tc>
          <w:tcPr>
            <w:tcW w:w="120" w:type="dxa"/>
            <w:vAlign w:val="bottom"/>
          </w:tcPr>
          <w:p>
            <w:pPr>
              <w:spacing w:after="0"/>
              <w:rPr>
                <w:sz w:val="15"/>
                <w:szCs w:val="15"/>
                <w:color w:val="auto"/>
              </w:rPr>
            </w:pPr>
          </w:p>
        </w:tc>
        <w:tc>
          <w:tcPr>
            <w:tcW w:w="6380" w:type="dxa"/>
            <w:vAlign w:val="bottom"/>
          </w:tcPr>
          <w:p>
            <w:pPr>
              <w:ind w:left="3080"/>
              <w:spacing w:after="0"/>
              <w:rPr>
                <w:sz w:val="20"/>
                <w:szCs w:val="20"/>
                <w:color w:val="auto"/>
              </w:rPr>
            </w:pPr>
            <w:r>
              <w:rPr>
                <w:rFonts w:ascii="Times New Roman" w:cs="Times New Roman" w:eastAsia="Times New Roman" w:hAnsi="Times New Roman"/>
                <w:sz w:val="14"/>
                <w:szCs w:val="14"/>
                <w:i w:val="1"/>
                <w:iCs w:val="1"/>
                <w:color w:val="auto"/>
              </w:rPr>
              <w:t>(number, street, city or town, slate, zip code)</w:t>
            </w:r>
          </w:p>
        </w:tc>
        <w:tc>
          <w:tcPr>
            <w:tcW w:w="2400" w:type="dxa"/>
            <w:vAlign w:val="bottom"/>
          </w:tcPr>
          <w:p>
            <w:pPr>
              <w:spacing w:after="0"/>
              <w:rPr>
                <w:sz w:val="15"/>
                <w:szCs w:val="15"/>
                <w:color w:val="auto"/>
              </w:rPr>
            </w:pPr>
          </w:p>
        </w:tc>
      </w:tr>
    </w:tbl>
    <w:p>
      <w:pPr>
        <w:spacing w:after="0" w:line="161" w:lineRule="exact"/>
        <w:rPr>
          <w:sz w:val="20"/>
          <w:szCs w:val="20"/>
          <w:color w:val="auto"/>
        </w:rPr>
      </w:pPr>
    </w:p>
    <w:p>
      <w:pPr>
        <w:sectPr>
          <w:pgSz w:w="11900" w:h="16838" w:orient="portrait"/>
          <w:cols w:equalWidth="0" w:num="2">
            <w:col w:w="1860" w:space="520"/>
            <w:col w:w="890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(3)  Date adopted:</w:t>
            </w:r>
          </w:p>
        </w:tc>
        <w:tc>
          <w:tcPr>
            <w:tcW w:w="9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May 1, 2013</w:t>
            </w:r>
          </w:p>
        </w:tc>
      </w:tr>
    </w:tbl>
    <w:p>
      <w:pPr>
        <w:ind w:left="5860"/>
        <w:spacing w:after="0"/>
        <w:rPr>
          <w:sz w:val="20"/>
          <w:szCs w:val="20"/>
          <w:color w:val="auto"/>
        </w:rPr>
      </w:pPr>
      <w:r>
        <w:rPr>
          <w:rFonts w:ascii="Times New Roman" w:cs="Times New Roman" w:eastAsia="Times New Roman" w:hAnsi="Times New Roman"/>
          <w:sz w:val="14"/>
          <w:szCs w:val="14"/>
          <w:i w:val="1"/>
          <w:iCs w:val="1"/>
          <w:color w:val="auto"/>
        </w:rPr>
        <w:t>(month, day,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-100965</wp:posOffset>
            </wp:positionV>
            <wp:extent cx="622935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6229350" cy="6985"/>
                    </a:xfrm>
                    <a:prstGeom prst="rect">
                      <a:avLst/>
                    </a:prstGeom>
                    <a:noFill/>
                  </pic:spPr>
                </pic:pic>
              </a:graphicData>
            </a:graphic>
          </wp:anchor>
        </w:drawing>
      </w:r>
    </w:p>
    <w:p>
      <w:pPr>
        <w:spacing w:after="0" w:line="156" w:lineRule="exact"/>
        <w:rPr>
          <w:sz w:val="20"/>
          <w:szCs w:val="20"/>
          <w:color w:val="auto"/>
        </w:rPr>
      </w:pPr>
    </w:p>
    <w:p>
      <w:pPr>
        <w:ind w:left="280" w:hanging="275"/>
        <w:spacing w:after="0"/>
        <w:tabs>
          <w:tab w:leader="none" w:pos="2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by:</w:t>
      </w:r>
    </w:p>
    <w:p>
      <w:pPr>
        <w:spacing w:after="0" w:line="177" w:lineRule="exact"/>
        <w:rPr>
          <w:rFonts w:ascii="Times New Roman" w:cs="Times New Roman" w:eastAsia="Times New Roman" w:hAnsi="Times New Roman"/>
          <w:sz w:val="14"/>
          <w:szCs w:val="14"/>
          <w:color w:val="auto"/>
        </w:rPr>
      </w:pPr>
    </w:p>
    <w:p>
      <w:pPr>
        <w:ind w:left="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60" w:hanging="278"/>
        <w:spacing w:after="0"/>
        <w:tabs>
          <w:tab w:leader="none" w:pos="560" w:val="left"/>
        </w:tabs>
        <w:numPr>
          <w:ilvl w:val="0"/>
          <w:numId w:val="3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directors without shareholder approval and shareholder approval was not required;</w:t>
      </w:r>
    </w:p>
    <w:p>
      <w:pPr>
        <w:spacing w:after="0" w:line="179" w:lineRule="exact"/>
        <w:rPr>
          <w:rFonts w:ascii="MS PGothic" w:cs="MS PGothic" w:eastAsia="MS PGothic" w:hAnsi="MS PGothic"/>
          <w:sz w:val="14"/>
          <w:szCs w:val="14"/>
          <w:color w:val="auto"/>
        </w:rPr>
      </w:pPr>
    </w:p>
    <w:p>
      <w:pPr>
        <w:ind w:left="28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48" w:lineRule="exact"/>
        <w:rPr>
          <w:sz w:val="20"/>
          <w:szCs w:val="20"/>
          <w:color w:val="auto"/>
        </w:rPr>
      </w:pPr>
    </w:p>
    <w:p>
      <w:pPr>
        <w:ind w:left="2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board of directors and the shareholders in the manner required by G.L. Chapter 156D and the corporation’s articles of organization.</w:t>
      </w:r>
    </w:p>
    <w:p>
      <w:pPr>
        <w:spacing w:after="0" w:line="210" w:lineRule="exact"/>
        <w:rPr>
          <w:sz w:val="20"/>
          <w:szCs w:val="20"/>
          <w:color w:val="auto"/>
        </w:rPr>
      </w:pPr>
    </w:p>
    <w:p>
      <w:pPr>
        <w:ind w:left="280" w:hanging="275"/>
        <w:spacing w:after="0" w:line="288" w:lineRule="auto"/>
        <w:tabs>
          <w:tab w:leader="none" w:pos="2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information is required to be included in the articles of organization pursuant to G.L. Chapter 156D, Section 2.02 except that the supplemental information provided for in Article VIII is not required:*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exact name of the corporation is: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EMC Corporation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Unless the articles of organization otherwise provide, all corporations formed pursuant to G.L. Chapter 156D have the purpose of engaging in any lawful business. Please specify if you want a more limited purpose:**</w:t>
      </w:r>
    </w:p>
    <w:p>
      <w:pPr>
        <w:spacing w:after="0" w:line="138" w:lineRule="exact"/>
        <w:rPr>
          <w:sz w:val="20"/>
          <w:szCs w:val="20"/>
          <w:color w:val="auto"/>
        </w:rPr>
      </w:pPr>
    </w:p>
    <w:p>
      <w:pPr>
        <w:ind w:left="780" w:hanging="520"/>
        <w:spacing w:after="0"/>
        <w:tabs>
          <w:tab w:leader="none" w:pos="78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develop, manufacture and sell computer peripheral and enhancement equipment and related products and to engage in all other lawful business related thereto.</w:t>
      </w:r>
    </w:p>
    <w:p>
      <w:pPr>
        <w:spacing w:after="0" w:line="179" w:lineRule="exact"/>
        <w:rPr>
          <w:rFonts w:ascii="Times New Roman" w:cs="Times New Roman" w:eastAsia="Times New Roman" w:hAnsi="Times New Roman"/>
          <w:sz w:val="14"/>
          <w:szCs w:val="14"/>
          <w:color w:val="auto"/>
        </w:rPr>
      </w:pPr>
    </w:p>
    <w:p>
      <w:pPr>
        <w:ind w:left="780" w:hanging="520"/>
        <w:spacing w:after="0" w:line="288" w:lineRule="auto"/>
        <w:tabs>
          <w:tab w:leader="none" w:pos="78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carry on any manufacturing, mercantile, selling, management, service or other business, operation or activity which may lawfully be carried on by a corporation organized under the Business Corporation Law of The Commonwealth of Massachusetts, whether or not related to those referred to in the foregoing paragraph.</w:t>
      </w:r>
    </w:p>
    <w:p>
      <w:pPr>
        <w:spacing w:after="0" w:line="1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Changes to Article VIII must be made by filing a statement of change of supplemental information form.</w:t>
      </w:r>
    </w:p>
    <w:p>
      <w:pPr>
        <w:spacing w:after="0" w:line="25"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Professional corporations governed by G.L. Chapter 156A and must specify the professional activities of the corporation.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35814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358140" cy="6985"/>
                    </a:xfrm>
                    <a:prstGeom prst="rect">
                      <a:avLst/>
                    </a:prstGeom>
                    <a:noFill/>
                  </pic:spPr>
                </pic:pic>
              </a:graphicData>
            </a:graphic>
          </wp:anchor>
        </w:drawing>
      </w:r>
    </w:p>
    <w:p>
      <w:pPr>
        <w:spacing w:after="0" w:line="17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i w:val="1"/>
          <w:iCs w:val="1"/>
          <w:color w:val="auto"/>
        </w:rPr>
        <w:t>8/23/79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448945</wp:posOffset>
            </wp:positionV>
            <wp:extent cx="7161530"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III</w:t>
      </w:r>
    </w:p>
    <w:p>
      <w:pPr>
        <w:spacing w:after="0" w:line="2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State the total number of shares and par value, if any, of each class of stock that the corporation is authorized to issue. All corporations must authorize stock. If only one class on series is authorized, it is not necessary to specify any particular designation.</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420" w:type="dxa"/>
            <w:vAlign w:val="bottom"/>
            <w:tcBorders>
              <w:top w:val="single" w:sz="8" w:color="auto"/>
              <w:left w:val="single" w:sz="8" w:color="auto"/>
              <w:bottom w:val="single" w:sz="8" w:color="auto"/>
            </w:tcBorders>
          </w:tcPr>
          <w:p>
            <w:pPr>
              <w:spacing w:after="0"/>
              <w:rPr>
                <w:sz w:val="15"/>
                <w:szCs w:val="15"/>
                <w:color w:val="auto"/>
              </w:rPr>
            </w:pPr>
          </w:p>
        </w:tc>
        <w:tc>
          <w:tcPr>
            <w:tcW w:w="312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WITHOUT PAR VALUE</w:t>
            </w:r>
          </w:p>
        </w:tc>
        <w:tc>
          <w:tcPr>
            <w:tcW w:w="74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spacing w:after="0"/>
              <w:rPr>
                <w:sz w:val="15"/>
                <w:szCs w:val="15"/>
                <w:color w:val="auto"/>
              </w:rPr>
            </w:pPr>
          </w:p>
        </w:tc>
        <w:tc>
          <w:tcPr>
            <w:tcW w:w="22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WITH PAR VALUE</w:t>
            </w:r>
          </w:p>
        </w:tc>
        <w:tc>
          <w:tcPr>
            <w:tcW w:w="2260" w:type="dxa"/>
            <w:vAlign w:val="bottom"/>
            <w:tcBorders>
              <w:top w:val="single" w:sz="8" w:color="auto"/>
              <w:bottom w:val="single" w:sz="8" w:color="auto"/>
              <w:right w:val="single" w:sz="8" w:color="auto"/>
            </w:tcBorders>
          </w:tcPr>
          <w:p>
            <w:pPr>
              <w:spacing w:after="0"/>
              <w:rPr>
                <w:sz w:val="15"/>
                <w:szCs w:val="15"/>
                <w:color w:val="auto"/>
              </w:rPr>
            </w:pPr>
          </w:p>
        </w:tc>
      </w:tr>
      <w:tr>
        <w:trPr>
          <w:trHeight w:val="161"/>
        </w:trPr>
        <w:tc>
          <w:tcPr>
            <w:tcW w:w="1420" w:type="dxa"/>
            <w:vAlign w:val="bottom"/>
            <w:tcBorders>
              <w:left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TYPE</w:t>
            </w:r>
          </w:p>
        </w:tc>
        <w:tc>
          <w:tcPr>
            <w:tcW w:w="86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NUMBER OF SHARES</w:t>
            </w:r>
          </w:p>
        </w:tc>
        <w:tc>
          <w:tcPr>
            <w:tcW w:w="74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TYPE</w:t>
            </w:r>
          </w:p>
        </w:tc>
        <w:tc>
          <w:tcPr>
            <w:tcW w:w="2240" w:type="dxa"/>
            <w:vAlign w:val="bottom"/>
            <w:tcBorders>
              <w:bottom w:val="single" w:sz="8" w:color="auto"/>
              <w:right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NUMBER OF SHARES</w:t>
            </w:r>
          </w:p>
        </w:tc>
        <w:tc>
          <w:tcPr>
            <w:tcW w:w="2260" w:type="dxa"/>
            <w:vAlign w:val="bottom"/>
            <w:tcBorders>
              <w:bottom w:val="single" w:sz="8" w:color="auto"/>
              <w:right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PAR VALUE</w:t>
            </w:r>
          </w:p>
        </w:tc>
      </w:tr>
      <w:tr>
        <w:trPr>
          <w:trHeight w:val="161"/>
        </w:trPr>
        <w:tc>
          <w:tcPr>
            <w:tcW w:w="1420" w:type="dxa"/>
            <w:vAlign w:val="bottom"/>
            <w:tcBorders>
              <w:left w:val="single" w:sz="8" w:color="auto"/>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w:t>
            </w:r>
          </w:p>
        </w:tc>
        <w:tc>
          <w:tcPr>
            <w:tcW w:w="152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jc w:val="right"/>
              <w:ind w:right="1309"/>
              <w:spacing w:after="0"/>
              <w:rPr>
                <w:sz w:val="20"/>
                <w:szCs w:val="20"/>
                <w:color w:val="auto"/>
              </w:rPr>
            </w:pPr>
            <w:r>
              <w:rPr>
                <w:rFonts w:ascii="Times New Roman" w:cs="Times New Roman" w:eastAsia="Times New Roman" w:hAnsi="Times New Roman"/>
                <w:sz w:val="14"/>
                <w:szCs w:val="14"/>
                <w:color w:val="auto"/>
              </w:rPr>
              <w:t>6,000,000,000</w:t>
            </w:r>
          </w:p>
        </w:tc>
        <w:tc>
          <w:tcPr>
            <w:tcW w:w="2260" w:type="dxa"/>
            <w:vAlign w:val="bottom"/>
            <w:tcBorders>
              <w:bottom w:val="single" w:sz="8" w:color="auto"/>
              <w:right w:val="single" w:sz="8" w:color="auto"/>
            </w:tcBorders>
          </w:tcPr>
          <w:p>
            <w:pPr>
              <w:jc w:val="right"/>
              <w:ind w:right="1749"/>
              <w:spacing w:after="0"/>
              <w:rPr>
                <w:sz w:val="20"/>
                <w:szCs w:val="20"/>
                <w:color w:val="auto"/>
              </w:rPr>
            </w:pPr>
            <w:r>
              <w:rPr>
                <w:rFonts w:ascii="Times New Roman" w:cs="Times New Roman" w:eastAsia="Times New Roman" w:hAnsi="Times New Roman"/>
                <w:sz w:val="14"/>
                <w:szCs w:val="14"/>
                <w:color w:val="auto"/>
              </w:rPr>
              <w:t>$0.01</w:t>
            </w:r>
          </w:p>
        </w:tc>
      </w:tr>
      <w:tr>
        <w:trPr>
          <w:trHeight w:val="161"/>
        </w:trPr>
        <w:tc>
          <w:tcPr>
            <w:tcW w:w="1420" w:type="dxa"/>
            <w:vAlign w:val="bottom"/>
            <w:tcBorders>
              <w:left w:val="single" w:sz="8" w:color="auto"/>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Preferred</w:t>
            </w:r>
          </w:p>
        </w:tc>
        <w:tc>
          <w:tcPr>
            <w:tcW w:w="152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jc w:val="right"/>
              <w:ind w:right="1309"/>
              <w:spacing w:after="0"/>
              <w:rPr>
                <w:sz w:val="20"/>
                <w:szCs w:val="20"/>
                <w:color w:val="auto"/>
              </w:rPr>
            </w:pPr>
            <w:r>
              <w:rPr>
                <w:rFonts w:ascii="Times New Roman" w:cs="Times New Roman" w:eastAsia="Times New Roman" w:hAnsi="Times New Roman"/>
                <w:sz w:val="14"/>
                <w:szCs w:val="14"/>
                <w:color w:val="auto"/>
              </w:rPr>
              <w:t>25,000,000</w:t>
            </w:r>
          </w:p>
        </w:tc>
        <w:tc>
          <w:tcPr>
            <w:tcW w:w="2260" w:type="dxa"/>
            <w:vAlign w:val="bottom"/>
            <w:tcBorders>
              <w:bottom w:val="single" w:sz="8" w:color="auto"/>
              <w:right w:val="single" w:sz="8" w:color="auto"/>
            </w:tcBorders>
          </w:tcPr>
          <w:p>
            <w:pPr>
              <w:jc w:val="right"/>
              <w:ind w:right="1749"/>
              <w:spacing w:after="0"/>
              <w:rPr>
                <w:sz w:val="20"/>
                <w:szCs w:val="20"/>
                <w:color w:val="auto"/>
              </w:rPr>
            </w:pPr>
            <w:r>
              <w:rPr>
                <w:rFonts w:ascii="Times New Roman" w:cs="Times New Roman" w:eastAsia="Times New Roman" w:hAnsi="Times New Roman"/>
                <w:sz w:val="14"/>
                <w:szCs w:val="14"/>
                <w:color w:val="auto"/>
              </w:rPr>
              <w:t>$0.01</w:t>
            </w:r>
          </w:p>
        </w:tc>
      </w:tr>
      <w:tr>
        <w:trPr>
          <w:trHeight w:val="161"/>
        </w:trPr>
        <w:tc>
          <w:tcPr>
            <w:tcW w:w="1420" w:type="dxa"/>
            <w:vAlign w:val="bottom"/>
            <w:tcBorders>
              <w:left w:val="single" w:sz="8" w:color="auto"/>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color w:val="auto"/>
        </w:rPr>
        <w:t>Prior to the issuance of shares of any class or series, the articles of organization must set forth the preferences, limitations and relative rights of that class or series. The articles may also limit the type or specify the minimum amount of consideration for which shares of any class or series may be issued. Please set forth the preferences, limitations and relative rights of each class or series and, if desired, the required type and minimum amount of consideration to be received.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Attached Pages 4-A through 4-C.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restrictions, if any, imposed by the articles or organization upon the transfer of shares of any class or series of stock are: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Other lawful provisions, and if there are no such provisions, this article may be left blank.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Attached Pages 6-A through 6-E.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The preceding six (6) articles are considered to be permanent and may be changed only by filing appropriate articles of amendment.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 Chapter 156D eliminates the concept of par value, however a corporation may specify par value in Article III. See G.L. Chapter 156D, Section 6.21, and the comments relative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340995</wp:posOffset>
            </wp:positionV>
            <wp:extent cx="7161530" cy="27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IV</w:t>
      </w:r>
    </w:p>
    <w:p>
      <w:pPr>
        <w:spacing w:after="0" w:line="181" w:lineRule="exact"/>
        <w:rPr>
          <w:sz w:val="20"/>
          <w:szCs w:val="20"/>
          <w:color w:val="auto"/>
        </w:rPr>
      </w:pPr>
    </w:p>
    <w:p>
      <w:pPr>
        <w:ind w:right="60" w:firstLine="511"/>
        <w:spacing w:after="0" w:line="288" w:lineRule="auto"/>
        <w:rPr>
          <w:sz w:val="20"/>
          <w:szCs w:val="20"/>
          <w:color w:val="auto"/>
        </w:rPr>
      </w:pPr>
      <w:r>
        <w:rPr>
          <w:rFonts w:ascii="Times New Roman" w:cs="Times New Roman" w:eastAsia="Times New Roman" w:hAnsi="Times New Roman"/>
          <w:sz w:val="14"/>
          <w:szCs w:val="14"/>
          <w:color w:val="auto"/>
        </w:rPr>
        <w:t>The total number of shares of all classes of capital stock which the Company shall be authorized to issue is 6,025,000,000 shares, consisting of 6,000,000,000 shares of common stock, $.01 par value per share (the “Common Stock”), and 25,000,000 shares of preferred stock, $.01 par value per share (the “Series Preferred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w:t>
      </w:r>
    </w:p>
    <w:p>
      <w:pPr>
        <w:spacing w:after="0" w:line="179" w:lineRule="exact"/>
        <w:rPr>
          <w:sz w:val="20"/>
          <w:szCs w:val="20"/>
          <w:color w:val="auto"/>
        </w:rPr>
      </w:pPr>
    </w:p>
    <w:p>
      <w:pPr>
        <w:ind w:right="80" w:firstLine="511"/>
        <w:spacing w:after="0" w:line="271" w:lineRule="auto"/>
        <w:rPr>
          <w:sz w:val="20"/>
          <w:szCs w:val="20"/>
          <w:color w:val="auto"/>
        </w:rPr>
      </w:pPr>
      <w:r>
        <w:rPr>
          <w:rFonts w:ascii="Times New Roman" w:cs="Times New Roman" w:eastAsia="Times New Roman" w:hAnsi="Times New Roman"/>
          <w:sz w:val="14"/>
          <w:szCs w:val="14"/>
          <w:color w:val="auto"/>
        </w:rPr>
        <w:t>The holders of the Common Stock shall have the exclusive right to vote for the election of directors and on all other matters requiring action by the shareholders or submitted to the shareholders for action, except as may be determined by votes of the directors pursuant to Article 4 hereof or as may otherwise be required by law, and each share of the Common Stock shall entitle the holder thereof to one vote.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holders of the Common Stock shall be entitled to receive, to the extent permitted by law, such dividends as may from time to time be declared by the directors.</w:t>
      </w:r>
    </w:p>
    <w:p>
      <w:pPr>
        <w:spacing w:after="0" w:line="179" w:lineRule="exact"/>
        <w:rPr>
          <w:sz w:val="20"/>
          <w:szCs w:val="20"/>
          <w:color w:val="auto"/>
        </w:rPr>
      </w:pPr>
    </w:p>
    <w:p>
      <w:pPr>
        <w:ind w:firstLine="511"/>
        <w:spacing w:after="0" w:line="271" w:lineRule="auto"/>
        <w:rPr>
          <w:sz w:val="20"/>
          <w:szCs w:val="20"/>
          <w:color w:val="auto"/>
        </w:rPr>
      </w:pPr>
      <w:r>
        <w:rPr>
          <w:rFonts w:ascii="Times New Roman" w:cs="Times New Roman" w:eastAsia="Times New Roman" w:hAnsi="Times New Roman"/>
          <w:sz w:val="14"/>
          <w:szCs w:val="14"/>
          <w:color w:val="auto"/>
        </w:rPr>
        <w:t>Upon any voluntary or involuntary liquidation, dissolution or winding up of the Company, the holders of the Common Stock shall be entitled to receive the net assets of the Company, after the Company shall have satisfied or made provision for its debts and obligations and for payment to the holders of shares of any class or series having preferential rights to receive distributions of the net assets of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Preferred Stock</w:t>
      </w:r>
    </w:p>
    <w:p>
      <w:pPr>
        <w:spacing w:after="0" w:line="179" w:lineRule="exact"/>
        <w:rPr>
          <w:sz w:val="20"/>
          <w:szCs w:val="20"/>
          <w:color w:val="auto"/>
        </w:rPr>
      </w:pPr>
    </w:p>
    <w:p>
      <w:pPr>
        <w:ind w:right="20" w:firstLine="511"/>
        <w:spacing w:after="0" w:line="262" w:lineRule="auto"/>
        <w:rPr>
          <w:sz w:val="20"/>
          <w:szCs w:val="20"/>
          <w:color w:val="auto"/>
        </w:rPr>
      </w:pPr>
      <w:r>
        <w:rPr>
          <w:rFonts w:ascii="Times New Roman" w:cs="Times New Roman" w:eastAsia="Times New Roman" w:hAnsi="Times New Roman"/>
          <w:sz w:val="14"/>
          <w:szCs w:val="14"/>
          <w:color w:val="auto"/>
        </w:rPr>
        <w:t>The shares of Series Preferred Stock may be issued from time to time in one or more series. The directors may determine, in whole or in part, the preferences, voting powers, qualifications and special or relative rights or privileges, if any, of any such series before the issuance of any shares of that series; provided, however, that if and to the extent that shares of any series have voting rights, such rights shall not be in excess of the greater of (i) one vote per share of such series or (ii) if the shares of such series are convertible into shares of Common Stock, such number of votes per share as equals the number of shares of Common Stock into which one share of such series is at the time of such vote convertible. The directors shall determine the number of shares constituting each series of Series Preferred Stock and each series shall have a distinguishing designation.</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Page 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27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60"/>
          </w:cols>
          <w:pgMar w:left="300" w:top="49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Approval by Shareholders of Certain Actions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Amendment to Articles of Organization</w:t>
      </w:r>
    </w:p>
    <w:p>
      <w:pPr>
        <w:spacing w:after="0" w:line="179"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Unless a greater percentage vote, or action by one or more additional separate voting groups, is required by these articles of organization, by the bylaws of the corporation, pursuant to Section 10.21 of the Massachusetts Business Corporation Act (the “MBCA”), or by the board of directors of the corporation, acting pursuant to subsection (c) of Section 10.03 of the MBCA, adoption of an amendment to these articles of organization in accordance with Section 10.03 of the MBCA shall require the affirmative vote of at least a majority of all the shares entitled generally to vote on the matter by these articles of organization, and in addition at least a majority of the shares of any voting group entitled to vote separately on the matter by the MBCA, by these articles, by the bylaws of the corporation, or by action of the board of directors pursuant to subsection (c) of Section 10.03 of the MBCA.</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 Merger or Share Exchange</w:t>
      </w:r>
    </w:p>
    <w:p>
      <w:pPr>
        <w:spacing w:after="0" w:line="179"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Unless a greater percentage vote, or action by one or more additional separate voting groups, is required by these articles of organization, by the bylaws of the corporation, pursuant to Section 10.21 of the MBCA, or by the board of directors of the corporation, acting pursuant to subsection (3) of Section 11.04 of the MBCA, approval by the shareholders of a plan of merger or share exchange in accordance with Section 11.04 of the MBCA shall require approval by at least a majority of all the shares entitled generally to vote on the matter by these articles of organization, and in addition at least a majority of the shares in any voting group entitled to vote separately on the matter by the MBCA, by these articles, by the bylaws of the corporation, or by action of the board of director’s pursuant to subsection (3) of Section 11.04 of the MBCA.</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 Sale of Substantially All of the Property</w:t>
      </w:r>
    </w:p>
    <w:p>
      <w:pPr>
        <w:spacing w:after="0" w:line="179"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color w:val="auto"/>
        </w:rPr>
        <w:t>Unless a greater percentage vote, or action by one or more additional separate voting groups, is required by these articles of organization, by the bylaws of the corporation, pursuant to Section 10.21 of the MBCA, or by the board of directors of the corporation, acting pursuant to subsection (b) of Section 12.02 of the MBCA, approval of a sale, lease, exchange or disposition of all, or substantially all, of the property of the corporation in accordance with Section 12.02 of the MBCA shall require the affirmative vote of at least a majority of all the shares entitled generally to vote on the matter by these articles of</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Page 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27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40"/>
          </w:cols>
          <w:pgMar w:left="300" w:top="497" w:right="359" w:bottom="1440" w:gutter="0" w:footer="0" w:header="0"/>
        </w:sectPr>
      </w:pPr>
    </w:p>
    <w:bookmarkStart w:id="47" w:name="page48"/>
    <w:bookmarkEnd w:id="47"/>
    <w:p>
      <w:pPr>
        <w:ind w:right="260"/>
        <w:spacing w:after="0" w:line="28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organization, and in addition at least a majority of the shares in any voting group entitled 10 vote separately on the matter by the MBCA, by these articles, by the bylaws of the corporation, or by action of the board of directors pursuant to subsection (b) of Section 12.02 of the MBCA.</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 Voluntary Dissolution of the Corporation</w:t>
      </w:r>
    </w:p>
    <w:p>
      <w:pPr>
        <w:spacing w:after="0" w:line="179"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Unless a greater percentage vote, or action by one or more additional separate voting groups, is required by these articles of organization, by the bylaws of the corporation, pursuant to Section 10.21 of the MBCA, or by the board of directors, acting pursuant to subsection (c) of Section 14.02 of the MBCA, adoption of a proposal to dissolve the corporation in accordance with Section 14.02 of the MBCA shall require approval by at least a majority of all the votes entitled generally to vote on the matter by these articles of organization, and in addition at least a majority of the shares in any voting group entitled to vote separately on the matter by the MBCA, by these articles, by the bylaws of the corporation, or by action of the board of directors pursuant to subsection (c) of Section 14.02 of the MBCA.</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 Domestication into Foreign Jurisdiction</w:t>
      </w:r>
    </w:p>
    <w:p>
      <w:pPr>
        <w:spacing w:after="0" w:line="179"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Unless a greater percentage vote, or action by one or more additional separate voting groups, is required by these articles of organization, by the bylaws of the corporation, pursuant to Section 10.21 of the MBCA, or by the board of directors of the corporation, acting pursuant to subsection (3) of Section 9.21 of the MBCA, approval of a plan of domestication of the corporation to a foreign jurisdiction in accordance with Section 9.21 of the MBCA shall require approval by at least a majority of all the shares entitled generally to vote on the matter by these articles of organization, and in addition at least a majority of the shares in any voting group entitled to vote separately on the matter by the MBCA, by these articles, by the bylaws of the corporation, or by action of the board of directors pursuant to subsection (3) of Section 9.21 of the MBCA.</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 Entity Conversion</w:t>
      </w:r>
    </w:p>
    <w:p>
      <w:pPr>
        <w:spacing w:after="0" w:line="179"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color w:val="auto"/>
        </w:rPr>
        <w:t>Unless a greater percentage vote, or action by one or more additional separate voting groups, is required by these articles of organization, by the bylaws of the corporation, pursuant to Section 10.21 of the MBCA, or by the board of directors of the corporation, acting pursuant to subsection (3) of Section 9.52 of the MBCA, approval of a plan of entity conversion to a domestic or foreign other entity in accordance with Section 9.52 of the MBCA shall require approval by at least a majority of all the shares entitled generally to vote on the matter by these articles of organization, and in addition at least a majority of the shares in any voting group entitled to vote separately on the matter by the MBCA, by these articles, by the bylaws of the corporation, or by action of the board of directors pursuant to subsection (3) of Section 9.52 of the MBCA.</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27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60"/>
          </w:cols>
          <w:pgMar w:left="300" w:top="4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VI</w:t>
      </w:r>
    </w:p>
    <w:p>
      <w:pPr>
        <w:spacing w:after="0" w:line="181" w:lineRule="exact"/>
        <w:rPr>
          <w:sz w:val="20"/>
          <w:szCs w:val="20"/>
          <w:color w:val="auto"/>
        </w:rPr>
      </w:pPr>
    </w:p>
    <w:p>
      <w:pPr>
        <w:ind w:right="480" w:firstLine="516"/>
        <w:spacing w:after="0" w:line="288" w:lineRule="auto"/>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may carry on any business, operation or activity referred to in Article 2 to the same extent as ,might an individual, whether as principal, agent, contractor or otherwise, and either alone or in conjunction or joint venture or other arrangement with any corporation, association, trust, firm or individual.</w:t>
      </w:r>
    </w:p>
    <w:p>
      <w:pPr>
        <w:spacing w:after="0" w:line="124" w:lineRule="exact"/>
        <w:rPr>
          <w:rFonts w:ascii="Times New Roman" w:cs="Times New Roman" w:eastAsia="Times New Roman" w:hAnsi="Times New Roman"/>
          <w:sz w:val="14"/>
          <w:szCs w:val="14"/>
          <w:color w:val="auto"/>
        </w:rPr>
      </w:pPr>
    </w:p>
    <w:p>
      <w:pPr>
        <w:ind w:left="1040" w:hanging="524"/>
        <w:spacing w:after="0"/>
        <w:tabs>
          <w:tab w:leader="none" w:pos="10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may carry on any business, operation or activity through a wholly or partly owned subsidiary.</w:t>
      </w:r>
    </w:p>
    <w:p>
      <w:pPr>
        <w:spacing w:after="0" w:line="179"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may be a partner in any business enterprise which it would have power to conduct by itself.</w:t>
      </w:r>
    </w:p>
    <w:p>
      <w:pPr>
        <w:spacing w:after="0" w:line="179" w:lineRule="exact"/>
        <w:rPr>
          <w:rFonts w:ascii="Times New Roman" w:cs="Times New Roman" w:eastAsia="Times New Roman" w:hAnsi="Times New Roman"/>
          <w:sz w:val="14"/>
          <w:szCs w:val="14"/>
          <w:color w:val="auto"/>
        </w:rPr>
      </w:pPr>
    </w:p>
    <w:p>
      <w:pPr>
        <w:ind w:left="1040" w:hanging="524"/>
        <w:spacing w:after="0"/>
        <w:tabs>
          <w:tab w:leader="none" w:pos="10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may make, amend or repeal the bylaws in whole or in part, except with respect to any provision thereof which by law or the bylaws requires action by the</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shareholders.</w:t>
      </w:r>
    </w:p>
    <w:p>
      <w:pPr>
        <w:spacing w:after="0" w:line="165"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Meetings of the shareholders may be held anywhere in the United States.</w:t>
      </w:r>
    </w:p>
    <w:p>
      <w:pPr>
        <w:spacing w:after="0" w:line="179" w:lineRule="exact"/>
        <w:rPr>
          <w:rFonts w:ascii="Times New Roman" w:cs="Times New Roman" w:eastAsia="Times New Roman" w:hAnsi="Times New Roman"/>
          <w:sz w:val="14"/>
          <w:szCs w:val="14"/>
          <w:color w:val="auto"/>
        </w:rPr>
      </w:pPr>
    </w:p>
    <w:p>
      <w:pPr>
        <w:ind w:right="200" w:firstLine="516"/>
        <w:spacing w:after="0" w:line="265" w:lineRule="auto"/>
        <w:tabs>
          <w:tab w:leader="none" w:pos="100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shareholder shall have any right to examine any property or any books, accounts or other writings of the corporation if there is reasonable ground for belief that such examination will for any reason be adverse to the interests of the corporation, and a vote of the directors refusing permission to make such examination and setting forth that in the opinion of the directors such examination would be adverse to the interests of the corporation shall be prima facie evidence that such examination would be adverse to the interests of the corporation. Every such examination shall be subject to such reasonable regulations as the directors may establish in regard thereto.</w:t>
      </w:r>
    </w:p>
    <w:p>
      <w:pPr>
        <w:spacing w:after="0" w:line="140" w:lineRule="exact"/>
        <w:rPr>
          <w:rFonts w:ascii="Times New Roman" w:cs="Times New Roman" w:eastAsia="Times New Roman" w:hAnsi="Times New Roman"/>
          <w:sz w:val="14"/>
          <w:szCs w:val="14"/>
          <w:color w:val="auto"/>
        </w:rPr>
      </w:pPr>
    </w:p>
    <w:p>
      <w:pPr>
        <w:ind w:firstLine="516"/>
        <w:spacing w:after="0" w:line="262" w:lineRule="auto"/>
        <w:tabs>
          <w:tab w:leader="none" w:pos="102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may specify the manner in which the accounts of the corporation shall be kept and may determine what constitutes net earnings, profits and surplus, what amounts, if any, shall be reserved for any corporate purpose, and what amounts, if any, shall be declared as dividends. Unless the board of directors otherwise specifies, the excess of the consideration for any share of its capital stock with par value issued by it over such par value shall be paid-in surplus. The board of directors may allocate to capital stock less than all of the consideration for any share of its capital stock without par value issued by it, in which case the balance of such consideration shall be paid-in surplus. All surplus shall be available for any corporate purpose, including the payment of dividends.</w:t>
      </w:r>
    </w:p>
    <w:p>
      <w:pPr>
        <w:spacing w:after="0" w:line="142" w:lineRule="exact"/>
        <w:rPr>
          <w:rFonts w:ascii="Times New Roman" w:cs="Times New Roman" w:eastAsia="Times New Roman" w:hAnsi="Times New Roman"/>
          <w:sz w:val="14"/>
          <w:szCs w:val="14"/>
          <w:color w:val="auto"/>
        </w:rPr>
      </w:pPr>
    </w:p>
    <w:p>
      <w:pPr>
        <w:ind w:right="20" w:firstLine="516"/>
        <w:spacing w:after="0" w:line="271" w:lineRule="auto"/>
        <w:tabs>
          <w:tab w:leader="none" w:pos="102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or other acquisition or retention by the corporation of shares of its own capital stock shall not be deemed a reduction of its capital stock. Upon any reduction of capital or capital stock, no shareholder shall have any right to demand any distribution from the corporation, except as and to the extent that the shareholders shall have provided at the time of authorizing such reduction.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49" w:name="page50"/>
    <w:bookmarkEnd w:id="49"/>
    <w:p>
      <w:pPr>
        <w:ind w:firstLine="516"/>
        <w:spacing w:after="0" w:line="268" w:lineRule="auto"/>
        <w:tabs>
          <w:tab w:leader="none" w:pos="96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directors shall have the power to fix from time to time their compensation. No person shall be disqualified from holding any office by reason of any interest. In the absence of fraud, any director, officer or shareholder of this corporation, individually, or any individual having any interest in any concern which is a shareholder of this corporation, or any concern in which any of such directors, officers, shareholders or individuals has any interest, may be a party to, or may be pecuniarily or otherwise interested in, any contract, transaction or other act of this corporation, and</w:t>
      </w:r>
    </w:p>
    <w:p>
      <w:pPr>
        <w:spacing w:after="0" w:line="311" w:lineRule="exact"/>
        <w:rPr>
          <w:rFonts w:ascii="Times New Roman" w:cs="Times New Roman" w:eastAsia="Times New Roman" w:hAnsi="Times New Roman"/>
          <w:sz w:val="14"/>
          <w:szCs w:val="14"/>
          <w:color w:val="auto"/>
        </w:rPr>
      </w:pPr>
    </w:p>
    <w:p>
      <w:pPr>
        <w:ind w:left="1440" w:hanging="516"/>
        <w:spacing w:after="0"/>
        <w:tabs>
          <w:tab w:leader="none" w:pos="14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contract, transaction or act shall not be in any way invalidated or otherwise affected by that fact;</w:t>
      </w:r>
    </w:p>
    <w:p>
      <w:pPr>
        <w:spacing w:after="0" w:line="179" w:lineRule="exact"/>
        <w:rPr>
          <w:rFonts w:ascii="Times New Roman" w:cs="Times New Roman" w:eastAsia="Times New Roman" w:hAnsi="Times New Roman"/>
          <w:sz w:val="14"/>
          <w:szCs w:val="14"/>
          <w:color w:val="auto"/>
        </w:rPr>
      </w:pPr>
    </w:p>
    <w:p>
      <w:pPr>
        <w:ind w:left="1440" w:hanging="516"/>
        <w:spacing w:after="0"/>
        <w:tabs>
          <w:tab w:leader="none" w:pos="14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director, officer, shareholder or individual shall be liable to account to this corporation for any profit or benefit realized through any such contract, transaction or act;</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w:t>
      </w:r>
    </w:p>
    <w:p>
      <w:pPr>
        <w:spacing w:after="0" w:line="165" w:lineRule="exact"/>
        <w:rPr>
          <w:rFonts w:ascii="Times New Roman" w:cs="Times New Roman" w:eastAsia="Times New Roman" w:hAnsi="Times New Roman"/>
          <w:sz w:val="14"/>
          <w:szCs w:val="14"/>
          <w:color w:val="auto"/>
        </w:rPr>
      </w:pPr>
    </w:p>
    <w:p>
      <w:pPr>
        <w:ind w:left="520" w:right="400" w:firstLine="404"/>
        <w:spacing w:after="0" w:line="288" w:lineRule="auto"/>
        <w:tabs>
          <w:tab w:leader="none" w:pos="1448"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director of this corporation may be counted in determining the existence of a quorum at any meeting of the directors or of any committee thereof which shall authorize any such contract, transaction or act, and may vote to authorize the same;</w:t>
      </w:r>
    </w:p>
    <w:p>
      <w:pPr>
        <w:spacing w:after="0" w:line="12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color w:val="auto"/>
        </w:rPr>
        <w:t>provided, however, that any contract, transaction or act in which any director or officer of this corporation is so interested individually or as a director, officer, trustee or member of any concern which is not a subsidiary or affiliate of this corporation, or in which any directors or officers are so interested as holders, collectively, of a majority of shares of capital stock or other beneficial interest at the time outstanding in any concern which is not a subsidiary or affiliate of this corporation, shall be duly authorized or ratified by a majority of the directors who are not so interested, to whom the nature of such interest has been disclosed and who have made any findings required by law;</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“interest” including personal interest and interest as a director, officer, stockholder, shareholder, trustee, member or beneficiary of any concern;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“concern” meaning any corporation, association, trust, partnership, firm, person or other entity other than this corporation; and</w:t>
      </w:r>
    </w:p>
    <w:p>
      <w:pPr>
        <w:spacing w:after="0" w:line="179" w:lineRule="exact"/>
        <w:rPr>
          <w:sz w:val="20"/>
          <w:szCs w:val="20"/>
          <w:color w:val="auto"/>
        </w:rPr>
      </w:pPr>
    </w:p>
    <w:p>
      <w:pPr>
        <w:ind w:left="520"/>
        <w:spacing w:after="0" w:line="288" w:lineRule="auto"/>
        <w:rPr>
          <w:sz w:val="20"/>
          <w:szCs w:val="20"/>
          <w:color w:val="auto"/>
        </w:rPr>
      </w:pPr>
      <w:r>
        <w:rPr>
          <w:rFonts w:ascii="Times New Roman" w:cs="Times New Roman" w:eastAsia="Times New Roman" w:hAnsi="Times New Roman"/>
          <w:sz w:val="14"/>
          <w:szCs w:val="14"/>
          <w:color w:val="auto"/>
        </w:rPr>
        <w:t>the phrase “subsidiary or affiliate” meaning a concern in which a majority of the directors, trustees, partners or controlling persons is elected or appointed by the directors of this corporation, or is constituted of the directors or officers of this corporation.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50" w:name="page51"/>
    <w:bookmarkEnd w:id="50"/>
    <w:p>
      <w:pPr>
        <w:ind w:right="20"/>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To the extent permitted by law, the authorizing or ratifying vote of the holders of a majority of the shares of each class of the capital stock of this corporation outstanding and entitled to vote for directors at any annual meeting or a special meeting duly called for the purpose (whether such vote is passed before or after judgment rendered in a suit with respect to such contract, transaction or act) shall validate any contract, transaction or act of this corporation, or of the board of directors or any committee thereof, with regard to all shareholders of this corporation, whether or not of record at the time of such vote, and with regard to all creditors and other claimants under this corporation; provided, however, that</w:t>
      </w:r>
    </w:p>
    <w:p>
      <w:pPr>
        <w:spacing w:after="0" w:line="140" w:lineRule="exact"/>
        <w:rPr>
          <w:sz w:val="20"/>
          <w:szCs w:val="20"/>
          <w:color w:val="auto"/>
        </w:rPr>
      </w:pPr>
    </w:p>
    <w:p>
      <w:pPr>
        <w:ind w:left="520" w:firstLine="506"/>
        <w:spacing w:after="0" w:line="271" w:lineRule="auto"/>
        <w:tabs>
          <w:tab w:leader="none" w:pos="152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authorization or ratification of contacts, transactions or acts in which any of the directors, officers or shareholders of this corporation have an interest, the nature of such contracts, transactions or acts and the interest of any director, officer or shareholder therein shall be summarized in the notice of any such annual or special meeting, or in a statement or letter accompanying such notice, and shall be fully disclosed at any such meeting;</w:t>
      </w:r>
    </w:p>
    <w:p>
      <w:pPr>
        <w:spacing w:after="0" w:line="135" w:lineRule="exact"/>
        <w:rPr>
          <w:rFonts w:ascii="Times New Roman" w:cs="Times New Roman" w:eastAsia="Times New Roman" w:hAnsi="Times New Roman"/>
          <w:sz w:val="14"/>
          <w:szCs w:val="14"/>
          <w:color w:val="auto"/>
        </w:rPr>
      </w:pPr>
    </w:p>
    <w:p>
      <w:pPr>
        <w:ind w:left="1520" w:hanging="494"/>
        <w:spacing w:after="0"/>
        <w:tabs>
          <w:tab w:leader="none" w:pos="1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so voting shall have made any findings required by law;</w:t>
      </w:r>
    </w:p>
    <w:p>
      <w:pPr>
        <w:spacing w:after="0" w:line="179" w:lineRule="exact"/>
        <w:rPr>
          <w:rFonts w:ascii="Times New Roman" w:cs="Times New Roman" w:eastAsia="Times New Roman" w:hAnsi="Times New Roman"/>
          <w:sz w:val="14"/>
          <w:szCs w:val="14"/>
          <w:color w:val="auto"/>
        </w:rPr>
      </w:pPr>
    </w:p>
    <w:p>
      <w:pPr>
        <w:ind w:left="1520" w:hanging="494"/>
        <w:spacing w:after="0"/>
        <w:tabs>
          <w:tab w:leader="none" w:pos="1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shareholders so interested may vote at any such meeting except to the extent otherwise provided by law; and</w:t>
      </w:r>
    </w:p>
    <w:p>
      <w:pPr>
        <w:spacing w:after="0" w:line="179" w:lineRule="exact"/>
        <w:rPr>
          <w:rFonts w:ascii="Times New Roman" w:cs="Times New Roman" w:eastAsia="Times New Roman" w:hAnsi="Times New Roman"/>
          <w:sz w:val="14"/>
          <w:szCs w:val="14"/>
          <w:color w:val="auto"/>
        </w:rPr>
      </w:pPr>
    </w:p>
    <w:p>
      <w:pPr>
        <w:ind w:left="520" w:firstLine="506"/>
        <w:spacing w:after="0" w:line="288" w:lineRule="auto"/>
        <w:tabs>
          <w:tab w:leader="none" w:pos="152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of the shareholders to authorize or ratify such contract, transaction or act shall not be deemed in any way to invalidate the same or to deprive this corporation, its directors, officers or employees of its or their right to proceed with such contract, transaction or act.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 contract, transaction or act shall be avoided by reason of any provision of this paragraph (i) which would be valid but for such provision or provisions.</w:t>
      </w:r>
    </w:p>
    <w:p>
      <w:pPr>
        <w:spacing w:after="0" w:line="179" w:lineRule="exact"/>
        <w:rPr>
          <w:sz w:val="20"/>
          <w:szCs w:val="20"/>
          <w:color w:val="auto"/>
        </w:rPr>
      </w:pPr>
    </w:p>
    <w:p>
      <w:pPr>
        <w:ind w:right="600" w:firstLine="516"/>
        <w:spacing w:after="0" w:line="288" w:lineRule="auto"/>
        <w:tabs>
          <w:tab w:leader="none" w:pos="99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have all powers granted to corporations by the laws of The Commonwealth of Massachusetts, provided that no such power shall include any activity inconsistent with the Business Corporation Law or the general laws of said Commonwealth.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27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51" w:name="page52"/>
    <w:bookmarkEnd w:id="51"/>
    <w:p>
      <w:pPr>
        <w:ind w:left="-60" w:firstLine="516"/>
        <w:spacing w:after="0" w:line="259" w:lineRule="auto"/>
        <w:tabs>
          <w:tab w:leader="none" w:pos="97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No director of the corporation shall be personally liable to the corporation or its shareholders for monetary damages for breach of fiduciary duty as a director to the extent provided by applicable law notwithstanding any provision of law imposing such liability; provided, however, that to the extent, and only to the extent, required by Section 13(b) (1 ½) or any successor provision of the Massachusetts Business Corporation Law, this provision shall not eliminate or limit the liability of a director (i) for any breach of the director’s duty of loyalty to the corporation or its shareholders, (ii) for acts or omissions not in good faith or which involve intentional misconduct or a knowing violation of law, (iii) under the Massachusetts Business Corporation Law, or (iv) for any transaction from which the director derived an improper personal benefit. This provision shall not be construed in any way so as to impose or create liability. The foregoing provisions of this Article 6(k) shall not eliminate the liability of a director for any act or omission occurring prior to the date on which this Article 6(k) becomes effective. No amendment to or repeal of this Article 6(k) shall apply to or have any effect on the liability or alleged liability of any director of the corporation for or with respect to any acts or omissions of such director occurring prior to such amendment or repeal.</w:t>
      </w:r>
    </w:p>
    <w:p>
      <w:pPr>
        <w:spacing w:after="0" w:line="316" w:lineRule="exact"/>
        <w:rPr>
          <w:sz w:val="20"/>
          <w:szCs w:val="20"/>
          <w:color w:val="auto"/>
        </w:rPr>
      </w:pPr>
    </w:p>
    <w:p>
      <w:pPr>
        <w:ind w:left="-60" w:right="60" w:firstLine="516"/>
        <w:spacing w:after="0" w:line="259" w:lineRule="auto"/>
        <w:tabs>
          <w:tab w:leader="none" w:pos="96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bylaws of the corporation may, but are not required to, provide that in a meeting of shareholders other than a Contested Election Meeting (as defined below), a nominee for director shall be elected to the board of directors only if the votes cast “for” such nominee’s election exceed the votes cast “against” such nominee’s election (with “abstentions,” “broker non-votes” and “withheld votes” not counted as a vote “for” or “against” such nominee’s election). In a Contested Election Meeting, directors shall be elected by a plurality of the votes cast at such Contested Election Meeting. A meeting of shareholders shall be a “Contested Election Meeting” if there are more persons nominated for election as directors at such meeting than there are directors to be elected at such meeting, determined as of the tenth day preceding the date of the corporation’s first notice to shareholders of such meeting sent pursuant to the corporation’s bylaws (the “Determination Date”); provided, however, that if in accordance with the corporation’s bylaws, shareholders are entitled to nominate persons for election as director for a period of time that ends after the otherwise applicable Determination Date, the Determination Date shall instead be as of the end of such period.</w:t>
      </w:r>
    </w:p>
    <w:p>
      <w:pPr>
        <w:spacing w:after="0" w:line="146" w:lineRule="exact"/>
        <w:rPr>
          <w:sz w:val="20"/>
          <w:szCs w:val="20"/>
          <w:color w:val="auto"/>
        </w:rPr>
      </w:pPr>
    </w:p>
    <w:p>
      <w:pPr>
        <w:ind w:left="-60" w:right="180" w:firstLine="516"/>
        <w:spacing w:after="0" w:line="262" w:lineRule="auto"/>
        <w:tabs>
          <w:tab w:leader="none" w:pos="100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required or permitted to be taken at any meeting of shareholders may be taken without a meeting by shareholders having not less than the minimum number of votes necessary to take the action at a meeting at which all shareholders entitled to vote on the action are present and voting if, in accordance with these articles of organization and the corporation’s bylaws (i) shareholders who own in the aggregate at least twenty-five percent (25%) of the outstanding shares of stock of the corporation, as determined in accordance with these articles of organization, shall by written notice to the secretary request that the board of directors fix a record date for the proposed action by shareholders including the information required by the corporation’s bylaws, (ii) the shareholders proposing to take such action shall solicit written consents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339725</wp:posOffset>
            </wp:positionV>
            <wp:extent cx="7161530" cy="27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180"/>
          </w:cols>
          <w:pgMar w:left="360" w:top="497" w:right="359" w:bottom="1440" w:gutter="0" w:footer="0" w:header="0"/>
        </w:sectPr>
      </w:pPr>
    </w:p>
    <w:bookmarkStart w:id="52" w:name="page53"/>
    <w:bookmarkEnd w:id="52"/>
    <w:p>
      <w:pPr>
        <w:jc w:val="both"/>
        <w:ind w:right="140" w:firstLine="511"/>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from all shareholders, and (iii) such action shall be evidenced by a consent or consents in writing, setting forth the action so taken, which shall be signed and delivered to the secretary and not revoked by shareholders having the requisite votes; provided, however, that any such action shall be taken in accordance with, and subject to the provisions of this Article VI, the corporation’s bylaws, and applicable law.</w:t>
      </w:r>
    </w:p>
    <w:p>
      <w:pPr>
        <w:spacing w:after="0" w:line="136"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4"/>
          <w:szCs w:val="14"/>
          <w:color w:val="auto"/>
        </w:rPr>
        <w:t>For purposes of determining whether shareholders own in the aggregate at least twenty-five percent (25%) of the outstanding shares of stock of the corporation, a shareholder shall be deemed to “own” only those outstanding shares of stock of the corporation as to which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(1) sold by such shareholder or any of its affiliates in any transaction that has not been settled or closed, (2) borrowed by such shareholder or any of its affiliates for any purposes or purchased by such shareholder or any of its affiliates pursuant to an agreement to resell or (3) subject to any Derivative Position (as defined in the corporation’s bylaws) entered into by such shareholder or any of its affiliates, whether any such Derivative Position is to be settled with shares or with cash based on the notional amount or value of shares of outstanding stock of the corporation, in any such case which Derivative Position has, or is intended to have, the purpose or effect of reducing in any manner, to any extent or at any time in the future, such shareholder’s or affiliates’ full right to vote or direct the voting of any such shares, and/or hedging, offsetting or altering to any degree gain or loss arising from the full economic ownership of such shares by such shareholder or affiliate. A shareholder shall “own” shares held in the name of a nominee or other intermediary so long as the shareholder retains the right to instruct how the shares are voted with respect to the election of directors and possesses the full economic interest in the shares. The terms “owned,” “owning” and other variations of the word “own” shall have correlative meanings. Whether outstanding shares of stock of the corporation are “owned” for these purposes shall be decided by the board of directors in its reasonable determination.</w:t>
      </w:r>
    </w:p>
    <w:p>
      <w:pPr>
        <w:spacing w:after="0" w:line="146" w:lineRule="exact"/>
        <w:rPr>
          <w:sz w:val="20"/>
          <w:szCs w:val="20"/>
          <w:color w:val="auto"/>
        </w:rPr>
      </w:pPr>
    </w:p>
    <w:p>
      <w:pPr>
        <w:jc w:val="both"/>
        <w:ind w:right="40" w:firstLine="511"/>
        <w:spacing w:after="0" w:line="265" w:lineRule="auto"/>
        <w:rPr>
          <w:sz w:val="20"/>
          <w:szCs w:val="20"/>
          <w:color w:val="auto"/>
        </w:rPr>
      </w:pPr>
      <w:r>
        <w:rPr>
          <w:rFonts w:ascii="Times New Roman" w:cs="Times New Roman" w:eastAsia="Times New Roman" w:hAnsi="Times New Roman"/>
          <w:sz w:val="14"/>
          <w:szCs w:val="14"/>
          <w:color w:val="auto"/>
        </w:rPr>
        <w:t>Notwithstanding anything in these articles of organization or the corporation’s bylaws to the contrary (i) shareholders may act without a meeting by unanimous written consent, and none of the foregoing provisions shall apply to such action, and (ii) where written consents are solicited by or at the direction of the board of directors, shareholders may act without a meeting if the action is taken by shareholders having not less than the minimum number of votes necessary to take that action at a meeting at which all shareholders entitled to vote on the action are present and voting, and none of the foregoing provisions shall apply to such action. Any action by written consent must be a proper subject for shareholder action by written consent.</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Page 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27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60"/>
          </w:cols>
          <w:pgMar w:left="300" w:top="49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VII</w:t>
      </w:r>
    </w:p>
    <w:p>
      <w:pPr>
        <w:spacing w:after="0" w:line="2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The effective date of organization of the corporation is the date and time the articles were received for filing is the articles are not rejected within the time prescribed by law. If a later effective date is desired, specify such date, which may not be later than the 90th day after the articles are received for filing:</w:t>
      </w:r>
    </w:p>
    <w:p>
      <w:pPr>
        <w:spacing w:after="0" w:line="138"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4"/>
          <w:szCs w:val="14"/>
          <w:color w:val="auto"/>
        </w:rPr>
        <w:t>It is hereby certified that these restated articles of organization consolidate all amendments into a single document. If a new amendment authorizes an exchange, or effects a reclassification or cancellation, of issued shares, provisions for implementing that action are set forth in these restated articles unless contained in the text of the amendment.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Specify the number(s) of the article(s) being amended: 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15240</wp:posOffset>
            </wp:positionV>
            <wp:extent cx="516826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5168265" cy="698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 Paul T. Dacier</w:t>
            </w:r>
          </w:p>
        </w:tc>
        <w:tc>
          <w:tcPr>
            <w:tcW w:w="84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Paul T. Dacier</w:t>
            </w:r>
          </w:p>
        </w:tc>
      </w:tr>
      <w:tr>
        <w:trPr>
          <w:trHeight w:val="177"/>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84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r>
    </w:tbl>
    <w:p>
      <w:pPr>
        <w:spacing w:after="0" w:line="161" w:lineRule="exact"/>
        <w:rPr>
          <w:sz w:val="20"/>
          <w:szCs w:val="20"/>
          <w:color w:val="auto"/>
        </w:rPr>
      </w:pPr>
    </w:p>
    <w:p>
      <w:pPr>
        <w:ind w:left="680" w:hanging="334"/>
        <w:spacing w:after="0"/>
        <w:tabs>
          <w:tab w:leader="none" w:pos="680" w:val="left"/>
        </w:tabs>
        <w:numPr>
          <w:ilvl w:val="0"/>
          <w:numId w:val="4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680" w:hanging="334"/>
        <w:spacing w:after="0"/>
        <w:tabs>
          <w:tab w:leader="none" w:pos="680" w:val="left"/>
        </w:tabs>
        <w:numPr>
          <w:ilvl w:val="0"/>
          <w:numId w:val="4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680" w:hanging="334"/>
        <w:spacing w:after="0"/>
        <w:tabs>
          <w:tab w:leader="none" w:pos="680" w:val="left"/>
        </w:tabs>
        <w:numPr>
          <w:ilvl w:val="0"/>
          <w:numId w:val="4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680" w:hanging="334"/>
        <w:spacing w:after="0"/>
        <w:tabs>
          <w:tab w:leader="none" w:pos="680" w:val="left"/>
        </w:tabs>
        <w:numPr>
          <w:ilvl w:val="0"/>
          <w:numId w:val="4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90" w:lineRule="exact"/>
        <w:rPr>
          <w:sz w:val="20"/>
          <w:szCs w:val="20"/>
          <w:color w:val="auto"/>
        </w:rPr>
      </w:pPr>
    </w:p>
    <w:p>
      <w:pPr>
        <w:spacing w:after="0"/>
        <w:tabs>
          <w:tab w:leader="none" w:pos="1940" w:val="left"/>
          <w:tab w:leader="none" w:pos="3540" w:val="left"/>
          <w:tab w:leader="none" w:pos="4180" w:val="left"/>
          <w:tab w:leader="none" w:pos="8800" w:val="left"/>
          <w:tab w:leader="none" w:pos="902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1st</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May</w:t>
      </w:r>
      <w:r>
        <w:rPr>
          <w:sz w:val="20"/>
          <w:szCs w:val="20"/>
          <w:color w:val="auto"/>
        </w:rPr>
        <w:tab/>
      </w:r>
      <w:r>
        <w:rPr>
          <w:rFonts w:ascii="Times New Roman" w:cs="Times New Roman" w:eastAsia="Times New Roman" w:hAnsi="Times New Roman"/>
          <w:sz w:val="14"/>
          <w:szCs w:val="14"/>
          <w:color w:val="auto"/>
        </w:rPr>
        <w:t>,</w:t>
        <w:tab/>
        <w:t>2013</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3534410</wp:posOffset>
            </wp:positionV>
            <wp:extent cx="270510" cy="229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270510" cy="22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120269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wp:posOffset>
            </wp:positionV>
            <wp:extent cx="175895" cy="155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175895" cy="15557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4"/>
          <w:szCs w:val="14"/>
          <w:color w:val="auto"/>
        </w:rPr>
        <w:t>CK#30754810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-342265</wp:posOffset>
            </wp:positionV>
            <wp:extent cx="720026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30754805</w:t>
      </w:r>
    </w:p>
    <w:p>
      <w:pPr>
        <w:spacing w:after="0" w:line="162"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20"/>
          <w:szCs w:val="20"/>
          <w:color w:val="auto"/>
        </w:rPr>
        <w:t>COMMONWEALTH OF MASSACHUSETTS</w:t>
      </w:r>
    </w:p>
    <w:p>
      <w:pPr>
        <w:spacing w:after="0" w:line="178"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55"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Restated Articles of Organization</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 Laws Chapter 156D, Section 10.07; 950 CMR 113.35)</w:t>
      </w:r>
    </w:p>
    <w:p>
      <w:pPr>
        <w:spacing w:after="0" w:line="334" w:lineRule="exact"/>
        <w:rPr>
          <w:sz w:val="20"/>
          <w:szCs w:val="20"/>
          <w:color w:val="auto"/>
        </w:rPr>
      </w:pPr>
    </w:p>
    <w:p>
      <w:pPr>
        <w:jc w:val="both"/>
        <w:ind w:right="2260"/>
        <w:spacing w:after="0" w:line="259" w:lineRule="auto"/>
        <w:rPr>
          <w:sz w:val="20"/>
          <w:szCs w:val="20"/>
          <w:color w:val="auto"/>
        </w:rPr>
      </w:pPr>
      <w:r>
        <w:rPr>
          <w:rFonts w:ascii="Times New Roman" w:cs="Times New Roman" w:eastAsia="Times New Roman" w:hAnsi="Times New Roman"/>
          <w:sz w:val="14"/>
          <w:szCs w:val="14"/>
          <w:color w:val="auto"/>
        </w:rPr>
        <w:t>I hereby certify that upon examination of these restated articles of organization, duly submitted to me, it appears that the provisions of the General Laws relative to the organization of corporations have been complied with, and I hereby approve said articles, and the filing fee in the amount of $</w:t>
      </w:r>
      <w:r>
        <w:rPr>
          <w:rFonts w:ascii="Times New Roman" w:cs="Times New Roman" w:eastAsia="Times New Roman" w:hAnsi="Times New Roman"/>
          <w:sz w:val="14"/>
          <w:szCs w:val="14"/>
          <w:u w:val="single" w:color="auto"/>
          <w:color w:val="auto"/>
        </w:rPr>
        <w:t>300</w:t>
      </w:r>
      <w:r>
        <w:rPr>
          <w:rFonts w:ascii="Times New Roman" w:cs="Times New Roman" w:eastAsia="Times New Roman" w:hAnsi="Times New Roman"/>
          <w:sz w:val="14"/>
          <w:szCs w:val="14"/>
          <w:color w:val="auto"/>
        </w:rPr>
        <w:t xml:space="preserve"> having been paid, said articles are deemed to have been filed with me this </w:t>
      </w:r>
      <w:r>
        <w:rPr>
          <w:rFonts w:ascii="Times New Roman" w:cs="Times New Roman" w:eastAsia="Times New Roman" w:hAnsi="Times New Roman"/>
          <w:sz w:val="14"/>
          <w:szCs w:val="14"/>
          <w:u w:val="single" w:color="auto"/>
          <w:color w:val="auto"/>
        </w:rPr>
        <w:t>1st</w:t>
      </w:r>
      <w:r>
        <w:rPr>
          <w:rFonts w:ascii="Times New Roman" w:cs="Times New Roman" w:eastAsia="Times New Roman" w:hAnsi="Times New Roman"/>
          <w:sz w:val="14"/>
          <w:szCs w:val="14"/>
          <w:color w:val="auto"/>
        </w:rPr>
        <w:t xml:space="preserve"> day of </w:t>
      </w:r>
      <w:r>
        <w:rPr>
          <w:rFonts w:ascii="Times New Roman" w:cs="Times New Roman" w:eastAsia="Times New Roman" w:hAnsi="Times New Roman"/>
          <w:sz w:val="14"/>
          <w:szCs w:val="14"/>
          <w:u w:val="single" w:color="auto"/>
          <w:color w:val="auto"/>
        </w:rPr>
        <w:t>May</w:t>
      </w:r>
      <w:r>
        <w:rPr>
          <w:rFonts w:ascii="Times New Roman" w:cs="Times New Roman" w:eastAsia="Times New Roman" w:hAnsi="Times New Roman"/>
          <w:sz w:val="14"/>
          <w:szCs w:val="14"/>
          <w:color w:val="auto"/>
        </w:rPr>
        <w:t xml:space="preserve"> 20</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xml:space="preserve">, at </w:t>
      </w:r>
      <w:r>
        <w:rPr>
          <w:rFonts w:ascii="Times New Roman" w:cs="Times New Roman" w:eastAsia="Times New Roman" w:hAnsi="Times New Roman"/>
          <w:sz w:val="14"/>
          <w:szCs w:val="14"/>
          <w:u w:val="single" w:color="auto"/>
          <w:color w:val="auto"/>
        </w:rPr>
        <w:t>2:30</w:t>
      </w:r>
      <w:r>
        <w:rPr>
          <w:rFonts w:ascii="Times New Roman" w:cs="Times New Roman" w:eastAsia="Times New Roman" w:hAnsi="Times New Roman"/>
          <w:sz w:val="14"/>
          <w:szCs w:val="14"/>
          <w:color w:val="auto"/>
        </w:rPr>
        <w:t xml:space="preserve"> a.m./p.m.</w:t>
      </w:r>
    </w:p>
    <w:p>
      <w:pPr>
        <w:ind w:left="2760"/>
        <w:spacing w:after="0"/>
        <w:rPr>
          <w:sz w:val="20"/>
          <w:szCs w:val="20"/>
          <w:color w:val="auto"/>
        </w:rPr>
      </w:pPr>
      <w:r>
        <w:rPr>
          <w:rFonts w:ascii="Times New Roman" w:cs="Times New Roman" w:eastAsia="Times New Roman" w:hAnsi="Times New Roman"/>
          <w:sz w:val="14"/>
          <w:szCs w:val="14"/>
          <w:i w:val="1"/>
          <w:iCs w:val="1"/>
          <w:color w:val="auto"/>
        </w:rPr>
        <w:t>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date:</w:t>
      </w:r>
    </w:p>
    <w:p>
      <w:pPr>
        <w:spacing w:after="0" w:line="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i w:val="1"/>
          <w:iCs w:val="1"/>
          <w:color w:val="auto"/>
        </w:rPr>
        <w:t>(must be within 90 days of 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-100965</wp:posOffset>
            </wp:positionV>
            <wp:extent cx="343217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3432175" cy="698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121285</wp:posOffset>
            </wp:positionV>
            <wp:extent cx="1351280"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1351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336" w:lineRule="exact"/>
        <w:rPr>
          <w:sz w:val="20"/>
          <w:szCs w:val="20"/>
          <w:color w:val="auto"/>
        </w:rPr>
      </w:pPr>
    </w:p>
    <w:p>
      <w:pPr>
        <w:ind w:left="660" w:right="3040"/>
        <w:spacing w:after="0" w:line="288" w:lineRule="auto"/>
        <w:rPr>
          <w:sz w:val="20"/>
          <w:szCs w:val="20"/>
          <w:color w:val="auto"/>
        </w:rPr>
      </w:pPr>
      <w:r>
        <w:rPr>
          <w:rFonts w:ascii="Times New Roman" w:cs="Times New Roman" w:eastAsia="Times New Roman" w:hAnsi="Times New Roman"/>
          <w:sz w:val="14"/>
          <w:szCs w:val="14"/>
          <w:color w:val="auto"/>
        </w:rPr>
        <w:t>Filing fee: Minimum filing fee $200, plus $100 per article amended, stock increases $100 per 100,000 shares, plus $100 for each additional 100,000 shares or any fraction thereof.</w:t>
      </w:r>
    </w:p>
    <w:p>
      <w:pPr>
        <w:spacing w:after="0" w:line="124"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TO BE FILLED IN BY CORPORATION</w:t>
      </w:r>
    </w:p>
    <w:p>
      <w:pPr>
        <w:spacing w:after="0" w:line="23"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Contact Information:</w:t>
      </w:r>
    </w:p>
    <w:p>
      <w:pPr>
        <w:spacing w:after="0" w:line="165"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C T Corporation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15240</wp:posOffset>
            </wp:positionV>
            <wp:extent cx="343217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7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155 Federal Street, Suite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15240</wp:posOffset>
            </wp:positionV>
            <wp:extent cx="343217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7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Boston, Massachusetts 02110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15240</wp:posOffset>
            </wp:positionV>
            <wp:extent cx="343217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Telephone: (617) 757-6400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15240</wp:posOffset>
            </wp:positionV>
            <wp:extent cx="298640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2986405" cy="6985"/>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Email: tracy.magnan@cmc.com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15240</wp:posOffset>
            </wp:positionV>
            <wp:extent cx="314134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3141345" cy="6985"/>
                    </a:xfrm>
                    <a:prstGeom prst="rect">
                      <a:avLst/>
                    </a:prstGeom>
                    <a:noFill/>
                  </pic:spPr>
                </pic:pic>
              </a:graphicData>
            </a:graphic>
          </wp:anchor>
        </w:drawing>
      </w:r>
    </w:p>
    <w:p>
      <w:pPr>
        <w:spacing w:after="0" w:line="170" w:lineRule="exact"/>
        <w:rPr>
          <w:sz w:val="20"/>
          <w:szCs w:val="20"/>
          <w:color w:val="auto"/>
        </w:rPr>
      </w:pPr>
    </w:p>
    <w:p>
      <w:pPr>
        <w:jc w:val="both"/>
        <w:ind w:left="660" w:right="2960"/>
        <w:spacing w:after="0" w:line="271" w:lineRule="auto"/>
        <w:rPr>
          <w:sz w:val="20"/>
          <w:szCs w:val="20"/>
          <w:color w:val="auto"/>
        </w:rPr>
      </w:pPr>
      <w:r>
        <w:rPr>
          <w:rFonts w:ascii="Times New Roman" w:cs="Times New Roman" w:eastAsia="Times New Roman" w:hAnsi="Times New Roman"/>
          <w:sz w:val="14"/>
          <w:szCs w:val="14"/>
          <w:color w:val="auto"/>
        </w:rPr>
        <w:t>Upon filing, a copy of this fling will be available at www.scc.state.ma.us/cor. If the document is rejected, a copy of the rejection sheet and rejected document will be available in the rejected queue.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433070</wp:posOffset>
            </wp:positionV>
            <wp:extent cx="7161530" cy="27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2">
            <w:col w:w="1560" w:space="720"/>
            <w:col w:w="9000"/>
          </w:cols>
          <w:pgMar w:left="300" w:top="519"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56"/>
        </w:trPr>
        <w:tc>
          <w:tcPr>
            <w:tcW w:w="274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780" w:type="dxa"/>
            <w:vAlign w:val="bottom"/>
          </w:tcPr>
          <w:p>
            <w:pPr>
              <w:jc w:val="center"/>
              <w:ind w:left="963"/>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740" w:type="dxa"/>
            <w:vAlign w:val="bottom"/>
            <w:vMerge w:val="continue"/>
          </w:tcPr>
          <w:p>
            <w:pPr>
              <w:spacing w:after="0"/>
              <w:rPr>
                <w:sz w:val="12"/>
                <w:szCs w:val="12"/>
                <w:color w:val="auto"/>
              </w:rPr>
            </w:pPr>
          </w:p>
        </w:tc>
        <w:tc>
          <w:tcPr>
            <w:tcW w:w="4780" w:type="dxa"/>
            <w:vAlign w:val="bottom"/>
          </w:tcPr>
          <w:p>
            <w:pPr>
              <w:jc w:val="center"/>
              <w:ind w:left="963"/>
              <w:spacing w:after="0" w:line="145" w:lineRule="exact"/>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4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4780" w:type="dxa"/>
            <w:vAlign w:val="bottom"/>
          </w:tcPr>
          <w:p>
            <w:pPr>
              <w:jc w:val="center"/>
              <w:ind w:left="94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740" w:type="dxa"/>
            <w:vAlign w:val="bottom"/>
            <w:vMerge w:val="continue"/>
          </w:tcPr>
          <w:p>
            <w:pPr>
              <w:spacing w:after="0"/>
              <w:rPr>
                <w:sz w:val="22"/>
                <w:szCs w:val="22"/>
                <w:color w:val="auto"/>
              </w:rPr>
            </w:pPr>
          </w:p>
        </w:tc>
        <w:tc>
          <w:tcPr>
            <w:tcW w:w="4780" w:type="dxa"/>
            <w:vAlign w:val="bottom"/>
          </w:tcPr>
          <w:p>
            <w:pPr>
              <w:jc w:val="center"/>
              <w:ind w:left="96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780" w:type="dxa"/>
            <w:vAlign w:val="bottom"/>
          </w:tcPr>
          <w:p>
            <w:pPr>
              <w:ind w:left="2300"/>
              <w:spacing w:after="0"/>
              <w:rPr>
                <w:sz w:val="20"/>
                <w:szCs w:val="20"/>
                <w:color w:val="auto"/>
              </w:rPr>
            </w:pPr>
            <w:r>
              <w:rPr>
                <w:rFonts w:ascii="Times New Roman" w:cs="Times New Roman" w:eastAsia="Times New Roman" w:hAnsi="Times New Roman"/>
                <w:sz w:val="17"/>
                <w:szCs w:val="17"/>
                <w:b w:val="1"/>
                <w:bCs w:val="1"/>
                <w:color w:val="auto"/>
              </w:rPr>
              <w:t>Articles of Merger</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4780" w:type="dxa"/>
            <w:vAlign w:val="bottom"/>
          </w:tcPr>
          <w:p>
            <w:pPr>
              <w:jc w:val="center"/>
              <w:ind w:left="923"/>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4780" w:type="dxa"/>
            <w:vAlign w:val="bottom"/>
          </w:tcPr>
          <w:p>
            <w:pPr>
              <w:jc w:val="center"/>
              <w:ind w:left="923"/>
              <w:spacing w:after="0"/>
              <w:rPr>
                <w:sz w:val="20"/>
                <w:szCs w:val="20"/>
                <w:color w:val="auto"/>
              </w:rPr>
            </w:pPr>
            <w:r>
              <w:rPr>
                <w:rFonts w:ascii="Times New Roman" w:cs="Times New Roman" w:eastAsia="Times New Roman" w:hAnsi="Times New Roman"/>
                <w:sz w:val="17"/>
                <w:szCs w:val="17"/>
                <w:b w:val="1"/>
                <w:bCs w:val="1"/>
                <w:color w:val="auto"/>
                <w:w w:val="99"/>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4780" w:type="dxa"/>
            <w:vAlign w:val="bottom"/>
          </w:tcPr>
          <w:p>
            <w:pPr>
              <w:jc w:val="center"/>
              <w:ind w:left="963"/>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7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 04268009</w:t>
            </w:r>
          </w:p>
        </w:tc>
        <w:tc>
          <w:tcPr>
            <w:tcW w:w="47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331"/>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TwinStrata, Inc. 261240538</w:t>
            </w:r>
          </w:p>
        </w:tc>
        <w:tc>
          <w:tcPr>
            <w:tcW w:w="47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Delaware</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October 5, 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00" w:hanging="195"/>
        <w:spacing w:after="0" w:line="161" w:lineRule="exact"/>
        <w:tabs>
          <w:tab w:leader="none" w:pos="2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p>
      <w:pPr>
        <w:spacing w:after="0" w:line="210"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Exact name of the surviving entity: EMC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15240</wp:posOffset>
            </wp:positionV>
            <wp:extent cx="572897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5728970" cy="6985"/>
                    </a:xfrm>
                    <a:prstGeom prst="rect">
                      <a:avLst/>
                    </a:prstGeom>
                    <a:noFill/>
                  </pic:spPr>
                </pic:pic>
              </a:graphicData>
            </a:graphic>
          </wp:anchor>
        </w:drawing>
      </w:r>
    </w:p>
    <w:p>
      <w:pPr>
        <w:spacing w:after="0" w:line="191"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4"/>
          <w:szCs w:val="14"/>
          <w:color w:val="auto"/>
        </w:rPr>
        <w:t>(5) Jurisdiction under the laws of which the surviving entity will be organized:</w:t>
      </w:r>
      <w:r>
        <w:rPr>
          <w:sz w:val="20"/>
          <w:szCs w:val="20"/>
          <w:color w:val="auto"/>
        </w:rPr>
        <w:tab/>
      </w:r>
      <w:r>
        <w:rPr>
          <w:rFonts w:ascii="Times New Roman" w:cs="Times New Roman" w:eastAsia="Times New Roman" w:hAnsi="Times New Roman"/>
          <w:sz w:val="14"/>
          <w:szCs w:val="14"/>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15240</wp:posOffset>
            </wp:positionV>
            <wp:extent cx="343217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91" w:lineRule="exact"/>
        <w:rPr>
          <w:sz w:val="20"/>
          <w:szCs w:val="20"/>
          <w:color w:val="auto"/>
        </w:rPr>
      </w:pPr>
    </w:p>
    <w:p>
      <w:pPr>
        <w:ind w:left="200" w:hanging="195"/>
        <w:spacing w:after="0"/>
        <w:tabs>
          <w:tab w:leader="none" w:pos="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 and time of filing is specified:</w:t>
      </w:r>
    </w:p>
    <w:p>
      <w:pPr>
        <w:spacing w:after="0" w:line="23" w:lineRule="exact"/>
        <w:rPr>
          <w:rFonts w:ascii="Times New Roman" w:cs="Times New Roman" w:eastAsia="Times New Roman" w:hAnsi="Times New Roman"/>
          <w:sz w:val="14"/>
          <w:szCs w:val="14"/>
          <w:color w:val="auto"/>
        </w:rPr>
      </w:pPr>
    </w:p>
    <w:p>
      <w:pPr>
        <w:ind w:left="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_____________________________________________________________________________________</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60" w:hanging="321"/>
        <w:spacing w:after="0"/>
        <w:tabs>
          <w:tab w:leader="none" w:pos="560" w:val="left"/>
        </w:tabs>
        <w:numPr>
          <w:ilvl w:val="0"/>
          <w:numId w:val="4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0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79" w:lineRule="exact"/>
        <w:rPr>
          <w:sz w:val="20"/>
          <w:szCs w:val="20"/>
          <w:color w:val="auto"/>
        </w:rPr>
      </w:pPr>
    </w:p>
    <w:p>
      <w:pPr>
        <w:ind w:left="560" w:hanging="321"/>
        <w:spacing w:after="0"/>
        <w:tabs>
          <w:tab w:leader="none" w:pos="560" w:val="left"/>
        </w:tabs>
        <w:numPr>
          <w:ilvl w:val="1"/>
          <w:numId w:val="5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did not require the approval of the shareholders.</w:t>
      </w:r>
    </w:p>
    <w:p>
      <w:pPr>
        <w:spacing w:after="0" w:line="179" w:lineRule="exact"/>
        <w:rPr>
          <w:rFonts w:ascii="MS PGothic" w:cs="MS PGothic" w:eastAsia="MS PGothic" w:hAnsi="MS PGothic"/>
          <w:sz w:val="14"/>
          <w:szCs w:val="14"/>
          <w:color w:val="auto"/>
        </w:rPr>
      </w:pPr>
    </w:p>
    <w:p>
      <w:pPr>
        <w:ind w:left="200" w:hanging="195"/>
        <w:spacing w:after="0" w:line="288" w:lineRule="auto"/>
        <w:tabs>
          <w:tab w:leader="none" w:pos="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35814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35814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350520</wp:posOffset>
            </wp:positionV>
            <wp:extent cx="7161530" cy="27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56" w:name="page57"/>
    <w:bookmarkEnd w:id="56"/>
    <w:p>
      <w:pPr>
        <w:ind w:left="275" w:hanging="275"/>
        <w:spacing w:after="0"/>
        <w:tabs>
          <w:tab w:leader="none" w:pos="27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275" w:hanging="275"/>
        <w:spacing w:after="0"/>
        <w:tabs>
          <w:tab w:leader="none" w:pos="27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200" w:lineRule="exact"/>
        <w:rPr>
          <w:rFonts w:ascii="Times New Roman" w:cs="Times New Roman" w:eastAsia="Times New Roman" w:hAnsi="Times New Roman"/>
          <w:sz w:val="14"/>
          <w:szCs w:val="14"/>
          <w:color w:val="auto"/>
        </w:rPr>
      </w:pPr>
    </w:p>
    <w:p>
      <w:pPr>
        <w:ind w:left="595" w:right="3660" w:hanging="595"/>
        <w:spacing w:after="0" w:line="264" w:lineRule="auto"/>
        <w:tabs>
          <w:tab w:leader="none" w:pos="59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w:t>
      </w:r>
    </w:p>
    <w:p>
      <w:pPr>
        <w:ind w:left="5435"/>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-100965</wp:posOffset>
            </wp:positionV>
            <wp:extent cx="581723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58172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350520</wp:posOffset>
            </wp:positionV>
            <wp:extent cx="7161530" cy="27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195"/>
          </w:cols>
          <w:pgMar w:left="305" w:top="518" w:right="3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5"/>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Paul T. Dacier</w:t>
            </w:r>
          </w:p>
        </w:tc>
        <w:tc>
          <w:tcPr>
            <w:tcW w:w="8300" w:type="dxa"/>
            <w:vAlign w:val="bottom"/>
            <w:tcBorders>
              <w:bottom w:val="single" w:sz="8" w:color="auto"/>
            </w:tcBorders>
          </w:tcPr>
          <w:p>
            <w:pPr>
              <w:spacing w:after="0"/>
              <w:rPr>
                <w:sz w:val="16"/>
                <w:szCs w:val="16"/>
                <w:color w:val="auto"/>
              </w:rPr>
            </w:pPr>
          </w:p>
        </w:tc>
      </w:tr>
      <w:tr>
        <w:trPr>
          <w:trHeight w:val="146"/>
        </w:trPr>
        <w:tc>
          <w:tcPr>
            <w:tcW w:w="1020" w:type="dxa"/>
            <w:vAlign w:val="bottom"/>
          </w:tcPr>
          <w:p>
            <w:pPr>
              <w:spacing w:after="0"/>
              <w:rPr>
                <w:sz w:val="12"/>
                <w:szCs w:val="12"/>
                <w:color w:val="auto"/>
              </w:rPr>
            </w:pPr>
          </w:p>
        </w:tc>
        <w:tc>
          <w:tcPr>
            <w:tcW w:w="19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Paul T. Dacier</w:t>
            </w:r>
          </w:p>
        </w:tc>
        <w:tc>
          <w:tcPr>
            <w:tcW w:w="8300" w:type="dxa"/>
            <w:vAlign w:val="bottom"/>
          </w:tcPr>
          <w:p>
            <w:pPr>
              <w:ind w:left="860"/>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r>
      <w:tr>
        <w:trPr>
          <w:trHeight w:val="184"/>
        </w:trPr>
        <w:tc>
          <w:tcPr>
            <w:tcW w:w="102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Assistant Secretary</w:t>
            </w:r>
          </w:p>
        </w:tc>
        <w:tc>
          <w:tcPr>
            <w:tcW w:w="8300" w:type="dxa"/>
            <w:vAlign w:val="bottom"/>
          </w:tcPr>
          <w:p>
            <w:pPr>
              <w:spacing w:after="0"/>
              <w:rPr>
                <w:sz w:val="16"/>
                <w:szCs w:val="16"/>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560" w:hanging="321"/>
        <w:spacing w:after="0"/>
        <w:tabs>
          <w:tab w:leader="none" w:pos="560" w:val="left"/>
        </w:tabs>
        <w:numPr>
          <w:ilvl w:val="0"/>
          <w:numId w:val="5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60" w:hanging="321"/>
        <w:spacing w:after="0"/>
        <w:tabs>
          <w:tab w:leader="none" w:pos="560" w:val="left"/>
        </w:tabs>
        <w:numPr>
          <w:ilvl w:val="0"/>
          <w:numId w:val="5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60" w:hanging="321"/>
        <w:spacing w:after="0"/>
        <w:tabs>
          <w:tab w:leader="none" w:pos="560" w:val="left"/>
        </w:tabs>
        <w:numPr>
          <w:ilvl w:val="0"/>
          <w:numId w:val="5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60" w:hanging="321"/>
        <w:spacing w:after="0"/>
        <w:tabs>
          <w:tab w:leader="none" w:pos="560" w:val="left"/>
        </w:tabs>
        <w:numPr>
          <w:ilvl w:val="0"/>
          <w:numId w:val="5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4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day of</w:t>
            </w: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w:t>
            </w:r>
          </w:p>
        </w:tc>
        <w:tc>
          <w:tcPr>
            <w:tcW w:w="14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rPr>
              <w:t>,   2014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Susan I. Permut</w:t>
            </w: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46"/>
        </w:trPr>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Susan I. Permut</w:t>
            </w:r>
          </w:p>
        </w:tc>
        <w:tc>
          <w:tcPr>
            <w:tcW w:w="5300" w:type="dxa"/>
            <w:vAlign w:val="bottom"/>
            <w:gridSpan w:val="3"/>
          </w:tcPr>
          <w:p>
            <w:pPr>
              <w:ind w:left="320"/>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4"/>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Assistant Secretary</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77" w:lineRule="exact"/>
        <w:rPr>
          <w:sz w:val="20"/>
          <w:szCs w:val="20"/>
          <w:color w:val="auto"/>
        </w:rPr>
      </w:pPr>
    </w:p>
    <w:p>
      <w:pPr>
        <w:ind w:left="560" w:hanging="321"/>
        <w:spacing w:after="0"/>
        <w:tabs>
          <w:tab w:leader="none" w:pos="560" w:val="left"/>
        </w:tabs>
        <w:numPr>
          <w:ilvl w:val="0"/>
          <w:numId w:val="5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60" w:hanging="321"/>
        <w:spacing w:after="0"/>
        <w:tabs>
          <w:tab w:leader="none" w:pos="560" w:val="left"/>
        </w:tabs>
        <w:numPr>
          <w:ilvl w:val="0"/>
          <w:numId w:val="5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60" w:hanging="321"/>
        <w:spacing w:after="0"/>
        <w:tabs>
          <w:tab w:leader="none" w:pos="560" w:val="left"/>
        </w:tabs>
        <w:numPr>
          <w:ilvl w:val="0"/>
          <w:numId w:val="5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60" w:hanging="321"/>
        <w:spacing w:after="0"/>
        <w:tabs>
          <w:tab w:leader="none" w:pos="560" w:val="left"/>
        </w:tabs>
        <w:numPr>
          <w:ilvl w:val="0"/>
          <w:numId w:val="5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35" w:lineRule="exact"/>
        <w:rPr>
          <w:sz w:val="20"/>
          <w:szCs w:val="20"/>
          <w:color w:val="auto"/>
        </w:rPr>
      </w:pPr>
    </w:p>
    <w:p>
      <w:pPr>
        <w:spacing w:after="0"/>
        <w:tabs>
          <w:tab w:leader="none" w:pos="560" w:val="left"/>
          <w:tab w:leader="none" w:pos="3540" w:val="left"/>
          <w:tab w:leader="none" w:pos="4180" w:val="left"/>
          <w:tab w:leader="none" w:pos="8800" w:val="left"/>
          <w:tab w:leader="none" w:pos="902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28"/>
          <w:szCs w:val="28"/>
          <w:color w:val="auto"/>
          <w:vertAlign w:val="subscript"/>
        </w:rPr>
        <w:t>7</w:t>
      </w:r>
      <w:r>
        <w:rPr>
          <w:rFonts w:ascii="Times New Roman" w:cs="Times New Roman" w:eastAsia="Times New Roman" w:hAnsi="Times New Roman"/>
          <w:sz w:val="23"/>
          <w:szCs w:val="23"/>
          <w:color w:val="auto"/>
          <w:vertAlign w:val="superscript"/>
        </w:rPr>
        <w:t>th</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July</w:t>
      </w:r>
      <w:r>
        <w:rPr>
          <w:sz w:val="20"/>
          <w:szCs w:val="20"/>
          <w:color w:val="auto"/>
        </w:rPr>
        <w:tab/>
      </w:r>
      <w:r>
        <w:rPr>
          <w:rFonts w:ascii="Times New Roman" w:cs="Times New Roman" w:eastAsia="Times New Roman" w:hAnsi="Times New Roman"/>
          <w:sz w:val="14"/>
          <w:szCs w:val="14"/>
          <w:color w:val="auto"/>
        </w:rPr>
        <w:t>,</w:t>
        <w:tab/>
        <w:t>2014</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31750</wp:posOffset>
            </wp:positionV>
            <wp:extent cx="67290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161530" cy="27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18" w:right="319" w:bottom="1440" w:gutter="0" w:footer="0" w:header="0"/>
        </w:sectPr>
      </w:pPr>
    </w:p>
    <w:bookmarkStart w:id="58" w:name="page59"/>
    <w:bookmarkEnd w:id="58"/>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1225686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2901315</wp:posOffset>
            </wp:positionV>
            <wp:extent cx="222885" cy="1149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222885" cy="11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120269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wp:posOffset>
            </wp:positionV>
            <wp:extent cx="405130" cy="270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405130" cy="27051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260"/>
        <w:spacing w:after="0"/>
        <w:rPr>
          <w:sz w:val="20"/>
          <w:szCs w:val="20"/>
          <w:color w:val="auto"/>
        </w:rPr>
      </w:pPr>
      <w:r>
        <w:rPr>
          <w:rFonts w:ascii="Times New Roman" w:cs="Times New Roman" w:eastAsia="Times New Roman" w:hAnsi="Times New Roman"/>
          <w:sz w:val="20"/>
          <w:szCs w:val="20"/>
          <w:color w:val="auto"/>
        </w:rPr>
        <w:t>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-384175</wp:posOffset>
            </wp:positionV>
            <wp:extent cx="720026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158"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Check: 30983145</w:t>
      </w:r>
    </w:p>
    <w:p>
      <w:pPr>
        <w:spacing w:after="0" w:line="1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Articles of Merger Involving Domestic Corporations,</w:t>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p>
      <w:pPr>
        <w:jc w:val="center"/>
        <w:ind w:right="2260"/>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p>
      <w:pPr>
        <w:spacing w:after="0" w:line="163" w:lineRule="exact"/>
        <w:rPr>
          <w:sz w:val="20"/>
          <w:szCs w:val="20"/>
          <w:color w:val="auto"/>
        </w:rPr>
      </w:pPr>
    </w:p>
    <w:p>
      <w:pPr>
        <w:jc w:val="both"/>
        <w:ind w:right="2260"/>
        <w:spacing w:after="0" w:line="268" w:lineRule="auto"/>
        <w:rPr>
          <w:sz w:val="20"/>
          <w:szCs w:val="20"/>
          <w:color w:val="auto"/>
        </w:rPr>
      </w:pPr>
      <w:r>
        <w:rPr>
          <w:rFonts w:ascii="Times New Roman" w:cs="Times New Roman" w:eastAsia="Times New Roman" w:hAnsi="Times New Roman"/>
          <w:sz w:val="14"/>
          <w:szCs w:val="14"/>
          <w:color w:val="auto"/>
        </w:rPr>
        <w:t>I hereby certify that upon examination of these articles of merger, duly submitted to me, it appears that the provisions of the General Laws relative thereto have been complied with, and I hereby approve said articles; and the filing fee in the amount of $</w:t>
      </w:r>
      <w:r>
        <w:rPr>
          <w:rFonts w:ascii="Times New Roman" w:cs="Times New Roman" w:eastAsia="Times New Roman" w:hAnsi="Times New Roman"/>
          <w:sz w:val="14"/>
          <w:szCs w:val="14"/>
          <w:u w:val="single" w:color="auto"/>
          <w:color w:val="auto"/>
        </w:rPr>
        <w:t>250</w:t>
      </w:r>
      <w:r>
        <w:rPr>
          <w:rFonts w:ascii="Times New Roman" w:cs="Times New Roman" w:eastAsia="Times New Roman" w:hAnsi="Times New Roman"/>
          <w:sz w:val="14"/>
          <w:szCs w:val="14"/>
          <w:color w:val="auto"/>
        </w:rPr>
        <w:t xml:space="preserve"> having been paid, said articles are deemed to have been filed with me this day of </w:t>
      </w:r>
      <w:r>
        <w:rPr>
          <w:rFonts w:ascii="Times New Roman" w:cs="Times New Roman" w:eastAsia="Times New Roman" w:hAnsi="Times New Roman"/>
          <w:sz w:val="14"/>
          <w:szCs w:val="14"/>
          <w:u w:val="single" w:color="auto"/>
          <w:color w:val="auto"/>
        </w:rPr>
        <w:t>8th</w:t>
      </w:r>
      <w:r>
        <w:rPr>
          <w:rFonts w:ascii="Times New Roman" w:cs="Times New Roman" w:eastAsia="Times New Roman" w:hAnsi="Times New Roman"/>
          <w:sz w:val="14"/>
          <w:szCs w:val="14"/>
          <w:color w:val="auto"/>
        </w:rPr>
        <w:t xml:space="preserve"> 20</w:t>
      </w:r>
      <w:r>
        <w:rPr>
          <w:rFonts w:ascii="Times New Roman" w:cs="Times New Roman" w:eastAsia="Times New Roman" w:hAnsi="Times New Roman"/>
          <w:sz w:val="14"/>
          <w:szCs w:val="14"/>
          <w:u w:val="single" w:color="auto"/>
          <w:color w:val="auto"/>
        </w:rPr>
        <w:t>14</w:t>
      </w:r>
      <w:r>
        <w:rPr>
          <w:rFonts w:ascii="Times New Roman" w:cs="Times New Roman" w:eastAsia="Times New Roman" w:hAnsi="Times New Roman"/>
          <w:sz w:val="14"/>
          <w:szCs w:val="14"/>
          <w:color w:val="auto"/>
        </w:rPr>
        <w:t xml:space="preserve"> at a.m./p.m.</w:t>
      </w:r>
    </w:p>
    <w:p>
      <w:pPr>
        <w:spacing w:after="0" w:line="15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i w:val="1"/>
          <w:iCs w:val="1"/>
          <w:color w:val="auto"/>
        </w:rPr>
        <w:t>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date:</w:t>
      </w:r>
    </w:p>
    <w:p>
      <w:pPr>
        <w:spacing w:after="0" w:line="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i w:val="1"/>
          <w:iCs w:val="1"/>
          <w:color w:val="auto"/>
        </w:rPr>
        <w:t>(must be within 90 days of 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-100965</wp:posOffset>
            </wp:positionV>
            <wp:extent cx="343217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3432175" cy="698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121285</wp:posOffset>
            </wp:positionV>
            <wp:extent cx="1351280" cy="3175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1351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165"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Filing fee: Minimum $250</w:t>
      </w:r>
    </w:p>
    <w:p>
      <w:pPr>
        <w:spacing w:after="0" w:line="179"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TO BE FILLED IN BY CORPORATION</w:t>
      </w:r>
    </w:p>
    <w:p>
      <w:pPr>
        <w:spacing w:after="0" w:line="23"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Contact Information:</w:t>
      </w:r>
    </w:p>
    <w:p>
      <w:pPr>
        <w:spacing w:after="0" w:line="165"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C T Corporation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15240</wp:posOffset>
            </wp:positionV>
            <wp:extent cx="343217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7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155 Federal Street, Suite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15240</wp:posOffset>
            </wp:positionV>
            <wp:extent cx="343217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7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Boston, Massachusetts 02110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15240</wp:posOffset>
            </wp:positionV>
            <wp:extent cx="343217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Telephone: (617) 757-6400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15240</wp:posOffset>
            </wp:positionV>
            <wp:extent cx="298640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2986405" cy="6985"/>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Email: tracy.magnan@cmc.com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15240</wp:posOffset>
            </wp:positionV>
            <wp:extent cx="314134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3141345" cy="6985"/>
                    </a:xfrm>
                    <a:prstGeom prst="rect">
                      <a:avLst/>
                    </a:prstGeom>
                    <a:noFill/>
                  </pic:spPr>
                </pic:pic>
              </a:graphicData>
            </a:graphic>
          </wp:anchor>
        </w:drawing>
      </w:r>
    </w:p>
    <w:p>
      <w:pPr>
        <w:spacing w:after="0" w:line="170" w:lineRule="exact"/>
        <w:rPr>
          <w:sz w:val="20"/>
          <w:szCs w:val="20"/>
          <w:color w:val="auto"/>
        </w:rPr>
      </w:pPr>
    </w:p>
    <w:p>
      <w:pPr>
        <w:jc w:val="both"/>
        <w:ind w:left="660" w:right="2960"/>
        <w:spacing w:after="0" w:line="271" w:lineRule="auto"/>
        <w:rPr>
          <w:sz w:val="20"/>
          <w:szCs w:val="20"/>
          <w:color w:val="auto"/>
        </w:rPr>
      </w:pPr>
      <w:r>
        <w:rPr>
          <w:rFonts w:ascii="Times New Roman" w:cs="Times New Roman" w:eastAsia="Times New Roman" w:hAnsi="Times New Roman"/>
          <w:sz w:val="14"/>
          <w:szCs w:val="14"/>
          <w:color w:val="auto"/>
        </w:rPr>
        <w:t>Upon filing, a copy of this filing will be available at www.sec.state.ma.us/cor. If the document is rejected, a copy of the rejection sheet and rejected document will be available in the rejected queue.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649605</wp:posOffset>
            </wp:positionV>
            <wp:extent cx="7161530" cy="27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2">
            <w:col w:w="1560" w:space="720"/>
            <w:col w:w="9000"/>
          </w:cols>
          <w:pgMar w:left="300" w:top="515"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99"/>
        </w:trPr>
        <w:tc>
          <w:tcPr>
            <w:tcW w:w="276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760" w:type="dxa"/>
            <w:vAlign w:val="bottom"/>
          </w:tcPr>
          <w:p>
            <w:pPr>
              <w:jc w:val="center"/>
              <w:ind w:left="945"/>
              <w:spacing w:after="0"/>
              <w:rPr>
                <w:sz w:val="20"/>
                <w:szCs w:val="20"/>
                <w:color w:val="auto"/>
              </w:rPr>
            </w:pPr>
            <w:r>
              <w:rPr>
                <w:rFonts w:ascii="Times New Roman" w:cs="Times New Roman" w:eastAsia="Times New Roman" w:hAnsi="Times New Roman"/>
                <w:sz w:val="14"/>
                <w:szCs w:val="14"/>
                <w:b w:val="1"/>
                <w:bCs w:val="1"/>
                <w:color w:val="auto"/>
              </w:rPr>
              <w:t>The Commonwealth of Massachusetts</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760" w:type="dxa"/>
            <w:vAlign w:val="bottom"/>
            <w:vMerge w:val="continue"/>
          </w:tcPr>
          <w:p>
            <w:pPr>
              <w:spacing w:after="0"/>
              <w:rPr>
                <w:sz w:val="12"/>
                <w:szCs w:val="12"/>
                <w:color w:val="auto"/>
              </w:rPr>
            </w:pPr>
          </w:p>
        </w:tc>
        <w:tc>
          <w:tcPr>
            <w:tcW w:w="4760" w:type="dxa"/>
            <w:vAlign w:val="bottom"/>
          </w:tcPr>
          <w:p>
            <w:pPr>
              <w:jc w:val="center"/>
              <w:ind w:left="945"/>
              <w:spacing w:after="0" w:line="145" w:lineRule="exact"/>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6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4760" w:type="dxa"/>
            <w:vAlign w:val="bottom"/>
          </w:tcPr>
          <w:p>
            <w:pPr>
              <w:jc w:val="center"/>
              <w:ind w:left="925"/>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760" w:type="dxa"/>
            <w:vAlign w:val="bottom"/>
            <w:vMerge w:val="continue"/>
          </w:tcPr>
          <w:p>
            <w:pPr>
              <w:spacing w:after="0"/>
              <w:rPr>
                <w:sz w:val="22"/>
                <w:szCs w:val="22"/>
                <w:color w:val="auto"/>
              </w:rPr>
            </w:pPr>
          </w:p>
        </w:tc>
        <w:tc>
          <w:tcPr>
            <w:tcW w:w="4760" w:type="dxa"/>
            <w:vAlign w:val="bottom"/>
          </w:tcPr>
          <w:p>
            <w:pPr>
              <w:jc w:val="center"/>
              <w:ind w:left="945"/>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FORM MUST BE TYPED</w:t>
            </w:r>
          </w:p>
        </w:tc>
        <w:tc>
          <w:tcPr>
            <w:tcW w:w="4760" w:type="dxa"/>
            <w:vAlign w:val="bottom"/>
          </w:tcPr>
          <w:p>
            <w:pPr>
              <w:ind w:left="2280"/>
              <w:spacing w:after="0"/>
              <w:rPr>
                <w:sz w:val="20"/>
                <w:szCs w:val="20"/>
                <w:color w:val="auto"/>
              </w:rPr>
            </w:pPr>
            <w:r>
              <w:rPr>
                <w:rFonts w:ascii="Times New Roman" w:cs="Times New Roman" w:eastAsia="Times New Roman" w:hAnsi="Times New Roman"/>
                <w:sz w:val="17"/>
                <w:szCs w:val="17"/>
                <w:b w:val="1"/>
                <w:bCs w:val="1"/>
                <w:color w:val="auto"/>
              </w:rPr>
              <w:t>Articles of Merger</w:t>
            </w:r>
          </w:p>
        </w:tc>
        <w:tc>
          <w:tcPr>
            <w:tcW w:w="376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FORM MUST BE TYPED</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4760" w:type="dxa"/>
            <w:vAlign w:val="bottom"/>
          </w:tcPr>
          <w:p>
            <w:pPr>
              <w:jc w:val="center"/>
              <w:ind w:left="905"/>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60" w:type="dxa"/>
            <w:vAlign w:val="bottom"/>
          </w:tcPr>
          <w:p>
            <w:pPr>
              <w:jc w:val="center"/>
              <w:ind w:left="905"/>
              <w:spacing w:after="0"/>
              <w:rPr>
                <w:sz w:val="20"/>
                <w:szCs w:val="20"/>
                <w:color w:val="auto"/>
              </w:rPr>
            </w:pPr>
            <w:r>
              <w:rPr>
                <w:rFonts w:ascii="Times New Roman" w:cs="Times New Roman" w:eastAsia="Times New Roman" w:hAnsi="Times New Roman"/>
                <w:sz w:val="17"/>
                <w:szCs w:val="17"/>
                <w:b w:val="1"/>
                <w:bCs w:val="1"/>
                <w:color w:val="auto"/>
                <w:w w:val="99"/>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4760" w:type="dxa"/>
            <w:vAlign w:val="bottom"/>
          </w:tcPr>
          <w:p>
            <w:pPr>
              <w:jc w:val="center"/>
              <w:ind w:left="945"/>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76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 042686009</w:t>
            </w:r>
          </w:p>
        </w:tc>
        <w:tc>
          <w:tcPr>
            <w:tcW w:w="47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331"/>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Renasar Technologies, Inc.</w:t>
            </w:r>
          </w:p>
        </w:tc>
        <w:tc>
          <w:tcPr>
            <w:tcW w:w="47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Delaware</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February 12,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00" w:hanging="195"/>
        <w:spacing w:after="0" w:line="161" w:lineRule="exact"/>
        <w:tabs>
          <w:tab w:leader="none" w:pos="2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p>
      <w:pPr>
        <w:spacing w:after="0" w:line="210"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Exact name of the surviving entity: EMC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15240</wp:posOffset>
            </wp:positionV>
            <wp:extent cx="572897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5728970" cy="6985"/>
                    </a:xfrm>
                    <a:prstGeom prst="rect">
                      <a:avLst/>
                    </a:prstGeom>
                    <a:noFill/>
                  </pic:spPr>
                </pic:pic>
              </a:graphicData>
            </a:graphic>
          </wp:anchor>
        </w:drawing>
      </w:r>
    </w:p>
    <w:p>
      <w:pPr>
        <w:spacing w:after="0" w:line="191"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4"/>
          <w:szCs w:val="14"/>
          <w:color w:val="auto"/>
        </w:rPr>
        <w:t>(5) Jurisdiction under the laws of which the surviving entity will be organized:</w:t>
      </w:r>
      <w:r>
        <w:rPr>
          <w:sz w:val="20"/>
          <w:szCs w:val="20"/>
          <w:color w:val="auto"/>
        </w:rPr>
        <w:tab/>
      </w:r>
      <w:r>
        <w:rPr>
          <w:rFonts w:ascii="Times New Roman" w:cs="Times New Roman" w:eastAsia="Times New Roman" w:hAnsi="Times New Roman"/>
          <w:sz w:val="14"/>
          <w:szCs w:val="14"/>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15240</wp:posOffset>
            </wp:positionV>
            <wp:extent cx="343217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70" w:lineRule="exact"/>
        <w:rPr>
          <w:sz w:val="20"/>
          <w:szCs w:val="20"/>
          <w:color w:val="auto"/>
        </w:rPr>
      </w:pPr>
    </w:p>
    <w:p>
      <w:pPr>
        <w:ind w:left="200" w:hanging="195"/>
        <w:spacing w:after="0"/>
        <w:tabs>
          <w:tab w:leader="none" w:pos="2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 and time of filing is specified:</w:t>
      </w:r>
    </w:p>
    <w:p>
      <w:pPr>
        <w:spacing w:after="0" w:line="23" w:lineRule="exact"/>
        <w:rPr>
          <w:rFonts w:ascii="Times New Roman" w:cs="Times New Roman" w:eastAsia="Times New Roman" w:hAnsi="Times New Roman"/>
          <w:sz w:val="14"/>
          <w:szCs w:val="14"/>
          <w:color w:val="auto"/>
        </w:rPr>
      </w:pPr>
    </w:p>
    <w:p>
      <w:pPr>
        <w:ind w:left="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_____________________________________________________________________________________</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chat is a party to the merger:**</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6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79" w:lineRule="exact"/>
        <w:rPr>
          <w:sz w:val="20"/>
          <w:szCs w:val="20"/>
          <w:color w:val="auto"/>
        </w:rPr>
      </w:pPr>
    </w:p>
    <w:p>
      <w:pPr>
        <w:ind w:left="520" w:hanging="260"/>
        <w:spacing w:after="0"/>
        <w:tabs>
          <w:tab w:leader="none" w:pos="520" w:val="left"/>
        </w:tabs>
        <w:numPr>
          <w:ilvl w:val="1"/>
          <w:numId w:val="6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did not require the approval of the shareholders.</w:t>
      </w:r>
    </w:p>
    <w:p>
      <w:pPr>
        <w:spacing w:after="0" w:line="179" w:lineRule="exact"/>
        <w:rPr>
          <w:rFonts w:ascii="MS PGothic" w:cs="MS PGothic" w:eastAsia="MS PGothic" w:hAnsi="MS PGothic"/>
          <w:sz w:val="14"/>
          <w:szCs w:val="14"/>
          <w:color w:val="auto"/>
        </w:rPr>
      </w:pPr>
    </w:p>
    <w:p>
      <w:pPr>
        <w:ind w:left="200" w:hanging="195"/>
        <w:spacing w:after="0" w:line="288" w:lineRule="auto"/>
        <w:tabs>
          <w:tab w:leader="none" w:pos="2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35814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35814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337185</wp:posOffset>
            </wp:positionV>
            <wp:extent cx="7161530" cy="27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60" w:name="page61"/>
    <w:bookmarkEnd w:id="60"/>
    <w:p>
      <w:pPr>
        <w:ind w:left="280" w:hanging="275"/>
        <w:spacing w:after="0"/>
        <w:tabs>
          <w:tab w:leader="none" w:pos="2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jc w:val="right"/>
              <w:ind w:right="2569"/>
              <w:spacing w:after="0"/>
              <w:rPr>
                <w:sz w:val="20"/>
                <w:szCs w:val="20"/>
                <w:color w:val="auto"/>
              </w:rPr>
            </w:pPr>
            <w:r>
              <w:rPr>
                <w:rFonts w:ascii="Times New Roman" w:cs="Times New Roman" w:eastAsia="Times New Roman" w:hAnsi="Times New Roman"/>
                <w:sz w:val="14"/>
                <w:szCs w:val="14"/>
                <w:color w:val="auto"/>
                <w:w w:val="94"/>
              </w:rPr>
              <w:t>(12)</w:t>
            </w:r>
          </w:p>
        </w:tc>
        <w:tc>
          <w:tcPr>
            <w:tcW w:w="84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w:t>
            </w:r>
          </w:p>
        </w:tc>
      </w:tr>
      <w:tr>
        <w:trPr>
          <w:trHeight w:val="170"/>
        </w:trPr>
        <w:tc>
          <w:tcPr>
            <w:tcW w:w="2880" w:type="dxa"/>
            <w:vAlign w:val="bottom"/>
          </w:tcPr>
          <w:p>
            <w:pPr>
              <w:spacing w:after="0"/>
              <w:rPr>
                <w:sz w:val="14"/>
                <w:szCs w:val="14"/>
                <w:color w:val="auto"/>
              </w:rPr>
            </w:pPr>
          </w:p>
        </w:tc>
        <w:tc>
          <w:tcPr>
            <w:tcW w:w="84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the public record in the</w:t>
            </w:r>
          </w:p>
        </w:tc>
      </w:tr>
      <w:tr>
        <w:trPr>
          <w:trHeight w:val="185"/>
        </w:trPr>
        <w:tc>
          <w:tcPr>
            <w:tcW w:w="2880" w:type="dxa"/>
            <w:vAlign w:val="bottom"/>
          </w:tcPr>
          <w:p>
            <w:pPr>
              <w:spacing w:after="0"/>
              <w:rPr>
                <w:sz w:val="16"/>
                <w:szCs w:val="16"/>
                <w:color w:val="auto"/>
              </w:rPr>
            </w:pPr>
          </w:p>
        </w:tc>
        <w:tc>
          <w:tcPr>
            <w:tcW w:w="840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foreign jurisdiction:</w:t>
            </w:r>
          </w:p>
        </w:tc>
      </w:tr>
      <w:tr>
        <w:trPr>
          <w:trHeight w:val="177"/>
        </w:trPr>
        <w:tc>
          <w:tcPr>
            <w:tcW w:w="28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tc>
      </w:tr>
      <w:tr>
        <w:trPr>
          <w:trHeight w:val="528"/>
        </w:trPr>
        <w:tc>
          <w:tcPr>
            <w:tcW w:w="288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280"/>
          </w:cols>
          <w:pgMar w:left="300" w:top="497" w:right="319" w:bottom="144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Paul T. Dacier</w:t>
            </w:r>
          </w:p>
        </w:tc>
        <w:tc>
          <w:tcPr>
            <w:tcW w:w="7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1020" w:type="dxa"/>
            <w:vAlign w:val="bottom"/>
          </w:tcPr>
          <w:p>
            <w:pPr>
              <w:spacing w:after="0"/>
              <w:rPr>
                <w:sz w:val="12"/>
                <w:szCs w:val="12"/>
                <w:color w:val="auto"/>
              </w:rPr>
            </w:pPr>
          </w:p>
        </w:tc>
        <w:tc>
          <w:tcPr>
            <w:tcW w:w="24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Paul. T, Dacier</w:t>
            </w:r>
          </w:p>
        </w:tc>
        <w:tc>
          <w:tcPr>
            <w:tcW w:w="7780" w:type="dxa"/>
            <w:vAlign w:val="bottom"/>
          </w:tcPr>
          <w:p>
            <w:pPr>
              <w:jc w:val="right"/>
              <w:ind w:right="5349"/>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r>
      <w:tr>
        <w:trPr>
          <w:trHeight w:val="184"/>
        </w:trPr>
        <w:tc>
          <w:tcPr>
            <w:tcW w:w="102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President, Renasar Technologies, Inc.</w:t>
            </w:r>
          </w:p>
        </w:tc>
        <w:tc>
          <w:tcPr>
            <w:tcW w:w="7780" w:type="dxa"/>
            <w:vAlign w:val="bottom"/>
          </w:tcPr>
          <w:p>
            <w:pPr>
              <w:spacing w:after="0"/>
              <w:rPr>
                <w:sz w:val="16"/>
                <w:szCs w:val="16"/>
                <w:color w:val="auto"/>
              </w:rPr>
            </w:pPr>
          </w:p>
        </w:tc>
      </w:tr>
    </w:tbl>
    <w:p>
      <w:pPr>
        <w:spacing w:after="0" w:line="177" w:lineRule="exact"/>
        <w:rPr>
          <w:sz w:val="20"/>
          <w:szCs w:val="20"/>
          <w:color w:val="auto"/>
        </w:rPr>
      </w:pPr>
    </w:p>
    <w:p>
      <w:pPr>
        <w:ind w:left="560" w:hanging="321"/>
        <w:spacing w:after="0"/>
        <w:tabs>
          <w:tab w:leader="none" w:pos="560" w:val="left"/>
        </w:tabs>
        <w:numPr>
          <w:ilvl w:val="0"/>
          <w:numId w:val="6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60" w:hanging="321"/>
        <w:spacing w:after="0"/>
        <w:tabs>
          <w:tab w:leader="none" w:pos="560" w:val="left"/>
        </w:tabs>
        <w:numPr>
          <w:ilvl w:val="0"/>
          <w:numId w:val="6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60" w:hanging="321"/>
        <w:spacing w:after="0"/>
        <w:tabs>
          <w:tab w:leader="none" w:pos="560" w:val="left"/>
        </w:tabs>
        <w:numPr>
          <w:ilvl w:val="0"/>
          <w:numId w:val="6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60" w:hanging="321"/>
        <w:spacing w:after="0"/>
        <w:tabs>
          <w:tab w:leader="none" w:pos="560" w:val="left"/>
        </w:tabs>
        <w:numPr>
          <w:ilvl w:val="0"/>
          <w:numId w:val="6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on this   </w:t>
            </w:r>
            <w:r>
              <w:rPr>
                <w:rFonts w:ascii="Times New Roman" w:cs="Times New Roman" w:eastAsia="Times New Roman" w:hAnsi="Times New Roman"/>
                <w:sz w:val="28"/>
                <w:szCs w:val="28"/>
                <w:color w:val="auto"/>
                <w:vertAlign w:val="subscript"/>
              </w:rPr>
              <w:t>6</w:t>
            </w:r>
            <w:r>
              <w:rPr>
                <w:rFonts w:ascii="Times New Roman" w:cs="Times New Roman" w:eastAsia="Times New Roman" w:hAnsi="Times New Roman"/>
                <w:sz w:val="23"/>
                <w:szCs w:val="23"/>
                <w:color w:val="auto"/>
                <w:vertAlign w:val="superscript"/>
              </w:rPr>
              <w:t>th</w:t>
            </w: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day of</w:t>
            </w:r>
          </w:p>
        </w:tc>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w:t>
            </w:r>
          </w:p>
        </w:tc>
        <w:tc>
          <w:tcPr>
            <w:tcW w:w="14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rPr>
              <w:t>, 2015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8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8"/>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580" w:type="dxa"/>
            <w:vAlign w:val="bottom"/>
          </w:tcPr>
          <w:p>
            <w:pPr>
              <w:spacing w:after="0"/>
              <w:rPr>
                <w:sz w:val="16"/>
                <w:szCs w:val="16"/>
                <w:color w:val="auto"/>
              </w:rPr>
            </w:pPr>
          </w:p>
        </w:tc>
        <w:tc>
          <w:tcPr>
            <w:tcW w:w="2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Susan I Permut</w:t>
            </w:r>
          </w:p>
        </w:tc>
        <w:tc>
          <w:tcPr>
            <w:tcW w:w="53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(signature of authorized individual)</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ind w:left="1020"/>
        <w:spacing w:after="0"/>
        <w:rPr>
          <w:sz w:val="20"/>
          <w:szCs w:val="20"/>
          <w:color w:val="auto"/>
        </w:rPr>
      </w:pPr>
      <w:r>
        <w:rPr>
          <w:rFonts w:ascii="Times New Roman" w:cs="Times New Roman" w:eastAsia="Times New Roman" w:hAnsi="Times New Roman"/>
          <w:sz w:val="14"/>
          <w:szCs w:val="14"/>
          <w:color w:val="auto"/>
        </w:rPr>
        <w:t>Senior Vice President and Deputy General Counsel</w:t>
      </w:r>
    </w:p>
    <w:p>
      <w:pPr>
        <w:spacing w:after="0" w:line="187" w:lineRule="exact"/>
        <w:rPr>
          <w:sz w:val="20"/>
          <w:szCs w:val="20"/>
          <w:color w:val="auto"/>
        </w:rPr>
      </w:pPr>
    </w:p>
    <w:p>
      <w:pPr>
        <w:ind w:left="560" w:hanging="321"/>
        <w:spacing w:after="0"/>
        <w:tabs>
          <w:tab w:leader="none" w:pos="560" w:val="left"/>
        </w:tabs>
        <w:numPr>
          <w:ilvl w:val="0"/>
          <w:numId w:val="6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60" w:hanging="321"/>
        <w:spacing w:after="0"/>
        <w:tabs>
          <w:tab w:leader="none" w:pos="560" w:val="left"/>
        </w:tabs>
        <w:numPr>
          <w:ilvl w:val="0"/>
          <w:numId w:val="6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60" w:hanging="321"/>
        <w:spacing w:after="0"/>
        <w:tabs>
          <w:tab w:leader="none" w:pos="560" w:val="left"/>
        </w:tabs>
        <w:numPr>
          <w:ilvl w:val="0"/>
          <w:numId w:val="6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60" w:hanging="321"/>
        <w:spacing w:after="0"/>
        <w:tabs>
          <w:tab w:leader="none" w:pos="560" w:val="left"/>
        </w:tabs>
        <w:numPr>
          <w:ilvl w:val="0"/>
          <w:numId w:val="6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35" w:lineRule="exact"/>
        <w:rPr>
          <w:sz w:val="20"/>
          <w:szCs w:val="20"/>
          <w:color w:val="auto"/>
        </w:rPr>
      </w:pPr>
    </w:p>
    <w:p>
      <w:pPr>
        <w:spacing w:after="0"/>
        <w:tabs>
          <w:tab w:leader="none" w:pos="560" w:val="left"/>
          <w:tab w:leader="none" w:pos="3500" w:val="left"/>
          <w:tab w:leader="none" w:pos="4180" w:val="left"/>
          <w:tab w:leader="none" w:pos="888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28"/>
          <w:szCs w:val="28"/>
          <w:color w:val="auto"/>
          <w:vertAlign w:val="subscript"/>
        </w:rPr>
        <w:t>6</w:t>
      </w:r>
      <w:r>
        <w:rPr>
          <w:rFonts w:ascii="Times New Roman" w:cs="Times New Roman" w:eastAsia="Times New Roman" w:hAnsi="Times New Roman"/>
          <w:sz w:val="23"/>
          <w:szCs w:val="23"/>
          <w:color w:val="auto"/>
          <w:vertAlign w:val="superscript"/>
        </w:rPr>
        <w:t>th</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March</w:t>
      </w:r>
      <w:r>
        <w:rPr>
          <w:sz w:val="20"/>
          <w:szCs w:val="20"/>
          <w:color w:val="auto"/>
        </w:rPr>
        <w:tab/>
      </w:r>
      <w:r>
        <w:rPr>
          <w:rFonts w:ascii="Times New Roman" w:cs="Times New Roman" w:eastAsia="Times New Roman" w:hAnsi="Times New Roman"/>
          <w:sz w:val="14"/>
          <w:szCs w:val="14"/>
          <w:color w:val="auto"/>
        </w:rPr>
        <w:t>, 2015</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31750</wp:posOffset>
            </wp:positionV>
            <wp:extent cx="672909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161530" cy="27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19" w:right="31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0269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CK#3116657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-357505</wp:posOffset>
            </wp:positionV>
            <wp:extent cx="7200265" cy="3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170"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20"/>
          <w:szCs w:val="20"/>
          <w:b w:val="1"/>
          <w:bCs w:val="1"/>
          <w:color w:val="auto"/>
        </w:rPr>
        <w:t>COMMONWEALTH OF MASSACHUSETTS</w:t>
      </w:r>
    </w:p>
    <w:p>
      <w:pPr>
        <w:spacing w:after="0" w:line="182"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55"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Articles of Merger Involving Domestic Corporations,</w:t>
      </w:r>
    </w:p>
    <w:p>
      <w:pPr>
        <w:spacing w:after="0" w:line="18"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p>
      <w:pPr>
        <w:jc w:val="center"/>
        <w:ind w:right="2280"/>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 hereby certify that upon examination of these articles of merger, duly submitted to me, it appears that the provisions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1239891</w:t>
            </w:r>
          </w:p>
        </w:tc>
      </w:tr>
      <w:tr>
        <w:trPr>
          <w:trHeight w:val="170"/>
        </w:trPr>
        <w:tc>
          <w:tcPr>
            <w:tcW w:w="7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of the General Laws relative thereto have been complied with, and I hereby approve said articles; and the filing fee in</w:t>
            </w:r>
          </w:p>
        </w:tc>
        <w:tc>
          <w:tcPr>
            <w:tcW w:w="940" w:type="dxa"/>
            <w:vAlign w:val="bottom"/>
          </w:tcPr>
          <w:p>
            <w:pPr>
              <w:spacing w:after="0"/>
              <w:rPr>
                <w:sz w:val="14"/>
                <w:szCs w:val="14"/>
                <w:color w:val="auto"/>
              </w:rPr>
            </w:pPr>
          </w:p>
        </w:tc>
      </w:tr>
      <w:tr>
        <w:trPr>
          <w:trHeight w:val="153"/>
        </w:trPr>
        <w:tc>
          <w:tcPr>
            <w:tcW w:w="7180" w:type="dxa"/>
            <w:vAlign w:val="bottom"/>
            <w:gridSpan w:val="6"/>
          </w:tcPr>
          <w:p>
            <w:pPr>
              <w:spacing w:after="0" w:line="153" w:lineRule="exact"/>
              <w:rPr>
                <w:sz w:val="20"/>
                <w:szCs w:val="20"/>
                <w:color w:val="auto"/>
              </w:rPr>
            </w:pPr>
            <w:r>
              <w:rPr>
                <w:rFonts w:ascii="Times New Roman" w:cs="Times New Roman" w:eastAsia="Times New Roman" w:hAnsi="Times New Roman"/>
                <w:sz w:val="14"/>
                <w:szCs w:val="14"/>
                <w:color w:val="auto"/>
              </w:rPr>
              <w:t>the amount of $250 having been paid, said articles are deemed to have been filed with me this day of 6 March 2015 at</w:t>
            </w:r>
          </w:p>
        </w:tc>
        <w:tc>
          <w:tcPr>
            <w:tcW w:w="94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7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4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3:23 a.m./p.m.</w:t>
            </w:r>
          </w:p>
        </w:tc>
        <w:tc>
          <w:tcPr>
            <w:tcW w:w="5400" w:type="dxa"/>
            <w:vAlign w:val="bottom"/>
          </w:tcPr>
          <w:p>
            <w:pPr>
              <w:ind w:left="3020"/>
              <w:spacing w:after="0" w:line="159" w:lineRule="exact"/>
              <w:rPr>
                <w:sz w:val="20"/>
                <w:szCs w:val="20"/>
                <w:color w:val="auto"/>
              </w:rPr>
            </w:pPr>
            <w:r>
              <w:rPr>
                <w:rFonts w:ascii="Times New Roman" w:cs="Times New Roman" w:eastAsia="Times New Roman" w:hAnsi="Times New Roman"/>
                <w:sz w:val="14"/>
                <w:szCs w:val="14"/>
                <w:i w:val="1"/>
                <w:iCs w:val="1"/>
                <w:color w:val="auto"/>
              </w:rPr>
              <w:t>time</w:t>
            </w:r>
          </w:p>
        </w:tc>
      </w:tr>
      <w:tr>
        <w:trPr>
          <w:trHeight w:val="20"/>
        </w:trPr>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352"/>
        </w:trPr>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Effective date:</w:t>
            </w:r>
          </w:p>
        </w:tc>
        <w:tc>
          <w:tcPr>
            <w:tcW w:w="5400" w:type="dxa"/>
            <w:vAlign w:val="bottom"/>
            <w:tcBorders>
              <w:bottom w:val="single" w:sz="8" w:color="auto"/>
            </w:tcBorders>
          </w:tcPr>
          <w:p>
            <w:pPr>
              <w:spacing w:after="0"/>
              <w:rPr>
                <w:sz w:val="24"/>
                <w:szCs w:val="24"/>
                <w:color w:val="auto"/>
              </w:rPr>
            </w:pPr>
          </w:p>
        </w:tc>
      </w:tr>
      <w:tr>
        <w:trPr>
          <w:trHeight w:val="177"/>
        </w:trPr>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0" w:type="dxa"/>
            <w:vAlign w:val="bottom"/>
          </w:tcPr>
          <w:p>
            <w:pPr>
              <w:ind w:left="1500"/>
              <w:spacing w:after="0"/>
              <w:rPr>
                <w:sz w:val="20"/>
                <w:szCs w:val="20"/>
                <w:color w:val="auto"/>
              </w:rPr>
            </w:pPr>
            <w:r>
              <w:rPr>
                <w:rFonts w:ascii="Times New Roman" w:cs="Times New Roman" w:eastAsia="Times New Roman" w:hAnsi="Times New Roman"/>
                <w:sz w:val="14"/>
                <w:szCs w:val="14"/>
                <w:i w:val="1"/>
                <w:iCs w:val="1"/>
                <w:color w:val="auto"/>
              </w:rPr>
              <w:t>(must be within 90 days of date submitted)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111125</wp:posOffset>
            </wp:positionV>
            <wp:extent cx="1351280" cy="3175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1351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165"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Filing fee: Minimum $250</w:t>
      </w:r>
    </w:p>
    <w:p>
      <w:pPr>
        <w:spacing w:after="0" w:line="179"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TO BE FILLED IN BY CORPORATION</w:t>
      </w:r>
    </w:p>
    <w:p>
      <w:pPr>
        <w:spacing w:after="0" w:line="23"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Contact Information:</w:t>
      </w:r>
    </w:p>
    <w:p>
      <w:pPr>
        <w:spacing w:after="0" w:line="165"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C T Corporation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15240</wp:posOffset>
            </wp:positionV>
            <wp:extent cx="343217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7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155 Federal Street, Suite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15240</wp:posOffset>
            </wp:positionV>
            <wp:extent cx="343217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7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Boston, Massachusetts 02110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15240</wp:posOffset>
            </wp:positionV>
            <wp:extent cx="343217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Telephone: (617) 757-6400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15240</wp:posOffset>
            </wp:positionV>
            <wp:extent cx="298640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2986405" cy="6985"/>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Email: tracy.magnan@cmc.com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15240</wp:posOffset>
            </wp:positionV>
            <wp:extent cx="314134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3141345" cy="6985"/>
                    </a:xfrm>
                    <a:prstGeom prst="rect">
                      <a:avLst/>
                    </a:prstGeom>
                    <a:noFill/>
                  </pic:spPr>
                </pic:pic>
              </a:graphicData>
            </a:graphic>
          </wp:anchor>
        </w:drawing>
      </w:r>
    </w:p>
    <w:p>
      <w:pPr>
        <w:spacing w:after="0" w:line="170" w:lineRule="exact"/>
        <w:rPr>
          <w:sz w:val="20"/>
          <w:szCs w:val="20"/>
          <w:color w:val="auto"/>
        </w:rPr>
      </w:pPr>
    </w:p>
    <w:p>
      <w:pPr>
        <w:jc w:val="both"/>
        <w:ind w:left="660" w:right="2960"/>
        <w:spacing w:after="0" w:line="271" w:lineRule="auto"/>
        <w:rPr>
          <w:sz w:val="20"/>
          <w:szCs w:val="20"/>
          <w:color w:val="auto"/>
        </w:rPr>
      </w:pPr>
      <w:r>
        <w:rPr>
          <w:rFonts w:ascii="Times New Roman" w:cs="Times New Roman" w:eastAsia="Times New Roman" w:hAnsi="Times New Roman"/>
          <w:sz w:val="14"/>
          <w:szCs w:val="14"/>
          <w:color w:val="auto"/>
        </w:rPr>
        <w:t>Upon filing, a copy of this filing will be available at www.sec.state.ma.us/cor. If the document is rejected, a copy of the rejection sheet and rejected document will be available in the rejected queue.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757555</wp:posOffset>
            </wp:positionV>
            <wp:extent cx="7161530" cy="27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2">
            <w:col w:w="1560" w:space="720"/>
            <w:col w:w="9000"/>
          </w:cols>
          <w:pgMar w:left="300" w:top="508"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0"/>
        </w:trPr>
        <w:tc>
          <w:tcPr>
            <w:tcW w:w="2760" w:type="dxa"/>
            <w:vAlign w:val="bottom"/>
            <w:vMerge w:val="restart"/>
          </w:tcPr>
          <w:p>
            <w:pPr>
              <w:spacing w:after="0"/>
              <w:rPr>
                <w:sz w:val="20"/>
                <w:szCs w:val="20"/>
                <w:color w:val="auto"/>
              </w:rPr>
            </w:pPr>
            <w:r>
              <w:rPr>
                <w:rFonts w:ascii="Times New Roman" w:cs="Times New Roman" w:eastAsia="Times New Roman" w:hAnsi="Times New Roman"/>
                <w:sz w:val="34"/>
                <w:szCs w:val="34"/>
                <w:color w:val="auto"/>
              </w:rPr>
              <w:t>DF</w:t>
            </w:r>
          </w:p>
        </w:tc>
        <w:tc>
          <w:tcPr>
            <w:tcW w:w="4760" w:type="dxa"/>
            <w:vAlign w:val="bottom"/>
          </w:tcPr>
          <w:p>
            <w:pPr>
              <w:jc w:val="center"/>
              <w:ind w:left="943"/>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760" w:type="dxa"/>
            <w:vAlign w:val="bottom"/>
            <w:vMerge w:val="continue"/>
          </w:tcPr>
          <w:p>
            <w:pPr>
              <w:spacing w:after="0"/>
              <w:rPr>
                <w:sz w:val="12"/>
                <w:szCs w:val="12"/>
                <w:color w:val="auto"/>
              </w:rPr>
            </w:pPr>
          </w:p>
        </w:tc>
        <w:tc>
          <w:tcPr>
            <w:tcW w:w="4760" w:type="dxa"/>
            <w:vAlign w:val="bottom"/>
          </w:tcPr>
          <w:p>
            <w:pPr>
              <w:jc w:val="center"/>
              <w:ind w:left="943"/>
              <w:spacing w:after="0" w:line="145" w:lineRule="exact"/>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60" w:type="dxa"/>
            <w:vAlign w:val="bottom"/>
            <w:vMerge w:val="restart"/>
          </w:tcPr>
          <w:p>
            <w:pPr>
              <w:spacing w:after="0"/>
              <w:rPr>
                <w:sz w:val="20"/>
                <w:szCs w:val="20"/>
                <w:color w:val="auto"/>
              </w:rPr>
            </w:pPr>
            <w:r>
              <w:rPr>
                <w:rFonts w:ascii="Times New Roman" w:cs="Times New Roman" w:eastAsia="Times New Roman" w:hAnsi="Times New Roman"/>
                <w:sz w:val="34"/>
                <w:szCs w:val="34"/>
                <w:color w:val="auto"/>
              </w:rPr>
              <w:t>PC</w:t>
            </w:r>
          </w:p>
        </w:tc>
        <w:tc>
          <w:tcPr>
            <w:tcW w:w="4760" w:type="dxa"/>
            <w:vAlign w:val="bottom"/>
          </w:tcPr>
          <w:p>
            <w:pPr>
              <w:jc w:val="center"/>
              <w:ind w:left="92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760" w:type="dxa"/>
            <w:vAlign w:val="bottom"/>
            <w:vMerge w:val="continue"/>
          </w:tcPr>
          <w:p>
            <w:pPr>
              <w:spacing w:after="0"/>
              <w:rPr>
                <w:sz w:val="21"/>
                <w:szCs w:val="21"/>
                <w:color w:val="auto"/>
              </w:rPr>
            </w:pPr>
          </w:p>
        </w:tc>
        <w:tc>
          <w:tcPr>
            <w:tcW w:w="4760" w:type="dxa"/>
            <w:vAlign w:val="bottom"/>
          </w:tcPr>
          <w:p>
            <w:pPr>
              <w:jc w:val="center"/>
              <w:ind w:left="90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760" w:type="dxa"/>
            <w:vAlign w:val="bottom"/>
          </w:tcPr>
          <w:p>
            <w:pPr>
              <w:ind w:left="2280"/>
              <w:spacing w:after="0"/>
              <w:rPr>
                <w:sz w:val="20"/>
                <w:szCs w:val="20"/>
                <w:color w:val="auto"/>
              </w:rPr>
            </w:pPr>
            <w:r>
              <w:rPr>
                <w:rFonts w:ascii="Times New Roman" w:cs="Times New Roman" w:eastAsia="Times New Roman" w:hAnsi="Times New Roman"/>
                <w:sz w:val="17"/>
                <w:szCs w:val="17"/>
                <w:b w:val="1"/>
                <w:bCs w:val="1"/>
                <w:color w:val="auto"/>
              </w:rPr>
              <w:t>Articles of Merger</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4760" w:type="dxa"/>
            <w:vAlign w:val="bottom"/>
          </w:tcPr>
          <w:p>
            <w:pPr>
              <w:ind w:left="1640"/>
              <w:spacing w:after="0" w:line="192" w:lineRule="exact"/>
              <w:rPr>
                <w:sz w:val="20"/>
                <w:szCs w:val="20"/>
                <w:color w:val="auto"/>
              </w:rPr>
            </w:pPr>
            <w:r>
              <w:rPr>
                <w:rFonts w:ascii="Times New Roman" w:cs="Times New Roman" w:eastAsia="Times New Roman" w:hAnsi="Times New Roman"/>
                <w:sz w:val="17"/>
                <w:szCs w:val="17"/>
                <w:b w:val="1"/>
                <w:bCs w:val="1"/>
                <w:color w:val="auto"/>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60" w:type="dxa"/>
            <w:vAlign w:val="bottom"/>
          </w:tcPr>
          <w:p>
            <w:pPr>
              <w:jc w:val="center"/>
              <w:ind w:left="923"/>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4760" w:type="dxa"/>
            <w:vAlign w:val="bottom"/>
          </w:tcPr>
          <w:p>
            <w:pPr>
              <w:jc w:val="center"/>
              <w:ind w:left="943"/>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76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 042680009</w:t>
            </w:r>
          </w:p>
        </w:tc>
        <w:tc>
          <w:tcPr>
            <w:tcW w:w="47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331"/>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Afore Solutions (USA) Inc.</w:t>
            </w:r>
          </w:p>
        </w:tc>
        <w:tc>
          <w:tcPr>
            <w:tcW w:w="47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Delaware</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16, 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1110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tc>
      </w:tr>
      <w:tr>
        <w:trPr>
          <w:trHeight w:val="319"/>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960" w:type="dxa"/>
            <w:vAlign w:val="bottom"/>
            <w:tcBorders>
              <w:bottom w:val="single" w:sz="8" w:color="auto"/>
            </w:tcBorders>
          </w:tcPr>
          <w:p>
            <w:pPr>
              <w:spacing w:after="0"/>
              <w:rPr>
                <w:sz w:val="24"/>
                <w:szCs w:val="24"/>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bl>
    <w:p>
      <w:pPr>
        <w:spacing w:after="0" w:line="156" w:lineRule="exact"/>
        <w:rPr>
          <w:sz w:val="20"/>
          <w:szCs w:val="20"/>
          <w:color w:val="auto"/>
        </w:rPr>
      </w:pPr>
    </w:p>
    <w:p>
      <w:pPr>
        <w:ind w:left="200" w:hanging="195"/>
        <w:spacing w:after="0"/>
        <w:tabs>
          <w:tab w:leader="none" w:pos="2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 and time of filing is specified:</w:t>
      </w:r>
    </w:p>
    <w:p>
      <w:pPr>
        <w:spacing w:after="0" w:line="23" w:lineRule="exact"/>
        <w:rPr>
          <w:rFonts w:ascii="Times New Roman" w:cs="Times New Roman" w:eastAsia="Times New Roman" w:hAnsi="Times New Roman"/>
          <w:sz w:val="14"/>
          <w:szCs w:val="14"/>
          <w:color w:val="auto"/>
        </w:rPr>
      </w:pPr>
    </w:p>
    <w:p>
      <w:pPr>
        <w:ind w:left="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7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79" w:lineRule="exact"/>
        <w:rPr>
          <w:sz w:val="20"/>
          <w:szCs w:val="20"/>
          <w:color w:val="auto"/>
        </w:rPr>
      </w:pPr>
    </w:p>
    <w:p>
      <w:pPr>
        <w:ind w:left="520" w:hanging="260"/>
        <w:spacing w:after="0"/>
        <w:tabs>
          <w:tab w:leader="none" w:pos="520" w:val="left"/>
        </w:tabs>
        <w:numPr>
          <w:ilvl w:val="1"/>
          <w:numId w:val="7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did not require the approval of the shareholders.</w:t>
      </w:r>
    </w:p>
    <w:p>
      <w:pPr>
        <w:spacing w:after="0" w:line="179" w:lineRule="exact"/>
        <w:rPr>
          <w:rFonts w:ascii="MS PGothic" w:cs="MS PGothic" w:eastAsia="MS PGothic" w:hAnsi="MS PGothic"/>
          <w:sz w:val="14"/>
          <w:szCs w:val="14"/>
          <w:color w:val="auto"/>
        </w:rPr>
      </w:pPr>
    </w:p>
    <w:p>
      <w:pPr>
        <w:ind w:left="200" w:hanging="195"/>
        <w:spacing w:after="0" w:line="288" w:lineRule="auto"/>
        <w:tabs>
          <w:tab w:leader="none" w:pos="2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35814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35814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337185</wp:posOffset>
            </wp:positionV>
            <wp:extent cx="7161530" cy="27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64" w:name="page65"/>
    <w:bookmarkEnd w:id="64"/>
    <w:p>
      <w:pPr>
        <w:ind w:left="335" w:hanging="335"/>
        <w:spacing w:after="0"/>
        <w:tabs>
          <w:tab w:leader="none" w:pos="33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335" w:hanging="335"/>
        <w:spacing w:after="0"/>
        <w:tabs>
          <w:tab w:leader="none" w:pos="33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200" w:lineRule="exact"/>
        <w:rPr>
          <w:rFonts w:ascii="Times New Roman" w:cs="Times New Roman" w:eastAsia="Times New Roman" w:hAnsi="Times New Roman"/>
          <w:sz w:val="14"/>
          <w:szCs w:val="14"/>
          <w:color w:val="auto"/>
        </w:rPr>
      </w:pPr>
    </w:p>
    <w:p>
      <w:pPr>
        <w:ind w:left="335" w:right="3960" w:hanging="335"/>
        <w:spacing w:after="0" w:line="264" w:lineRule="auto"/>
        <w:tabs>
          <w:tab w:leader="none" w:pos="33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w:t>
      </w:r>
    </w:p>
    <w:p>
      <w:pPr>
        <w:jc w:val="center"/>
        <w:ind w:left="34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-100965</wp:posOffset>
            </wp:positionV>
            <wp:extent cx="587121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58712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222250</wp:posOffset>
            </wp:positionV>
            <wp:extent cx="7161530" cy="27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55"/>
          </w:cols>
          <w:pgMar w:left="305" w:top="518"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5"/>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June Duchesne</w:t>
            </w:r>
          </w:p>
        </w:tc>
        <w:tc>
          <w:tcPr>
            <w:tcW w:w="8340" w:type="dxa"/>
            <w:vAlign w:val="bottom"/>
            <w:tcBorders>
              <w:bottom w:val="single" w:sz="8" w:color="auto"/>
            </w:tcBorders>
          </w:tcPr>
          <w:p>
            <w:pPr>
              <w:spacing w:after="0"/>
              <w:rPr>
                <w:sz w:val="16"/>
                <w:szCs w:val="16"/>
                <w:color w:val="auto"/>
              </w:rPr>
            </w:pPr>
          </w:p>
        </w:tc>
      </w:tr>
      <w:tr>
        <w:trPr>
          <w:trHeight w:val="146"/>
        </w:trPr>
        <w:tc>
          <w:tcPr>
            <w:tcW w:w="1020" w:type="dxa"/>
            <w:vAlign w:val="bottom"/>
          </w:tcPr>
          <w:p>
            <w:pPr>
              <w:spacing w:after="0"/>
              <w:rPr>
                <w:sz w:val="12"/>
                <w:szCs w:val="12"/>
                <w:color w:val="auto"/>
              </w:rPr>
            </w:pPr>
          </w:p>
        </w:tc>
        <w:tc>
          <w:tcPr>
            <w:tcW w:w="19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June Duchesne</w:t>
            </w:r>
          </w:p>
        </w:tc>
        <w:tc>
          <w:tcPr>
            <w:tcW w:w="8340" w:type="dxa"/>
            <w:vAlign w:val="bottom"/>
          </w:tcPr>
          <w:p>
            <w:pPr>
              <w:ind w:left="900"/>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r>
      <w:tr>
        <w:trPr>
          <w:trHeight w:val="184"/>
        </w:trPr>
        <w:tc>
          <w:tcPr>
            <w:tcW w:w="1020" w:type="dxa"/>
            <w:vAlign w:val="bottom"/>
          </w:tcPr>
          <w:p>
            <w:pPr>
              <w:spacing w:after="0"/>
              <w:rPr>
                <w:sz w:val="16"/>
                <w:szCs w:val="16"/>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Vice President and Assistant Deputy General Counsel, EMC Corporation</w:t>
            </w: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560" w:hanging="321"/>
        <w:spacing w:after="0"/>
        <w:tabs>
          <w:tab w:leader="none" w:pos="560" w:val="left"/>
        </w:tabs>
        <w:numPr>
          <w:ilvl w:val="0"/>
          <w:numId w:val="7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62" w:lineRule="exact"/>
        <w:rPr>
          <w:rFonts w:ascii="MS PGothic" w:cs="MS PGothic" w:eastAsia="MS PGothic" w:hAnsi="MS PGothic"/>
          <w:sz w:val="14"/>
          <w:szCs w:val="14"/>
          <w:color w:val="auto"/>
        </w:rPr>
      </w:pPr>
    </w:p>
    <w:p>
      <w:pPr>
        <w:ind w:left="560" w:hanging="321"/>
        <w:spacing w:after="0"/>
        <w:tabs>
          <w:tab w:leader="none" w:pos="560" w:val="left"/>
        </w:tabs>
        <w:numPr>
          <w:ilvl w:val="0"/>
          <w:numId w:val="7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62" w:lineRule="exact"/>
        <w:rPr>
          <w:sz w:val="20"/>
          <w:szCs w:val="20"/>
          <w:color w:val="auto"/>
        </w:rPr>
      </w:pPr>
    </w:p>
    <w:p>
      <w:pPr>
        <w:ind w:left="560" w:hanging="321"/>
        <w:spacing w:after="0"/>
        <w:tabs>
          <w:tab w:leader="none" w:pos="560" w:val="left"/>
        </w:tabs>
        <w:numPr>
          <w:ilvl w:val="0"/>
          <w:numId w:val="7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62" w:lineRule="exact"/>
        <w:rPr>
          <w:sz w:val="20"/>
          <w:szCs w:val="20"/>
          <w:color w:val="auto"/>
        </w:rPr>
      </w:pPr>
    </w:p>
    <w:p>
      <w:pPr>
        <w:ind w:left="560" w:hanging="321"/>
        <w:spacing w:after="0"/>
        <w:tabs>
          <w:tab w:leader="none" w:pos="560" w:val="left"/>
        </w:tabs>
        <w:numPr>
          <w:ilvl w:val="0"/>
          <w:numId w:val="7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day of</w:t>
            </w: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April</w:t>
            </w:r>
          </w:p>
        </w:tc>
        <w:tc>
          <w:tcPr>
            <w:tcW w:w="14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rPr>
              <w:t>,   2015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352"/>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340" w:type="dxa"/>
            <w:vAlign w:val="bottom"/>
            <w:tcBorders>
              <w:top w:val="single" w:sz="8" w:color="auto"/>
            </w:tcBorders>
          </w:tcPr>
          <w:p>
            <w:pPr>
              <w:spacing w:after="0"/>
              <w:rPr>
                <w:sz w:val="24"/>
                <w:szCs w:val="24"/>
                <w:color w:val="auto"/>
              </w:rPr>
            </w:pPr>
          </w:p>
        </w:tc>
        <w:tc>
          <w:tcPr>
            <w:tcW w:w="2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Paul T. Dacier</w:t>
            </w: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5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46"/>
        </w:trPr>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Paul T. Dacier</w:t>
            </w:r>
          </w:p>
        </w:tc>
        <w:tc>
          <w:tcPr>
            <w:tcW w:w="5200" w:type="dxa"/>
            <w:vAlign w:val="bottom"/>
            <w:gridSpan w:val="3"/>
          </w:tcPr>
          <w:p>
            <w:pPr>
              <w:ind w:left="220"/>
              <w:spacing w:after="0" w:line="147" w:lineRule="exact"/>
              <w:rPr>
                <w:sz w:val="20"/>
                <w:szCs w:val="20"/>
                <w:color w:val="auto"/>
              </w:rPr>
            </w:pPr>
            <w:r>
              <w:rPr>
                <w:rFonts w:ascii="Times New Roman" w:cs="Times New Roman" w:eastAsia="Times New Roman" w:hAnsi="Times New Roman"/>
                <w:sz w:val="14"/>
                <w:szCs w:val="14"/>
                <w:color w:val="auto"/>
              </w:rPr>
              <w:t>(signature of authorized individual)</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4"/>
        </w:trPr>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President, Afore Solutions (USA) Inc.</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77" w:lineRule="exact"/>
        <w:rPr>
          <w:sz w:val="20"/>
          <w:szCs w:val="20"/>
          <w:color w:val="auto"/>
        </w:rPr>
      </w:pPr>
    </w:p>
    <w:p>
      <w:pPr>
        <w:ind w:left="560" w:hanging="321"/>
        <w:spacing w:after="0"/>
        <w:tabs>
          <w:tab w:leader="none" w:pos="560" w:val="left"/>
        </w:tabs>
        <w:numPr>
          <w:ilvl w:val="0"/>
          <w:numId w:val="7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62" w:lineRule="exact"/>
        <w:rPr>
          <w:rFonts w:ascii="MS PGothic" w:cs="MS PGothic" w:eastAsia="MS PGothic" w:hAnsi="MS PGothic"/>
          <w:sz w:val="14"/>
          <w:szCs w:val="14"/>
          <w:color w:val="auto"/>
        </w:rPr>
      </w:pPr>
    </w:p>
    <w:p>
      <w:pPr>
        <w:ind w:left="560" w:hanging="321"/>
        <w:spacing w:after="0"/>
        <w:tabs>
          <w:tab w:leader="none" w:pos="560" w:val="left"/>
        </w:tabs>
        <w:numPr>
          <w:ilvl w:val="0"/>
          <w:numId w:val="7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62" w:lineRule="exact"/>
        <w:rPr>
          <w:sz w:val="20"/>
          <w:szCs w:val="20"/>
          <w:color w:val="auto"/>
        </w:rPr>
      </w:pPr>
    </w:p>
    <w:p>
      <w:pPr>
        <w:ind w:left="560" w:hanging="321"/>
        <w:spacing w:after="0"/>
        <w:tabs>
          <w:tab w:leader="none" w:pos="560" w:val="left"/>
        </w:tabs>
        <w:numPr>
          <w:ilvl w:val="0"/>
          <w:numId w:val="7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62" w:lineRule="exact"/>
        <w:rPr>
          <w:sz w:val="20"/>
          <w:szCs w:val="20"/>
          <w:color w:val="auto"/>
        </w:rPr>
      </w:pPr>
    </w:p>
    <w:p>
      <w:pPr>
        <w:ind w:left="560" w:hanging="321"/>
        <w:spacing w:after="0"/>
        <w:tabs>
          <w:tab w:leader="none" w:pos="560" w:val="left"/>
        </w:tabs>
        <w:numPr>
          <w:ilvl w:val="0"/>
          <w:numId w:val="7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54" w:lineRule="exact"/>
        <w:rPr>
          <w:sz w:val="20"/>
          <w:szCs w:val="20"/>
          <w:color w:val="auto"/>
        </w:rPr>
      </w:pPr>
    </w:p>
    <w:p>
      <w:pPr>
        <w:spacing w:after="0"/>
        <w:tabs>
          <w:tab w:leader="none" w:pos="560" w:val="left"/>
          <w:tab w:leader="none" w:pos="3540" w:val="left"/>
          <w:tab w:leader="none" w:pos="4180" w:val="left"/>
          <w:tab w:leader="none" w:pos="8800" w:val="left"/>
          <w:tab w:leader="none" w:pos="9020" w:val="left"/>
          <w:tab w:leader="none" w:pos="11160" w:val="left"/>
        </w:tabs>
        <w:rPr>
          <w:sz w:val="20"/>
          <w:szCs w:val="20"/>
          <w:color w:val="auto"/>
        </w:rPr>
      </w:pPr>
      <w:r>
        <w:rPr>
          <w:rFonts w:ascii="Times New Roman" w:cs="Times New Roman" w:eastAsia="Times New Roman" w:hAnsi="Times New Roman"/>
          <w:sz w:val="14"/>
          <w:szCs w:val="14"/>
          <w:color w:val="auto"/>
        </w:rPr>
        <w:t>on this</w:t>
        <w:tab/>
        <w:t>16</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April</w:t>
      </w:r>
      <w:r>
        <w:rPr>
          <w:sz w:val="20"/>
          <w:szCs w:val="20"/>
          <w:color w:val="auto"/>
        </w:rPr>
        <w:tab/>
      </w:r>
      <w:r>
        <w:rPr>
          <w:rFonts w:ascii="Times New Roman" w:cs="Times New Roman" w:eastAsia="Times New Roman" w:hAnsi="Times New Roman"/>
          <w:sz w:val="14"/>
          <w:szCs w:val="14"/>
          <w:color w:val="auto"/>
        </w:rPr>
        <w:t>,</w:t>
        <w:tab/>
        <w:t>2015</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27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18" w:right="319" w:bottom="1440" w:gutter="0" w:footer="0" w:header="0"/>
        </w:sectPr>
      </w:pPr>
    </w:p>
    <w:bookmarkStart w:id="66" w:name="page67"/>
    <w:bookmarkEnd w:id="66"/>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1242667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2496185</wp:posOffset>
            </wp:positionV>
            <wp:extent cx="918845" cy="276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918845" cy="27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270510" cy="1892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270510" cy="18923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860" w:type="dxa"/>
        <w:tblCellMar>
          <w:top w:w="0" w:type="dxa"/>
          <w:left w:w="0" w:type="dxa"/>
          <w:bottom w:w="0" w:type="dxa"/>
          <w:right w:w="0" w:type="dxa"/>
        </w:tblCellMar>
      </w:tblPr>
      <w:tr>
        <w:trPr>
          <w:trHeight w:val="259"/>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COMMONWEALTH OF MASSACHUSETTS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31141679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-280670</wp:posOffset>
            </wp:positionV>
            <wp:extent cx="7200265" cy="33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129"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5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b w:val="1"/>
          <w:bCs w:val="1"/>
          <w:color w:val="auto"/>
        </w:rPr>
        <w:t>Articles of Merger Involving Domestic Corporations,</w:t>
      </w:r>
    </w:p>
    <w:p>
      <w:pPr>
        <w:spacing w:after="0" w:line="1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p>
      <w:pPr>
        <w:ind w:left="1480"/>
        <w:spacing w:after="0"/>
        <w:rPr>
          <w:sz w:val="20"/>
          <w:szCs w:val="20"/>
          <w:color w:val="auto"/>
        </w:rPr>
      </w:pPr>
      <w:r>
        <w:rPr>
          <w:rFonts w:ascii="Times New Roman" w:cs="Times New Roman" w:eastAsia="Times New Roman" w:hAnsi="Times New Roman"/>
          <w:sz w:val="17"/>
          <w:szCs w:val="17"/>
          <w:b w:val="1"/>
          <w:bCs w:val="1"/>
          <w:color w:val="auto"/>
        </w:rPr>
        <w:t>(General Laws Chapter 156D, Section 11.06; 950 CMR 113.37)</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 hereby certify that upon examination of these articles of merger, duly submitted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 me, it appears that the provisions of the General Laws relative thereto have been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complied with, and I hereby approve said articles; and the filing fee in the amount of</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$250 having been paid, said articles are deemed to have been filed with me this</w:t>
      </w:r>
    </w:p>
    <w:p>
      <w:pPr>
        <w:spacing w:after="0" w:line="9" w:lineRule="exact"/>
        <w:rPr>
          <w:sz w:val="20"/>
          <w:szCs w:val="20"/>
          <w:color w:val="auto"/>
        </w:rPr>
      </w:pPr>
    </w:p>
    <w:p>
      <w:pPr>
        <w:ind w:left="140"/>
        <w:spacing w:after="0"/>
        <w:tabs>
          <w:tab w:leader="none" w:pos="920" w:val="left"/>
          <w:tab w:leader="none" w:pos="1720" w:val="left"/>
          <w:tab w:leader="none" w:pos="3180" w:val="left"/>
        </w:tabs>
        <w:rPr>
          <w:sz w:val="20"/>
          <w:szCs w:val="20"/>
          <w:color w:val="auto"/>
        </w:rPr>
      </w:pPr>
      <w:r>
        <w:rPr>
          <w:rFonts w:ascii="Times New Roman" w:cs="Times New Roman" w:eastAsia="Times New Roman" w:hAnsi="Times New Roman"/>
          <w:sz w:val="14"/>
          <w:szCs w:val="14"/>
          <w:color w:val="auto"/>
        </w:rPr>
        <w:t>16 day of</w:t>
      </w:r>
      <w:r>
        <w:rPr>
          <w:sz w:val="20"/>
          <w:szCs w:val="20"/>
          <w:color w:val="auto"/>
        </w:rPr>
        <w:tab/>
      </w:r>
      <w:r>
        <w:rPr>
          <w:rFonts w:ascii="Times New Roman" w:cs="Times New Roman" w:eastAsia="Times New Roman" w:hAnsi="Times New Roman"/>
          <w:sz w:val="14"/>
          <w:szCs w:val="14"/>
          <w:color w:val="auto"/>
        </w:rPr>
        <w:t>April</w:t>
      </w:r>
      <w:r>
        <w:rPr>
          <w:sz w:val="20"/>
          <w:szCs w:val="20"/>
          <w:color w:val="auto"/>
        </w:rPr>
        <w:tab/>
      </w:r>
      <w:r>
        <w:rPr>
          <w:rFonts w:ascii="Times New Roman" w:cs="Times New Roman" w:eastAsia="Times New Roman" w:hAnsi="Times New Roman"/>
          <w:sz w:val="14"/>
          <w:szCs w:val="14"/>
          <w:color w:val="auto"/>
        </w:rPr>
        <w:t>20 15</w:t>
      </w:r>
      <w:r>
        <w:rPr>
          <w:sz w:val="20"/>
          <w:szCs w:val="20"/>
          <w:color w:val="auto"/>
        </w:rPr>
        <w:tab/>
      </w:r>
      <w:r>
        <w:rPr>
          <w:rFonts w:ascii="Times New Roman" w:cs="Times New Roman" w:eastAsia="Times New Roman" w:hAnsi="Times New Roman"/>
          <w:sz w:val="14"/>
          <w:szCs w:val="14"/>
          <w:color w:val="auto"/>
        </w:rPr>
        <w:t>at 12:40 a.m./</w:t>
      </w:r>
      <w:r>
        <w:rPr>
          <w:rFonts w:ascii="Times New Roman" w:cs="Times New Roman" w:eastAsia="Times New Roman" w:hAnsi="Times New Roman"/>
          <w:sz w:val="14"/>
          <w:szCs w:val="14"/>
          <w:u w:val="single" w:color="auto"/>
          <w:color w:val="auto"/>
        </w:rPr>
        <w:t>p.m.</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time</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Effective date:</w:t>
      </w:r>
    </w:p>
    <w:p>
      <w:pPr>
        <w:spacing w:after="0" w:line="2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i w:val="1"/>
          <w:iCs w:val="1"/>
          <w:color w:val="auto"/>
        </w:rPr>
        <w:t>(must be within 90 days of 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-100965</wp:posOffset>
            </wp:positionV>
            <wp:extent cx="32226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3222625" cy="698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6350</wp:posOffset>
            </wp:positionV>
            <wp:extent cx="1351280" cy="3175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1351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Filing fee: Minimum $250</w:t>
      </w:r>
    </w:p>
    <w:p>
      <w:pPr>
        <w:spacing w:after="0" w:line="254"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4"/>
          <w:szCs w:val="14"/>
          <w:color w:val="auto"/>
        </w:rPr>
        <w:t>TO BE FILLED IN BY CORPORATION</w:t>
      </w:r>
    </w:p>
    <w:p>
      <w:pPr>
        <w:spacing w:after="0" w:line="23"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4"/>
          <w:szCs w:val="14"/>
          <w:color w:val="auto"/>
        </w:rPr>
        <w:t>Contact Information:</w:t>
      </w:r>
    </w:p>
    <w:p>
      <w:pPr>
        <w:spacing w:after="0" w:line="176"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4"/>
          <w:szCs w:val="14"/>
          <w:color w:val="auto"/>
        </w:rPr>
        <w:t>CT Corporation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07416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4074160" cy="6985"/>
                    </a:xfrm>
                    <a:prstGeom prst="rect">
                      <a:avLst/>
                    </a:prstGeom>
                    <a:noFill/>
                  </pic:spPr>
                </pic:pic>
              </a:graphicData>
            </a:graphic>
          </wp:anchor>
        </w:drawing>
      </w:r>
    </w:p>
    <w:p>
      <w:pPr>
        <w:spacing w:after="0" w:line="18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155 Federal Street, Suite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407416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4074160" cy="6985"/>
                    </a:xfrm>
                    <a:prstGeom prst="rect">
                      <a:avLst/>
                    </a:prstGeom>
                    <a:noFill/>
                  </pic:spPr>
                </pic:pic>
              </a:graphicData>
            </a:graphic>
          </wp:anchor>
        </w:drawing>
      </w:r>
    </w:p>
    <w:p>
      <w:pPr>
        <w:spacing w:after="0" w:line="17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Boston, Massachusetts 02110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407416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4074160" cy="698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Telephone:</w:t>
            </w:r>
          </w:p>
        </w:tc>
        <w:tc>
          <w:tcPr>
            <w:tcW w:w="5420" w:type="dxa"/>
            <w:vAlign w:val="bottom"/>
            <w:tcBorders>
              <w:bottom w:val="single" w:sz="8" w:color="auto"/>
            </w:tcBorders>
          </w:tcPr>
          <w:p>
            <w:pPr>
              <w:jc w:val="right"/>
              <w:ind w:right="4389"/>
              <w:spacing w:after="0"/>
              <w:rPr>
                <w:sz w:val="20"/>
                <w:szCs w:val="20"/>
                <w:color w:val="auto"/>
              </w:rPr>
            </w:pPr>
            <w:r>
              <w:rPr>
                <w:rFonts w:ascii="Times New Roman" w:cs="Times New Roman" w:eastAsia="Times New Roman" w:hAnsi="Times New Roman"/>
                <w:sz w:val="14"/>
                <w:szCs w:val="14"/>
                <w:color w:val="auto"/>
              </w:rPr>
              <w:t>(617) 757-6400</w:t>
            </w:r>
          </w:p>
        </w:tc>
      </w:tr>
    </w:tbl>
    <w:p>
      <w:pPr>
        <w:spacing w:after="0" w:line="1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Email:</w:t>
        <w:tab/>
        <w:t>tracy.magnan@cmc.com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371602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3716020"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filing, a copy of this filing will be available at www.sec.state.ma.us/cor. If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document is rejected, a copy of the rejection sheet and rejected document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in the rejected queue.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330200</wp:posOffset>
            </wp:positionV>
            <wp:extent cx="7161530" cy="27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2">
            <w:col w:w="1180" w:space="720"/>
            <w:col w:w="9340"/>
          </w:cols>
          <w:pgMar w:left="300" w:top="324"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6"/>
        </w:trPr>
        <w:tc>
          <w:tcPr>
            <w:tcW w:w="268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680" w:type="dxa"/>
            <w:vAlign w:val="bottom"/>
            <w:vMerge w:val="continue"/>
          </w:tcPr>
          <w:p>
            <w:pPr>
              <w:spacing w:after="0"/>
              <w:rPr>
                <w:sz w:val="12"/>
                <w:szCs w:val="12"/>
                <w:color w:val="auto"/>
              </w:rPr>
            </w:pPr>
          </w:p>
        </w:tc>
        <w:tc>
          <w:tcPr>
            <w:tcW w:w="4840" w:type="dxa"/>
            <w:vAlign w:val="bottom"/>
          </w:tcPr>
          <w:p>
            <w:pPr>
              <w:jc w:val="center"/>
              <w:ind w:left="1023"/>
              <w:spacing w:after="0" w:line="145" w:lineRule="exact"/>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8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4840" w:type="dxa"/>
            <w:vAlign w:val="bottom"/>
          </w:tcPr>
          <w:p>
            <w:pPr>
              <w:jc w:val="center"/>
              <w:ind w:left="100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680" w:type="dxa"/>
            <w:vAlign w:val="bottom"/>
            <w:vMerge w:val="continue"/>
          </w:tcPr>
          <w:p>
            <w:pPr>
              <w:spacing w:after="0"/>
              <w:rPr>
                <w:sz w:val="22"/>
                <w:szCs w:val="22"/>
                <w:color w:val="auto"/>
              </w:rPr>
            </w:pP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17"/>
                <w:szCs w:val="17"/>
                <w:b w:val="1"/>
                <w:bCs w:val="1"/>
                <w:color w:val="auto"/>
                <w:w w:val="99"/>
              </w:rPr>
              <w:t>Articles of Merger</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4840" w:type="dxa"/>
            <w:vAlign w:val="bottom"/>
          </w:tcPr>
          <w:p>
            <w:pPr>
              <w:ind w:left="1720"/>
              <w:spacing w:after="0" w:line="192" w:lineRule="exact"/>
              <w:rPr>
                <w:sz w:val="20"/>
                <w:szCs w:val="20"/>
                <w:color w:val="auto"/>
              </w:rPr>
            </w:pPr>
            <w:r>
              <w:rPr>
                <w:rFonts w:ascii="Times New Roman" w:cs="Times New Roman" w:eastAsia="Times New Roman" w:hAnsi="Times New Roman"/>
                <w:sz w:val="17"/>
                <w:szCs w:val="17"/>
                <w:b w:val="1"/>
                <w:bCs w:val="1"/>
                <w:color w:val="auto"/>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4840" w:type="dxa"/>
            <w:vAlign w:val="bottom"/>
          </w:tcPr>
          <w:p>
            <w:pPr>
              <w:jc w:val="center"/>
              <w:ind w:left="983"/>
              <w:spacing w:after="0"/>
              <w:rPr>
                <w:sz w:val="20"/>
                <w:szCs w:val="20"/>
                <w:color w:val="auto"/>
              </w:rPr>
            </w:pPr>
            <w:r>
              <w:rPr>
                <w:rFonts w:ascii="Times New Roman" w:cs="Times New Roman" w:eastAsia="Times New Roman" w:hAnsi="Times New Roman"/>
                <w:sz w:val="17"/>
                <w:szCs w:val="17"/>
                <w:b w:val="1"/>
                <w:bCs w:val="1"/>
                <w:color w:val="auto"/>
                <w:w w:val="99"/>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8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 / 042680009</w:t>
            </w:r>
          </w:p>
        </w:tc>
        <w:tc>
          <w:tcPr>
            <w:tcW w:w="0" w:type="dxa"/>
            <w:vAlign w:val="bottom"/>
          </w:tcPr>
          <w:p>
            <w:pPr>
              <w:spacing w:after="0"/>
              <w:rPr>
                <w:sz w:val="1"/>
                <w:szCs w:val="1"/>
                <w:color w:val="auto"/>
              </w:rPr>
            </w:pPr>
          </w:p>
        </w:tc>
      </w:tr>
      <w:tr>
        <w:trPr>
          <w:trHeight w:val="33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Graphite System, Inc.</w:t>
            </w:r>
          </w:p>
        </w:tc>
        <w:tc>
          <w:tcPr>
            <w:tcW w:w="4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Delaware</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April 5, 2012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1108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tc>
      </w:tr>
      <w:tr>
        <w:trPr>
          <w:trHeight w:val="319"/>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960" w:type="dxa"/>
            <w:vAlign w:val="bottom"/>
            <w:tcBorders>
              <w:bottom w:val="single" w:sz="8" w:color="auto"/>
            </w:tcBorders>
          </w:tcPr>
          <w:p>
            <w:pPr>
              <w:spacing w:after="0"/>
              <w:rPr>
                <w:sz w:val="24"/>
                <w:szCs w:val="24"/>
                <w:color w:val="auto"/>
              </w:rPr>
            </w:pPr>
          </w:p>
        </w:tc>
      </w:tr>
      <w:tr>
        <w:trPr>
          <w:trHeight w:val="352"/>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6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bl>
    <w:p>
      <w:pPr>
        <w:spacing w:after="0" w:line="156" w:lineRule="exact"/>
        <w:rPr>
          <w:sz w:val="20"/>
          <w:szCs w:val="20"/>
          <w:color w:val="auto"/>
        </w:rPr>
      </w:pPr>
    </w:p>
    <w:p>
      <w:pPr>
        <w:ind w:left="260" w:right="1500" w:hanging="255"/>
        <w:spacing w:after="0" w:line="288" w:lineRule="auto"/>
        <w:tabs>
          <w:tab w:leader="none" w:pos="2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 and time of filing is specified:______________________________________________________________________________________________________</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8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ind w:left="260" w:hanging="255"/>
        <w:spacing w:after="0"/>
        <w:tabs>
          <w:tab w:leader="none" w:pos="260" w:val="left"/>
        </w:tabs>
        <w:numPr>
          <w:ilvl w:val="0"/>
          <w:numId w:val="8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i w:val="1"/>
          <w:iCs w:val="1"/>
          <w:color w:val="auto"/>
        </w:rPr>
        <w:t>**</w:t>
        <w:tab/>
        <w:t>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143256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1432560" cy="698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68" w:name="page69"/>
    <w:bookmarkEnd w:id="68"/>
    <w:p>
      <w:pPr>
        <w:ind w:left="372" w:hanging="351"/>
        <w:spacing w:after="0"/>
        <w:tabs>
          <w:tab w:leader="none" w:pos="372"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352" w:hanging="352"/>
        <w:spacing w:after="0" w:line="288" w:lineRule="auto"/>
        <w:tabs>
          <w:tab w:leader="none" w:pos="35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45" w:lineRule="exact"/>
        <w:rPr>
          <w:rFonts w:ascii="Times New Roman" w:cs="Times New Roman" w:eastAsia="Times New Roman" w:hAnsi="Times New Roman"/>
          <w:sz w:val="14"/>
          <w:szCs w:val="14"/>
          <w:color w:val="auto"/>
        </w:rPr>
      </w:pPr>
    </w:p>
    <w:p>
      <w:pPr>
        <w:ind w:left="352" w:hanging="352"/>
        <w:spacing w:after="0"/>
        <w:tabs>
          <w:tab w:leader="none" w:pos="35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w:t>
      </w:r>
    </w:p>
    <w:p>
      <w:pPr>
        <w:spacing w:after="0" w:line="23" w:lineRule="exact"/>
        <w:rPr>
          <w:rFonts w:ascii="Times New Roman" w:cs="Times New Roman" w:eastAsia="Times New Roman" w:hAnsi="Times New Roman"/>
          <w:sz w:val="14"/>
          <w:szCs w:val="14"/>
          <w:color w:val="auto"/>
        </w:rPr>
      </w:pPr>
    </w:p>
    <w:p>
      <w:pPr>
        <w:ind w:left="35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w:t>
      </w:r>
    </w:p>
    <w:p>
      <w:pPr>
        <w:spacing w:after="0" w:line="9" w:lineRule="exact"/>
        <w:rPr>
          <w:sz w:val="20"/>
          <w:szCs w:val="20"/>
          <w:color w:val="auto"/>
        </w:rPr>
      </w:pPr>
    </w:p>
    <w:p>
      <w:pPr>
        <w:ind w:left="4532"/>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222250</wp:posOffset>
            </wp:positionV>
            <wp:extent cx="7161530" cy="27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812"/>
          </w:cols>
          <w:pgMar w:left="348" w:top="519" w:right="7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/s/ C. Matthew Olton</w:t>
            </w:r>
          </w:p>
        </w:tc>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7"/>
        </w:trPr>
        <w:tc>
          <w:tcPr>
            <w:tcW w:w="1020" w:type="dxa"/>
            <w:vAlign w:val="bottom"/>
          </w:tcPr>
          <w:p>
            <w:pPr>
              <w:spacing w:after="0"/>
              <w:rPr>
                <w:sz w:val="12"/>
                <w:szCs w:val="12"/>
                <w:color w:val="auto"/>
              </w:rPr>
            </w:pPr>
          </w:p>
        </w:tc>
        <w:tc>
          <w:tcPr>
            <w:tcW w:w="258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C. Matthew Olton,</w:t>
            </w:r>
          </w:p>
        </w:tc>
        <w:tc>
          <w:tcPr>
            <w:tcW w:w="7580" w:type="dxa"/>
            <w:vAlign w:val="bottom"/>
            <w:tcBorders>
              <w:top w:val="single" w:sz="8" w:color="auto"/>
            </w:tcBorders>
          </w:tcPr>
          <w:p>
            <w:pPr>
              <w:ind w:left="240"/>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40" w:type="dxa"/>
            <w:vAlign w:val="bottom"/>
          </w:tcPr>
          <w:p>
            <w:pPr>
              <w:spacing w:after="0"/>
              <w:rPr>
                <w:sz w:val="12"/>
                <w:szCs w:val="12"/>
                <w:color w:val="auto"/>
              </w:rPr>
            </w:pPr>
          </w:p>
        </w:tc>
      </w:tr>
      <w:tr>
        <w:trPr>
          <w:trHeight w:val="184"/>
        </w:trPr>
        <w:tc>
          <w:tcPr>
            <w:tcW w:w="102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EMC Corporation</w:t>
            </w:r>
          </w:p>
        </w:tc>
        <w:tc>
          <w:tcPr>
            <w:tcW w:w="758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560" w:hanging="321"/>
        <w:spacing w:after="0"/>
        <w:tabs>
          <w:tab w:leader="none" w:pos="560" w:val="left"/>
        </w:tabs>
        <w:numPr>
          <w:ilvl w:val="0"/>
          <w:numId w:val="8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62" w:lineRule="exact"/>
        <w:rPr>
          <w:rFonts w:ascii="MS PGothic" w:cs="MS PGothic" w:eastAsia="MS PGothic" w:hAnsi="MS PGothic"/>
          <w:sz w:val="14"/>
          <w:szCs w:val="14"/>
          <w:color w:val="auto"/>
        </w:rPr>
      </w:pPr>
    </w:p>
    <w:p>
      <w:pPr>
        <w:ind w:left="560" w:hanging="321"/>
        <w:spacing w:after="0"/>
        <w:tabs>
          <w:tab w:leader="none" w:pos="560" w:val="left"/>
        </w:tabs>
        <w:numPr>
          <w:ilvl w:val="0"/>
          <w:numId w:val="8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62" w:lineRule="exact"/>
        <w:rPr>
          <w:sz w:val="20"/>
          <w:szCs w:val="20"/>
          <w:color w:val="auto"/>
        </w:rPr>
      </w:pPr>
    </w:p>
    <w:p>
      <w:pPr>
        <w:ind w:left="560" w:hanging="321"/>
        <w:spacing w:after="0"/>
        <w:tabs>
          <w:tab w:leader="none" w:pos="560" w:val="left"/>
        </w:tabs>
        <w:numPr>
          <w:ilvl w:val="0"/>
          <w:numId w:val="8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62" w:lineRule="exact"/>
        <w:rPr>
          <w:sz w:val="20"/>
          <w:szCs w:val="20"/>
          <w:color w:val="auto"/>
        </w:rPr>
      </w:pPr>
    </w:p>
    <w:p>
      <w:pPr>
        <w:ind w:left="560" w:hanging="321"/>
        <w:spacing w:after="0"/>
        <w:tabs>
          <w:tab w:leader="none" w:pos="560" w:val="left"/>
        </w:tabs>
        <w:numPr>
          <w:ilvl w:val="0"/>
          <w:numId w:val="8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this   28th</w:t>
            </w:r>
          </w:p>
        </w:tc>
        <w:tc>
          <w:tcPr>
            <w:tcW w:w="2620" w:type="dxa"/>
            <w:vAlign w:val="bottom"/>
          </w:tcPr>
          <w:p>
            <w:pPr>
              <w:spacing w:after="0"/>
              <w:rPr>
                <w:sz w:val="16"/>
                <w:szCs w:val="16"/>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day of   August</w:t>
            </w:r>
          </w:p>
        </w:tc>
        <w:tc>
          <w:tcPr>
            <w:tcW w:w="2360" w:type="dxa"/>
            <w:vAlign w:val="bottom"/>
            <w:gridSpan w:val="2"/>
          </w:tcPr>
          <w:p>
            <w:pPr>
              <w:jc w:val="right"/>
              <w:ind w:right="1860"/>
              <w:spacing w:after="0"/>
              <w:rPr>
                <w:sz w:val="20"/>
                <w:szCs w:val="20"/>
                <w:color w:val="auto"/>
              </w:rPr>
            </w:pPr>
            <w:r>
              <w:rPr>
                <w:rFonts w:ascii="Times New Roman" w:cs="Times New Roman" w:eastAsia="Times New Roman" w:hAnsi="Times New Roman"/>
                <w:sz w:val="14"/>
                <w:szCs w:val="14"/>
                <w:color w:val="auto"/>
              </w:rPr>
              <w:t>,   2015</w:t>
            </w:r>
          </w:p>
        </w:tc>
        <w:tc>
          <w:tcPr>
            <w:tcW w:w="1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0"/>
              </w:rPr>
              <w:t>.</w:t>
            </w:r>
          </w:p>
        </w:tc>
      </w:tr>
      <w:tr>
        <w:trPr>
          <w:trHeight w:val="20"/>
        </w:trPr>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June Duchesne</w:t>
            </w:r>
          </w:p>
        </w:tc>
        <w:tc>
          <w:tcPr>
            <w:tcW w:w="5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0"/>
              </w:rPr>
              <w:t>,</w:t>
            </w:r>
          </w:p>
        </w:tc>
      </w:tr>
      <w:tr>
        <w:trPr>
          <w:trHeight w:val="146"/>
        </w:trPr>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June Duchesne</w:t>
            </w:r>
          </w:p>
        </w:tc>
        <w:tc>
          <w:tcPr>
            <w:tcW w:w="518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4"/>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Secretary, Graphite System, Inc.</w:t>
            </w:r>
          </w:p>
        </w:tc>
        <w:tc>
          <w:tcPr>
            <w:tcW w:w="5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77" w:lineRule="exact"/>
        <w:rPr>
          <w:sz w:val="20"/>
          <w:szCs w:val="20"/>
          <w:color w:val="auto"/>
        </w:rPr>
      </w:pPr>
    </w:p>
    <w:p>
      <w:pPr>
        <w:ind w:left="560" w:hanging="321"/>
        <w:spacing w:after="0"/>
        <w:tabs>
          <w:tab w:leader="none" w:pos="560" w:val="left"/>
        </w:tabs>
        <w:numPr>
          <w:ilvl w:val="0"/>
          <w:numId w:val="8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62" w:lineRule="exact"/>
        <w:rPr>
          <w:rFonts w:ascii="MS PGothic" w:cs="MS PGothic" w:eastAsia="MS PGothic" w:hAnsi="MS PGothic"/>
          <w:sz w:val="14"/>
          <w:szCs w:val="14"/>
          <w:color w:val="auto"/>
        </w:rPr>
      </w:pPr>
    </w:p>
    <w:p>
      <w:pPr>
        <w:ind w:left="560" w:hanging="321"/>
        <w:spacing w:after="0"/>
        <w:tabs>
          <w:tab w:leader="none" w:pos="560" w:val="left"/>
        </w:tabs>
        <w:numPr>
          <w:ilvl w:val="0"/>
          <w:numId w:val="8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62" w:lineRule="exact"/>
        <w:rPr>
          <w:sz w:val="20"/>
          <w:szCs w:val="20"/>
          <w:color w:val="auto"/>
        </w:rPr>
      </w:pPr>
    </w:p>
    <w:p>
      <w:pPr>
        <w:ind w:left="560" w:hanging="321"/>
        <w:spacing w:after="0"/>
        <w:tabs>
          <w:tab w:leader="none" w:pos="560" w:val="left"/>
        </w:tabs>
        <w:numPr>
          <w:ilvl w:val="0"/>
          <w:numId w:val="8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62" w:lineRule="exact"/>
        <w:rPr>
          <w:sz w:val="20"/>
          <w:szCs w:val="20"/>
          <w:color w:val="auto"/>
        </w:rPr>
      </w:pPr>
    </w:p>
    <w:p>
      <w:pPr>
        <w:ind w:left="560" w:hanging="321"/>
        <w:spacing w:after="0"/>
        <w:tabs>
          <w:tab w:leader="none" w:pos="560" w:val="left"/>
        </w:tabs>
        <w:numPr>
          <w:ilvl w:val="0"/>
          <w:numId w:val="9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54" w:lineRule="exact"/>
        <w:rPr>
          <w:sz w:val="20"/>
          <w:szCs w:val="20"/>
          <w:color w:val="auto"/>
        </w:rPr>
      </w:pPr>
    </w:p>
    <w:p>
      <w:pPr>
        <w:spacing w:after="0"/>
        <w:tabs>
          <w:tab w:leader="none" w:pos="560" w:val="left"/>
          <w:tab w:leader="none" w:pos="3640" w:val="left"/>
          <w:tab w:leader="none" w:pos="4180" w:val="left"/>
          <w:tab w:leader="none" w:pos="8800" w:val="left"/>
          <w:tab w:leader="none" w:pos="9020" w:val="left"/>
          <w:tab w:leader="none" w:pos="11160" w:val="left"/>
        </w:tabs>
        <w:rPr>
          <w:sz w:val="20"/>
          <w:szCs w:val="20"/>
          <w:color w:val="auto"/>
        </w:rPr>
      </w:pPr>
      <w:r>
        <w:rPr>
          <w:rFonts w:ascii="Times New Roman" w:cs="Times New Roman" w:eastAsia="Times New Roman" w:hAnsi="Times New Roman"/>
          <w:sz w:val="14"/>
          <w:szCs w:val="14"/>
          <w:color w:val="auto"/>
        </w:rPr>
        <w:t>on this</w:t>
        <w:tab/>
        <w:t>28th</w:t>
      </w:r>
      <w:r>
        <w:rPr>
          <w:sz w:val="20"/>
          <w:szCs w:val="20"/>
          <w:color w:val="auto"/>
        </w:rPr>
        <w:tab/>
      </w:r>
      <w:r>
        <w:rPr>
          <w:rFonts w:ascii="Times New Roman" w:cs="Times New Roman" w:eastAsia="Times New Roman" w:hAnsi="Times New Roman"/>
          <w:sz w:val="14"/>
          <w:szCs w:val="14"/>
          <w:color w:val="auto"/>
        </w:rPr>
        <w:t>day of</w:t>
        <w:tab/>
        <w:t>August</w:t>
      </w:r>
      <w:r>
        <w:rPr>
          <w:sz w:val="20"/>
          <w:szCs w:val="20"/>
          <w:color w:val="auto"/>
        </w:rPr>
        <w:tab/>
      </w:r>
      <w:r>
        <w:rPr>
          <w:rFonts w:ascii="Times New Roman" w:cs="Times New Roman" w:eastAsia="Times New Roman" w:hAnsi="Times New Roman"/>
          <w:sz w:val="14"/>
          <w:szCs w:val="14"/>
          <w:color w:val="auto"/>
        </w:rPr>
        <w:t>,</w:t>
        <w:tab/>
        <w:t>2015</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22225</wp:posOffset>
            </wp:positionV>
            <wp:extent cx="672909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366395</wp:posOffset>
            </wp:positionV>
            <wp:extent cx="7161530" cy="27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18" w:right="319" w:bottom="1440" w:gutter="0" w:footer="0" w:header="0"/>
        </w:sectPr>
      </w:pPr>
    </w:p>
    <w:bookmarkStart w:id="70" w:name="page71"/>
    <w:bookmarkEnd w:id="70"/>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1250819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2502535</wp:posOffset>
            </wp:positionV>
            <wp:extent cx="405130" cy="2025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405130" cy="20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91884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15240</wp:posOffset>
            </wp:positionV>
            <wp:extent cx="405130" cy="1892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405130" cy="18923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860" w:type="dxa"/>
        <w:tblCellMar>
          <w:top w:w="0" w:type="dxa"/>
          <w:left w:w="0" w:type="dxa"/>
          <w:bottom w:w="0" w:type="dxa"/>
          <w:right w:w="0" w:type="dxa"/>
        </w:tblCellMar>
      </w:tblPr>
      <w:tr>
        <w:trPr>
          <w:trHeight w:val="259"/>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COMMONWEALTH OF MASSACHUSETTS</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31220247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-402590</wp:posOffset>
            </wp:positionV>
            <wp:extent cx="7200265" cy="330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127"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25"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55" w:lineRule="exact"/>
        <w:rPr>
          <w:sz w:val="20"/>
          <w:szCs w:val="20"/>
          <w:color w:val="auto"/>
        </w:rPr>
      </w:pPr>
    </w:p>
    <w:p>
      <w:pPr>
        <w:jc w:val="right"/>
        <w:ind w:right="3720"/>
        <w:spacing w:after="0"/>
        <w:rPr>
          <w:sz w:val="20"/>
          <w:szCs w:val="20"/>
          <w:color w:val="auto"/>
        </w:rPr>
      </w:pPr>
      <w:r>
        <w:rPr>
          <w:rFonts w:ascii="Times New Roman" w:cs="Times New Roman" w:eastAsia="Times New Roman" w:hAnsi="Times New Roman"/>
          <w:sz w:val="17"/>
          <w:szCs w:val="17"/>
          <w:b w:val="1"/>
          <w:bCs w:val="1"/>
          <w:color w:val="auto"/>
        </w:rPr>
        <w:t>Articles of Merger Involving Domestic Corporations,</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p>
      <w:pPr>
        <w:ind w:left="1940"/>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 hereby certify that upon examination of these articles of merger, duly submitted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 me, it appears that the provisions of the General Laws relative thereto have been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complied with, and I hereby approve said articles; and the filing fee in the amount of</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230</w:t>
      </w:r>
      <w:r>
        <w:rPr>
          <w:rFonts w:ascii="Times New Roman" w:cs="Times New Roman" w:eastAsia="Times New Roman" w:hAnsi="Times New Roman"/>
          <w:sz w:val="14"/>
          <w:szCs w:val="14"/>
          <w:color w:val="auto"/>
        </w:rPr>
        <w:t xml:space="preserve"> having been paid, said articles are deemed to have been filed with me this</w:t>
      </w:r>
    </w:p>
    <w:p>
      <w:pPr>
        <w:spacing w:after="0" w:line="9" w:lineRule="exact"/>
        <w:rPr>
          <w:sz w:val="20"/>
          <w:szCs w:val="20"/>
          <w:color w:val="auto"/>
        </w:rPr>
      </w:pPr>
    </w:p>
    <w:p>
      <w:pPr>
        <w:ind w:left="140"/>
        <w:spacing w:after="0"/>
        <w:tabs>
          <w:tab w:leader="none" w:pos="920" w:val="left"/>
          <w:tab w:leader="none" w:pos="1720" w:val="left"/>
          <w:tab w:leader="none" w:pos="2280" w:val="left"/>
        </w:tabs>
        <w:rPr>
          <w:sz w:val="20"/>
          <w:szCs w:val="20"/>
          <w:color w:val="auto"/>
        </w:rPr>
      </w:pPr>
      <w:r>
        <w:rPr>
          <w:rFonts w:ascii="Times New Roman" w:cs="Times New Roman" w:eastAsia="Times New Roman" w:hAnsi="Times New Roman"/>
          <w:sz w:val="14"/>
          <w:szCs w:val="14"/>
          <w:color w:val="auto"/>
        </w:rPr>
        <w:t>28 day of</w:t>
      </w:r>
      <w:r>
        <w:rPr>
          <w:sz w:val="20"/>
          <w:szCs w:val="20"/>
          <w:color w:val="auto"/>
        </w:rPr>
        <w:tab/>
      </w:r>
      <w:r>
        <w:rPr>
          <w:rFonts w:ascii="Times New Roman" w:cs="Times New Roman" w:eastAsia="Times New Roman" w:hAnsi="Times New Roman"/>
          <w:sz w:val="14"/>
          <w:szCs w:val="14"/>
          <w:color w:val="auto"/>
        </w:rPr>
        <w:t>August</w:t>
      </w:r>
      <w:r>
        <w:rPr>
          <w:sz w:val="20"/>
          <w:szCs w:val="20"/>
          <w:color w:val="auto"/>
        </w:rPr>
        <w:tab/>
      </w:r>
      <w:r>
        <w:rPr>
          <w:rFonts w:ascii="Times New Roman" w:cs="Times New Roman" w:eastAsia="Times New Roman" w:hAnsi="Times New Roman"/>
          <w:sz w:val="14"/>
          <w:szCs w:val="14"/>
          <w:color w:val="auto"/>
        </w:rPr>
        <w:t>2015</w:t>
      </w:r>
      <w:r>
        <w:rPr>
          <w:sz w:val="20"/>
          <w:szCs w:val="20"/>
          <w:color w:val="auto"/>
        </w:rPr>
        <w:tab/>
      </w:r>
      <w:r>
        <w:rPr>
          <w:rFonts w:ascii="Times New Roman" w:cs="Times New Roman" w:eastAsia="Times New Roman" w:hAnsi="Times New Roman"/>
          <w:sz w:val="14"/>
          <w:szCs w:val="14"/>
          <w:color w:val="auto"/>
        </w:rPr>
        <w:t>at 3:33 a.m./p.m.</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time</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Effective date:</w:t>
      </w:r>
    </w:p>
    <w:p>
      <w:pPr>
        <w:spacing w:after="0" w:line="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i w:val="1"/>
          <w:iCs w:val="1"/>
          <w:color w:val="auto"/>
        </w:rPr>
        <w:t>(must be within 90 days of 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-100965</wp:posOffset>
            </wp:positionV>
            <wp:extent cx="358076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3580765" cy="698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6350</wp:posOffset>
            </wp:positionV>
            <wp:extent cx="1351280" cy="3175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1351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4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Filing fee: Minimum $250</w:t>
      </w:r>
    </w:p>
    <w:p>
      <w:pPr>
        <w:spacing w:after="0" w:line="254"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TO BE FILLED IN BY CORPORATION</w:t>
      </w:r>
    </w:p>
    <w:p>
      <w:pPr>
        <w:spacing w:after="0" w:line="23"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Contact Information:</w:t>
      </w:r>
    </w:p>
    <w:p>
      <w:pPr>
        <w:spacing w:after="0" w:line="176"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CT Corporation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50596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4505960" cy="6985"/>
                    </a:xfrm>
                    <a:prstGeom prst="rect">
                      <a:avLst/>
                    </a:prstGeom>
                    <a:noFill/>
                  </pic:spPr>
                </pic:pic>
              </a:graphicData>
            </a:graphic>
          </wp:anchor>
        </w:drawing>
      </w:r>
    </w:p>
    <w:p>
      <w:pPr>
        <w:spacing w:after="0" w:line="18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155 Federal Street, Suite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450596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4505960" cy="6985"/>
                    </a:xfrm>
                    <a:prstGeom prst="rect">
                      <a:avLst/>
                    </a:prstGeom>
                    <a:noFill/>
                  </pic:spPr>
                </pic:pic>
              </a:graphicData>
            </a:graphic>
          </wp:anchor>
        </w:drawing>
      </w:r>
    </w:p>
    <w:p>
      <w:pPr>
        <w:spacing w:after="0" w:line="17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Boston, Massachusetts 02110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450596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4505960" cy="698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Telephone:</w:t>
            </w:r>
          </w:p>
        </w:tc>
        <w:tc>
          <w:tcPr>
            <w:tcW w:w="6100" w:type="dxa"/>
            <w:vAlign w:val="bottom"/>
            <w:tcBorders>
              <w:bottom w:val="single" w:sz="8" w:color="auto"/>
            </w:tcBorders>
          </w:tcPr>
          <w:p>
            <w:pPr>
              <w:jc w:val="right"/>
              <w:ind w:right="5069"/>
              <w:spacing w:after="0"/>
              <w:rPr>
                <w:sz w:val="20"/>
                <w:szCs w:val="20"/>
                <w:color w:val="auto"/>
              </w:rPr>
            </w:pPr>
            <w:r>
              <w:rPr>
                <w:rFonts w:ascii="Times New Roman" w:cs="Times New Roman" w:eastAsia="Times New Roman" w:hAnsi="Times New Roman"/>
                <w:sz w:val="14"/>
                <w:szCs w:val="14"/>
                <w:color w:val="auto"/>
              </w:rPr>
              <w:t>(617) 757-6400</w:t>
            </w:r>
          </w:p>
        </w:tc>
      </w:tr>
    </w:tbl>
    <w:p>
      <w:pPr>
        <w:spacing w:after="0" w:line="1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Email:</w:t>
        <w:tab/>
        <w:t>tracy.magnan@emc.com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414845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414845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filing, a copy of this filing will be available at www.sec.state.ma.us/cor. If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document is rejected, a copy of the rejection sheet and rejected document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in the rejected queue.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546735</wp:posOffset>
            </wp:positionV>
            <wp:extent cx="7161530" cy="27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2">
            <w:col w:w="1180" w:space="720"/>
            <w:col w:w="9380"/>
          </w:cols>
          <w:pgMar w:left="300" w:top="515"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6"/>
        </w:trPr>
        <w:tc>
          <w:tcPr>
            <w:tcW w:w="292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600" w:type="dxa"/>
            <w:vAlign w:val="bottom"/>
          </w:tcPr>
          <w:p>
            <w:pPr>
              <w:jc w:val="center"/>
              <w:ind w:left="783"/>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920" w:type="dxa"/>
            <w:vAlign w:val="bottom"/>
            <w:vMerge w:val="continue"/>
          </w:tcPr>
          <w:p>
            <w:pPr>
              <w:spacing w:after="0"/>
              <w:rPr>
                <w:sz w:val="12"/>
                <w:szCs w:val="12"/>
                <w:color w:val="auto"/>
              </w:rPr>
            </w:pPr>
          </w:p>
        </w:tc>
        <w:tc>
          <w:tcPr>
            <w:tcW w:w="4600" w:type="dxa"/>
            <w:vAlign w:val="bottom"/>
          </w:tcPr>
          <w:p>
            <w:pPr>
              <w:jc w:val="center"/>
              <w:ind w:left="783"/>
              <w:spacing w:after="0" w:line="145" w:lineRule="exact"/>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4600" w:type="dxa"/>
            <w:vAlign w:val="bottom"/>
          </w:tcPr>
          <w:p>
            <w:pPr>
              <w:jc w:val="center"/>
              <w:ind w:left="76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920" w:type="dxa"/>
            <w:vAlign w:val="bottom"/>
            <w:vMerge w:val="continue"/>
          </w:tcPr>
          <w:p>
            <w:pPr>
              <w:spacing w:after="0"/>
              <w:rPr>
                <w:sz w:val="22"/>
                <w:szCs w:val="22"/>
                <w:color w:val="auto"/>
              </w:rPr>
            </w:pPr>
          </w:p>
        </w:tc>
        <w:tc>
          <w:tcPr>
            <w:tcW w:w="4600" w:type="dxa"/>
            <w:vAlign w:val="bottom"/>
          </w:tcPr>
          <w:p>
            <w:pPr>
              <w:jc w:val="center"/>
              <w:ind w:left="74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600" w:type="dxa"/>
            <w:vAlign w:val="bottom"/>
          </w:tcPr>
          <w:p>
            <w:pPr>
              <w:ind w:left="2120"/>
              <w:spacing w:after="0"/>
              <w:rPr>
                <w:sz w:val="20"/>
                <w:szCs w:val="20"/>
                <w:color w:val="auto"/>
              </w:rPr>
            </w:pPr>
            <w:r>
              <w:rPr>
                <w:rFonts w:ascii="Times New Roman" w:cs="Times New Roman" w:eastAsia="Times New Roman" w:hAnsi="Times New Roman"/>
                <w:sz w:val="17"/>
                <w:szCs w:val="17"/>
                <w:b w:val="1"/>
                <w:bCs w:val="1"/>
                <w:color w:val="auto"/>
              </w:rPr>
              <w:t>Articles of Merger</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4600" w:type="dxa"/>
            <w:vAlign w:val="bottom"/>
          </w:tcPr>
          <w:p>
            <w:pPr>
              <w:ind w:left="1480"/>
              <w:spacing w:after="0" w:line="192" w:lineRule="exact"/>
              <w:rPr>
                <w:sz w:val="20"/>
                <w:szCs w:val="20"/>
                <w:color w:val="auto"/>
              </w:rPr>
            </w:pPr>
            <w:r>
              <w:rPr>
                <w:rFonts w:ascii="Times New Roman" w:cs="Times New Roman" w:eastAsia="Times New Roman" w:hAnsi="Times New Roman"/>
                <w:sz w:val="17"/>
                <w:szCs w:val="17"/>
                <w:b w:val="1"/>
                <w:bCs w:val="1"/>
                <w:color w:val="auto"/>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4600" w:type="dxa"/>
            <w:vAlign w:val="bottom"/>
          </w:tcPr>
          <w:p>
            <w:pPr>
              <w:jc w:val="center"/>
              <w:ind w:left="763"/>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4600" w:type="dxa"/>
            <w:vAlign w:val="bottom"/>
          </w:tcPr>
          <w:p>
            <w:pPr>
              <w:jc w:val="center"/>
              <w:ind w:left="783"/>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6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6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331"/>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Documentum Canada Holding, Inc.</w:t>
            </w:r>
          </w:p>
        </w:tc>
        <w:tc>
          <w:tcPr>
            <w:tcW w:w="46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Delaware</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November 20, 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1108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tc>
      </w:tr>
      <w:tr>
        <w:trPr>
          <w:trHeight w:val="319"/>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2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960" w:type="dxa"/>
            <w:vAlign w:val="bottom"/>
            <w:tcBorders>
              <w:bottom w:val="single" w:sz="8" w:color="auto"/>
            </w:tcBorders>
          </w:tcPr>
          <w:p>
            <w:pPr>
              <w:spacing w:after="0"/>
              <w:rPr>
                <w:sz w:val="24"/>
                <w:szCs w:val="24"/>
                <w:color w:val="auto"/>
              </w:rPr>
            </w:pPr>
          </w:p>
        </w:tc>
      </w:tr>
      <w:tr>
        <w:trPr>
          <w:trHeight w:val="352"/>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6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bl>
    <w:p>
      <w:pPr>
        <w:spacing w:after="0" w:line="156" w:lineRule="exact"/>
        <w:rPr>
          <w:sz w:val="20"/>
          <w:szCs w:val="20"/>
          <w:color w:val="auto"/>
        </w:rPr>
      </w:pPr>
    </w:p>
    <w:p>
      <w:pPr>
        <w:ind w:left="260" w:right="1500" w:hanging="255"/>
        <w:spacing w:after="0" w:line="288" w:lineRule="auto"/>
        <w:tabs>
          <w:tab w:leader="none" w:pos="2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 and time of filing is specified:______________________________________________________________________________________________________</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9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ind w:left="260" w:hanging="255"/>
        <w:spacing w:after="0"/>
        <w:tabs>
          <w:tab w:leader="none" w:pos="260" w:val="left"/>
        </w:tabs>
        <w:numPr>
          <w:ilvl w:val="0"/>
          <w:numId w:val="9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i w:val="1"/>
          <w:iCs w:val="1"/>
          <w:color w:val="auto"/>
        </w:rPr>
        <w:t>**</w:t>
        <w:tab/>
        <w:t>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61530" cy="27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72" w:name="page73"/>
    <w:bookmarkEnd w:id="72"/>
    <w:p>
      <w:pPr>
        <w:ind w:left="335" w:hanging="335"/>
        <w:spacing w:after="0"/>
        <w:tabs>
          <w:tab w:leader="none" w:pos="335"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335" w:hanging="335"/>
        <w:spacing w:after="0"/>
        <w:tabs>
          <w:tab w:leader="none" w:pos="335"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200" w:lineRule="exact"/>
        <w:rPr>
          <w:rFonts w:ascii="Times New Roman" w:cs="Times New Roman" w:eastAsia="Times New Roman" w:hAnsi="Times New Roman"/>
          <w:sz w:val="14"/>
          <w:szCs w:val="14"/>
          <w:color w:val="auto"/>
        </w:rPr>
      </w:pPr>
    </w:p>
    <w:p>
      <w:pPr>
        <w:ind w:left="335" w:hanging="335"/>
        <w:spacing w:after="0"/>
        <w:tabs>
          <w:tab w:leader="none" w:pos="335"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w:t>
      </w:r>
    </w:p>
    <w:p>
      <w:pPr>
        <w:spacing w:after="0" w:line="23"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14"/>
          <w:szCs w:val="14"/>
          <w:color w:val="auto"/>
        </w:rPr>
        <w:t>jurisdiction:_______________________________________________________________________________________________________________</w:t>
      </w:r>
    </w:p>
    <w:p>
      <w:pPr>
        <w:spacing w:after="0" w:line="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344170</wp:posOffset>
            </wp:positionV>
            <wp:extent cx="7161530" cy="27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55"/>
          </w:cols>
          <w:pgMar w:left="305" w:top="51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5"/>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55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 Paul T. Dacier</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102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Paul T. Dacier</w:t>
            </w:r>
          </w:p>
        </w:tc>
        <w:tc>
          <w:tcPr>
            <w:tcW w:w="55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2760" w:type="dxa"/>
            <w:vAlign w:val="bottom"/>
            <w:tcBorders>
              <w:top w:val="single" w:sz="8" w:color="auto"/>
            </w:tcBorders>
          </w:tcPr>
          <w:p>
            <w:pPr>
              <w:spacing w:after="0"/>
              <w:rPr>
                <w:sz w:val="15"/>
                <w:szCs w:val="15"/>
                <w:color w:val="auto"/>
              </w:rPr>
            </w:pPr>
          </w:p>
        </w:tc>
      </w:tr>
      <w:tr>
        <w:trPr>
          <w:trHeight w:val="324"/>
        </w:trPr>
        <w:tc>
          <w:tcPr>
            <w:tcW w:w="296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EMC Corporation</w:t>
            </w:r>
          </w:p>
        </w:tc>
        <w:tc>
          <w:tcPr>
            <w:tcW w:w="556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560" w:hanging="321"/>
        <w:spacing w:after="0"/>
        <w:tabs>
          <w:tab w:leader="none" w:pos="560" w:val="left"/>
        </w:tabs>
        <w:numPr>
          <w:ilvl w:val="0"/>
          <w:numId w:val="9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62" w:lineRule="exact"/>
        <w:rPr>
          <w:rFonts w:ascii="MS PGothic" w:cs="MS PGothic" w:eastAsia="MS PGothic" w:hAnsi="MS PGothic"/>
          <w:sz w:val="14"/>
          <w:szCs w:val="14"/>
          <w:color w:val="auto"/>
        </w:rPr>
      </w:pPr>
    </w:p>
    <w:p>
      <w:pPr>
        <w:ind w:left="560" w:hanging="321"/>
        <w:spacing w:after="0"/>
        <w:tabs>
          <w:tab w:leader="none" w:pos="560" w:val="left"/>
        </w:tabs>
        <w:numPr>
          <w:ilvl w:val="0"/>
          <w:numId w:val="9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62" w:lineRule="exact"/>
        <w:rPr>
          <w:sz w:val="20"/>
          <w:szCs w:val="20"/>
          <w:color w:val="auto"/>
        </w:rPr>
      </w:pPr>
    </w:p>
    <w:p>
      <w:pPr>
        <w:ind w:left="560" w:hanging="321"/>
        <w:spacing w:after="0"/>
        <w:tabs>
          <w:tab w:leader="none" w:pos="560" w:val="left"/>
        </w:tabs>
        <w:numPr>
          <w:ilvl w:val="0"/>
          <w:numId w:val="9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62" w:lineRule="exact"/>
        <w:rPr>
          <w:sz w:val="20"/>
          <w:szCs w:val="20"/>
          <w:color w:val="auto"/>
        </w:rPr>
      </w:pPr>
    </w:p>
    <w:p>
      <w:pPr>
        <w:ind w:left="560" w:hanging="321"/>
        <w:spacing w:after="0"/>
        <w:tabs>
          <w:tab w:leader="none" w:pos="560" w:val="left"/>
        </w:tabs>
        <w:numPr>
          <w:ilvl w:val="0"/>
          <w:numId w:val="9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on this   7th</w:t>
            </w: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day of   July</w:t>
            </w:r>
          </w:p>
        </w:tc>
        <w:tc>
          <w:tcPr>
            <w:tcW w:w="2360" w:type="dxa"/>
            <w:vAlign w:val="bottom"/>
            <w:gridSpan w:val="2"/>
          </w:tcPr>
          <w:p>
            <w:pPr>
              <w:jc w:val="right"/>
              <w:ind w:right="1860"/>
              <w:spacing w:after="0"/>
              <w:rPr>
                <w:sz w:val="20"/>
                <w:szCs w:val="20"/>
                <w:color w:val="auto"/>
              </w:rPr>
            </w:pPr>
            <w:r>
              <w:rPr>
                <w:rFonts w:ascii="Times New Roman" w:cs="Times New Roman" w:eastAsia="Times New Roman" w:hAnsi="Times New Roman"/>
                <w:sz w:val="14"/>
                <w:szCs w:val="14"/>
                <w:color w:val="auto"/>
              </w:rPr>
              <w:t>,   2016</w:t>
            </w:r>
          </w:p>
        </w:tc>
        <w:tc>
          <w:tcPr>
            <w:tcW w:w="1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0"/>
              </w:rPr>
              <w:t>.</w:t>
            </w:r>
          </w:p>
        </w:tc>
      </w:tr>
      <w:tr>
        <w:trPr>
          <w:trHeight w:val="20"/>
        </w:trPr>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Signed by:</w:t>
            </w:r>
          </w:p>
        </w:tc>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 Susan I. Permut</w:t>
            </w: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0"/>
              </w:rPr>
              <w:t>,</w:t>
            </w:r>
          </w:p>
        </w:tc>
      </w:tr>
      <w:tr>
        <w:trPr>
          <w:trHeight w:val="178"/>
        </w:trPr>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Susan I. Permut</w:t>
            </w:r>
          </w:p>
        </w:tc>
        <w:tc>
          <w:tcPr>
            <w:tcW w:w="51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22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bl>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Documentum Canada Holdings, Inc.</w:t>
      </w:r>
    </w:p>
    <w:p>
      <w:pPr>
        <w:spacing w:after="0" w:line="201" w:lineRule="exact"/>
        <w:rPr>
          <w:sz w:val="20"/>
          <w:szCs w:val="20"/>
          <w:color w:val="auto"/>
        </w:rPr>
      </w:pPr>
    </w:p>
    <w:p>
      <w:pPr>
        <w:ind w:left="560" w:hanging="321"/>
        <w:spacing w:after="0"/>
        <w:tabs>
          <w:tab w:leader="none" w:pos="560" w:val="left"/>
        </w:tabs>
        <w:numPr>
          <w:ilvl w:val="0"/>
          <w:numId w:val="9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62" w:lineRule="exact"/>
        <w:rPr>
          <w:rFonts w:ascii="MS PGothic" w:cs="MS PGothic" w:eastAsia="MS PGothic" w:hAnsi="MS PGothic"/>
          <w:sz w:val="14"/>
          <w:szCs w:val="14"/>
          <w:color w:val="auto"/>
        </w:rPr>
      </w:pPr>
    </w:p>
    <w:p>
      <w:pPr>
        <w:ind w:left="560" w:hanging="321"/>
        <w:spacing w:after="0"/>
        <w:tabs>
          <w:tab w:leader="none" w:pos="560" w:val="left"/>
        </w:tabs>
        <w:numPr>
          <w:ilvl w:val="0"/>
          <w:numId w:val="9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62" w:lineRule="exact"/>
        <w:rPr>
          <w:sz w:val="20"/>
          <w:szCs w:val="20"/>
          <w:color w:val="auto"/>
        </w:rPr>
      </w:pPr>
    </w:p>
    <w:p>
      <w:pPr>
        <w:ind w:left="560" w:hanging="321"/>
        <w:spacing w:after="0"/>
        <w:tabs>
          <w:tab w:leader="none" w:pos="560" w:val="left"/>
        </w:tabs>
        <w:numPr>
          <w:ilvl w:val="0"/>
          <w:numId w:val="10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62" w:lineRule="exact"/>
        <w:rPr>
          <w:sz w:val="20"/>
          <w:szCs w:val="20"/>
          <w:color w:val="auto"/>
        </w:rPr>
      </w:pPr>
    </w:p>
    <w:p>
      <w:pPr>
        <w:ind w:left="560" w:hanging="321"/>
        <w:spacing w:after="0"/>
        <w:tabs>
          <w:tab w:leader="none" w:pos="560" w:val="left"/>
        </w:tabs>
        <w:numPr>
          <w:ilvl w:val="0"/>
          <w:numId w:val="10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54" w:lineRule="exact"/>
        <w:rPr>
          <w:sz w:val="20"/>
          <w:szCs w:val="20"/>
          <w:color w:val="auto"/>
        </w:rPr>
      </w:pPr>
    </w:p>
    <w:p>
      <w:pPr>
        <w:spacing w:after="0"/>
        <w:tabs>
          <w:tab w:leader="none" w:pos="3640" w:val="left"/>
          <w:tab w:leader="none" w:pos="8800" w:val="left"/>
          <w:tab w:leader="none" w:pos="902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w:t>
        <w:tab/>
        <w:t>2016</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22225</wp:posOffset>
            </wp:positionV>
            <wp:extent cx="672909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245110</wp:posOffset>
            </wp:positionV>
            <wp:extent cx="7161530" cy="27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327" w:right="319" w:bottom="1440" w:gutter="0" w:footer="0" w:header="0"/>
        </w:sectPr>
      </w:pPr>
    </w:p>
    <w:bookmarkStart w:id="74" w:name="page75"/>
    <w:bookmarkEnd w:id="74"/>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1270526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91884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15240</wp:posOffset>
            </wp:positionV>
            <wp:extent cx="540385" cy="2228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540385" cy="22288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40" w:type="dxa"/>
        <w:tblCellMar>
          <w:top w:w="0" w:type="dxa"/>
          <w:left w:w="0" w:type="dxa"/>
          <w:bottom w:w="0" w:type="dxa"/>
          <w:right w:w="0" w:type="dxa"/>
        </w:tblCellMar>
      </w:tblPr>
      <w:tr>
        <w:trPr>
          <w:trHeight w:val="226"/>
        </w:trPr>
        <w:tc>
          <w:tcPr>
            <w:tcW w:w="5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COMMONWEALTH OF MASSACHUSETTS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31401261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-255270</wp:posOffset>
            </wp:positionV>
            <wp:extent cx="7200265" cy="33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124"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25"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55"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Articles of Merger Involving Domestic Corporations,</w:t>
      </w:r>
    </w:p>
    <w:p>
      <w:pPr>
        <w:spacing w:after="0" w:line="18"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p>
      <w:pPr>
        <w:ind w:left="1940"/>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 hereby certify that upon examination of these articles of merger, duly submitted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 me, it appears that the provisions of the General Laws relative thereto have been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complied with, and I hereby approve said articles; and the filing fee in the amount of</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250</w:t>
      </w:r>
      <w:r>
        <w:rPr>
          <w:rFonts w:ascii="Times New Roman" w:cs="Times New Roman" w:eastAsia="Times New Roman" w:hAnsi="Times New Roman"/>
          <w:sz w:val="14"/>
          <w:szCs w:val="14"/>
          <w:color w:val="auto"/>
        </w:rPr>
        <w:t xml:space="preserve"> having been paid, said articles are deemed to have been filed with me this</w:t>
      </w:r>
    </w:p>
    <w:p>
      <w:pPr>
        <w:spacing w:after="0" w:line="9" w:lineRule="exact"/>
        <w:rPr>
          <w:sz w:val="20"/>
          <w:szCs w:val="20"/>
          <w:color w:val="auto"/>
        </w:rPr>
      </w:pPr>
    </w:p>
    <w:p>
      <w:pPr>
        <w:ind w:left="140"/>
        <w:spacing w:after="0"/>
        <w:tabs>
          <w:tab w:leader="none" w:pos="920" w:val="left"/>
          <w:tab w:leader="none" w:pos="1740" w:val="left"/>
        </w:tabs>
        <w:rPr>
          <w:sz w:val="20"/>
          <w:szCs w:val="20"/>
          <w:color w:val="auto"/>
        </w:rPr>
      </w:pPr>
      <w:r>
        <w:rPr>
          <w:rFonts w:ascii="Times New Roman" w:cs="Times New Roman" w:eastAsia="Times New Roman" w:hAnsi="Times New Roman"/>
          <w:sz w:val="14"/>
          <w:szCs w:val="14"/>
          <w:color w:val="auto"/>
        </w:rPr>
        <w:t>07 day of</w:t>
      </w:r>
      <w:r>
        <w:rPr>
          <w:sz w:val="20"/>
          <w:szCs w:val="20"/>
          <w:color w:val="auto"/>
        </w:rPr>
        <w:tab/>
      </w:r>
      <w:r>
        <w:rPr>
          <w:rFonts w:ascii="Times New Roman" w:cs="Times New Roman" w:eastAsia="Times New Roman" w:hAnsi="Times New Roman"/>
          <w:sz w:val="14"/>
          <w:szCs w:val="14"/>
          <w:color w:val="auto"/>
        </w:rPr>
        <w:t>July 2016</w:t>
      </w:r>
      <w:r>
        <w:rPr>
          <w:sz w:val="20"/>
          <w:szCs w:val="20"/>
          <w:color w:val="auto"/>
        </w:rPr>
        <w:tab/>
      </w:r>
      <w:r>
        <w:rPr>
          <w:rFonts w:ascii="Times New Roman" w:cs="Times New Roman" w:eastAsia="Times New Roman" w:hAnsi="Times New Roman"/>
          <w:sz w:val="14"/>
          <w:szCs w:val="14"/>
          <w:color w:val="auto"/>
        </w:rPr>
        <w:t>at 1:27 a.m./p.m.</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time</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Effective date:</w:t>
      </w:r>
    </w:p>
    <w:p>
      <w:pPr>
        <w:spacing w:after="0" w:line="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i w:val="1"/>
          <w:iCs w:val="1"/>
          <w:color w:val="auto"/>
        </w:rPr>
        <w:t>(must be within 90 days of 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-100965</wp:posOffset>
            </wp:positionV>
            <wp:extent cx="358076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3580765" cy="698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114300</wp:posOffset>
            </wp:positionV>
            <wp:extent cx="1351280" cy="3175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1351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17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Filing fee: Minimum $250</w:t>
      </w:r>
    </w:p>
    <w:p>
      <w:pPr>
        <w:spacing w:after="0" w:line="37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TO BE FILLED IN BY CORPORATION</w:t>
      </w:r>
    </w:p>
    <w:p>
      <w:pPr>
        <w:spacing w:after="0" w:line="23"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Contact Information:</w:t>
      </w:r>
    </w:p>
    <w:p>
      <w:pPr>
        <w:spacing w:after="0" w:line="176"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CT Corporation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50596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4505960" cy="6985"/>
                    </a:xfrm>
                    <a:prstGeom prst="rect">
                      <a:avLst/>
                    </a:prstGeom>
                    <a:noFill/>
                  </pic:spPr>
                </pic:pic>
              </a:graphicData>
            </a:graphic>
          </wp:anchor>
        </w:drawing>
      </w:r>
    </w:p>
    <w:p>
      <w:pPr>
        <w:spacing w:after="0" w:line="18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155 Federal Street, Suite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450596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4505960" cy="6985"/>
                    </a:xfrm>
                    <a:prstGeom prst="rect">
                      <a:avLst/>
                    </a:prstGeom>
                    <a:noFill/>
                  </pic:spPr>
                </pic:pic>
              </a:graphicData>
            </a:graphic>
          </wp:anchor>
        </w:drawing>
      </w:r>
    </w:p>
    <w:p>
      <w:pPr>
        <w:spacing w:after="0" w:line="17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Boston, Massachusetts 02110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450596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4505960" cy="698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Telephone:</w:t>
            </w:r>
          </w:p>
        </w:tc>
        <w:tc>
          <w:tcPr>
            <w:tcW w:w="6100" w:type="dxa"/>
            <w:vAlign w:val="bottom"/>
            <w:tcBorders>
              <w:bottom w:val="single" w:sz="8" w:color="auto"/>
            </w:tcBorders>
          </w:tcPr>
          <w:p>
            <w:pPr>
              <w:jc w:val="right"/>
              <w:ind w:right="5069"/>
              <w:spacing w:after="0"/>
              <w:rPr>
                <w:sz w:val="20"/>
                <w:szCs w:val="20"/>
                <w:color w:val="auto"/>
              </w:rPr>
            </w:pPr>
            <w:r>
              <w:rPr>
                <w:rFonts w:ascii="Times New Roman" w:cs="Times New Roman" w:eastAsia="Times New Roman" w:hAnsi="Times New Roman"/>
                <w:sz w:val="14"/>
                <w:szCs w:val="14"/>
                <w:color w:val="auto"/>
              </w:rPr>
              <w:t>(617) 757-6400</w:t>
            </w:r>
          </w:p>
        </w:tc>
      </w:tr>
    </w:tbl>
    <w:p>
      <w:pPr>
        <w:spacing w:after="0" w:line="1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Email:</w:t>
        <w:tab/>
        <w:t>tracy.magnan@emc.com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414845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414845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filing, a copy of this filing will be available at www.sec.state.ma.us/cor. If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document is rejected, a copy of the rejection sheet and rejected document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in the rejected queue.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438785</wp:posOffset>
            </wp:positionV>
            <wp:extent cx="7161530" cy="27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2">
            <w:col w:w="1180" w:space="720"/>
            <w:col w:w="9380"/>
          </w:cols>
          <w:pgMar w:left="300" w:top="317"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56"/>
        </w:trPr>
        <w:tc>
          <w:tcPr>
            <w:tcW w:w="268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680" w:type="dxa"/>
            <w:vAlign w:val="bottom"/>
            <w:vMerge w:val="continue"/>
          </w:tcPr>
          <w:p>
            <w:pPr>
              <w:spacing w:after="0"/>
              <w:rPr>
                <w:sz w:val="12"/>
                <w:szCs w:val="12"/>
                <w:color w:val="auto"/>
              </w:rPr>
            </w:pPr>
          </w:p>
        </w:tc>
        <w:tc>
          <w:tcPr>
            <w:tcW w:w="4840" w:type="dxa"/>
            <w:vAlign w:val="bottom"/>
          </w:tcPr>
          <w:p>
            <w:pPr>
              <w:jc w:val="center"/>
              <w:ind w:left="1023"/>
              <w:spacing w:after="0" w:line="145" w:lineRule="exact"/>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8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4840" w:type="dxa"/>
            <w:vAlign w:val="bottom"/>
          </w:tcPr>
          <w:p>
            <w:pPr>
              <w:jc w:val="center"/>
              <w:ind w:left="100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680" w:type="dxa"/>
            <w:vAlign w:val="bottom"/>
            <w:vMerge w:val="continue"/>
          </w:tcPr>
          <w:p>
            <w:pPr>
              <w:spacing w:after="0"/>
              <w:rPr>
                <w:sz w:val="22"/>
                <w:szCs w:val="22"/>
                <w:color w:val="auto"/>
              </w:rPr>
            </w:pPr>
          </w:p>
        </w:tc>
        <w:tc>
          <w:tcPr>
            <w:tcW w:w="4840" w:type="dxa"/>
            <w:vAlign w:val="bottom"/>
          </w:tcPr>
          <w:p>
            <w:pPr>
              <w:jc w:val="center"/>
              <w:ind w:left="98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840" w:type="dxa"/>
            <w:vAlign w:val="bottom"/>
          </w:tcPr>
          <w:p>
            <w:pPr>
              <w:ind w:left="2360"/>
              <w:spacing w:after="0"/>
              <w:rPr>
                <w:sz w:val="20"/>
                <w:szCs w:val="20"/>
                <w:color w:val="auto"/>
              </w:rPr>
            </w:pPr>
            <w:r>
              <w:rPr>
                <w:rFonts w:ascii="Times New Roman" w:cs="Times New Roman" w:eastAsia="Times New Roman" w:hAnsi="Times New Roman"/>
                <w:sz w:val="17"/>
                <w:szCs w:val="17"/>
                <w:b w:val="1"/>
                <w:bCs w:val="1"/>
                <w:color w:val="auto"/>
              </w:rPr>
              <w:t>Articles of Merger</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4840" w:type="dxa"/>
            <w:vAlign w:val="bottom"/>
          </w:tcPr>
          <w:p>
            <w:pPr>
              <w:jc w:val="center"/>
              <w:ind w:left="983"/>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4840" w:type="dxa"/>
            <w:vAlign w:val="bottom"/>
          </w:tcPr>
          <w:p>
            <w:pPr>
              <w:jc w:val="center"/>
              <w:ind w:left="983"/>
              <w:spacing w:after="0"/>
              <w:rPr>
                <w:sz w:val="20"/>
                <w:szCs w:val="20"/>
                <w:color w:val="auto"/>
              </w:rPr>
            </w:pPr>
            <w:r>
              <w:rPr>
                <w:rFonts w:ascii="Times New Roman" w:cs="Times New Roman" w:eastAsia="Times New Roman" w:hAnsi="Times New Roman"/>
                <w:sz w:val="17"/>
                <w:szCs w:val="17"/>
                <w:b w:val="1"/>
                <w:bCs w:val="1"/>
                <w:color w:val="auto"/>
                <w:w w:val="99"/>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8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33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Datagen, Inc.</w:t>
            </w:r>
          </w:p>
        </w:tc>
        <w:tc>
          <w:tcPr>
            <w:tcW w:w="4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Delaware</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January 23, 1970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1108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tc>
      </w:tr>
      <w:tr>
        <w:trPr>
          <w:trHeight w:val="319"/>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3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5400" w:type="dxa"/>
            <w:vAlign w:val="bottom"/>
            <w:tcBorders>
              <w:bottom w:val="single" w:sz="8" w:color="auto"/>
            </w:tcBorders>
          </w:tcPr>
          <w:p>
            <w:pPr>
              <w:spacing w:after="0"/>
              <w:rPr>
                <w:sz w:val="24"/>
                <w:szCs w:val="24"/>
                <w:color w:val="auto"/>
              </w:rPr>
            </w:pPr>
          </w:p>
        </w:tc>
      </w:tr>
      <w:tr>
        <w:trPr>
          <w:trHeight w:val="352"/>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5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bl>
    <w:p>
      <w:pPr>
        <w:spacing w:after="0" w:line="156" w:lineRule="exact"/>
        <w:rPr>
          <w:sz w:val="20"/>
          <w:szCs w:val="20"/>
          <w:color w:val="auto"/>
        </w:rPr>
      </w:pPr>
    </w:p>
    <w:p>
      <w:pPr>
        <w:ind w:left="260" w:right="1500" w:hanging="255"/>
        <w:spacing w:after="0" w:line="288" w:lineRule="auto"/>
        <w:tabs>
          <w:tab w:leader="none" w:pos="2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 and time of filing is specified:______________________________________________________________________________________________________</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10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ind w:left="260" w:hanging="255"/>
        <w:spacing w:after="0"/>
        <w:tabs>
          <w:tab w:leader="none" w:pos="260" w:val="left"/>
        </w:tabs>
        <w:numPr>
          <w:ilvl w:val="0"/>
          <w:numId w:val="10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i w:val="1"/>
          <w:iCs w:val="1"/>
          <w:color w:val="auto"/>
        </w:rPr>
        <w:t>**</w:t>
        <w:tab/>
        <w:t>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143256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1432560" cy="698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76" w:name="page77"/>
    <w:bookmarkEnd w:id="76"/>
    <w:p>
      <w:pPr>
        <w:ind w:left="335" w:hanging="335"/>
        <w:spacing w:after="0"/>
        <w:tabs>
          <w:tab w:leader="none" w:pos="335"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335" w:hanging="335"/>
        <w:spacing w:after="0"/>
        <w:tabs>
          <w:tab w:leader="none" w:pos="335"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200" w:lineRule="exact"/>
        <w:rPr>
          <w:rFonts w:ascii="Times New Roman" w:cs="Times New Roman" w:eastAsia="Times New Roman" w:hAnsi="Times New Roman"/>
          <w:sz w:val="14"/>
          <w:szCs w:val="14"/>
          <w:color w:val="auto"/>
        </w:rPr>
      </w:pPr>
    </w:p>
    <w:p>
      <w:pPr>
        <w:ind w:left="335" w:hanging="335"/>
        <w:spacing w:after="0"/>
        <w:tabs>
          <w:tab w:leader="none" w:pos="335"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w:t>
      </w:r>
    </w:p>
    <w:p>
      <w:pPr>
        <w:spacing w:after="0" w:line="23" w:lineRule="exact"/>
        <w:rPr>
          <w:rFonts w:ascii="Times New Roman" w:cs="Times New Roman" w:eastAsia="Times New Roman" w:hAnsi="Times New Roman"/>
          <w:sz w:val="14"/>
          <w:szCs w:val="14"/>
          <w:color w:val="auto"/>
        </w:rPr>
      </w:pPr>
    </w:p>
    <w:p>
      <w:pPr>
        <w:ind w:left="33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w:t>
      </w:r>
    </w:p>
    <w:p>
      <w:pPr>
        <w:spacing w:after="0" w:line="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344170</wp:posOffset>
            </wp:positionV>
            <wp:extent cx="7161530" cy="27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55"/>
          </w:cols>
          <w:pgMar w:left="305" w:top="32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55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 Paul T. Dacier</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102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Paul T. Dacier</w:t>
            </w:r>
          </w:p>
        </w:tc>
        <w:tc>
          <w:tcPr>
            <w:tcW w:w="55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2760" w:type="dxa"/>
            <w:vAlign w:val="bottom"/>
            <w:tcBorders>
              <w:top w:val="single" w:sz="8" w:color="auto"/>
            </w:tcBorders>
          </w:tcPr>
          <w:p>
            <w:pPr>
              <w:spacing w:after="0"/>
              <w:rPr>
                <w:sz w:val="15"/>
                <w:szCs w:val="15"/>
                <w:color w:val="auto"/>
              </w:rPr>
            </w:pPr>
          </w:p>
        </w:tc>
      </w:tr>
      <w:tr>
        <w:trPr>
          <w:trHeight w:val="324"/>
        </w:trPr>
        <w:tc>
          <w:tcPr>
            <w:tcW w:w="296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EMC Corporation</w:t>
            </w:r>
          </w:p>
        </w:tc>
        <w:tc>
          <w:tcPr>
            <w:tcW w:w="556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560" w:hanging="321"/>
        <w:spacing w:after="0"/>
        <w:tabs>
          <w:tab w:leader="none" w:pos="560" w:val="left"/>
        </w:tabs>
        <w:numPr>
          <w:ilvl w:val="0"/>
          <w:numId w:val="10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62" w:lineRule="exact"/>
        <w:rPr>
          <w:rFonts w:ascii="MS PGothic" w:cs="MS PGothic" w:eastAsia="MS PGothic" w:hAnsi="MS PGothic"/>
          <w:sz w:val="14"/>
          <w:szCs w:val="14"/>
          <w:color w:val="auto"/>
        </w:rPr>
      </w:pPr>
    </w:p>
    <w:p>
      <w:pPr>
        <w:ind w:left="560" w:hanging="321"/>
        <w:spacing w:after="0"/>
        <w:tabs>
          <w:tab w:leader="none" w:pos="560" w:val="left"/>
        </w:tabs>
        <w:numPr>
          <w:ilvl w:val="0"/>
          <w:numId w:val="10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62" w:lineRule="exact"/>
        <w:rPr>
          <w:sz w:val="20"/>
          <w:szCs w:val="20"/>
          <w:color w:val="auto"/>
        </w:rPr>
      </w:pPr>
    </w:p>
    <w:p>
      <w:pPr>
        <w:ind w:left="560" w:hanging="321"/>
        <w:spacing w:after="0"/>
        <w:tabs>
          <w:tab w:leader="none" w:pos="560" w:val="left"/>
        </w:tabs>
        <w:numPr>
          <w:ilvl w:val="0"/>
          <w:numId w:val="10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62" w:lineRule="exact"/>
        <w:rPr>
          <w:sz w:val="20"/>
          <w:szCs w:val="20"/>
          <w:color w:val="auto"/>
        </w:rPr>
      </w:pPr>
    </w:p>
    <w:p>
      <w:pPr>
        <w:ind w:left="560" w:hanging="321"/>
        <w:spacing w:after="0"/>
        <w:tabs>
          <w:tab w:leader="none" w:pos="560" w:val="left"/>
        </w:tabs>
        <w:numPr>
          <w:ilvl w:val="0"/>
          <w:numId w:val="10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this   7th</w:t>
            </w:r>
          </w:p>
        </w:tc>
        <w:tc>
          <w:tcPr>
            <w:tcW w:w="2620" w:type="dxa"/>
            <w:vAlign w:val="bottom"/>
          </w:tcPr>
          <w:p>
            <w:pPr>
              <w:spacing w:after="0"/>
              <w:rPr>
                <w:sz w:val="16"/>
                <w:szCs w:val="16"/>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day of   July</w:t>
            </w:r>
          </w:p>
        </w:tc>
        <w:tc>
          <w:tcPr>
            <w:tcW w:w="2360" w:type="dxa"/>
            <w:vAlign w:val="bottom"/>
            <w:gridSpan w:val="2"/>
          </w:tcPr>
          <w:p>
            <w:pPr>
              <w:jc w:val="right"/>
              <w:ind w:right="1860"/>
              <w:spacing w:after="0"/>
              <w:rPr>
                <w:sz w:val="20"/>
                <w:szCs w:val="20"/>
                <w:color w:val="auto"/>
              </w:rPr>
            </w:pPr>
            <w:r>
              <w:rPr>
                <w:rFonts w:ascii="Times New Roman" w:cs="Times New Roman" w:eastAsia="Times New Roman" w:hAnsi="Times New Roman"/>
                <w:sz w:val="14"/>
                <w:szCs w:val="14"/>
                <w:color w:val="auto"/>
              </w:rPr>
              <w:t>,   2016</w:t>
            </w:r>
          </w:p>
        </w:tc>
        <w:tc>
          <w:tcPr>
            <w:tcW w:w="1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0"/>
              </w:rPr>
              <w:t>.</w:t>
            </w:r>
          </w:p>
        </w:tc>
      </w:tr>
      <w:tr>
        <w:trPr>
          <w:trHeight w:val="20"/>
        </w:trPr>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Susan I. Permut</w:t>
            </w:r>
          </w:p>
        </w:tc>
        <w:tc>
          <w:tcPr>
            <w:tcW w:w="5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0"/>
              </w:rPr>
              <w:t>,</w:t>
            </w:r>
          </w:p>
        </w:tc>
      </w:tr>
      <w:tr>
        <w:trPr>
          <w:trHeight w:val="146"/>
        </w:trPr>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Susan I. Permut</w:t>
            </w:r>
          </w:p>
        </w:tc>
        <w:tc>
          <w:tcPr>
            <w:tcW w:w="518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4"/>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Datagen, Inc.</w:t>
            </w:r>
          </w:p>
        </w:tc>
        <w:tc>
          <w:tcPr>
            <w:tcW w:w="5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77" w:lineRule="exact"/>
        <w:rPr>
          <w:sz w:val="20"/>
          <w:szCs w:val="20"/>
          <w:color w:val="auto"/>
        </w:rPr>
      </w:pPr>
    </w:p>
    <w:p>
      <w:pPr>
        <w:ind w:left="560" w:hanging="321"/>
        <w:spacing w:after="0"/>
        <w:tabs>
          <w:tab w:leader="none" w:pos="560" w:val="left"/>
        </w:tabs>
        <w:numPr>
          <w:ilvl w:val="0"/>
          <w:numId w:val="11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62" w:lineRule="exact"/>
        <w:rPr>
          <w:rFonts w:ascii="MS PGothic" w:cs="MS PGothic" w:eastAsia="MS PGothic" w:hAnsi="MS PGothic"/>
          <w:sz w:val="14"/>
          <w:szCs w:val="14"/>
          <w:color w:val="auto"/>
        </w:rPr>
      </w:pPr>
    </w:p>
    <w:p>
      <w:pPr>
        <w:ind w:left="560" w:hanging="321"/>
        <w:spacing w:after="0"/>
        <w:tabs>
          <w:tab w:leader="none" w:pos="560" w:val="left"/>
        </w:tabs>
        <w:numPr>
          <w:ilvl w:val="0"/>
          <w:numId w:val="11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62" w:lineRule="exact"/>
        <w:rPr>
          <w:sz w:val="20"/>
          <w:szCs w:val="20"/>
          <w:color w:val="auto"/>
        </w:rPr>
      </w:pPr>
    </w:p>
    <w:p>
      <w:pPr>
        <w:ind w:left="560" w:hanging="321"/>
        <w:spacing w:after="0"/>
        <w:tabs>
          <w:tab w:leader="none" w:pos="560" w:val="left"/>
        </w:tabs>
        <w:numPr>
          <w:ilvl w:val="0"/>
          <w:numId w:val="11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62" w:lineRule="exact"/>
        <w:rPr>
          <w:sz w:val="20"/>
          <w:szCs w:val="20"/>
          <w:color w:val="auto"/>
        </w:rPr>
      </w:pPr>
    </w:p>
    <w:p>
      <w:pPr>
        <w:ind w:left="560" w:hanging="321"/>
        <w:spacing w:after="0"/>
        <w:tabs>
          <w:tab w:leader="none" w:pos="560" w:val="left"/>
        </w:tabs>
        <w:numPr>
          <w:ilvl w:val="0"/>
          <w:numId w:val="11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54" w:lineRule="exact"/>
        <w:rPr>
          <w:sz w:val="20"/>
          <w:szCs w:val="20"/>
          <w:color w:val="auto"/>
        </w:rPr>
      </w:pPr>
    </w:p>
    <w:p>
      <w:pPr>
        <w:spacing w:after="0"/>
        <w:tabs>
          <w:tab w:leader="none" w:pos="3640" w:val="left"/>
          <w:tab w:leader="none" w:pos="8800" w:val="left"/>
          <w:tab w:leader="none" w:pos="902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w:t>
        <w:tab/>
        <w:t>2016</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22225</wp:posOffset>
            </wp:positionV>
            <wp:extent cx="672909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366395</wp:posOffset>
            </wp:positionV>
            <wp:extent cx="7161530" cy="27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19" w:right="319" w:bottom="1440" w:gutter="0" w:footer="0" w:header="0"/>
        </w:sectPr>
      </w:pPr>
    </w:p>
    <w:bookmarkStart w:id="78" w:name="page79"/>
    <w:bookmarkEnd w:id="78"/>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1270516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2455545</wp:posOffset>
            </wp:positionV>
            <wp:extent cx="918845" cy="2159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918845" cy="21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513715" cy="148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513715" cy="1485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760" w:type="dxa"/>
        <w:tblCellMar>
          <w:top w:w="0" w:type="dxa"/>
          <w:left w:w="0" w:type="dxa"/>
          <w:bottom w:w="0" w:type="dxa"/>
          <w:right w:w="0" w:type="dxa"/>
        </w:tblCellMar>
      </w:tblP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COMMONWEALTH OF MASSACHUSETTS</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31401260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-280670</wp:posOffset>
            </wp:positionV>
            <wp:extent cx="7200265" cy="330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12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6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Articles of Merger Involving Domestic Corporations,</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p>
      <w:pPr>
        <w:spacing w:after="0" w:line="165" w:lineRule="exact"/>
        <w:rPr>
          <w:sz w:val="20"/>
          <w:szCs w:val="20"/>
          <w:color w:val="auto"/>
        </w:rPr>
      </w:pPr>
    </w:p>
    <w:p>
      <w:pPr>
        <w:ind w:left="140" w:right="3320"/>
        <w:spacing w:after="0" w:line="259" w:lineRule="auto"/>
        <w:rPr>
          <w:sz w:val="20"/>
          <w:szCs w:val="20"/>
          <w:color w:val="auto"/>
        </w:rPr>
      </w:pPr>
      <w:r>
        <w:rPr>
          <w:rFonts w:ascii="Times New Roman" w:cs="Times New Roman" w:eastAsia="Times New Roman" w:hAnsi="Times New Roman"/>
          <w:sz w:val="14"/>
          <w:szCs w:val="14"/>
          <w:color w:val="auto"/>
        </w:rPr>
        <w:t>I hereby certify that upon examination of these articles of merger, duly submitted to me, it appears that the provisions of the General Laws relative thereto have been complied with, and I hereby approve said articles; and the filing fee in the amount of $250 having been paid, said articles are deemed to have been filed with me this</w:t>
      </w:r>
    </w:p>
    <w:p>
      <w:pPr>
        <w:ind w:left="140"/>
        <w:spacing w:after="0"/>
        <w:tabs>
          <w:tab w:leader="none" w:pos="920" w:val="left"/>
          <w:tab w:leader="none" w:pos="1720" w:val="left"/>
          <w:tab w:leader="none" w:pos="2280" w:val="left"/>
        </w:tabs>
        <w:rPr>
          <w:sz w:val="20"/>
          <w:szCs w:val="20"/>
          <w:color w:val="auto"/>
        </w:rPr>
      </w:pPr>
      <w:r>
        <w:rPr>
          <w:rFonts w:ascii="Times New Roman" w:cs="Times New Roman" w:eastAsia="Times New Roman" w:hAnsi="Times New Roman"/>
          <w:sz w:val="14"/>
          <w:szCs w:val="14"/>
          <w:color w:val="auto"/>
        </w:rPr>
        <w:t>07 day of</w:t>
      </w:r>
      <w:r>
        <w:rPr>
          <w:sz w:val="20"/>
          <w:szCs w:val="20"/>
          <w:color w:val="auto"/>
        </w:rPr>
        <w:tab/>
      </w:r>
      <w:r>
        <w:rPr>
          <w:rFonts w:ascii="Times New Roman" w:cs="Times New Roman" w:eastAsia="Times New Roman" w:hAnsi="Times New Roman"/>
          <w:sz w:val="14"/>
          <w:szCs w:val="14"/>
          <w:color w:val="auto"/>
        </w:rPr>
        <w:t>July</w:t>
      </w:r>
      <w:r>
        <w:rPr>
          <w:sz w:val="20"/>
          <w:szCs w:val="20"/>
          <w:color w:val="auto"/>
        </w:rPr>
        <w:tab/>
      </w:r>
      <w:r>
        <w:rPr>
          <w:rFonts w:ascii="Times New Roman" w:cs="Times New Roman" w:eastAsia="Times New Roman" w:hAnsi="Times New Roman"/>
          <w:sz w:val="14"/>
          <w:szCs w:val="14"/>
          <w:color w:val="auto"/>
        </w:rPr>
        <w:t>2016</w:t>
      </w:r>
      <w:r>
        <w:rPr>
          <w:sz w:val="20"/>
          <w:szCs w:val="20"/>
          <w:color w:val="auto"/>
        </w:rPr>
        <w:tab/>
      </w:r>
      <w:r>
        <w:rPr>
          <w:rFonts w:ascii="Times New Roman" w:cs="Times New Roman" w:eastAsia="Times New Roman" w:hAnsi="Times New Roman"/>
          <w:sz w:val="14"/>
          <w:szCs w:val="14"/>
          <w:color w:val="auto"/>
        </w:rPr>
        <w:t>at 1:27 a.m./p.m.</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time</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Effective date:</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i w:val="1"/>
          <w:iCs w:val="1"/>
          <w:color w:val="auto"/>
        </w:rPr>
        <w:t>(must be within 90 days of 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-100965</wp:posOffset>
            </wp:positionV>
            <wp:extent cx="358076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3580765" cy="698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114300</wp:posOffset>
            </wp:positionV>
            <wp:extent cx="1351280" cy="3175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1351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Filing fee: Minimum $250</w:t>
      </w:r>
    </w:p>
    <w:p>
      <w:pPr>
        <w:spacing w:after="0" w:line="25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TO BE FILLED IN BY CORPORATION</w:t>
      </w:r>
    </w:p>
    <w:p>
      <w:pPr>
        <w:spacing w:after="0" w:line="2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Contact Information:</w:t>
      </w:r>
    </w:p>
    <w:p>
      <w:pPr>
        <w:spacing w:after="0" w:line="17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CT Corporation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50596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4505960" cy="6985"/>
                    </a:xfrm>
                    <a:prstGeom prst="rect">
                      <a:avLst/>
                    </a:prstGeom>
                    <a:noFill/>
                  </pic:spPr>
                </pic:pic>
              </a:graphicData>
            </a:graphic>
          </wp:anchor>
        </w:drawing>
      </w:r>
    </w:p>
    <w:p>
      <w:pPr>
        <w:spacing w:after="0" w:line="18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155 Federal Street, Suite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450596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4505960" cy="6985"/>
                    </a:xfrm>
                    <a:prstGeom prst="rect">
                      <a:avLst/>
                    </a:prstGeom>
                    <a:noFill/>
                  </pic:spPr>
                </pic:pic>
              </a:graphicData>
            </a:graphic>
          </wp:anchor>
        </w:drawing>
      </w:r>
    </w:p>
    <w:p>
      <w:pPr>
        <w:spacing w:after="0" w:line="17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Boston, Massachusetts 02110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471551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4715510" cy="698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Telephone:</w:t>
            </w:r>
          </w:p>
        </w:tc>
        <w:tc>
          <w:tcPr>
            <w:tcW w:w="6100" w:type="dxa"/>
            <w:vAlign w:val="bottom"/>
            <w:tcBorders>
              <w:bottom w:val="single" w:sz="8" w:color="auto"/>
            </w:tcBorders>
          </w:tcPr>
          <w:p>
            <w:pPr>
              <w:jc w:val="right"/>
              <w:ind w:right="5069"/>
              <w:spacing w:after="0"/>
              <w:rPr>
                <w:sz w:val="20"/>
                <w:szCs w:val="20"/>
                <w:color w:val="auto"/>
              </w:rPr>
            </w:pPr>
            <w:r>
              <w:rPr>
                <w:rFonts w:ascii="Times New Roman" w:cs="Times New Roman" w:eastAsia="Times New Roman" w:hAnsi="Times New Roman"/>
                <w:sz w:val="14"/>
                <w:szCs w:val="14"/>
                <w:color w:val="auto"/>
              </w:rPr>
              <w:t>(617) 757-6400</w:t>
            </w:r>
          </w:p>
        </w:tc>
      </w:tr>
    </w:tbl>
    <w:p>
      <w:pPr>
        <w:spacing w:after="0" w:line="1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Email:</w:t>
        <w:tab/>
        <w:t>tracy.magnan@emc.com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414845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4148455" cy="6985"/>
                    </a:xfrm>
                    <a:prstGeom prst="rect">
                      <a:avLst/>
                    </a:prstGeom>
                    <a:noFill/>
                  </pic:spPr>
                </pic:pic>
              </a:graphicData>
            </a:graphic>
          </wp:anchor>
        </w:drawing>
      </w:r>
    </w:p>
    <w:p>
      <w:pPr>
        <w:spacing w:after="0" w:line="170" w:lineRule="exact"/>
        <w:rPr>
          <w:sz w:val="20"/>
          <w:szCs w:val="20"/>
          <w:color w:val="auto"/>
        </w:rPr>
      </w:pPr>
    </w:p>
    <w:p>
      <w:pPr>
        <w:ind w:right="3500"/>
        <w:spacing w:after="0" w:line="271" w:lineRule="auto"/>
        <w:rPr>
          <w:sz w:val="20"/>
          <w:szCs w:val="20"/>
          <w:color w:val="auto"/>
        </w:rPr>
      </w:pPr>
      <w:r>
        <w:rPr>
          <w:rFonts w:ascii="Times New Roman" w:cs="Times New Roman" w:eastAsia="Times New Roman" w:hAnsi="Times New Roman"/>
          <w:sz w:val="14"/>
          <w:szCs w:val="14"/>
          <w:color w:val="auto"/>
        </w:rPr>
        <w:t>Upon filing, a copy of this filing will be available at www.sec.state.ma.us/cor. If the document is rejected, a copy of the rejection sheet and rejected document will be available in the rejected queue.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419735</wp:posOffset>
            </wp:positionV>
            <wp:extent cx="7161530" cy="27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2">
            <w:col w:w="1180" w:space="720"/>
            <w:col w:w="8260"/>
          </w:cols>
          <w:pgMar w:left="300" w:top="320" w:right="14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56"/>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360" w:type="dxa"/>
            <w:vAlign w:val="bottom"/>
            <w:gridSpan w:val="3"/>
          </w:tcPr>
          <w:p>
            <w:pPr>
              <w:ind w:left="880"/>
              <w:spacing w:after="0"/>
              <w:rPr>
                <w:sz w:val="20"/>
                <w:szCs w:val="20"/>
                <w:color w:val="auto"/>
              </w:rPr>
            </w:pPr>
            <w:r>
              <w:rPr>
                <w:rFonts w:ascii="Times New Roman" w:cs="Times New Roman" w:eastAsia="Times New Roman" w:hAnsi="Times New Roman"/>
                <w:sz w:val="20"/>
                <w:szCs w:val="20"/>
                <w:b w:val="1"/>
                <w:bCs w:val="1"/>
                <w:color w:val="auto"/>
              </w:rPr>
              <w:t>The Commonwealth of Massachusetts</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16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2820" w:type="dxa"/>
            <w:vAlign w:val="bottom"/>
            <w:gridSpan w:val="2"/>
          </w:tcPr>
          <w:p>
            <w:pPr>
              <w:jc w:val="center"/>
              <w:ind w:right="849"/>
              <w:spacing w:after="0" w:line="145" w:lineRule="exact"/>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1540" w:type="dxa"/>
            <w:vAlign w:val="bottom"/>
          </w:tcPr>
          <w:p>
            <w:pPr>
              <w:spacing w:after="0"/>
              <w:rPr>
                <w:sz w:val="17"/>
                <w:szCs w:val="17"/>
                <w:color w:val="auto"/>
              </w:rPr>
            </w:pPr>
          </w:p>
        </w:tc>
        <w:tc>
          <w:tcPr>
            <w:tcW w:w="2820" w:type="dxa"/>
            <w:vAlign w:val="bottom"/>
            <w:gridSpan w:val="2"/>
          </w:tcPr>
          <w:p>
            <w:pPr>
              <w:jc w:val="center"/>
              <w:ind w:right="869"/>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160" w:type="dxa"/>
            <w:vAlign w:val="bottom"/>
            <w:gridSpan w:val="2"/>
            <w:vMerge w:val="continue"/>
          </w:tcPr>
          <w:p>
            <w:pPr>
              <w:spacing w:after="0"/>
              <w:rPr>
                <w:sz w:val="22"/>
                <w:szCs w:val="22"/>
                <w:color w:val="auto"/>
              </w:rPr>
            </w:pPr>
          </w:p>
        </w:tc>
        <w:tc>
          <w:tcPr>
            <w:tcW w:w="4360" w:type="dxa"/>
            <w:vAlign w:val="bottom"/>
            <w:gridSpan w:val="3"/>
          </w:tcPr>
          <w:p>
            <w:pPr>
              <w:jc w:val="center"/>
              <w:ind w:left="506"/>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1540" w:type="dxa"/>
            <w:vAlign w:val="bottom"/>
          </w:tcPr>
          <w:p>
            <w:pPr>
              <w:spacing w:after="0"/>
              <w:rPr>
                <w:sz w:val="24"/>
                <w:szCs w:val="24"/>
                <w:color w:val="auto"/>
              </w:rPr>
            </w:pPr>
          </w:p>
        </w:tc>
        <w:tc>
          <w:tcPr>
            <w:tcW w:w="28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Articles of Merger</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70"/>
        </w:trPr>
        <w:tc>
          <w:tcPr>
            <w:tcW w:w="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360" w:type="dxa"/>
            <w:vAlign w:val="bottom"/>
            <w:gridSpan w:val="3"/>
          </w:tcPr>
          <w:p>
            <w:pPr>
              <w:jc w:val="center"/>
              <w:ind w:left="506"/>
              <w:spacing w:after="0"/>
              <w:rPr>
                <w:sz w:val="20"/>
                <w:szCs w:val="20"/>
                <w:color w:val="auto"/>
              </w:rPr>
            </w:pPr>
            <w:r>
              <w:rPr>
                <w:rFonts w:ascii="Times New Roman" w:cs="Times New Roman" w:eastAsia="Times New Roman" w:hAnsi="Times New Roman"/>
                <w:sz w:val="14"/>
                <w:szCs w:val="14"/>
                <w:b w:val="1"/>
                <w:bCs w:val="1"/>
                <w:color w:val="auto"/>
              </w:rPr>
              <w:t>Involving Domestic Corporations,</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360" w:type="dxa"/>
            <w:vAlign w:val="bottom"/>
            <w:gridSpan w:val="3"/>
          </w:tcPr>
          <w:p>
            <w:pPr>
              <w:jc w:val="center"/>
              <w:ind w:left="506"/>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360" w:type="dxa"/>
            <w:vAlign w:val="bottom"/>
            <w:gridSpan w:val="3"/>
          </w:tcPr>
          <w:p>
            <w:pPr>
              <w:jc w:val="center"/>
              <w:ind w:left="546"/>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EXACT NAME</w:t>
            </w:r>
          </w:p>
        </w:tc>
        <w:tc>
          <w:tcPr>
            <w:tcW w:w="436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15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Massachusetts</w:t>
            </w:r>
          </w:p>
        </w:tc>
        <w:tc>
          <w:tcPr>
            <w:tcW w:w="1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331"/>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DSSD, Inc.</w:t>
            </w:r>
          </w:p>
        </w:tc>
        <w:tc>
          <w:tcPr>
            <w:tcW w:w="15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Nevada</w:t>
            </w:r>
          </w:p>
        </w:tc>
        <w:tc>
          <w:tcPr>
            <w:tcW w:w="1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June 14, 2010</w:t>
            </w:r>
          </w:p>
        </w:tc>
        <w:tc>
          <w:tcPr>
            <w:tcW w:w="0" w:type="dxa"/>
            <w:vAlign w:val="bottom"/>
          </w:tcPr>
          <w:p>
            <w:pPr>
              <w:spacing w:after="0"/>
              <w:rPr>
                <w:sz w:val="1"/>
                <w:szCs w:val="1"/>
                <w:color w:val="auto"/>
              </w:rPr>
            </w:pPr>
          </w:p>
        </w:tc>
      </w:tr>
      <w:tr>
        <w:trPr>
          <w:trHeight w:val="331"/>
        </w:trPr>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7320" w:type="dxa"/>
            <w:vAlign w:val="bottom"/>
            <w:gridSpan w:val="4"/>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4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EMC Corporation 042680009</w:t>
            </w: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162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260" w:right="1500" w:hanging="255"/>
        <w:spacing w:after="0" w:line="288" w:lineRule="auto"/>
        <w:tabs>
          <w:tab w:leader="none" w:pos="2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 and time of filing is specified:______________________________________________________________________________________________________</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11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ind w:left="260" w:hanging="255"/>
        <w:spacing w:after="0"/>
        <w:tabs>
          <w:tab w:leader="none" w:pos="260" w:val="left"/>
        </w:tabs>
        <w:numPr>
          <w:ilvl w:val="0"/>
          <w:numId w:val="1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i w:val="1"/>
          <w:iCs w:val="1"/>
          <w:color w:val="auto"/>
        </w:rPr>
        <w:t>**</w:t>
        <w:tab/>
        <w:t>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61530" cy="27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80" w:name="page81"/>
    <w:bookmarkEnd w:id="80"/>
    <w:p>
      <w:pPr>
        <w:ind w:left="335" w:hanging="335"/>
        <w:spacing w:after="0"/>
        <w:tabs>
          <w:tab w:leader="none" w:pos="33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335" w:hanging="335"/>
        <w:spacing w:after="0"/>
        <w:tabs>
          <w:tab w:leader="none" w:pos="33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200" w:lineRule="exact"/>
        <w:rPr>
          <w:rFonts w:ascii="Times New Roman" w:cs="Times New Roman" w:eastAsia="Times New Roman" w:hAnsi="Times New Roman"/>
          <w:sz w:val="14"/>
          <w:szCs w:val="14"/>
          <w:color w:val="auto"/>
        </w:rPr>
      </w:pPr>
    </w:p>
    <w:p>
      <w:pPr>
        <w:ind w:left="335" w:hanging="335"/>
        <w:spacing w:after="0"/>
        <w:tabs>
          <w:tab w:leader="none" w:pos="33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w:t>
      </w:r>
    </w:p>
    <w:p>
      <w:pPr>
        <w:spacing w:after="0" w:line="23" w:lineRule="exact"/>
        <w:rPr>
          <w:rFonts w:ascii="Times New Roman" w:cs="Times New Roman" w:eastAsia="Times New Roman" w:hAnsi="Times New Roman"/>
          <w:sz w:val="14"/>
          <w:szCs w:val="14"/>
          <w:color w:val="auto"/>
        </w:rPr>
      </w:pPr>
    </w:p>
    <w:p>
      <w:pPr>
        <w:ind w:left="33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jurisdiction:_______________________________________________________________________________________________________________</w:t>
      </w:r>
    </w:p>
    <w:p>
      <w:pPr>
        <w:spacing w:after="0" w:line="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222250</wp:posOffset>
            </wp:positionV>
            <wp:extent cx="7161530" cy="27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55"/>
          </w:cols>
          <w:pgMar w:left="305" w:top="51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/s/ Paul T. Dacier</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1040" w:type="dxa"/>
            <w:vAlign w:val="bottom"/>
          </w:tcPr>
          <w:p>
            <w:pPr>
              <w:spacing w:after="0"/>
              <w:rPr>
                <w:sz w:val="15"/>
                <w:szCs w:val="15"/>
                <w:color w:val="auto"/>
              </w:rPr>
            </w:pPr>
          </w:p>
        </w:tc>
        <w:tc>
          <w:tcPr>
            <w:tcW w:w="6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4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560" w:hanging="321"/>
        <w:spacing w:after="0"/>
        <w:tabs>
          <w:tab w:leader="none" w:pos="560" w:val="left"/>
        </w:tabs>
        <w:numPr>
          <w:ilvl w:val="0"/>
          <w:numId w:val="11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62" w:lineRule="exact"/>
        <w:rPr>
          <w:rFonts w:ascii="MS PGothic" w:cs="MS PGothic" w:eastAsia="MS PGothic" w:hAnsi="MS PGothic"/>
          <w:sz w:val="14"/>
          <w:szCs w:val="14"/>
          <w:color w:val="auto"/>
        </w:rPr>
      </w:pPr>
    </w:p>
    <w:p>
      <w:pPr>
        <w:ind w:left="560" w:hanging="321"/>
        <w:spacing w:after="0"/>
        <w:tabs>
          <w:tab w:leader="none" w:pos="560" w:val="left"/>
        </w:tabs>
        <w:numPr>
          <w:ilvl w:val="0"/>
          <w:numId w:val="11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62" w:lineRule="exact"/>
        <w:rPr>
          <w:sz w:val="20"/>
          <w:szCs w:val="20"/>
          <w:color w:val="auto"/>
        </w:rPr>
      </w:pPr>
    </w:p>
    <w:p>
      <w:pPr>
        <w:ind w:left="560" w:hanging="321"/>
        <w:spacing w:after="0"/>
        <w:tabs>
          <w:tab w:leader="none" w:pos="560" w:val="left"/>
        </w:tabs>
        <w:numPr>
          <w:ilvl w:val="0"/>
          <w:numId w:val="11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62" w:lineRule="exact"/>
        <w:rPr>
          <w:sz w:val="20"/>
          <w:szCs w:val="20"/>
          <w:color w:val="auto"/>
        </w:rPr>
      </w:pPr>
    </w:p>
    <w:p>
      <w:pPr>
        <w:ind w:left="560" w:hanging="321"/>
        <w:spacing w:after="0"/>
        <w:tabs>
          <w:tab w:leader="none" w:pos="560" w:val="left"/>
        </w:tabs>
        <w:numPr>
          <w:ilvl w:val="0"/>
          <w:numId w:val="12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this   1st</w:t>
            </w:r>
          </w:p>
        </w:tc>
        <w:tc>
          <w:tcPr>
            <w:tcW w:w="2600" w:type="dxa"/>
            <w:vAlign w:val="bottom"/>
          </w:tcPr>
          <w:p>
            <w:pPr>
              <w:spacing w:after="0"/>
              <w:rPr>
                <w:sz w:val="16"/>
                <w:szCs w:val="16"/>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day of   September</w:t>
            </w:r>
          </w:p>
        </w:tc>
        <w:tc>
          <w:tcPr>
            <w:tcW w:w="2360" w:type="dxa"/>
            <w:vAlign w:val="bottom"/>
            <w:gridSpan w:val="2"/>
          </w:tcPr>
          <w:p>
            <w:pPr>
              <w:jc w:val="right"/>
              <w:ind w:right="1860"/>
              <w:spacing w:after="0"/>
              <w:rPr>
                <w:sz w:val="20"/>
                <w:szCs w:val="20"/>
                <w:color w:val="auto"/>
              </w:rPr>
            </w:pPr>
            <w:r>
              <w:rPr>
                <w:rFonts w:ascii="Times New Roman" w:cs="Times New Roman" w:eastAsia="Times New Roman" w:hAnsi="Times New Roman"/>
                <w:sz w:val="14"/>
                <w:szCs w:val="14"/>
                <w:color w:val="auto"/>
              </w:rPr>
              <w:t>,   2016</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20"/>
        </w:trPr>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7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Paul T. Dacier</w:t>
            </w: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177"/>
        </w:trPr>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331" w:lineRule="exact"/>
        <w:rPr>
          <w:sz w:val="20"/>
          <w:szCs w:val="20"/>
          <w:color w:val="auto"/>
        </w:rPr>
      </w:pPr>
    </w:p>
    <w:p>
      <w:pPr>
        <w:ind w:left="560" w:hanging="321"/>
        <w:spacing w:after="0"/>
        <w:tabs>
          <w:tab w:leader="none" w:pos="560" w:val="left"/>
        </w:tabs>
        <w:numPr>
          <w:ilvl w:val="0"/>
          <w:numId w:val="12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62" w:lineRule="exact"/>
        <w:rPr>
          <w:rFonts w:ascii="MS PGothic" w:cs="MS PGothic" w:eastAsia="MS PGothic" w:hAnsi="MS PGothic"/>
          <w:sz w:val="14"/>
          <w:szCs w:val="14"/>
          <w:color w:val="auto"/>
        </w:rPr>
      </w:pPr>
    </w:p>
    <w:p>
      <w:pPr>
        <w:ind w:left="560" w:hanging="321"/>
        <w:spacing w:after="0"/>
        <w:tabs>
          <w:tab w:leader="none" w:pos="560" w:val="left"/>
        </w:tabs>
        <w:numPr>
          <w:ilvl w:val="0"/>
          <w:numId w:val="12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62" w:lineRule="exact"/>
        <w:rPr>
          <w:sz w:val="20"/>
          <w:szCs w:val="20"/>
          <w:color w:val="auto"/>
        </w:rPr>
      </w:pPr>
    </w:p>
    <w:p>
      <w:pPr>
        <w:ind w:left="560" w:hanging="321"/>
        <w:spacing w:after="0"/>
        <w:tabs>
          <w:tab w:leader="none" w:pos="560" w:val="left"/>
        </w:tabs>
        <w:numPr>
          <w:ilvl w:val="0"/>
          <w:numId w:val="12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62" w:lineRule="exact"/>
        <w:rPr>
          <w:sz w:val="20"/>
          <w:szCs w:val="20"/>
          <w:color w:val="auto"/>
        </w:rPr>
      </w:pPr>
    </w:p>
    <w:p>
      <w:pPr>
        <w:ind w:left="560" w:hanging="321"/>
        <w:spacing w:after="0"/>
        <w:tabs>
          <w:tab w:leader="none" w:pos="560" w:val="left"/>
        </w:tabs>
        <w:numPr>
          <w:ilvl w:val="0"/>
          <w:numId w:val="12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54" w:lineRule="exact"/>
        <w:rPr>
          <w:sz w:val="20"/>
          <w:szCs w:val="20"/>
          <w:color w:val="auto"/>
        </w:rPr>
      </w:pPr>
    </w:p>
    <w:p>
      <w:pPr>
        <w:spacing w:after="0"/>
        <w:tabs>
          <w:tab w:leader="none" w:pos="560" w:val="left"/>
          <w:tab w:leader="none" w:pos="3640" w:val="left"/>
          <w:tab w:leader="none" w:pos="4180" w:val="left"/>
          <w:tab w:leader="none" w:pos="8800" w:val="left"/>
          <w:tab w:leader="none" w:pos="9020" w:val="left"/>
          <w:tab w:leader="none" w:pos="11160" w:val="left"/>
        </w:tabs>
        <w:rPr>
          <w:sz w:val="20"/>
          <w:szCs w:val="20"/>
          <w:color w:val="auto"/>
        </w:rPr>
      </w:pPr>
      <w:r>
        <w:rPr>
          <w:rFonts w:ascii="Times New Roman" w:cs="Times New Roman" w:eastAsia="Times New Roman" w:hAnsi="Times New Roman"/>
          <w:sz w:val="14"/>
          <w:szCs w:val="14"/>
          <w:color w:val="auto"/>
        </w:rPr>
        <w:t>on this</w:t>
        <w:tab/>
        <w:t>1st</w:t>
      </w:r>
      <w:r>
        <w:rPr>
          <w:sz w:val="20"/>
          <w:szCs w:val="20"/>
          <w:color w:val="auto"/>
        </w:rPr>
        <w:tab/>
      </w:r>
      <w:r>
        <w:rPr>
          <w:rFonts w:ascii="Times New Roman" w:cs="Times New Roman" w:eastAsia="Times New Roman" w:hAnsi="Times New Roman"/>
          <w:sz w:val="14"/>
          <w:szCs w:val="14"/>
          <w:color w:val="auto"/>
        </w:rPr>
        <w:t>day of</w:t>
        <w:tab/>
        <w:t>September</w:t>
      </w:r>
      <w:r>
        <w:rPr>
          <w:sz w:val="20"/>
          <w:szCs w:val="20"/>
          <w:color w:val="auto"/>
        </w:rPr>
        <w:tab/>
      </w:r>
      <w:r>
        <w:rPr>
          <w:rFonts w:ascii="Times New Roman" w:cs="Times New Roman" w:eastAsia="Times New Roman" w:hAnsi="Times New Roman"/>
          <w:sz w:val="14"/>
          <w:szCs w:val="14"/>
          <w:color w:val="auto"/>
        </w:rPr>
        <w:t>,</w:t>
        <w:tab/>
        <w:t>2016</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22225</wp:posOffset>
            </wp:positionV>
            <wp:extent cx="672909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366395</wp:posOffset>
            </wp:positionV>
            <wp:extent cx="7161530" cy="27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20"/>
          </w:cols>
          <w:pgMar w:left="300" w:top="327" w:right="379" w:bottom="1440" w:gutter="0" w:footer="0" w:header="0"/>
        </w:sectPr>
      </w:pPr>
    </w:p>
    <w:bookmarkStart w:id="82" w:name="page83"/>
    <w:bookmarkEnd w:id="82"/>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1273704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2502535</wp:posOffset>
            </wp:positionV>
            <wp:extent cx="918845" cy="2432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918845" cy="24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918845" cy="2565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918845" cy="25654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approval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760" w:type="dxa"/>
        <w:tblCellMar>
          <w:top w:w="0" w:type="dxa"/>
          <w:left w:w="0" w:type="dxa"/>
          <w:bottom w:w="0" w:type="dxa"/>
          <w:right w:w="0" w:type="dxa"/>
        </w:tblCellMar>
      </w:tblP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COMMONWEALTH OF MASSACHUSETTS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-402590</wp:posOffset>
            </wp:positionV>
            <wp:extent cx="7200265" cy="330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12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55"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17"/>
          <w:szCs w:val="17"/>
          <w:b w:val="1"/>
          <w:bCs w:val="1"/>
          <w:color w:val="auto"/>
        </w:rPr>
        <w:t>Articles of Merger Involving Domestic Corporations,</w:t>
      </w:r>
    </w:p>
    <w:p>
      <w:pPr>
        <w:spacing w:after="0" w:line="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p>
      <w:pPr>
        <w:ind w:left="1940"/>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p>
      <w:pPr>
        <w:spacing w:after="0" w:line="163" w:lineRule="exact"/>
        <w:rPr>
          <w:sz w:val="20"/>
          <w:szCs w:val="20"/>
          <w:color w:val="auto"/>
        </w:rPr>
      </w:pPr>
    </w:p>
    <w:p>
      <w:pPr>
        <w:ind w:left="140" w:right="3319"/>
        <w:spacing w:after="0" w:line="259" w:lineRule="auto"/>
        <w:rPr>
          <w:sz w:val="20"/>
          <w:szCs w:val="20"/>
          <w:color w:val="auto"/>
        </w:rPr>
      </w:pPr>
      <w:r>
        <w:rPr>
          <w:rFonts w:ascii="Times New Roman" w:cs="Times New Roman" w:eastAsia="Times New Roman" w:hAnsi="Times New Roman"/>
          <w:sz w:val="14"/>
          <w:szCs w:val="14"/>
          <w:color w:val="auto"/>
        </w:rPr>
        <w:t>I hereby certify that upon examination of these articles of merger, duly submitted to me, it appears that the provisions of the General Laws relative thereto have been complied with, and I hereby approve said articles; and the filing fee in the amount of $250 having been paid, said articles are deemed to have been filed with me this</w:t>
      </w:r>
    </w:p>
    <w:p>
      <w:pPr>
        <w:ind w:left="140"/>
        <w:spacing w:after="0"/>
        <w:tabs>
          <w:tab w:leader="none" w:pos="920" w:val="left"/>
          <w:tab w:leader="none" w:pos="1720" w:val="left"/>
          <w:tab w:leader="none" w:pos="2280" w:val="left"/>
        </w:tabs>
        <w:rPr>
          <w:sz w:val="20"/>
          <w:szCs w:val="20"/>
          <w:color w:val="auto"/>
        </w:rPr>
      </w:pPr>
      <w:r>
        <w:rPr>
          <w:rFonts w:ascii="Times New Roman" w:cs="Times New Roman" w:eastAsia="Times New Roman" w:hAnsi="Times New Roman"/>
          <w:sz w:val="14"/>
          <w:szCs w:val="14"/>
          <w:color w:val="auto"/>
        </w:rPr>
        <w:t>1 day of</w:t>
      </w:r>
      <w:r>
        <w:rPr>
          <w:sz w:val="20"/>
          <w:szCs w:val="20"/>
          <w:color w:val="auto"/>
        </w:rPr>
        <w:tab/>
      </w:r>
      <w:r>
        <w:rPr>
          <w:rFonts w:ascii="Times New Roman" w:cs="Times New Roman" w:eastAsia="Times New Roman" w:hAnsi="Times New Roman"/>
          <w:sz w:val="14"/>
          <w:szCs w:val="14"/>
          <w:color w:val="auto"/>
        </w:rPr>
        <w:t>September</w:t>
        <w:tab/>
        <w:t>2016</w:t>
      </w:r>
      <w:r>
        <w:rPr>
          <w:sz w:val="20"/>
          <w:szCs w:val="20"/>
          <w:color w:val="auto"/>
        </w:rPr>
        <w:tab/>
      </w:r>
      <w:r>
        <w:rPr>
          <w:rFonts w:ascii="Times New Roman" w:cs="Times New Roman" w:eastAsia="Times New Roman" w:hAnsi="Times New Roman"/>
          <w:sz w:val="14"/>
          <w:szCs w:val="14"/>
          <w:color w:val="auto"/>
        </w:rPr>
        <w:t>at 1:18 a.m./p.m.</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time</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Effective date:</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4"/>
          <w:szCs w:val="14"/>
          <w:i w:val="1"/>
          <w:iCs w:val="1"/>
          <w:color w:val="auto"/>
        </w:rPr>
        <w:t>(must be within 90 days of 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-100965</wp:posOffset>
            </wp:positionV>
            <wp:extent cx="358076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3580765" cy="6985"/>
                    </a:xfrm>
                    <a:prstGeom prst="rect">
                      <a:avLst/>
                    </a:prstGeom>
                    <a:noFill/>
                  </pic:spPr>
                </pic:pic>
              </a:graphicData>
            </a:graphic>
          </wp:anchor>
        </w:drawing>
        <w:drawing>
          <wp:anchor simplePos="0" relativeHeight="251657728" behindDoc="1" locked="0" layoutInCell="0" allowOverlap="1">
            <wp:simplePos x="0" y="0"/>
            <wp:positionH relativeFrom="column">
              <wp:posOffset>1620520</wp:posOffset>
            </wp:positionH>
            <wp:positionV relativeFrom="paragraph">
              <wp:posOffset>114300</wp:posOffset>
            </wp:positionV>
            <wp:extent cx="1351280" cy="3175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1351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4"/>
          <w:szCs w:val="14"/>
          <w:color w:val="auto"/>
        </w:rPr>
        <w:t>Filing fee: Minimum $250</w:t>
      </w:r>
    </w:p>
    <w:p>
      <w:pPr>
        <w:spacing w:after="0" w:line="200" w:lineRule="exact"/>
        <w:rPr>
          <w:sz w:val="20"/>
          <w:szCs w:val="20"/>
          <w:color w:val="auto"/>
        </w:rPr>
      </w:pPr>
    </w:p>
    <w:p>
      <w:pPr>
        <w:spacing w:after="0" w:line="214"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4"/>
          <w:szCs w:val="14"/>
          <w:color w:val="auto"/>
        </w:rPr>
        <w:t>TO BE FILLED IN BY CORPORATION</w:t>
      </w:r>
    </w:p>
    <w:p>
      <w:pPr>
        <w:spacing w:after="0" w:line="23"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4"/>
          <w:szCs w:val="14"/>
          <w:color w:val="auto"/>
        </w:rPr>
        <w:t>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681990</wp:posOffset>
            </wp:positionV>
            <wp:extent cx="471551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47155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459105</wp:posOffset>
            </wp:positionV>
            <wp:extent cx="450596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450596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236220</wp:posOffset>
            </wp:positionV>
            <wp:extent cx="450596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45059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15240</wp:posOffset>
            </wp:positionV>
            <wp:extent cx="386461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3864610"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414845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4148455" cy="6985"/>
                    </a:xfrm>
                    <a:prstGeom prst="rect">
                      <a:avLst/>
                    </a:prstGeom>
                    <a:noFill/>
                  </pic:spPr>
                </pic:pic>
              </a:graphicData>
            </a:graphic>
          </wp:anchor>
        </w:drawing>
      </w:r>
    </w:p>
    <w:p>
      <w:pPr>
        <w:spacing w:after="0" w:line="170" w:lineRule="exact"/>
        <w:rPr>
          <w:sz w:val="20"/>
          <w:szCs w:val="20"/>
          <w:color w:val="auto"/>
        </w:rPr>
      </w:pPr>
    </w:p>
    <w:p>
      <w:pPr>
        <w:ind w:right="3499"/>
        <w:spacing w:after="0" w:line="271" w:lineRule="auto"/>
        <w:rPr>
          <w:sz w:val="20"/>
          <w:szCs w:val="20"/>
          <w:color w:val="auto"/>
        </w:rPr>
      </w:pPr>
      <w:r>
        <w:rPr>
          <w:rFonts w:ascii="Times New Roman" w:cs="Times New Roman" w:eastAsia="Times New Roman" w:hAnsi="Times New Roman"/>
          <w:sz w:val="14"/>
          <w:szCs w:val="14"/>
          <w:color w:val="auto"/>
        </w:rPr>
        <w:t>Upon filing, a copy of this filing will be available at www.sec.state.ma.us/cor. If the document is rejected, a copy of the rejection sheet and rejected document will be available in the rejected queue.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527685</wp:posOffset>
            </wp:positionV>
            <wp:extent cx="7161530" cy="27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2">
            <w:col w:w="1180" w:space="720"/>
            <w:col w:w="8259"/>
          </w:cols>
          <w:pgMar w:left="300" w:top="511"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34"/>
          <w:szCs w:val="34"/>
          <w:color w:val="auto"/>
        </w:rPr>
        <w:t>DF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34"/>
          <w:szCs w:val="34"/>
          <w:color w:val="auto"/>
        </w:rPr>
        <w:t>PC</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b w:val="1"/>
          <w:bCs w:val="1"/>
          <w:color w:val="auto"/>
        </w:rPr>
        <w:t>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-421640</wp:posOffset>
            </wp:positionV>
            <wp:extent cx="7200265" cy="330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323" w:lineRule="exact"/>
        <w:rPr>
          <w:sz w:val="20"/>
          <w:szCs w:val="20"/>
          <w:color w:val="auto"/>
        </w:rPr>
      </w:pPr>
    </w:p>
    <w:p>
      <w:pPr>
        <w:spacing w:after="0"/>
        <w:tabs>
          <w:tab w:leader="none" w:pos="3980" w:val="left"/>
          <w:tab w:leader="none" w:pos="7540" w:val="left"/>
        </w:tabs>
        <w:rPr>
          <w:sz w:val="20"/>
          <w:szCs w:val="20"/>
          <w:color w:val="auto"/>
        </w:rPr>
      </w:pPr>
      <w:r>
        <w:rPr>
          <w:rFonts w:ascii="Times New Roman" w:cs="Times New Roman" w:eastAsia="Times New Roman" w:hAnsi="Times New Roman"/>
          <w:sz w:val="14"/>
          <w:szCs w:val="14"/>
          <w:color w:val="auto"/>
        </w:rPr>
        <w:t>FORM MUST BE TYPED</w:t>
      </w:r>
      <w:r>
        <w:rPr>
          <w:sz w:val="20"/>
          <w:szCs w:val="20"/>
          <w:color w:val="auto"/>
        </w:rPr>
        <w:tab/>
      </w:r>
      <w:r>
        <w:rPr>
          <w:rFonts w:ascii="Times New Roman" w:cs="Times New Roman" w:eastAsia="Times New Roman" w:hAnsi="Times New Roman"/>
          <w:sz w:val="14"/>
          <w:szCs w:val="14"/>
          <w:b w:val="1"/>
          <w:bCs w:val="1"/>
          <w:color w:val="auto"/>
        </w:rPr>
        <w:t>Articles of Merger</w:t>
      </w:r>
      <w:r>
        <w:rPr>
          <w:sz w:val="20"/>
          <w:szCs w:val="20"/>
          <w:color w:val="auto"/>
        </w:rPr>
        <w:tab/>
      </w:r>
      <w:r>
        <w:rPr>
          <w:rFonts w:ascii="Times New Roman" w:cs="Times New Roman" w:eastAsia="Times New Roman" w:hAnsi="Times New Roman"/>
          <w:sz w:val="14"/>
          <w:szCs w:val="14"/>
          <w:color w:val="auto"/>
        </w:rPr>
        <w:t>FORM MUST BE TYPED</w:t>
      </w:r>
    </w:p>
    <w:p>
      <w:pPr>
        <w:spacing w:after="0" w:line="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Involving Domestic Corporations,</w:t>
      </w:r>
    </w:p>
    <w:p>
      <w:pPr>
        <w:spacing w:after="0" w:line="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p>
      <w:pPr>
        <w:spacing w:after="0" w:line="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p>
      <w:pPr>
        <w:spacing w:after="0" w:line="165" w:lineRule="exact"/>
        <w:rPr>
          <w:sz w:val="20"/>
          <w:szCs w:val="20"/>
          <w:color w:val="auto"/>
        </w:rPr>
      </w:pPr>
    </w:p>
    <w:p>
      <w:pPr>
        <w:sectPr>
          <w:pgSz w:w="11900" w:h="16838" w:orient="portrait"/>
          <w:cols w:equalWidth="0" w:num="2">
            <w:col w:w="440" w:space="660"/>
            <w:col w:w="10180"/>
          </w:cols>
          <w:pgMar w:left="300" w:top="309" w:right="319" w:bottom="1440" w:gutter="0" w:footer="0" w:header="0"/>
        </w:sectPr>
      </w:pPr>
    </w:p>
    <w:tbl>
      <w:tblPr>
        <w:tblLayout w:type="fixed"/>
        <w:tblInd w:w="0" w:type="dxa"/>
        <w:tblCellMar>
          <w:top w:w="0" w:type="dxa"/>
          <w:left w:w="0" w:type="dxa"/>
          <w:bottom w:w="0" w:type="dxa"/>
          <w:right w:w="0" w:type="dxa"/>
        </w:tblCellMar>
      </w:tblPr>
      <w:tr>
        <w:trPr>
          <w:trHeight w:val="184"/>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4940" w:type="dxa"/>
            <w:vAlign w:val="bottom"/>
          </w:tcPr>
          <w:p>
            <w:pPr>
              <w:spacing w:after="0"/>
              <w:rPr>
                <w:sz w:val="16"/>
                <w:szCs w:val="16"/>
                <w:color w:val="auto"/>
              </w:rPr>
            </w:pPr>
          </w:p>
        </w:tc>
      </w:tr>
      <w:tr>
        <w:trPr>
          <w:trHeight w:val="340"/>
        </w:trPr>
        <w:tc>
          <w:tcPr>
            <w:tcW w:w="27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 EXACT NAME</w:t>
            </w:r>
          </w:p>
        </w:tc>
        <w:tc>
          <w:tcPr>
            <w:tcW w:w="362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(2) JURISDICTION</w:t>
            </w:r>
          </w:p>
        </w:tc>
        <w:tc>
          <w:tcPr>
            <w:tcW w:w="494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DATE OF ORGANIZATION</w:t>
            </w:r>
          </w:p>
        </w:tc>
      </w:tr>
      <w:tr>
        <w:trPr>
          <w:trHeight w:val="341"/>
        </w:trPr>
        <w:tc>
          <w:tcPr>
            <w:tcW w:w="2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EMC Corporation</w:t>
            </w:r>
          </w:p>
        </w:tc>
        <w:tc>
          <w:tcPr>
            <w:tcW w:w="36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Massachusetts</w:t>
            </w:r>
          </w:p>
        </w:tc>
        <w:tc>
          <w:tcPr>
            <w:tcW w:w="49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color w:val="auto"/>
              </w:rPr>
              <w:t>August 23, 1979</w:t>
            </w:r>
          </w:p>
        </w:tc>
      </w:tr>
      <w:tr>
        <w:trPr>
          <w:trHeight w:val="331"/>
        </w:trPr>
        <w:tc>
          <w:tcPr>
            <w:tcW w:w="2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Acquisition Co.</w:t>
            </w:r>
          </w:p>
        </w:tc>
        <w:tc>
          <w:tcPr>
            <w:tcW w:w="36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Delaware</w:t>
            </w:r>
          </w:p>
        </w:tc>
        <w:tc>
          <w:tcPr>
            <w:tcW w:w="49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color w:val="auto"/>
              </w:rPr>
              <w:t>October 8,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(3)</w:t>
            </w:r>
          </w:p>
        </w:tc>
        <w:tc>
          <w:tcPr>
            <w:tcW w:w="11100" w:type="dxa"/>
            <w:vAlign w:val="bottom"/>
            <w:gridSpan w:val="5"/>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(4)</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31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EMC Corporation   042680009</w:t>
            </w:r>
          </w:p>
        </w:tc>
        <w:tc>
          <w:tcPr>
            <w:tcW w:w="4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r>
        <w:trPr>
          <w:trHeight w:val="35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(5)</w:t>
            </w:r>
          </w:p>
        </w:tc>
        <w:tc>
          <w:tcPr>
            <w:tcW w:w="5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46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(6)</w:t>
            </w:r>
          </w:p>
        </w:tc>
        <w:tc>
          <w:tcPr>
            <w:tcW w:w="111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w:t>
            </w:r>
          </w:p>
        </w:tc>
      </w:tr>
      <w:tr>
        <w:trPr>
          <w:trHeight w:val="185"/>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 time of filing is specified:</w:t>
            </w:r>
          </w:p>
        </w:tc>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8:00 a.m. (Eastern time) on September 7, 2016</w:t>
            </w:r>
          </w:p>
        </w:tc>
        <w:tc>
          <w:tcPr>
            <w:tcW w:w="46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700" w:hanging="344"/>
        <w:spacing w:after="0"/>
        <w:tabs>
          <w:tab w:leader="none" w:pos="700" w:val="left"/>
        </w:tabs>
        <w:numPr>
          <w:ilvl w:val="0"/>
          <w:numId w:val="12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200"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79" w:lineRule="exact"/>
        <w:rPr>
          <w:sz w:val="20"/>
          <w:szCs w:val="20"/>
          <w:color w:val="auto"/>
        </w:rPr>
      </w:pPr>
    </w:p>
    <w:p>
      <w:pPr>
        <w:ind w:left="700" w:hanging="344"/>
        <w:spacing w:after="0"/>
        <w:tabs>
          <w:tab w:leader="none" w:pos="700" w:val="left"/>
        </w:tabs>
        <w:numPr>
          <w:ilvl w:val="1"/>
          <w:numId w:val="12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did not require the approval of the shareholders.</w:t>
      </w:r>
    </w:p>
    <w:p>
      <w:pPr>
        <w:spacing w:after="0" w:line="200" w:lineRule="exact"/>
        <w:rPr>
          <w:rFonts w:ascii="MS PGothic" w:cs="MS PGothic" w:eastAsia="MS PGothic" w:hAnsi="MS PGothic"/>
          <w:sz w:val="14"/>
          <w:szCs w:val="14"/>
          <w:color w:val="auto"/>
        </w:rPr>
      </w:pPr>
    </w:p>
    <w:p>
      <w:pPr>
        <w:ind w:left="260" w:right="100" w:hanging="255"/>
        <w:spacing w:after="0" w:line="288" w:lineRule="auto"/>
        <w:tabs>
          <w:tab w:leader="none" w:pos="26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93218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932180" cy="698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type w:val="continuous"/>
        </w:sectPr>
      </w:pPr>
    </w:p>
    <w:bookmarkStart w:id="84" w:name="page85"/>
    <w:bookmarkEnd w:id="84"/>
    <w:p>
      <w:pPr>
        <w:ind w:left="295" w:hanging="295"/>
        <w:spacing w:after="0"/>
        <w:tabs>
          <w:tab w:leader="none" w:pos="295"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 Amendment to Articles of Organization is attached.</w:t>
      </w:r>
    </w:p>
    <w:p>
      <w:pPr>
        <w:spacing w:after="0" w:line="179" w:lineRule="exact"/>
        <w:rPr>
          <w:rFonts w:ascii="Times New Roman" w:cs="Times New Roman" w:eastAsia="Times New Roman" w:hAnsi="Times New Roman"/>
          <w:sz w:val="14"/>
          <w:szCs w:val="14"/>
          <w:color w:val="auto"/>
        </w:rPr>
      </w:pPr>
    </w:p>
    <w:p>
      <w:pPr>
        <w:ind w:left="295" w:hanging="295"/>
        <w:spacing w:after="0"/>
        <w:tabs>
          <w:tab w:leader="none" w:pos="295"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295" w:right="2760" w:hanging="295"/>
        <w:spacing w:after="0" w:line="264" w:lineRule="auto"/>
        <w:tabs>
          <w:tab w:leader="none" w:pos="295"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 N/A</w:t>
      </w:r>
    </w:p>
    <w:p>
      <w:pPr>
        <w:jc w:val="center"/>
        <w:ind w:right="-74"/>
        <w:spacing w:after="0"/>
        <w:rPr>
          <w:sz w:val="20"/>
          <w:szCs w:val="20"/>
          <w:color w:val="auto"/>
        </w:rPr>
      </w:pPr>
      <w:r>
        <w:rPr>
          <w:rFonts w:ascii="Times New Roman" w:cs="Times New Roman" w:eastAsia="Times New Roman" w:hAnsi="Times New Roman"/>
          <w:sz w:val="14"/>
          <w:szCs w:val="14"/>
          <w:b w:val="1"/>
          <w:bCs w:val="1"/>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-100965</wp:posOffset>
            </wp:positionV>
            <wp:extent cx="697230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69723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7161530" cy="27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15"/>
          </w:cols>
          <w:pgMar w:left="305" w:top="327" w:right="3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1028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4"/>
                <w:szCs w:val="14"/>
                <w:color w:val="auto"/>
              </w:rPr>
              <w:t>/s/ Paul T. Dacier</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900" w:type="dxa"/>
            <w:vAlign w:val="bottom"/>
          </w:tcPr>
          <w:p>
            <w:pPr>
              <w:spacing w:after="0"/>
              <w:rPr>
                <w:sz w:val="15"/>
                <w:szCs w:val="15"/>
                <w:color w:val="auto"/>
              </w:rPr>
            </w:pPr>
          </w:p>
        </w:tc>
        <w:tc>
          <w:tcPr>
            <w:tcW w:w="10280" w:type="dxa"/>
            <w:vAlign w:val="bottom"/>
          </w:tcPr>
          <w:p>
            <w:pPr>
              <w:ind w:left="374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5"/>
                <w:szCs w:val="15"/>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900" w:hanging="437"/>
        <w:spacing w:after="0"/>
        <w:tabs>
          <w:tab w:leader="none" w:pos="900" w:val="left"/>
        </w:tabs>
        <w:numPr>
          <w:ilvl w:val="0"/>
          <w:numId w:val="12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83" w:lineRule="exact"/>
        <w:rPr>
          <w:rFonts w:ascii="MS PGothic" w:cs="MS PGothic" w:eastAsia="MS PGothic" w:hAnsi="MS PGothic"/>
          <w:sz w:val="14"/>
          <w:szCs w:val="14"/>
          <w:color w:val="auto"/>
        </w:rPr>
      </w:pPr>
    </w:p>
    <w:p>
      <w:pPr>
        <w:ind w:left="900" w:hanging="437"/>
        <w:spacing w:after="0"/>
        <w:tabs>
          <w:tab w:leader="none" w:pos="900" w:val="left"/>
        </w:tabs>
        <w:numPr>
          <w:ilvl w:val="0"/>
          <w:numId w:val="12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84" w:lineRule="exact"/>
        <w:rPr>
          <w:sz w:val="20"/>
          <w:szCs w:val="20"/>
          <w:color w:val="auto"/>
        </w:rPr>
      </w:pPr>
    </w:p>
    <w:p>
      <w:pPr>
        <w:ind w:left="900" w:hanging="437"/>
        <w:spacing w:after="0"/>
        <w:tabs>
          <w:tab w:leader="none" w:pos="900" w:val="left"/>
        </w:tabs>
        <w:numPr>
          <w:ilvl w:val="0"/>
          <w:numId w:val="12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84" w:lineRule="exact"/>
        <w:rPr>
          <w:sz w:val="20"/>
          <w:szCs w:val="20"/>
          <w:color w:val="auto"/>
        </w:rPr>
      </w:pPr>
    </w:p>
    <w:p>
      <w:pPr>
        <w:ind w:left="900" w:hanging="437"/>
        <w:spacing w:after="0"/>
        <w:tabs>
          <w:tab w:leader="none" w:pos="900" w:val="left"/>
        </w:tabs>
        <w:numPr>
          <w:ilvl w:val="0"/>
          <w:numId w:val="12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Coure-appointed fiduciary,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320" w:type="dxa"/>
            <w:vAlign w:val="bottom"/>
          </w:tcPr>
          <w:p>
            <w:pPr>
              <w:spacing w:after="0"/>
              <w:rPr>
                <w:sz w:val="16"/>
                <w:szCs w:val="16"/>
                <w:color w:val="auto"/>
              </w:rPr>
            </w:pPr>
          </w:p>
        </w:tc>
        <w:tc>
          <w:tcPr>
            <w:tcW w:w="3620" w:type="dxa"/>
            <w:vAlign w:val="bottom"/>
            <w:gridSpan w:val="2"/>
          </w:tcPr>
          <w:p>
            <w:pPr>
              <w:ind w:left="3340"/>
              <w:spacing w:after="0"/>
              <w:rPr>
                <w:sz w:val="20"/>
                <w:szCs w:val="20"/>
                <w:color w:val="auto"/>
              </w:rPr>
            </w:pPr>
            <w:r>
              <w:rPr>
                <w:rFonts w:ascii="Times New Roman" w:cs="Times New Roman" w:eastAsia="Times New Roman" w:hAnsi="Times New Roman"/>
                <w:sz w:val="14"/>
                <w:szCs w:val="14"/>
                <w:color w:val="auto"/>
              </w:rPr>
              <w:t>6th</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day of</w:t>
            </w:r>
          </w:p>
        </w:tc>
        <w:tc>
          <w:tcPr>
            <w:tcW w:w="2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September</w:t>
            </w:r>
          </w:p>
        </w:tc>
        <w:tc>
          <w:tcPr>
            <w:tcW w:w="300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color w:val="auto"/>
              </w:rPr>
              <w:t>, 2016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3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39" w:lineRule="exact"/>
        <w:rPr>
          <w:sz w:val="20"/>
          <w:szCs w:val="20"/>
          <w:color w:val="auto"/>
        </w:rPr>
      </w:pPr>
    </w:p>
    <w:p>
      <w:pPr>
        <w:ind w:left="900" w:hanging="437"/>
        <w:spacing w:after="0"/>
        <w:tabs>
          <w:tab w:leader="none" w:pos="900" w:val="left"/>
        </w:tabs>
        <w:numPr>
          <w:ilvl w:val="0"/>
          <w:numId w:val="13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73" w:lineRule="exact"/>
        <w:rPr>
          <w:rFonts w:ascii="MS PGothic" w:cs="MS PGothic" w:eastAsia="MS PGothic" w:hAnsi="MS PGothic"/>
          <w:sz w:val="14"/>
          <w:szCs w:val="14"/>
          <w:color w:val="auto"/>
        </w:rPr>
      </w:pPr>
    </w:p>
    <w:p>
      <w:pPr>
        <w:ind w:left="900" w:hanging="437"/>
        <w:spacing w:after="0"/>
        <w:tabs>
          <w:tab w:leader="none" w:pos="900" w:val="left"/>
        </w:tabs>
        <w:numPr>
          <w:ilvl w:val="0"/>
          <w:numId w:val="13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73" w:lineRule="exact"/>
        <w:rPr>
          <w:rFonts w:ascii="MS PGothic" w:cs="MS PGothic" w:eastAsia="MS PGothic" w:hAnsi="MS PGothic"/>
          <w:sz w:val="14"/>
          <w:szCs w:val="14"/>
          <w:color w:val="auto"/>
        </w:rPr>
      </w:pPr>
    </w:p>
    <w:p>
      <w:pPr>
        <w:ind w:left="900" w:hanging="437"/>
        <w:spacing w:after="0"/>
        <w:tabs>
          <w:tab w:leader="none" w:pos="900" w:val="left"/>
        </w:tabs>
        <w:numPr>
          <w:ilvl w:val="0"/>
          <w:numId w:val="13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73" w:lineRule="exact"/>
        <w:rPr>
          <w:rFonts w:ascii="MS PGothic" w:cs="MS PGothic" w:eastAsia="MS PGothic" w:hAnsi="MS PGothic"/>
          <w:sz w:val="14"/>
          <w:szCs w:val="14"/>
          <w:color w:val="auto"/>
        </w:rPr>
      </w:pPr>
    </w:p>
    <w:p>
      <w:pPr>
        <w:ind w:left="900" w:hanging="437"/>
        <w:spacing w:after="0"/>
        <w:tabs>
          <w:tab w:leader="none" w:pos="900" w:val="left"/>
        </w:tabs>
        <w:numPr>
          <w:ilvl w:val="0"/>
          <w:numId w:val="13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01" w:lineRule="exact"/>
        <w:rPr>
          <w:sz w:val="20"/>
          <w:szCs w:val="20"/>
          <w:color w:val="auto"/>
        </w:rPr>
      </w:pPr>
    </w:p>
    <w:p>
      <w:pPr>
        <w:spacing w:after="0"/>
        <w:tabs>
          <w:tab w:leader="none" w:pos="4620" w:val="left"/>
          <w:tab w:leader="none" w:pos="9700" w:val="left"/>
          <w:tab w:leader="none" w:pos="1122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27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86" w:name="page87"/>
    <w:bookmarkEnd w:id="86"/>
    <w:p>
      <w:pPr>
        <w:spacing w:after="0"/>
        <w:tabs>
          <w:tab w:leader="none" w:pos="112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Signed by:</w:t>
      </w:r>
      <w:r>
        <w:rPr>
          <w:sz w:val="20"/>
          <w:szCs w:val="20"/>
          <w:color w:val="auto"/>
        </w:rPr>
        <w:tab/>
      </w:r>
      <w:r>
        <w:rPr>
          <w:rFonts w:ascii="Times New Roman" w:cs="Times New Roman" w:eastAsia="Times New Roman" w:hAnsi="Times New Roman"/>
          <w:sz w:val="14"/>
          <w:szCs w:val="14"/>
          <w:color w:val="auto"/>
        </w:rPr>
        <w: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-100965</wp:posOffset>
            </wp:positionV>
            <wp:extent cx="651954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6519545" cy="6985"/>
                    </a:xfrm>
                    <a:prstGeom prst="rect">
                      <a:avLst/>
                    </a:prstGeom>
                    <a:noFill/>
                  </pic:spPr>
                </pic:pic>
              </a:graphicData>
            </a:graphic>
          </wp:anchor>
        </w:drawing>
      </w:r>
    </w:p>
    <w:p>
      <w:pPr>
        <w:spacing w:after="0" w:line="156" w:lineRule="exact"/>
        <w:rPr>
          <w:sz w:val="20"/>
          <w:szCs w:val="20"/>
          <w:color w:val="auto"/>
        </w:rPr>
      </w:pPr>
    </w:p>
    <w:p>
      <w:pPr>
        <w:ind w:left="900" w:hanging="437"/>
        <w:spacing w:after="0"/>
        <w:tabs>
          <w:tab w:leader="none" w:pos="900" w:val="left"/>
        </w:tabs>
        <w:numPr>
          <w:ilvl w:val="0"/>
          <w:numId w:val="13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73" w:lineRule="exact"/>
        <w:rPr>
          <w:rFonts w:ascii="MS PGothic" w:cs="MS PGothic" w:eastAsia="MS PGothic" w:hAnsi="MS PGothic"/>
          <w:sz w:val="14"/>
          <w:szCs w:val="14"/>
          <w:color w:val="auto"/>
        </w:rPr>
      </w:pPr>
    </w:p>
    <w:p>
      <w:pPr>
        <w:ind w:left="900" w:hanging="437"/>
        <w:spacing w:after="0"/>
        <w:tabs>
          <w:tab w:leader="none" w:pos="900" w:val="left"/>
        </w:tabs>
        <w:numPr>
          <w:ilvl w:val="0"/>
          <w:numId w:val="13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73" w:lineRule="exact"/>
        <w:rPr>
          <w:sz w:val="20"/>
          <w:szCs w:val="20"/>
          <w:color w:val="auto"/>
        </w:rPr>
      </w:pPr>
    </w:p>
    <w:p>
      <w:pPr>
        <w:ind w:left="900" w:hanging="437"/>
        <w:spacing w:after="0"/>
        <w:tabs>
          <w:tab w:leader="none" w:pos="900" w:val="left"/>
        </w:tabs>
        <w:numPr>
          <w:ilvl w:val="0"/>
          <w:numId w:val="13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73" w:lineRule="exact"/>
        <w:rPr>
          <w:sz w:val="20"/>
          <w:szCs w:val="20"/>
          <w:color w:val="auto"/>
        </w:rPr>
      </w:pPr>
    </w:p>
    <w:p>
      <w:pPr>
        <w:ind w:left="900" w:hanging="437"/>
        <w:spacing w:after="0"/>
        <w:tabs>
          <w:tab w:leader="none" w:pos="900" w:val="left"/>
        </w:tabs>
        <w:numPr>
          <w:ilvl w:val="0"/>
          <w:numId w:val="13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day of</w:t>
            </w:r>
          </w:p>
        </w:tc>
        <w:tc>
          <w:tcPr>
            <w:tcW w:w="4320" w:type="dxa"/>
            <w:vAlign w:val="bottom"/>
          </w:tcPr>
          <w:p>
            <w:pPr>
              <w:spacing w:after="0"/>
              <w:rPr>
                <w:sz w:val="16"/>
                <w:szCs w:val="16"/>
                <w:color w:val="auto"/>
              </w:rPr>
            </w:pPr>
          </w:p>
        </w:tc>
        <w:tc>
          <w:tcPr>
            <w:tcW w:w="166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color w:val="auto"/>
              </w:rPr>
              <w:t>, 2016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 James B. Wright</w:t>
            </w:r>
          </w:p>
        </w:tc>
        <w:tc>
          <w:tcPr>
            <w:tcW w:w="780" w:type="dxa"/>
            <w:vAlign w:val="bottom"/>
          </w:tcPr>
          <w:p>
            <w:pPr>
              <w:spacing w:after="0"/>
              <w:rPr>
                <w:sz w:val="24"/>
                <w:szCs w:val="24"/>
                <w:color w:val="auto"/>
              </w:rPr>
            </w:pPr>
          </w:p>
        </w:tc>
        <w:tc>
          <w:tcPr>
            <w:tcW w:w="4320" w:type="dxa"/>
            <w:vAlign w:val="bottom"/>
          </w:tcPr>
          <w:p>
            <w:pPr>
              <w:ind w:left="960"/>
              <w:spacing w:after="0"/>
              <w:rPr>
                <w:sz w:val="20"/>
                <w:szCs w:val="20"/>
                <w:color w:val="auto"/>
              </w:rPr>
            </w:pPr>
            <w:r>
              <w:rPr>
                <w:rFonts w:ascii="Times New Roman" w:cs="Times New Roman" w:eastAsia="Times New Roman" w:hAnsi="Times New Roman"/>
                <w:sz w:val="14"/>
                <w:szCs w:val="14"/>
                <w:i w:val="1"/>
                <w:iCs w:val="1"/>
                <w:color w:val="auto"/>
              </w:rPr>
              <w:t>Janet B. Wright, Vice President and Assistant Secretary</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20" w:type="dxa"/>
            <w:vAlign w:val="bottom"/>
            <w:tcBorders>
              <w:top w:val="single" w:sz="8" w:color="auto"/>
            </w:tcBorders>
          </w:tcPr>
          <w:p>
            <w:pPr>
              <w:spacing w:after="0"/>
              <w:rPr>
                <w:sz w:val="15"/>
                <w:szCs w:val="15"/>
                <w:color w:val="auto"/>
              </w:rPr>
            </w:pPr>
          </w:p>
        </w:tc>
        <w:tc>
          <w:tcPr>
            <w:tcW w:w="51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39" w:lineRule="exact"/>
        <w:rPr>
          <w:sz w:val="20"/>
          <w:szCs w:val="20"/>
          <w:color w:val="auto"/>
        </w:rPr>
      </w:pPr>
    </w:p>
    <w:p>
      <w:pPr>
        <w:ind w:left="900" w:hanging="437"/>
        <w:spacing w:after="0"/>
        <w:tabs>
          <w:tab w:leader="none" w:pos="900" w:val="left"/>
        </w:tabs>
        <w:numPr>
          <w:ilvl w:val="0"/>
          <w:numId w:val="13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73" w:lineRule="exact"/>
        <w:rPr>
          <w:rFonts w:ascii="MS PGothic" w:cs="MS PGothic" w:eastAsia="MS PGothic" w:hAnsi="MS PGothic"/>
          <w:sz w:val="14"/>
          <w:szCs w:val="14"/>
          <w:color w:val="auto"/>
        </w:rPr>
      </w:pPr>
    </w:p>
    <w:p>
      <w:pPr>
        <w:ind w:left="900" w:hanging="437"/>
        <w:spacing w:after="0"/>
        <w:tabs>
          <w:tab w:leader="none" w:pos="900" w:val="left"/>
        </w:tabs>
        <w:numPr>
          <w:ilvl w:val="0"/>
          <w:numId w:val="13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73" w:lineRule="exact"/>
        <w:rPr>
          <w:sz w:val="20"/>
          <w:szCs w:val="20"/>
          <w:color w:val="auto"/>
        </w:rPr>
      </w:pPr>
    </w:p>
    <w:p>
      <w:pPr>
        <w:ind w:left="900" w:hanging="437"/>
        <w:spacing w:after="0"/>
        <w:tabs>
          <w:tab w:leader="none" w:pos="900" w:val="left"/>
        </w:tabs>
        <w:numPr>
          <w:ilvl w:val="0"/>
          <w:numId w:val="13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73" w:lineRule="exact"/>
        <w:rPr>
          <w:sz w:val="20"/>
          <w:szCs w:val="20"/>
          <w:color w:val="auto"/>
        </w:rPr>
      </w:pPr>
    </w:p>
    <w:p>
      <w:pPr>
        <w:ind w:left="900" w:hanging="437"/>
        <w:spacing w:after="0"/>
        <w:tabs>
          <w:tab w:leader="none" w:pos="900" w:val="left"/>
        </w:tabs>
        <w:numPr>
          <w:ilvl w:val="0"/>
          <w:numId w:val="13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01" w:lineRule="exact"/>
        <w:rPr>
          <w:sz w:val="20"/>
          <w:szCs w:val="20"/>
          <w:color w:val="auto"/>
        </w:rPr>
      </w:pPr>
    </w:p>
    <w:p>
      <w:pPr>
        <w:spacing w:after="0"/>
        <w:tabs>
          <w:tab w:leader="none" w:pos="4220" w:val="left"/>
          <w:tab w:leader="none" w:pos="4620" w:val="left"/>
          <w:tab w:leader="none" w:pos="5180" w:val="left"/>
          <w:tab w:leader="none" w:pos="9700" w:val="left"/>
          <w:tab w:leader="none" w:pos="1122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6th</w:t>
        <w:tab/>
        <w:t>day of</w:t>
        <w:tab/>
        <w:t>September</w:t>
      </w:r>
      <w:r>
        <w:rPr>
          <w:sz w:val="20"/>
          <w:szCs w:val="20"/>
          <w:color w:val="auto"/>
        </w:rPr>
        <w:tab/>
      </w:r>
      <w:r>
        <w:rPr>
          <w:rFonts w:ascii="Times New Roman" w:cs="Times New Roman" w:eastAsia="Times New Roman" w:hAnsi="Times New Roman"/>
          <w:sz w:val="14"/>
          <w:szCs w:val="14"/>
          <w:color w:val="auto"/>
        </w:rPr>
        <w:t>, 2016</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346075</wp:posOffset>
            </wp:positionV>
            <wp:extent cx="7161530" cy="27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18" w:right="319" w:bottom="1440" w:gutter="0" w:footer="0" w:header="0"/>
        </w:sectPr>
      </w:pPr>
    </w:p>
    <w:bookmarkStart w:id="87" w:name="page88"/>
    <w:bookmarkEnd w:id="87"/>
    <w:p>
      <w:pPr>
        <w:ind w:right="60"/>
        <w:spacing w:after="0" w:line="291"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following are amendments to the articles of organization of the surviving entity of the merger of Universal Acquisition Co., a Delaware corporation, with and into EMC Corporation, a Massachusetts corporation:</w:t>
      </w:r>
    </w:p>
    <w:p>
      <w:pPr>
        <w:spacing w:after="0" w:line="122" w:lineRule="exact"/>
        <w:rPr>
          <w:sz w:val="20"/>
          <w:szCs w:val="20"/>
          <w:color w:val="auto"/>
        </w:rPr>
      </w:pPr>
    </w:p>
    <w:p>
      <w:pPr>
        <w:ind w:right="400" w:firstLine="5"/>
        <w:spacing w:after="0" w:line="288" w:lineRule="auto"/>
        <w:tabs>
          <w:tab w:leader="none" w:pos="142"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Sections 1 and 2 of Article II shall be deleted in their entirety, and the following shall be substituted therefor: “The purpose of the corporation is to engage in any lawful business for which a corporation may be organized under Chapter 156D of the General Laws of Massachusetts.”</w:t>
      </w:r>
    </w:p>
    <w:p>
      <w:pPr>
        <w:spacing w:after="0" w:line="124"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III shall be deleted in its entirety, and the following should be substituted therefor:</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total number of shares and par value, if any, of each class of stock that the corporation is authorized to issue:</w:t>
      </w:r>
    </w:p>
    <w:p>
      <w:pPr>
        <w:spacing w:after="0" w:line="174" w:lineRule="exact"/>
        <w:rPr>
          <w:sz w:val="20"/>
          <w:szCs w:val="20"/>
          <w:color w:val="auto"/>
        </w:rPr>
      </w:pPr>
    </w:p>
    <w:tbl>
      <w:tblPr>
        <w:tblLayout w:type="fixed"/>
        <w:tblInd w:w="1150" w:type="dxa"/>
        <w:tblCellMar>
          <w:top w:w="0" w:type="dxa"/>
          <w:left w:w="0" w:type="dxa"/>
          <w:bottom w:w="0" w:type="dxa"/>
          <w:right w:w="0" w:type="dxa"/>
        </w:tblCellMar>
      </w:tblPr>
      <w:tr>
        <w:trPr>
          <w:trHeight w:val="128"/>
        </w:trPr>
        <w:tc>
          <w:tcPr>
            <w:tcW w:w="1120" w:type="dxa"/>
            <w:vAlign w:val="bottom"/>
            <w:tcBorders>
              <w:top w:val="single" w:sz="8" w:color="auto"/>
              <w:left w:val="single" w:sz="8" w:color="auto"/>
              <w:bottom w:val="single" w:sz="8" w:color="auto"/>
            </w:tcBorders>
          </w:tcPr>
          <w:p>
            <w:pPr>
              <w:spacing w:after="0"/>
              <w:rPr>
                <w:sz w:val="11"/>
                <w:szCs w:val="11"/>
                <w:color w:val="auto"/>
              </w:rPr>
            </w:pPr>
          </w:p>
        </w:tc>
        <w:tc>
          <w:tcPr>
            <w:tcW w:w="248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WITHOUT PAR VALUE</w:t>
            </w:r>
          </w:p>
        </w:tc>
        <w:tc>
          <w:tcPr>
            <w:tcW w:w="6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center"/>
              <w:ind w:right="365"/>
              <w:spacing w:after="0"/>
              <w:rPr>
                <w:sz w:val="20"/>
                <w:szCs w:val="20"/>
                <w:color w:val="auto"/>
              </w:rPr>
            </w:pPr>
            <w:r>
              <w:rPr>
                <w:rFonts w:ascii="Times New Roman" w:cs="Times New Roman" w:eastAsia="Times New Roman" w:hAnsi="Times New Roman"/>
                <w:sz w:val="11"/>
                <w:szCs w:val="11"/>
                <w:b w:val="1"/>
                <w:bCs w:val="1"/>
                <w:color w:val="auto"/>
              </w:rPr>
              <w:t>WITH PAR VALUE</w:t>
            </w:r>
          </w:p>
        </w:tc>
        <w:tc>
          <w:tcPr>
            <w:tcW w:w="1800" w:type="dxa"/>
            <w:vAlign w:val="bottom"/>
            <w:tcBorders>
              <w:top w:val="single" w:sz="8" w:color="auto"/>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120" w:type="dxa"/>
            <w:vAlign w:val="bottom"/>
            <w:tcBorders>
              <w:left w:val="single" w:sz="8" w:color="auto"/>
            </w:tcBorders>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TYPE</w:t>
            </w:r>
          </w:p>
        </w:tc>
        <w:tc>
          <w:tcPr>
            <w:tcW w:w="7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jc w:val="center"/>
              <w:ind w:right="6"/>
              <w:spacing w:after="0" w:line="89"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660" w:type="dxa"/>
            <w:vAlign w:val="bottom"/>
          </w:tcPr>
          <w:p>
            <w:pPr>
              <w:spacing w:after="0"/>
              <w:rPr>
                <w:sz w:val="7"/>
                <w:szCs w:val="7"/>
                <w:color w:val="auto"/>
              </w:rPr>
            </w:pPr>
          </w:p>
        </w:tc>
        <w:tc>
          <w:tcPr>
            <w:tcW w:w="1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TYPE</w:t>
            </w:r>
          </w:p>
        </w:tc>
        <w:tc>
          <w:tcPr>
            <w:tcW w:w="400" w:type="dxa"/>
            <w:vAlign w:val="bottom"/>
          </w:tcPr>
          <w:p>
            <w:pPr>
              <w:spacing w:after="0"/>
              <w:rPr>
                <w:sz w:val="7"/>
                <w:szCs w:val="7"/>
                <w:color w:val="auto"/>
              </w:rPr>
            </w:pPr>
          </w:p>
        </w:tc>
        <w:tc>
          <w:tcPr>
            <w:tcW w:w="1420" w:type="dxa"/>
            <w:vAlign w:val="bottom"/>
            <w:tcBorders>
              <w:right w:val="single" w:sz="8" w:color="auto"/>
            </w:tcBorders>
          </w:tcPr>
          <w:p>
            <w:pPr>
              <w:jc w:val="center"/>
              <w:ind w:right="405"/>
              <w:spacing w:after="0" w:line="89"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1800" w:type="dxa"/>
            <w:vAlign w:val="bottom"/>
            <w:tcBorders>
              <w:right w:val="single" w:sz="8" w:color="auto"/>
            </w:tcBorders>
            <w:vMerge w:val="restart"/>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0" w:type="dxa"/>
            <w:vAlign w:val="bottom"/>
          </w:tcPr>
          <w:p>
            <w:pPr>
              <w:spacing w:after="0"/>
              <w:rPr>
                <w:sz w:val="1"/>
                <w:szCs w:val="1"/>
                <w:color w:val="auto"/>
              </w:rPr>
            </w:pPr>
          </w:p>
        </w:tc>
      </w:tr>
      <w:tr>
        <w:trPr>
          <w:trHeight w:val="136"/>
        </w:trPr>
        <w:tc>
          <w:tcPr>
            <w:tcW w:w="1120" w:type="dxa"/>
            <w:vAlign w:val="bottom"/>
            <w:tcBorders>
              <w:left w:val="single" w:sz="8" w:color="auto"/>
              <w:bottom w:val="single" w:sz="8" w:color="auto"/>
            </w:tcBorders>
            <w:vMerge w:val="continue"/>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jc w:val="center"/>
              <w:ind w:right="365"/>
              <w:spacing w:after="0"/>
              <w:rPr>
                <w:sz w:val="20"/>
                <w:szCs w:val="20"/>
                <w:color w:val="auto"/>
              </w:rPr>
            </w:pPr>
            <w:r>
              <w:rPr>
                <w:rFonts w:ascii="Times New Roman" w:cs="Times New Roman" w:eastAsia="Times New Roman" w:hAnsi="Times New Roman"/>
                <w:sz w:val="11"/>
                <w:szCs w:val="11"/>
                <w:b w:val="1"/>
                <w:bCs w:val="1"/>
                <w:color w:val="auto"/>
                <w:w w:val="99"/>
              </w:rPr>
              <w:t>SHARES</w:t>
            </w:r>
          </w:p>
        </w:tc>
        <w:tc>
          <w:tcPr>
            <w:tcW w:w="18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Common</w:t>
            </w:r>
          </w:p>
        </w:tc>
        <w:tc>
          <w:tcPr>
            <w:tcW w:w="11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jc w:val="right"/>
              <w:ind w:right="1376"/>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auto"/>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40" w:hanging="135"/>
        <w:spacing w:after="0"/>
        <w:tabs>
          <w:tab w:leader="none" w:pos="1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IV shall be deleted in its entirety, and the following should be substituted therefor:</w:t>
      </w:r>
    </w:p>
    <w:p>
      <w:pPr>
        <w:spacing w:after="0" w:line="179" w:lineRule="exact"/>
        <w:rPr>
          <w:rFonts w:ascii="Times New Roman" w:cs="Times New Roman" w:eastAsia="Times New Roman" w:hAnsi="Times New Roman"/>
          <w:sz w:val="14"/>
          <w:szCs w:val="14"/>
          <w:color w:val="auto"/>
        </w:rPr>
      </w:pPr>
    </w:p>
    <w:p>
      <w:pPr>
        <w:ind w:left="1020" w:right="580" w:firstLine="721"/>
        <w:spacing w:after="0" w:line="288" w:lineRule="auto"/>
        <w:tabs>
          <w:tab w:leader="none" w:pos="2211" w:val="left"/>
        </w:tabs>
        <w:numPr>
          <w:ilvl w:val="2"/>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Rights</w:t>
      </w:r>
      <w:r>
        <w:rPr>
          <w:rFonts w:ascii="Times New Roman" w:cs="Times New Roman" w:eastAsia="Times New Roman" w:hAnsi="Times New Roman"/>
          <w:sz w:val="14"/>
          <w:szCs w:val="14"/>
          <w:color w:val="auto"/>
        </w:rPr>
        <w:t>. The holders of shares of common stock shall be entitled to one vote for each share so held with respect to all matters to be voted on by shareholders of the corporation.</w:t>
      </w:r>
    </w:p>
    <w:p>
      <w:pPr>
        <w:spacing w:after="0" w:line="124" w:lineRule="exact"/>
        <w:rPr>
          <w:rFonts w:ascii="Times New Roman" w:cs="Times New Roman" w:eastAsia="Times New Roman" w:hAnsi="Times New Roman"/>
          <w:sz w:val="14"/>
          <w:szCs w:val="14"/>
          <w:color w:val="auto"/>
        </w:rPr>
      </w:pPr>
    </w:p>
    <w:p>
      <w:pPr>
        <w:ind w:left="1020" w:right="440" w:firstLine="721"/>
        <w:spacing w:after="0" w:line="288" w:lineRule="auto"/>
        <w:tabs>
          <w:tab w:leader="none" w:pos="2219" w:val="left"/>
        </w:tabs>
        <w:numPr>
          <w:ilvl w:val="2"/>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Upon Dissolution</w:t>
      </w:r>
      <w:r>
        <w:rPr>
          <w:rFonts w:ascii="Times New Roman" w:cs="Times New Roman" w:eastAsia="Times New Roman" w:hAnsi="Times New Roman"/>
          <w:sz w:val="14"/>
          <w:szCs w:val="14"/>
          <w:color w:val="auto"/>
        </w:rPr>
        <w:t>. Upon any voluntary or involuntary liquidation, dissolution or winding up of the affairs of the corporation, the net assets of the corporation shall be distributed pro rata to the holders of the common stock.</w:t>
      </w:r>
    </w:p>
    <w:p>
      <w:pPr>
        <w:spacing w:after="0" w:line="124"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VI shall be deleted in its entirety, and the following should be substituted therefor:</w:t>
      </w:r>
    </w:p>
    <w:p>
      <w:pPr>
        <w:spacing w:after="0" w:line="179" w:lineRule="exact"/>
        <w:rPr>
          <w:rFonts w:ascii="Times New Roman" w:cs="Times New Roman" w:eastAsia="Times New Roman" w:hAnsi="Times New Roman"/>
          <w:sz w:val="14"/>
          <w:szCs w:val="14"/>
          <w:color w:val="auto"/>
        </w:rPr>
      </w:pPr>
    </w:p>
    <w:p>
      <w:pPr>
        <w:ind w:left="1020" w:right="300" w:firstLine="721"/>
        <w:spacing w:after="0" w:line="288" w:lineRule="auto"/>
        <w:tabs>
          <w:tab w:leader="none" w:pos="2209" w:val="left"/>
        </w:tabs>
        <w:numPr>
          <w:ilvl w:val="2"/>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may make, amend or repeal the bylaws in whole or in part, except with respect to any provision thereof which by law or the bylaws requires action by the shareholders.</w:t>
      </w:r>
    </w:p>
    <w:p>
      <w:pPr>
        <w:spacing w:after="0" w:line="124" w:lineRule="exact"/>
        <w:rPr>
          <w:rFonts w:ascii="Times New Roman" w:cs="Times New Roman" w:eastAsia="Times New Roman" w:hAnsi="Times New Roman"/>
          <w:sz w:val="14"/>
          <w:szCs w:val="14"/>
          <w:color w:val="auto"/>
        </w:rPr>
      </w:pPr>
    </w:p>
    <w:p>
      <w:pPr>
        <w:ind w:left="1020" w:firstLine="721"/>
        <w:spacing w:after="0" w:line="259" w:lineRule="auto"/>
        <w:tabs>
          <w:tab w:leader="none" w:pos="2219" w:val="left"/>
        </w:tabs>
        <w:numPr>
          <w:ilvl w:val="2"/>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director of the corporation shall be personally liable to the corporation or its shareholders for monetary damages for breach of fiduciary duty as a director to the extent provided by applicable law notwithstanding any provision of law imposing such liability; provided, however, that to the extent, and only to the extent, required by Chapter 156D of the General Laws of Massachusetts as in effect from time to time, this provision shall not eliminate or limit the liability of a director (i) for any breach of the director’s duty of loyalty to the corporation or its shareholders, (ii) for acts or omissions not in good faith or which involve intentional misconduct or a knowing violation of law,</w:t>
      </w:r>
    </w:p>
    <w:p>
      <w:pPr>
        <w:ind w:left="1280" w:hanging="254"/>
        <w:spacing w:after="0"/>
        <w:tabs>
          <w:tab w:leader="none" w:pos="1280"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61530" cy="27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88" w:name="page89"/>
    <w:bookmarkEnd w:id="88"/>
    <w:p>
      <w:pPr>
        <w:ind w:right="100"/>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improper distributions under Chapter 156D of the General Laws of Massachusetts as in effect from time to time, or (iv) for any transaction from which the director derived an improper personal benefit. This provision shall not be construed in any way so as to impose or create liability. The foregoing provisions of this Article VI(b) shall not eliminate the liability of a director for any act or omission occurring prior to the date on which this Article Vl(b) or any predecessor provision became effective. No amendment to or repeal of this Article VI(b) shall apply to or have any effect on the liability or alleged liability of any director of the corporation for or with respect to any acts or omissions of such director occurring prior to such amendment or repeal.</w:t>
      </w:r>
    </w:p>
    <w:p>
      <w:pPr>
        <w:spacing w:after="0" w:line="143" w:lineRule="exact"/>
        <w:rPr>
          <w:sz w:val="20"/>
          <w:szCs w:val="20"/>
          <w:color w:val="auto"/>
        </w:rPr>
      </w:pPr>
    </w:p>
    <w:p>
      <w:pPr>
        <w:ind w:firstLine="721"/>
        <w:spacing w:after="0" w:line="265" w:lineRule="auto"/>
        <w:tabs>
          <w:tab w:leader="none" w:pos="118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these articles of organization or the corporation’s bylaws to the contrary, (i) shareholders may act without a meeting by unanimous written consent, and (ii) where written consents are solicited by or at the direction of the board of directors, shareholders may act without a meeting if the action is taken by shareholders having not less than the minimum number of votes necessary to take that action at a meeting at which all shareholders entitled to vote on the action are present and voting. Any action by written consent must be a proper subject for shareholder action by written consent.</w:t>
      </w:r>
    </w:p>
    <w:p>
      <w:pPr>
        <w:spacing w:after="0" w:line="140" w:lineRule="exact"/>
        <w:rPr>
          <w:sz w:val="20"/>
          <w:szCs w:val="20"/>
          <w:color w:val="auto"/>
        </w:rPr>
      </w:pPr>
    </w:p>
    <w:p>
      <w:pPr>
        <w:ind w:left="1200" w:hanging="479"/>
        <w:spacing w:after="0"/>
        <w:tabs>
          <w:tab w:leader="none" w:pos="12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may consist of one or more individuals, notwithstanding the number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339725</wp:posOffset>
            </wp:positionV>
            <wp:extent cx="7161530" cy="27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260"/>
          </w:cols>
          <w:pgMar w:left="1320" w:top="327" w:right="31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2933065</wp:posOffset>
            </wp:positionV>
            <wp:extent cx="337820" cy="270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337820" cy="27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Times New Roman" w:cs="Times New Roman" w:eastAsia="Times New Roman" w:hAnsi="Times New Roman"/>
          <w:sz w:val="20"/>
          <w:szCs w:val="20"/>
          <w:b w:val="1"/>
          <w:bCs w:val="1"/>
          <w:color w:val="auto"/>
        </w:rPr>
        <w:t>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-259715</wp:posOffset>
            </wp:positionV>
            <wp:extent cx="7200265" cy="330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162"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160" w:type="dxa"/>
            <w:vAlign w:val="bottom"/>
            <w:gridSpan w:val="2"/>
          </w:tcPr>
          <w:p>
            <w:pPr>
              <w:jc w:val="center"/>
              <w:ind w:right="1769"/>
              <w:spacing w:after="0"/>
              <w:rPr>
                <w:sz w:val="20"/>
                <w:szCs w:val="20"/>
                <w:color w:val="auto"/>
              </w:rPr>
            </w:pPr>
            <w:r>
              <w:rPr>
                <w:rFonts w:ascii="Times New Roman" w:cs="Times New Roman" w:eastAsia="Times New Roman" w:hAnsi="Times New Roman"/>
                <w:sz w:val="14"/>
                <w:szCs w:val="14"/>
                <w:b w:val="1"/>
                <w:bCs w:val="1"/>
                <w:color w:val="auto"/>
              </w:rPr>
              <w:t>Articles of Merger Involving Domestic Corporations,</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160" w:type="dxa"/>
            <w:vAlign w:val="bottom"/>
            <w:gridSpan w:val="2"/>
          </w:tcPr>
          <w:p>
            <w:pPr>
              <w:jc w:val="center"/>
              <w:ind w:right="1789"/>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CK#31430404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gridSpan w:val="3"/>
          </w:tcPr>
          <w:p>
            <w:pPr>
              <w:jc w:val="center"/>
              <w:ind w:right="1269"/>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1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 hereby certify that upon examination of these articles of merger, duly submitted</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1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to me, it appears that the provisions of the General Laws relative thereto have been</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complied with, and I hereby approve said articles; and the filing fee in the amount of</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$250 having been paid, said articles are deemed to have been filed with me this</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line="216" w:lineRule="exact"/>
              <w:rPr>
                <w:sz w:val="20"/>
                <w:szCs w:val="20"/>
                <w:color w:val="auto"/>
              </w:rPr>
            </w:pPr>
            <w:r>
              <w:rPr>
                <w:rFonts w:ascii="Times New Roman" w:cs="Times New Roman" w:eastAsia="Times New Roman" w:hAnsi="Times New Roman"/>
                <w:sz w:val="14"/>
                <w:szCs w:val="14"/>
                <w:color w:val="auto"/>
              </w:rPr>
              <w:t>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of</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September</w:t>
            </w:r>
          </w:p>
        </w:tc>
        <w:tc>
          <w:tcPr>
            <w:tcW w:w="5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2016</w:t>
            </w:r>
          </w:p>
        </w:tc>
        <w:tc>
          <w:tcPr>
            <w:tcW w:w="5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at 9:56 a.m./p.m.</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6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time</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9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Effective date:</w:t>
            </w:r>
          </w:p>
        </w:tc>
        <w:tc>
          <w:tcPr>
            <w:tcW w:w="56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September 2014 @ 8:00 am</w:t>
            </w:r>
          </w:p>
        </w:tc>
        <w:tc>
          <w:tcPr>
            <w:tcW w:w="214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rPr>
              <w:t>1273870</w:t>
            </w:r>
          </w:p>
        </w:tc>
        <w:tc>
          <w:tcPr>
            <w:tcW w:w="0" w:type="dxa"/>
            <w:vAlign w:val="bottom"/>
          </w:tcPr>
          <w:p>
            <w:pPr>
              <w:spacing w:after="0"/>
              <w:rPr>
                <w:sz w:val="1"/>
                <w:szCs w:val="1"/>
                <w:color w:val="auto"/>
              </w:rPr>
            </w:pPr>
          </w:p>
        </w:tc>
      </w:tr>
      <w:tr>
        <w:trPr>
          <w:trHeight w:val="177"/>
        </w:trPr>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9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i w:val="1"/>
                <w:iCs w:val="1"/>
                <w:color w:val="auto"/>
              </w:rPr>
              <w:t>(must be within 90 days of date submitted)</w:t>
            </w: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90805</wp:posOffset>
            </wp:positionV>
            <wp:extent cx="1351280" cy="3175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1351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61"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4"/>
          <w:szCs w:val="14"/>
          <w:color w:val="auto"/>
        </w:rPr>
        <w:t>Filing fee: Minimum $250</w:t>
      </w:r>
    </w:p>
    <w:p>
      <w:pPr>
        <w:spacing w:after="0" w:line="190"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4"/>
          <w:szCs w:val="14"/>
          <w:color w:val="auto"/>
        </w:rPr>
        <w:t>TO BE FILLED IN BY CORPORATION</w:t>
      </w:r>
    </w:p>
    <w:p>
      <w:pPr>
        <w:spacing w:after="0" w:line="23"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4"/>
          <w:szCs w:val="14"/>
          <w:color w:val="auto"/>
        </w:rPr>
        <w:t>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457390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45739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350520</wp:posOffset>
            </wp:positionV>
            <wp:extent cx="407416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407416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236220</wp:posOffset>
            </wp:positionV>
            <wp:extent cx="407416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40741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15240</wp:posOffset>
            </wp:positionV>
            <wp:extent cx="343217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371602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3716020" cy="6985"/>
                    </a:xfrm>
                    <a:prstGeom prst="rect">
                      <a:avLst/>
                    </a:prstGeom>
                    <a:noFill/>
                  </pic:spPr>
                </pic:pic>
              </a:graphicData>
            </a:graphic>
          </wp:anchor>
        </w:drawing>
      </w:r>
    </w:p>
    <w:p>
      <w:pPr>
        <w:spacing w:after="0" w:line="170" w:lineRule="exact"/>
        <w:rPr>
          <w:sz w:val="20"/>
          <w:szCs w:val="20"/>
          <w:color w:val="auto"/>
        </w:rPr>
      </w:pPr>
    </w:p>
    <w:p>
      <w:pPr>
        <w:ind w:right="2620"/>
        <w:spacing w:after="0" w:line="288" w:lineRule="auto"/>
        <w:rPr>
          <w:sz w:val="20"/>
          <w:szCs w:val="20"/>
          <w:color w:val="auto"/>
        </w:rPr>
      </w:pPr>
      <w:r>
        <w:rPr>
          <w:rFonts w:ascii="Times New Roman" w:cs="Times New Roman" w:eastAsia="Times New Roman" w:hAnsi="Times New Roman"/>
          <w:sz w:val="14"/>
          <w:szCs w:val="14"/>
          <w:color w:val="auto"/>
        </w:rPr>
        <w:t>Upon filing, a copy of this filing will be available at www.sec.state.ma.us/cor. If the document is rejected, a copy of the rejection sheet and rejected document will be available in the rejected queue.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520700</wp:posOffset>
            </wp:positionV>
            <wp:extent cx="7161530" cy="27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2">
            <w:col w:w="1180" w:space="720"/>
            <w:col w:w="9380"/>
          </w:cols>
          <w:pgMar w:left="300" w:top="320"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394"/>
        </w:trPr>
        <w:tc>
          <w:tcPr>
            <w:tcW w:w="2840" w:type="dxa"/>
            <w:vAlign w:val="bottom"/>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680" w:type="dxa"/>
            <w:vAlign w:val="bottom"/>
            <w:vMerge w:val="restart"/>
          </w:tcPr>
          <w:p>
            <w:pPr>
              <w:jc w:val="center"/>
              <w:ind w:left="863"/>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84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4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840" w:type="dxa"/>
            <w:vAlign w:val="bottom"/>
            <w:vMerge w:val="continue"/>
          </w:tcPr>
          <w:p>
            <w:pPr>
              <w:spacing w:after="0"/>
              <w:rPr>
                <w:sz w:val="14"/>
                <w:szCs w:val="14"/>
                <w:color w:val="auto"/>
              </w:rPr>
            </w:pPr>
          </w:p>
        </w:tc>
        <w:tc>
          <w:tcPr>
            <w:tcW w:w="4680" w:type="dxa"/>
            <w:vAlign w:val="bottom"/>
          </w:tcPr>
          <w:p>
            <w:pPr>
              <w:jc w:val="center"/>
              <w:ind w:left="863"/>
              <w:spacing w:after="0"/>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40" w:type="dxa"/>
            <w:vAlign w:val="bottom"/>
            <w:vMerge w:val="continue"/>
          </w:tcPr>
          <w:p>
            <w:pPr>
              <w:spacing w:after="0"/>
              <w:rPr>
                <w:sz w:val="14"/>
                <w:szCs w:val="14"/>
                <w:color w:val="auto"/>
              </w:rPr>
            </w:pPr>
          </w:p>
        </w:tc>
        <w:tc>
          <w:tcPr>
            <w:tcW w:w="4680" w:type="dxa"/>
            <w:vAlign w:val="bottom"/>
          </w:tcPr>
          <w:p>
            <w:pPr>
              <w:jc w:val="center"/>
              <w:ind w:left="84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4680" w:type="dxa"/>
            <w:vAlign w:val="bottom"/>
          </w:tcPr>
          <w:p>
            <w:pPr>
              <w:jc w:val="center"/>
              <w:ind w:left="86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w:t>
            </w:r>
          </w:p>
        </w:tc>
        <w:tc>
          <w:tcPr>
            <w:tcW w:w="4680" w:type="dxa"/>
            <w:vAlign w:val="bottom"/>
          </w:tcPr>
          <w:p>
            <w:pPr>
              <w:jc w:val="center"/>
              <w:ind w:left="863"/>
              <w:spacing w:after="0"/>
              <w:rPr>
                <w:sz w:val="20"/>
                <w:szCs w:val="20"/>
                <w:color w:val="auto"/>
              </w:rPr>
            </w:pPr>
            <w:r>
              <w:rPr>
                <w:rFonts w:ascii="Times New Roman" w:cs="Times New Roman" w:eastAsia="Times New Roman" w:hAnsi="Times New Roman"/>
                <w:sz w:val="17"/>
                <w:szCs w:val="17"/>
                <w:b w:val="1"/>
                <w:bCs w:val="1"/>
                <w:color w:val="auto"/>
                <w:w w:val="99"/>
              </w:rPr>
              <w:t>Articles of Merge</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4680" w:type="dxa"/>
            <w:vAlign w:val="bottom"/>
          </w:tcPr>
          <w:p>
            <w:pPr>
              <w:jc w:val="center"/>
              <w:ind w:left="863"/>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4680" w:type="dxa"/>
            <w:vAlign w:val="bottom"/>
          </w:tcPr>
          <w:p>
            <w:pPr>
              <w:jc w:val="center"/>
              <w:ind w:left="843"/>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4680" w:type="dxa"/>
            <w:vAlign w:val="bottom"/>
          </w:tcPr>
          <w:p>
            <w:pPr>
              <w:jc w:val="center"/>
              <w:ind w:left="863"/>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68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Diamond 2 Finance Corporation</w:t>
            </w:r>
          </w:p>
        </w:tc>
        <w:tc>
          <w:tcPr>
            <w:tcW w:w="46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Delaware</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April 27, 2016</w:t>
            </w:r>
          </w:p>
        </w:tc>
        <w:tc>
          <w:tcPr>
            <w:tcW w:w="0" w:type="dxa"/>
            <w:vAlign w:val="bottom"/>
          </w:tcPr>
          <w:p>
            <w:pPr>
              <w:spacing w:after="0"/>
              <w:rPr>
                <w:sz w:val="1"/>
                <w:szCs w:val="1"/>
                <w:color w:val="auto"/>
              </w:rPr>
            </w:pPr>
          </w:p>
        </w:tc>
      </w:tr>
      <w:tr>
        <w:trPr>
          <w:trHeight w:val="331"/>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6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11100" w:type="dxa"/>
            <w:vAlign w:val="bottom"/>
            <w:gridSpan w:val="4"/>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tc>
      </w:tr>
      <w:tr>
        <w:trPr>
          <w:trHeight w:val="319"/>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3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EMC Corporation   042680009</w:t>
            </w:r>
          </w:p>
        </w:tc>
        <w:tc>
          <w:tcPr>
            <w:tcW w:w="530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11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dare not more than 90 days from the date</w:t>
            </w:r>
          </w:p>
        </w:tc>
      </w:tr>
      <w:tr>
        <w:trPr>
          <w:trHeight w:val="185"/>
        </w:trPr>
        <w:tc>
          <w:tcPr>
            <w:tcW w:w="180" w:type="dxa"/>
            <w:vAlign w:val="bottom"/>
          </w:tcPr>
          <w:p>
            <w:pPr>
              <w:spacing w:after="0"/>
              <w:rPr>
                <w:sz w:val="16"/>
                <w:szCs w:val="16"/>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and time of filing is specified:</w:t>
            </w:r>
          </w:p>
        </w:tc>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8:05 a.m. (Eastern time) on September 7, 2016</w:t>
            </w:r>
          </w:p>
        </w:tc>
        <w:tc>
          <w:tcPr>
            <w:tcW w:w="5300" w:type="dxa"/>
            <w:vAlign w:val="bottom"/>
            <w:tcBorders>
              <w:bottom w:val="single" w:sz="8" w:color="auto"/>
            </w:tcBorders>
          </w:tcPr>
          <w:p>
            <w:pPr>
              <w:spacing w:after="0"/>
              <w:rPr>
                <w:sz w:val="16"/>
                <w:szCs w:val="16"/>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700" w:hanging="344"/>
        <w:spacing w:after="0"/>
        <w:tabs>
          <w:tab w:leader="none" w:pos="700" w:val="left"/>
        </w:tabs>
        <w:numPr>
          <w:ilvl w:val="0"/>
          <w:numId w:val="14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200"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79" w:lineRule="exact"/>
        <w:rPr>
          <w:sz w:val="20"/>
          <w:szCs w:val="20"/>
          <w:color w:val="auto"/>
        </w:rPr>
      </w:pPr>
    </w:p>
    <w:p>
      <w:pPr>
        <w:ind w:left="700" w:hanging="344"/>
        <w:spacing w:after="0"/>
        <w:tabs>
          <w:tab w:leader="none" w:pos="700" w:val="left"/>
        </w:tabs>
        <w:numPr>
          <w:ilvl w:val="1"/>
          <w:numId w:val="14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did not require the approval of the shareholders.</w:t>
      </w:r>
    </w:p>
    <w:p>
      <w:pPr>
        <w:spacing w:after="0" w:line="200" w:lineRule="exact"/>
        <w:rPr>
          <w:rFonts w:ascii="MS PGothic" w:cs="MS PGothic" w:eastAsia="MS PGothic" w:hAnsi="MS PGothic"/>
          <w:sz w:val="14"/>
          <w:szCs w:val="14"/>
          <w:color w:val="auto"/>
        </w:rPr>
      </w:pPr>
    </w:p>
    <w:p>
      <w:pPr>
        <w:ind w:left="260" w:right="100" w:hanging="255"/>
        <w:spacing w:after="0" w:line="288" w:lineRule="auto"/>
        <w:tabs>
          <w:tab w:leader="none" w:pos="2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93218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932180" cy="698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P.C.</w:t>
            </w:r>
          </w:p>
        </w:tc>
        <w:tc>
          <w:tcPr>
            <w:tcW w:w="638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w w:val="97"/>
              </w:rPr>
              <w:t>c15801110095011337 0V1105</w:t>
            </w:r>
          </w:p>
        </w:tc>
      </w:tr>
      <w:tr>
        <w:trPr>
          <w:trHeight w:val="364"/>
        </w:trPr>
        <w:tc>
          <w:tcPr>
            <w:tcW w:w="4900" w:type="dxa"/>
            <w:vAlign w:val="bottom"/>
            <w:tcBorders>
              <w:bottom w:val="single" w:sz="8" w:color="808080"/>
            </w:tcBorders>
          </w:tcPr>
          <w:p>
            <w:pPr>
              <w:spacing w:after="0"/>
              <w:rPr>
                <w:sz w:val="24"/>
                <w:szCs w:val="24"/>
                <w:color w:val="auto"/>
              </w:rPr>
            </w:pPr>
          </w:p>
        </w:tc>
        <w:tc>
          <w:tcPr>
            <w:tcW w:w="6380" w:type="dxa"/>
            <w:vAlign w:val="bottom"/>
            <w:tcBorders>
              <w:bottom w:val="single" w:sz="8" w:color="808080"/>
            </w:tcBorders>
          </w:tcPr>
          <w:p>
            <w:pPr>
              <w:spacing w:after="0"/>
              <w:rPr>
                <w:sz w:val="24"/>
                <w:szCs w:val="24"/>
                <w:color w:val="auto"/>
              </w:rPr>
            </w:pPr>
          </w:p>
        </w:tc>
      </w:tr>
    </w:tbl>
    <w:p>
      <w:pPr>
        <w:sectPr>
          <w:pgSz w:w="11900" w:h="16838" w:orient="portrait"/>
          <w:cols w:equalWidth="0" w:num="1">
            <w:col w:w="11280"/>
          </w:cols>
          <w:pgMar w:left="300" w:top="473" w:right="319" w:bottom="1440" w:gutter="0" w:footer="0" w:header="0"/>
        </w:sectPr>
      </w:pPr>
    </w:p>
    <w:bookmarkStart w:id="91" w:name="page92"/>
    <w:bookmarkEnd w:id="91"/>
    <w:p>
      <w:pPr>
        <w:ind w:left="295" w:hanging="295"/>
        <w:spacing w:after="0"/>
        <w:tabs>
          <w:tab w:leader="none" w:pos="29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79" w:lineRule="exact"/>
        <w:rPr>
          <w:rFonts w:ascii="Times New Roman" w:cs="Times New Roman" w:eastAsia="Times New Roman" w:hAnsi="Times New Roman"/>
          <w:sz w:val="14"/>
          <w:szCs w:val="14"/>
          <w:color w:val="auto"/>
        </w:rPr>
      </w:pPr>
    </w:p>
    <w:p>
      <w:pPr>
        <w:ind w:left="295" w:hanging="295"/>
        <w:spacing w:after="0"/>
        <w:tabs>
          <w:tab w:leader="none" w:pos="29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295" w:right="2760" w:hanging="295"/>
        <w:spacing w:after="0" w:line="264" w:lineRule="auto"/>
        <w:tabs>
          <w:tab w:leader="none" w:pos="29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 N/A</w:t>
      </w:r>
    </w:p>
    <w:p>
      <w:pPr>
        <w:jc w:val="center"/>
        <w:ind w:right="-74"/>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-100965</wp:posOffset>
            </wp:positionV>
            <wp:extent cx="697230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69723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7161530" cy="27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15"/>
          </w:cols>
          <w:pgMar w:left="305" w:top="327" w:right="37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 Janet B. Wright</w:t>
            </w:r>
          </w:p>
        </w:tc>
        <w:tc>
          <w:tcPr>
            <w:tcW w:w="788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Janet B. Wright, Vice President and Assistant Secretary</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Borders>
              <w:top w:val="single" w:sz="8" w:color="auto"/>
            </w:tcBorders>
          </w:tcPr>
          <w:p>
            <w:pPr>
              <w:spacing w:after="0"/>
              <w:rPr>
                <w:sz w:val="15"/>
                <w:szCs w:val="15"/>
                <w:color w:val="auto"/>
              </w:rPr>
            </w:pPr>
          </w:p>
        </w:tc>
        <w:tc>
          <w:tcPr>
            <w:tcW w:w="788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5"/>
                <w:szCs w:val="15"/>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900" w:hanging="437"/>
        <w:spacing w:after="0"/>
        <w:tabs>
          <w:tab w:leader="none" w:pos="900" w:val="left"/>
        </w:tabs>
        <w:numPr>
          <w:ilvl w:val="0"/>
          <w:numId w:val="14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direccors,</w:t>
      </w:r>
    </w:p>
    <w:p>
      <w:pPr>
        <w:spacing w:after="0" w:line="73" w:lineRule="exact"/>
        <w:rPr>
          <w:rFonts w:ascii="MS PGothic" w:cs="MS PGothic" w:eastAsia="MS PGothic" w:hAnsi="MS PGothic"/>
          <w:sz w:val="14"/>
          <w:szCs w:val="14"/>
          <w:color w:val="auto"/>
        </w:rPr>
      </w:pPr>
    </w:p>
    <w:p>
      <w:pPr>
        <w:ind w:left="900" w:hanging="437"/>
        <w:spacing w:after="0"/>
        <w:tabs>
          <w:tab w:leader="none" w:pos="900" w:val="left"/>
        </w:tabs>
        <w:numPr>
          <w:ilvl w:val="0"/>
          <w:numId w:val="14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73" w:lineRule="exact"/>
        <w:rPr>
          <w:sz w:val="20"/>
          <w:szCs w:val="20"/>
          <w:color w:val="auto"/>
        </w:rPr>
      </w:pPr>
    </w:p>
    <w:p>
      <w:pPr>
        <w:ind w:left="900" w:hanging="437"/>
        <w:spacing w:after="0"/>
        <w:tabs>
          <w:tab w:leader="none" w:pos="900" w:val="left"/>
        </w:tabs>
        <w:numPr>
          <w:ilvl w:val="0"/>
          <w:numId w:val="14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73" w:lineRule="exact"/>
        <w:rPr>
          <w:sz w:val="20"/>
          <w:szCs w:val="20"/>
          <w:color w:val="auto"/>
        </w:rPr>
      </w:pPr>
    </w:p>
    <w:p>
      <w:pPr>
        <w:ind w:left="900" w:hanging="437"/>
        <w:spacing w:after="0"/>
        <w:tabs>
          <w:tab w:leader="none" w:pos="900" w:val="left"/>
        </w:tabs>
        <w:numPr>
          <w:ilvl w:val="0"/>
          <w:numId w:val="14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2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6th</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day of</w:t>
            </w: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September</w:t>
            </w:r>
          </w:p>
        </w:tc>
        <w:tc>
          <w:tcPr>
            <w:tcW w:w="166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color w:val="auto"/>
              </w:rPr>
              <w:t>, 2016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 Janet B. Wright</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Janet B. Wright, Vice President and Assistant Secretary</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39" w:lineRule="exact"/>
        <w:rPr>
          <w:sz w:val="20"/>
          <w:szCs w:val="20"/>
          <w:color w:val="auto"/>
        </w:rPr>
      </w:pPr>
    </w:p>
    <w:p>
      <w:pPr>
        <w:ind w:left="900" w:hanging="437"/>
        <w:spacing w:after="0"/>
        <w:tabs>
          <w:tab w:leader="none" w:pos="900" w:val="left"/>
        </w:tabs>
        <w:numPr>
          <w:ilvl w:val="0"/>
          <w:numId w:val="14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73" w:lineRule="exact"/>
        <w:rPr>
          <w:rFonts w:ascii="MS PGothic" w:cs="MS PGothic" w:eastAsia="MS PGothic" w:hAnsi="MS PGothic"/>
          <w:sz w:val="14"/>
          <w:szCs w:val="14"/>
          <w:color w:val="auto"/>
        </w:rPr>
      </w:pPr>
    </w:p>
    <w:p>
      <w:pPr>
        <w:ind w:left="900" w:hanging="437"/>
        <w:spacing w:after="0"/>
        <w:tabs>
          <w:tab w:leader="none" w:pos="900" w:val="left"/>
        </w:tabs>
        <w:numPr>
          <w:ilvl w:val="0"/>
          <w:numId w:val="14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73" w:lineRule="exact"/>
        <w:rPr>
          <w:sz w:val="20"/>
          <w:szCs w:val="20"/>
          <w:color w:val="auto"/>
        </w:rPr>
      </w:pPr>
    </w:p>
    <w:p>
      <w:pPr>
        <w:ind w:left="900" w:hanging="437"/>
        <w:spacing w:after="0"/>
        <w:tabs>
          <w:tab w:leader="none" w:pos="900" w:val="left"/>
        </w:tabs>
        <w:numPr>
          <w:ilvl w:val="0"/>
          <w:numId w:val="14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73" w:lineRule="exact"/>
        <w:rPr>
          <w:sz w:val="20"/>
          <w:szCs w:val="20"/>
          <w:color w:val="auto"/>
        </w:rPr>
      </w:pPr>
    </w:p>
    <w:p>
      <w:pPr>
        <w:ind w:left="900" w:hanging="437"/>
        <w:spacing w:after="0"/>
        <w:tabs>
          <w:tab w:leader="none" w:pos="900" w:val="left"/>
        </w:tabs>
        <w:numPr>
          <w:ilvl w:val="0"/>
          <w:numId w:val="14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Courc-appointed fiduciary,</w:t>
      </w:r>
    </w:p>
    <w:p>
      <w:pPr>
        <w:spacing w:after="0" w:line="201" w:lineRule="exact"/>
        <w:rPr>
          <w:sz w:val="20"/>
          <w:szCs w:val="20"/>
          <w:color w:val="auto"/>
        </w:rPr>
      </w:pPr>
    </w:p>
    <w:p>
      <w:pPr>
        <w:spacing w:after="0"/>
        <w:tabs>
          <w:tab w:leader="none" w:pos="4220" w:val="left"/>
          <w:tab w:leader="none" w:pos="4620" w:val="left"/>
          <w:tab w:leader="none" w:pos="5180" w:val="left"/>
          <w:tab w:leader="none" w:pos="9700" w:val="left"/>
          <w:tab w:leader="none" w:pos="1122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6th</w:t>
        <w:tab/>
        <w:t>day of</w:t>
        <w:tab/>
        <w:t>September</w:t>
      </w:r>
      <w:r>
        <w:rPr>
          <w:sz w:val="20"/>
          <w:szCs w:val="20"/>
          <w:color w:val="auto"/>
        </w:rPr>
        <w:tab/>
      </w:r>
      <w:r>
        <w:rPr>
          <w:rFonts w:ascii="Times New Roman" w:cs="Times New Roman" w:eastAsia="Times New Roman" w:hAnsi="Times New Roman"/>
          <w:sz w:val="14"/>
          <w:szCs w:val="14"/>
          <w:color w:val="auto"/>
        </w:rPr>
        <w:t>, 2016</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346075</wp:posOffset>
            </wp:positionV>
            <wp:extent cx="7161530" cy="27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18" w:right="31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2851785</wp:posOffset>
            </wp:positionV>
            <wp:extent cx="918845" cy="2768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918845" cy="27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91884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Times New Roman" w:cs="Times New Roman" w:eastAsia="Times New Roman" w:hAnsi="Times New Roman"/>
          <w:sz w:val="20"/>
          <w:szCs w:val="20"/>
          <w:b w:val="1"/>
          <w:bCs w:val="1"/>
          <w:color w:val="auto"/>
        </w:rPr>
        <w:t>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-259715</wp:posOffset>
            </wp:positionV>
            <wp:extent cx="7200265" cy="330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160"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25"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5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b w:val="1"/>
          <w:bCs w:val="1"/>
          <w:color w:val="auto"/>
        </w:rPr>
        <w:t>Articles of Merger Involving Domestic Corporations,</w:t>
      </w:r>
    </w:p>
    <w:p>
      <w:pPr>
        <w:spacing w:after="0" w:line="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p>
      <w:pPr>
        <w:spacing w:after="0" w:line="185"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71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 hereby certify that upon examination of these articles of merger, duly submitted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CK#31430403</w:t>
            </w:r>
          </w:p>
        </w:tc>
      </w:tr>
      <w:tr>
        <w:trPr>
          <w:trHeight w:val="170"/>
        </w:trPr>
        <w:tc>
          <w:tcPr>
            <w:tcW w:w="71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 me, it appears that the provisions of the General Laws relative thereto have been</w:t>
            </w:r>
          </w:p>
        </w:tc>
        <w:tc>
          <w:tcPr>
            <w:tcW w:w="1540" w:type="dxa"/>
            <w:vAlign w:val="bottom"/>
          </w:tcPr>
          <w:p>
            <w:pPr>
              <w:spacing w:after="0"/>
              <w:rPr>
                <w:sz w:val="14"/>
                <w:szCs w:val="14"/>
                <w:color w:val="auto"/>
              </w:rPr>
            </w:pPr>
          </w:p>
        </w:tc>
      </w:tr>
      <w:tr>
        <w:trPr>
          <w:trHeight w:val="170"/>
        </w:trPr>
        <w:tc>
          <w:tcPr>
            <w:tcW w:w="71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complied with, and I hereby approve said articles; and the filing fee in the amount of</w:t>
            </w:r>
          </w:p>
        </w:tc>
        <w:tc>
          <w:tcPr>
            <w:tcW w:w="1540" w:type="dxa"/>
            <w:vAlign w:val="bottom"/>
          </w:tcPr>
          <w:p>
            <w:pPr>
              <w:spacing w:after="0"/>
              <w:rPr>
                <w:sz w:val="14"/>
                <w:szCs w:val="14"/>
                <w:color w:val="auto"/>
              </w:rPr>
            </w:pPr>
          </w:p>
        </w:tc>
      </w:tr>
      <w:tr>
        <w:trPr>
          <w:trHeight w:val="170"/>
        </w:trPr>
        <w:tc>
          <w:tcPr>
            <w:tcW w:w="71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$250 having been paid, said articles are deemed to have been filed with me this</w:t>
            </w:r>
          </w:p>
        </w:tc>
        <w:tc>
          <w:tcPr>
            <w:tcW w:w="1540" w:type="dxa"/>
            <w:vAlign w:val="bottom"/>
          </w:tcPr>
          <w:p>
            <w:pPr>
              <w:spacing w:after="0"/>
              <w:rPr>
                <w:sz w:val="14"/>
                <w:szCs w:val="14"/>
                <w:color w:val="auto"/>
              </w:rPr>
            </w:pPr>
          </w:p>
        </w:tc>
      </w:tr>
      <w:tr>
        <w:trPr>
          <w:trHeight w:val="217"/>
        </w:trPr>
        <w:tc>
          <w:tcPr>
            <w:tcW w:w="800" w:type="dxa"/>
            <w:vAlign w:val="bottom"/>
          </w:tcPr>
          <w:p>
            <w:pPr>
              <w:spacing w:after="0" w:line="216" w:lineRule="exact"/>
              <w:rPr>
                <w:sz w:val="20"/>
                <w:szCs w:val="20"/>
                <w:color w:val="auto"/>
              </w:rPr>
            </w:pPr>
            <w:r>
              <w:rPr>
                <w:rFonts w:ascii="Times New Roman" w:cs="Times New Roman" w:eastAsia="Times New Roman" w:hAnsi="Times New Roman"/>
                <w:sz w:val="14"/>
                <w:szCs w:val="14"/>
                <w:color w:val="auto"/>
              </w:rPr>
              <w:t>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of</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September</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20 16</w:t>
            </w:r>
          </w:p>
        </w:tc>
        <w:tc>
          <w:tcPr>
            <w:tcW w:w="900" w:type="dxa"/>
            <w:vAlign w:val="bottom"/>
          </w:tcPr>
          <w:p>
            <w:pPr>
              <w:spacing w:after="0"/>
              <w:rPr>
                <w:sz w:val="18"/>
                <w:szCs w:val="18"/>
                <w:color w:val="auto"/>
              </w:rPr>
            </w:pPr>
          </w:p>
        </w:tc>
        <w:tc>
          <w:tcPr>
            <w:tcW w:w="4040" w:type="dxa"/>
            <w:vAlign w:val="bottom"/>
          </w:tcPr>
          <w:p>
            <w:pPr>
              <w:jc w:val="center"/>
              <w:ind w:right="3009"/>
              <w:spacing w:after="0"/>
              <w:rPr>
                <w:sz w:val="20"/>
                <w:szCs w:val="20"/>
                <w:color w:val="auto"/>
              </w:rPr>
            </w:pPr>
            <w:r>
              <w:rPr>
                <w:rFonts w:ascii="Times New Roman" w:cs="Times New Roman" w:eastAsia="Times New Roman" w:hAnsi="Times New Roman"/>
                <w:sz w:val="14"/>
                <w:szCs w:val="14"/>
                <w:color w:val="auto"/>
              </w:rPr>
              <w:t>at 9:50 a.m./p.m.</w:t>
            </w:r>
          </w:p>
        </w:tc>
        <w:tc>
          <w:tcPr>
            <w:tcW w:w="1540" w:type="dxa"/>
            <w:vAlign w:val="bottom"/>
          </w:tcPr>
          <w:p>
            <w:pPr>
              <w:spacing w:after="0"/>
              <w:rPr>
                <w:sz w:val="18"/>
                <w:szCs w:val="18"/>
                <w:color w:val="auto"/>
              </w:rPr>
            </w:pPr>
          </w:p>
        </w:tc>
      </w:tr>
      <w:tr>
        <w:trPr>
          <w:trHeight w:val="175"/>
        </w:trPr>
        <w:tc>
          <w:tcPr>
            <w:tcW w:w="800" w:type="dxa"/>
            <w:vAlign w:val="bottom"/>
          </w:tcPr>
          <w:p>
            <w:pPr>
              <w:spacing w:after="0"/>
              <w:rPr>
                <w:sz w:val="15"/>
                <w:szCs w:val="15"/>
                <w:color w:val="auto"/>
              </w:rPr>
            </w:pPr>
          </w:p>
        </w:tc>
        <w:tc>
          <w:tcPr>
            <w:tcW w:w="6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time</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80"/>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Effective date:</w:t>
            </w:r>
          </w:p>
        </w:tc>
        <w:tc>
          <w:tcPr>
            <w:tcW w:w="566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September 2014 @ 8:05 am</w:t>
            </w:r>
          </w:p>
        </w:tc>
        <w:tc>
          <w:tcPr>
            <w:tcW w:w="1540" w:type="dxa"/>
            <w:vAlign w:val="bottom"/>
          </w:tcPr>
          <w:p>
            <w:pPr>
              <w:jc w:val="right"/>
              <w:ind w:right="82"/>
              <w:spacing w:after="0"/>
              <w:rPr>
                <w:sz w:val="20"/>
                <w:szCs w:val="20"/>
                <w:color w:val="auto"/>
              </w:rPr>
            </w:pPr>
            <w:r>
              <w:rPr>
                <w:rFonts w:ascii="Times New Roman" w:cs="Times New Roman" w:eastAsia="Times New Roman" w:hAnsi="Times New Roman"/>
                <w:sz w:val="17"/>
                <w:szCs w:val="17"/>
                <w:color w:val="auto"/>
              </w:rPr>
              <w:t>1273871</w:t>
            </w:r>
          </w:p>
        </w:tc>
      </w:tr>
      <w:tr>
        <w:trPr>
          <w:trHeight w:val="177"/>
        </w:trPr>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940" w:type="dxa"/>
            <w:vAlign w:val="bottom"/>
            <w:tcBorders>
              <w:top w:val="single" w:sz="8" w:color="auto"/>
            </w:tcBorders>
            <w:gridSpan w:val="2"/>
          </w:tcPr>
          <w:p>
            <w:pPr>
              <w:jc w:val="center"/>
              <w:ind w:right="2089"/>
              <w:spacing w:after="0"/>
              <w:rPr>
                <w:sz w:val="20"/>
                <w:szCs w:val="20"/>
                <w:color w:val="auto"/>
              </w:rPr>
            </w:pPr>
            <w:r>
              <w:rPr>
                <w:rFonts w:ascii="Times New Roman" w:cs="Times New Roman" w:eastAsia="Times New Roman" w:hAnsi="Times New Roman"/>
                <w:sz w:val="14"/>
                <w:szCs w:val="14"/>
                <w:i w:val="1"/>
                <w:iCs w:val="1"/>
                <w:color w:val="auto"/>
              </w:rPr>
              <w:t>(must be within 90 days of date submitted)</w:t>
            </w:r>
          </w:p>
        </w:tc>
        <w:tc>
          <w:tcPr>
            <w:tcW w:w="15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-16510</wp:posOffset>
            </wp:positionV>
            <wp:extent cx="1351280" cy="3175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1351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2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176"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color w:val="auto"/>
        </w:rPr>
        <w:t>Filing fee: Minimum $250</w:t>
      </w:r>
    </w:p>
    <w:p>
      <w:pPr>
        <w:spacing w:after="0" w:line="190"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color w:val="auto"/>
        </w:rPr>
        <w:t>TO BE FILLED IN BY CORPORATION</w:t>
      </w:r>
    </w:p>
    <w:p>
      <w:pPr>
        <w:spacing w:after="0" w:line="23"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color w:val="auto"/>
        </w:rPr>
        <w:t>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479425</wp:posOffset>
            </wp:positionV>
            <wp:extent cx="457390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45739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357505</wp:posOffset>
            </wp:positionV>
            <wp:extent cx="407416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407416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236220</wp:posOffset>
            </wp:positionV>
            <wp:extent cx="407416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40741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15240</wp:posOffset>
            </wp:positionV>
            <wp:extent cx="343217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371602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3716020" cy="6985"/>
                    </a:xfrm>
                    <a:prstGeom prst="rect">
                      <a:avLst/>
                    </a:prstGeom>
                    <a:noFill/>
                  </pic:spPr>
                </pic:pic>
              </a:graphicData>
            </a:graphic>
          </wp:anchor>
        </w:drawing>
      </w:r>
    </w:p>
    <w:p>
      <w:pPr>
        <w:spacing w:after="0" w:line="170" w:lineRule="exact"/>
        <w:rPr>
          <w:sz w:val="20"/>
          <w:szCs w:val="20"/>
          <w:color w:val="auto"/>
        </w:rPr>
      </w:pPr>
    </w:p>
    <w:p>
      <w:pPr>
        <w:ind w:right="2020"/>
        <w:spacing w:after="0" w:line="288" w:lineRule="auto"/>
        <w:rPr>
          <w:sz w:val="20"/>
          <w:szCs w:val="20"/>
          <w:color w:val="auto"/>
        </w:rPr>
      </w:pPr>
      <w:r>
        <w:rPr>
          <w:rFonts w:ascii="Times New Roman" w:cs="Times New Roman" w:eastAsia="Times New Roman" w:hAnsi="Times New Roman"/>
          <w:sz w:val="14"/>
          <w:szCs w:val="14"/>
          <w:color w:val="auto"/>
        </w:rPr>
        <w:t>Upon filing, a copy of this filing will be available at www.sec.state.ma.us/cor. If the document is rejected, a copy of the rejection sheet and rejected document will be available in the rejected queue.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520700</wp:posOffset>
            </wp:positionV>
            <wp:extent cx="7161530" cy="27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2">
            <w:col w:w="1180" w:space="720"/>
            <w:col w:w="8780"/>
          </w:cols>
          <w:pgMar w:left="300" w:top="320" w:right="919" w:bottom="1440"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325120</wp:posOffset>
            </wp:positionV>
            <wp:extent cx="7161530" cy="27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394"/>
        </w:trPr>
        <w:tc>
          <w:tcPr>
            <w:tcW w:w="2600" w:type="dxa"/>
            <w:vAlign w:val="bottom"/>
            <w:gridSpan w:val="2"/>
          </w:tcPr>
          <w:p>
            <w:pPr>
              <w:spacing w:after="0"/>
              <w:rPr>
                <w:sz w:val="20"/>
                <w:szCs w:val="20"/>
                <w:color w:val="auto"/>
              </w:rPr>
            </w:pPr>
            <w:r>
              <w:rPr>
                <w:rFonts w:ascii="Times New Roman" w:cs="Times New Roman" w:eastAsia="Times New Roman" w:hAnsi="Times New Roman"/>
                <w:sz w:val="34"/>
                <w:szCs w:val="34"/>
                <w:color w:val="auto"/>
              </w:rPr>
              <w:t>DF</w:t>
            </w:r>
          </w:p>
        </w:tc>
        <w:tc>
          <w:tcPr>
            <w:tcW w:w="460" w:type="dxa"/>
            <w:vAlign w:val="bottom"/>
          </w:tcPr>
          <w:p>
            <w:pPr>
              <w:spacing w:after="0"/>
              <w:rPr>
                <w:sz w:val="24"/>
                <w:szCs w:val="24"/>
                <w:color w:val="auto"/>
              </w:rPr>
            </w:pPr>
          </w:p>
        </w:tc>
        <w:tc>
          <w:tcPr>
            <w:tcW w:w="4460" w:type="dxa"/>
            <w:vAlign w:val="bottom"/>
            <w:gridSpan w:val="3"/>
            <w:vMerge w:val="restart"/>
          </w:tcPr>
          <w:p>
            <w:pPr>
              <w:jc w:val="center"/>
              <w:ind w:left="642"/>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34"/>
                <w:szCs w:val="34"/>
                <w:color w:val="auto"/>
              </w:rPr>
              <w:t>PC</w:t>
            </w:r>
          </w:p>
        </w:tc>
        <w:tc>
          <w:tcPr>
            <w:tcW w:w="460" w:type="dxa"/>
            <w:vAlign w:val="bottom"/>
          </w:tcPr>
          <w:p>
            <w:pPr>
              <w:spacing w:after="0"/>
              <w:rPr>
                <w:sz w:val="9"/>
                <w:szCs w:val="9"/>
                <w:color w:val="auto"/>
              </w:rPr>
            </w:pPr>
          </w:p>
        </w:tc>
        <w:tc>
          <w:tcPr>
            <w:tcW w:w="4460" w:type="dxa"/>
            <w:vAlign w:val="bottom"/>
            <w:gridSpan w:val="3"/>
            <w:vMerge w:val="continue"/>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6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20" w:type="dxa"/>
            <w:vAlign w:val="bottom"/>
            <w:gridSpan w:val="2"/>
          </w:tcPr>
          <w:p>
            <w:pPr>
              <w:jc w:val="center"/>
              <w:ind w:right="849"/>
              <w:spacing w:after="0"/>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20" w:type="dxa"/>
            <w:vAlign w:val="bottom"/>
            <w:gridSpan w:val="2"/>
          </w:tcPr>
          <w:p>
            <w:pPr>
              <w:jc w:val="center"/>
              <w:ind w:right="869"/>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MUST BE TYPE</w:t>
            </w: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20" w:type="dxa"/>
            <w:vAlign w:val="bottom"/>
            <w:gridSpan w:val="2"/>
          </w:tcPr>
          <w:p>
            <w:pPr>
              <w:jc w:val="center"/>
              <w:ind w:right="849"/>
              <w:spacing w:after="0"/>
              <w:rPr>
                <w:sz w:val="20"/>
                <w:szCs w:val="20"/>
                <w:color w:val="auto"/>
              </w:rPr>
            </w:pPr>
            <w:r>
              <w:rPr>
                <w:rFonts w:ascii="Times New Roman" w:cs="Times New Roman" w:eastAsia="Times New Roman" w:hAnsi="Times New Roman"/>
                <w:sz w:val="17"/>
                <w:szCs w:val="17"/>
                <w:b w:val="1"/>
                <w:bCs w:val="1"/>
                <w:color w:val="auto"/>
                <w:w w:val="99"/>
              </w:rPr>
              <w:t>Articles of Merge</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FORM MUST BE TYPED</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60" w:type="dxa"/>
            <w:vAlign w:val="bottom"/>
            <w:gridSpan w:val="3"/>
          </w:tcPr>
          <w:p>
            <w:pPr>
              <w:jc w:val="center"/>
              <w:ind w:left="642"/>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60" w:type="dxa"/>
            <w:vAlign w:val="bottom"/>
            <w:gridSpan w:val="3"/>
          </w:tcPr>
          <w:p>
            <w:pPr>
              <w:jc w:val="center"/>
              <w:ind w:left="622"/>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4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60" w:type="dxa"/>
            <w:vAlign w:val="bottom"/>
          </w:tcPr>
          <w:p>
            <w:pPr>
              <w:spacing w:after="0"/>
              <w:rPr>
                <w:sz w:val="24"/>
                <w:szCs w:val="24"/>
                <w:color w:val="auto"/>
              </w:rPr>
            </w:pPr>
          </w:p>
        </w:tc>
        <w:tc>
          <w:tcPr>
            <w:tcW w:w="44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2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EMC Group 1 Limited</w:t>
            </w:r>
          </w:p>
        </w:tc>
        <w:tc>
          <w:tcPr>
            <w:tcW w:w="4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Bermuda</w:t>
            </w:r>
          </w:p>
        </w:tc>
        <w:tc>
          <w:tcPr>
            <w:tcW w:w="1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November 3, 2008</w:t>
            </w:r>
          </w:p>
        </w:tc>
        <w:tc>
          <w:tcPr>
            <w:tcW w:w="0" w:type="dxa"/>
            <w:vAlign w:val="bottom"/>
          </w:tcPr>
          <w:p>
            <w:pPr>
              <w:spacing w:after="0"/>
              <w:rPr>
                <w:sz w:val="1"/>
                <w:szCs w:val="1"/>
                <w:color w:val="auto"/>
              </w:rPr>
            </w:pPr>
          </w:p>
        </w:tc>
      </w:tr>
      <w:tr>
        <w:trPr>
          <w:trHeight w:val="331"/>
        </w:trPr>
        <w:tc>
          <w:tcPr>
            <w:tcW w:w="2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Massachusetts</w:t>
            </w:r>
          </w:p>
        </w:tc>
        <w:tc>
          <w:tcPr>
            <w:tcW w:w="1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331"/>
        </w:trPr>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(3)</w:t>
            </w:r>
          </w:p>
        </w:tc>
        <w:tc>
          <w:tcPr>
            <w:tcW w:w="7340" w:type="dxa"/>
            <w:vAlign w:val="bottom"/>
            <w:gridSpan w:val="5"/>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(4)</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21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EMC Corporation</w:t>
            </w: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(Massachusetts ID No 042680009)</w:t>
            </w:r>
          </w:p>
        </w:tc>
        <w:tc>
          <w:tcPr>
            <w:tcW w:w="16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(5)</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150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(6)</w:t>
            </w:r>
          </w:p>
        </w:tc>
        <w:tc>
          <w:tcPr>
            <w:tcW w:w="111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 time of filing is specified:</w:t>
            </w:r>
          </w:p>
        </w:tc>
        <w:tc>
          <w:tcPr>
            <w:tcW w:w="4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March 31, 2018 at 8:00 a.m. Eastern Daylight time</w:t>
            </w:r>
          </w:p>
        </w:tc>
        <w:tc>
          <w:tcPr>
            <w:tcW w:w="3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700" w:hanging="344"/>
        <w:spacing w:after="0"/>
        <w:tabs>
          <w:tab w:leader="none" w:pos="700" w:val="left"/>
        </w:tabs>
        <w:numPr>
          <w:ilvl w:val="0"/>
          <w:numId w:val="15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200"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79" w:lineRule="exact"/>
        <w:rPr>
          <w:sz w:val="20"/>
          <w:szCs w:val="20"/>
          <w:color w:val="auto"/>
        </w:rPr>
      </w:pPr>
    </w:p>
    <w:p>
      <w:pPr>
        <w:ind w:left="700" w:hanging="344"/>
        <w:spacing w:after="0"/>
        <w:tabs>
          <w:tab w:leader="none" w:pos="700" w:val="left"/>
        </w:tabs>
        <w:numPr>
          <w:ilvl w:val="1"/>
          <w:numId w:val="15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did not require the approval of the shareholders.</w:t>
      </w:r>
    </w:p>
    <w:p>
      <w:pPr>
        <w:spacing w:after="0" w:line="200" w:lineRule="exact"/>
        <w:rPr>
          <w:rFonts w:ascii="MS PGothic" w:cs="MS PGothic" w:eastAsia="MS PGothic" w:hAnsi="MS PGothic"/>
          <w:sz w:val="14"/>
          <w:szCs w:val="14"/>
          <w:color w:val="auto"/>
        </w:rPr>
      </w:pPr>
    </w:p>
    <w:p>
      <w:pPr>
        <w:ind w:left="260" w:right="100" w:hanging="255"/>
        <w:spacing w:after="0" w:line="288" w:lineRule="auto"/>
        <w:tabs>
          <w:tab w:leader="none" w:pos="26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143256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1432560" cy="698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96" w:name="page97"/>
    <w:bookmarkEnd w:id="96"/>
    <w:p>
      <w:pPr>
        <w:ind w:left="295" w:hanging="295"/>
        <w:spacing w:after="0"/>
        <w:tabs>
          <w:tab w:leader="none" w:pos="295"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79" w:lineRule="exact"/>
        <w:rPr>
          <w:rFonts w:ascii="Times New Roman" w:cs="Times New Roman" w:eastAsia="Times New Roman" w:hAnsi="Times New Roman"/>
          <w:sz w:val="14"/>
          <w:szCs w:val="14"/>
          <w:color w:val="auto"/>
        </w:rPr>
      </w:pPr>
    </w:p>
    <w:p>
      <w:pPr>
        <w:ind w:left="295" w:hanging="295"/>
        <w:spacing w:after="0"/>
        <w:tabs>
          <w:tab w:leader="none" w:pos="295"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295" w:right="2760" w:hanging="295"/>
        <w:spacing w:after="0" w:line="264" w:lineRule="auto"/>
        <w:tabs>
          <w:tab w:leader="none" w:pos="295"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 N/A</w:t>
      </w:r>
    </w:p>
    <w:p>
      <w:pPr>
        <w:jc w:val="center"/>
        <w:ind w:right="-74"/>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-100965</wp:posOffset>
            </wp:positionV>
            <wp:extent cx="697230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69723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7161530" cy="27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15"/>
          </w:cols>
          <w:pgMar w:left="305" w:top="327" w:right="3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1028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4"/>
                <w:szCs w:val="14"/>
                <w:color w:val="auto"/>
              </w:rPr>
              <w:t>/s/ Janet M. Bawcom</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900" w:type="dxa"/>
            <w:vAlign w:val="bottom"/>
          </w:tcPr>
          <w:p>
            <w:pPr>
              <w:spacing w:after="0"/>
              <w:rPr>
                <w:sz w:val="15"/>
                <w:szCs w:val="15"/>
                <w:color w:val="auto"/>
              </w:rPr>
            </w:pPr>
          </w:p>
        </w:tc>
        <w:tc>
          <w:tcPr>
            <w:tcW w:w="10280" w:type="dxa"/>
            <w:vAlign w:val="bottom"/>
          </w:tcPr>
          <w:p>
            <w:pPr>
              <w:jc w:val="center"/>
              <w:ind w:right="709"/>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5"/>
                <w:szCs w:val="15"/>
                <w:color w:val="auto"/>
              </w:rPr>
            </w:pPr>
          </w:p>
        </w:tc>
      </w:tr>
      <w:tr>
        <w:trPr>
          <w:trHeight w:val="324"/>
        </w:trPr>
        <w:tc>
          <w:tcPr>
            <w:tcW w:w="900" w:type="dxa"/>
            <w:vAlign w:val="bottom"/>
          </w:tcPr>
          <w:p>
            <w:pPr>
              <w:spacing w:after="0"/>
              <w:rPr>
                <w:sz w:val="24"/>
                <w:szCs w:val="24"/>
                <w:color w:val="auto"/>
              </w:rPr>
            </w:pPr>
          </w:p>
        </w:tc>
        <w:tc>
          <w:tcPr>
            <w:tcW w:w="10280" w:type="dxa"/>
            <w:vAlign w:val="bottom"/>
          </w:tcPr>
          <w:p>
            <w:pPr>
              <w:jc w:val="center"/>
              <w:ind w:right="749"/>
              <w:spacing w:after="0"/>
              <w:rPr>
                <w:sz w:val="20"/>
                <w:szCs w:val="20"/>
                <w:color w:val="auto"/>
              </w:rPr>
            </w:pPr>
            <w:r>
              <w:rPr>
                <w:rFonts w:ascii="Times New Roman" w:cs="Times New Roman" w:eastAsia="Times New Roman" w:hAnsi="Times New Roman"/>
                <w:sz w:val="14"/>
                <w:szCs w:val="14"/>
                <w:color w:val="auto"/>
              </w:rPr>
              <w:t>Janet M. Bawcom, Director, EMC Group 1 Limited</w:t>
            </w:r>
          </w:p>
        </w:tc>
        <w:tc>
          <w:tcPr>
            <w:tcW w:w="100" w:type="dxa"/>
            <w:vAlign w:val="bottom"/>
          </w:tcPr>
          <w:p>
            <w:pPr>
              <w:spacing w:after="0"/>
              <w:rPr>
                <w:sz w:val="24"/>
                <w:szCs w:val="24"/>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900" w:hanging="437"/>
        <w:spacing w:after="0"/>
        <w:tabs>
          <w:tab w:leader="none" w:pos="900" w:val="left"/>
        </w:tabs>
        <w:numPr>
          <w:ilvl w:val="0"/>
          <w:numId w:val="15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83" w:lineRule="exact"/>
        <w:rPr>
          <w:rFonts w:ascii="MS PGothic" w:cs="MS PGothic" w:eastAsia="MS PGothic" w:hAnsi="MS PGothic"/>
          <w:sz w:val="14"/>
          <w:szCs w:val="14"/>
          <w:color w:val="auto"/>
        </w:rPr>
      </w:pPr>
    </w:p>
    <w:p>
      <w:pPr>
        <w:ind w:left="900" w:hanging="437"/>
        <w:spacing w:after="0"/>
        <w:tabs>
          <w:tab w:leader="none" w:pos="900" w:val="left"/>
        </w:tabs>
        <w:numPr>
          <w:ilvl w:val="0"/>
          <w:numId w:val="15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84" w:lineRule="exact"/>
        <w:rPr>
          <w:sz w:val="20"/>
          <w:szCs w:val="20"/>
          <w:color w:val="auto"/>
        </w:rPr>
      </w:pPr>
    </w:p>
    <w:p>
      <w:pPr>
        <w:ind w:left="900" w:hanging="437"/>
        <w:spacing w:after="0"/>
        <w:tabs>
          <w:tab w:leader="none" w:pos="900" w:val="left"/>
        </w:tabs>
        <w:numPr>
          <w:ilvl w:val="0"/>
          <w:numId w:val="15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84" w:lineRule="exact"/>
        <w:rPr>
          <w:sz w:val="20"/>
          <w:szCs w:val="20"/>
          <w:color w:val="auto"/>
        </w:rPr>
      </w:pPr>
    </w:p>
    <w:p>
      <w:pPr>
        <w:ind w:left="900" w:hanging="437"/>
        <w:spacing w:after="0"/>
        <w:tabs>
          <w:tab w:leader="none" w:pos="900" w:val="left"/>
        </w:tabs>
        <w:numPr>
          <w:ilvl w:val="0"/>
          <w:numId w:val="15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this   28th</w:t>
            </w: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day of</w:t>
            </w:r>
          </w:p>
        </w:tc>
        <w:tc>
          <w:tcPr>
            <w:tcW w:w="2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March</w:t>
            </w:r>
          </w:p>
        </w:tc>
        <w:tc>
          <w:tcPr>
            <w:tcW w:w="300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color w:val="auto"/>
              </w:rPr>
              <w:t>, 2018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780" w:type="dxa"/>
            <w:vAlign w:val="bottom"/>
          </w:tcPr>
          <w:p>
            <w:pPr>
              <w:spacing w:after="0"/>
              <w:rPr>
                <w:sz w:val="24"/>
                <w:szCs w:val="24"/>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 Janet M. Bawcom</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jc w:val="center"/>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-100965</wp:posOffset>
            </wp:positionV>
            <wp:extent cx="651954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6519545" cy="69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Janet M. Bawcom, Sanior Vice President and Assistant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Secretary, EMC Corporation</w:t>
      </w:r>
    </w:p>
    <w:p>
      <w:pPr>
        <w:spacing w:after="0" w:line="165" w:lineRule="exact"/>
        <w:rPr>
          <w:sz w:val="20"/>
          <w:szCs w:val="20"/>
          <w:color w:val="auto"/>
        </w:rPr>
      </w:pPr>
    </w:p>
    <w:p>
      <w:pPr>
        <w:ind w:left="900" w:hanging="437"/>
        <w:spacing w:after="0"/>
        <w:tabs>
          <w:tab w:leader="none" w:pos="900" w:val="left"/>
        </w:tabs>
        <w:numPr>
          <w:ilvl w:val="0"/>
          <w:numId w:val="15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73" w:lineRule="exact"/>
        <w:rPr>
          <w:rFonts w:ascii="MS PGothic" w:cs="MS PGothic" w:eastAsia="MS PGothic" w:hAnsi="MS PGothic"/>
          <w:sz w:val="14"/>
          <w:szCs w:val="14"/>
          <w:color w:val="auto"/>
        </w:rPr>
      </w:pPr>
    </w:p>
    <w:p>
      <w:pPr>
        <w:ind w:left="900" w:hanging="437"/>
        <w:spacing w:after="0"/>
        <w:tabs>
          <w:tab w:leader="none" w:pos="900" w:val="left"/>
        </w:tabs>
        <w:numPr>
          <w:ilvl w:val="0"/>
          <w:numId w:val="15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73" w:lineRule="exact"/>
        <w:rPr>
          <w:sz w:val="20"/>
          <w:szCs w:val="20"/>
          <w:color w:val="auto"/>
        </w:rPr>
      </w:pPr>
    </w:p>
    <w:p>
      <w:pPr>
        <w:ind w:left="900" w:hanging="437"/>
        <w:spacing w:after="0"/>
        <w:tabs>
          <w:tab w:leader="none" w:pos="900" w:val="left"/>
        </w:tabs>
        <w:numPr>
          <w:ilvl w:val="0"/>
          <w:numId w:val="15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73" w:lineRule="exact"/>
        <w:rPr>
          <w:sz w:val="20"/>
          <w:szCs w:val="20"/>
          <w:color w:val="auto"/>
        </w:rPr>
      </w:pPr>
    </w:p>
    <w:p>
      <w:pPr>
        <w:ind w:left="900" w:hanging="437"/>
        <w:spacing w:after="0"/>
        <w:tabs>
          <w:tab w:leader="none" w:pos="900" w:val="left"/>
        </w:tabs>
        <w:numPr>
          <w:ilvl w:val="0"/>
          <w:numId w:val="15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01" w:lineRule="exact"/>
        <w:rPr>
          <w:sz w:val="20"/>
          <w:szCs w:val="20"/>
          <w:color w:val="auto"/>
        </w:rPr>
      </w:pPr>
    </w:p>
    <w:p>
      <w:pPr>
        <w:spacing w:after="0"/>
        <w:tabs>
          <w:tab w:leader="none" w:pos="560" w:val="left"/>
          <w:tab w:leader="none" w:pos="4620" w:val="left"/>
          <w:tab w:leader="none" w:pos="5180" w:val="left"/>
          <w:tab w:leader="none" w:pos="9700" w:val="left"/>
          <w:tab w:leader="none" w:pos="11220" w:val="left"/>
        </w:tabs>
        <w:rPr>
          <w:sz w:val="20"/>
          <w:szCs w:val="20"/>
          <w:color w:val="auto"/>
        </w:rPr>
      </w:pPr>
      <w:r>
        <w:rPr>
          <w:rFonts w:ascii="Times New Roman" w:cs="Times New Roman" w:eastAsia="Times New Roman" w:hAnsi="Times New Roman"/>
          <w:sz w:val="14"/>
          <w:szCs w:val="14"/>
          <w:color w:val="auto"/>
        </w:rPr>
        <w:t>on this</w:t>
        <w:tab/>
        <w:t>28th</w:t>
      </w:r>
      <w:r>
        <w:rPr>
          <w:sz w:val="20"/>
          <w:szCs w:val="20"/>
          <w:color w:val="auto"/>
        </w:rPr>
        <w:tab/>
      </w:r>
      <w:r>
        <w:rPr>
          <w:rFonts w:ascii="Times New Roman" w:cs="Times New Roman" w:eastAsia="Times New Roman" w:hAnsi="Times New Roman"/>
          <w:sz w:val="14"/>
          <w:szCs w:val="14"/>
          <w:color w:val="auto"/>
        </w:rPr>
        <w:t>day of</w:t>
        <w:tab/>
        <w:t>March</w:t>
      </w:r>
      <w:r>
        <w:rPr>
          <w:sz w:val="20"/>
          <w:szCs w:val="20"/>
          <w:color w:val="auto"/>
        </w:rPr>
        <w:tab/>
      </w:r>
      <w:r>
        <w:rPr>
          <w:rFonts w:ascii="Times New Roman" w:cs="Times New Roman" w:eastAsia="Times New Roman" w:hAnsi="Times New Roman"/>
          <w:sz w:val="14"/>
          <w:szCs w:val="14"/>
          <w:color w:val="auto"/>
        </w:rPr>
        <w:t>, 2018</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27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18"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March 28, 2018 02:30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123190</wp:posOffset>
            </wp:positionV>
            <wp:extent cx="1351280" cy="3784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515" w:right="47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394"/>
        </w:trPr>
        <w:tc>
          <w:tcPr>
            <w:tcW w:w="2660" w:type="dxa"/>
            <w:vAlign w:val="bottom"/>
          </w:tcPr>
          <w:p>
            <w:pPr>
              <w:spacing w:after="0"/>
              <w:rPr>
                <w:sz w:val="20"/>
                <w:szCs w:val="20"/>
                <w:color w:val="auto"/>
              </w:rPr>
            </w:pPr>
            <w:r>
              <w:rPr>
                <w:rFonts w:ascii="Times New Roman" w:cs="Times New Roman" w:eastAsia="Times New Roman" w:hAnsi="Times New Roman"/>
                <w:sz w:val="34"/>
                <w:szCs w:val="34"/>
                <w:color w:val="auto"/>
              </w:rPr>
              <w:t>DF</w:t>
            </w:r>
          </w:p>
        </w:tc>
        <w:tc>
          <w:tcPr>
            <w:tcW w:w="4900" w:type="dxa"/>
            <w:vAlign w:val="bottom"/>
            <w:vMerge w:val="restart"/>
          </w:tcPr>
          <w:p>
            <w:pPr>
              <w:jc w:val="center"/>
              <w:ind w:left="1003"/>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660" w:type="dxa"/>
            <w:vAlign w:val="bottom"/>
            <w:vMerge w:val="restart"/>
          </w:tcPr>
          <w:p>
            <w:pPr>
              <w:spacing w:after="0"/>
              <w:rPr>
                <w:sz w:val="20"/>
                <w:szCs w:val="20"/>
                <w:color w:val="auto"/>
              </w:rPr>
            </w:pPr>
            <w:r>
              <w:rPr>
                <w:rFonts w:ascii="Times New Roman" w:cs="Times New Roman" w:eastAsia="Times New Roman" w:hAnsi="Times New Roman"/>
                <w:sz w:val="34"/>
                <w:szCs w:val="34"/>
                <w:color w:val="auto"/>
              </w:rPr>
              <w:t>PC</w:t>
            </w:r>
          </w:p>
        </w:tc>
        <w:tc>
          <w:tcPr>
            <w:tcW w:w="4900" w:type="dxa"/>
            <w:vAlign w:val="bottom"/>
            <w:vMerge w:val="continue"/>
          </w:tcPr>
          <w:p>
            <w:pPr>
              <w:spacing w:after="0"/>
              <w:rPr>
                <w:sz w:val="9"/>
                <w:szCs w:val="9"/>
                <w:color w:val="auto"/>
              </w:rPr>
            </w:pPr>
          </w:p>
        </w:tc>
        <w:tc>
          <w:tcPr>
            <w:tcW w:w="3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660" w:type="dxa"/>
            <w:vAlign w:val="bottom"/>
            <w:vMerge w:val="continue"/>
          </w:tcPr>
          <w:p>
            <w:pPr>
              <w:spacing w:after="0"/>
              <w:rPr>
                <w:sz w:val="14"/>
                <w:szCs w:val="14"/>
                <w:color w:val="auto"/>
              </w:rPr>
            </w:pPr>
          </w:p>
        </w:tc>
        <w:tc>
          <w:tcPr>
            <w:tcW w:w="4900" w:type="dxa"/>
            <w:vAlign w:val="bottom"/>
          </w:tcPr>
          <w:p>
            <w:pPr>
              <w:jc w:val="center"/>
              <w:ind w:left="1003"/>
              <w:spacing w:after="0"/>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4900" w:type="dxa"/>
            <w:vAlign w:val="bottom"/>
          </w:tcPr>
          <w:p>
            <w:pPr>
              <w:jc w:val="center"/>
              <w:ind w:left="98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4900" w:type="dxa"/>
            <w:vAlign w:val="bottom"/>
          </w:tcPr>
          <w:p>
            <w:pPr>
              <w:jc w:val="center"/>
              <w:ind w:left="100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900" w:type="dxa"/>
            <w:vAlign w:val="bottom"/>
          </w:tcPr>
          <w:p>
            <w:pPr>
              <w:jc w:val="center"/>
              <w:ind w:left="1003"/>
              <w:spacing w:after="0"/>
              <w:rPr>
                <w:sz w:val="20"/>
                <w:szCs w:val="20"/>
                <w:color w:val="auto"/>
              </w:rPr>
            </w:pPr>
            <w:r>
              <w:rPr>
                <w:rFonts w:ascii="Times New Roman" w:cs="Times New Roman" w:eastAsia="Times New Roman" w:hAnsi="Times New Roman"/>
                <w:sz w:val="17"/>
                <w:szCs w:val="17"/>
                <w:b w:val="1"/>
                <w:bCs w:val="1"/>
                <w:color w:val="auto"/>
                <w:w w:val="99"/>
              </w:rPr>
              <w:t>Articles of Merge</w:t>
            </w:r>
          </w:p>
        </w:tc>
        <w:tc>
          <w:tcPr>
            <w:tcW w:w="3720" w:type="dxa"/>
            <w:vAlign w:val="bottom"/>
          </w:tcPr>
          <w:p>
            <w:pPr>
              <w:ind w:left="218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4900" w:type="dxa"/>
            <w:vAlign w:val="bottom"/>
          </w:tcPr>
          <w:p>
            <w:pPr>
              <w:jc w:val="center"/>
              <w:ind w:left="1003"/>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4900" w:type="dxa"/>
            <w:vAlign w:val="bottom"/>
          </w:tcPr>
          <w:p>
            <w:pPr>
              <w:jc w:val="center"/>
              <w:ind w:left="983"/>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4900" w:type="dxa"/>
            <w:vAlign w:val="bottom"/>
          </w:tcPr>
          <w:p>
            <w:pPr>
              <w:jc w:val="center"/>
              <w:ind w:left="1003"/>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9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(2) JURISDICTION</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9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Massachusetts</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331"/>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DataFramework, Inc</w:t>
            </w:r>
          </w:p>
        </w:tc>
        <w:tc>
          <w:tcPr>
            <w:tcW w:w="49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Delaware</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February 12, 2009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11100" w:type="dxa"/>
            <w:vAlign w:val="bottom"/>
            <w:gridSpan w:val="4"/>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tc>
      </w:tr>
      <w:tr>
        <w:trPr>
          <w:trHeight w:val="319"/>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35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EMC Corporation</w:t>
            </w:r>
          </w:p>
        </w:tc>
        <w:tc>
          <w:tcPr>
            <w:tcW w:w="50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6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bl>
    <w:p>
      <w:pPr>
        <w:spacing w:after="0" w:line="177" w:lineRule="exact"/>
        <w:rPr>
          <w:sz w:val="20"/>
          <w:szCs w:val="20"/>
          <w:color w:val="auto"/>
        </w:rPr>
      </w:pPr>
    </w:p>
    <w:p>
      <w:pPr>
        <w:ind w:left="260" w:right="2700" w:hanging="255"/>
        <w:spacing w:after="0" w:line="288" w:lineRule="auto"/>
        <w:tabs>
          <w:tab w:leader="none" w:pos="213"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dare not more than 90 days from the date and time of filing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-19050</wp:posOffset>
            </wp:positionV>
            <wp:extent cx="551307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700" w:hanging="344"/>
        <w:spacing w:after="0"/>
        <w:tabs>
          <w:tab w:leader="none" w:pos="700" w:val="left"/>
        </w:tabs>
        <w:numPr>
          <w:ilvl w:val="0"/>
          <w:numId w:val="16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200"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79" w:lineRule="exact"/>
        <w:rPr>
          <w:sz w:val="20"/>
          <w:szCs w:val="20"/>
          <w:color w:val="auto"/>
        </w:rPr>
      </w:pPr>
    </w:p>
    <w:p>
      <w:pPr>
        <w:ind w:left="700" w:hanging="344"/>
        <w:spacing w:after="0"/>
        <w:tabs>
          <w:tab w:leader="none" w:pos="700" w:val="left"/>
        </w:tabs>
        <w:numPr>
          <w:ilvl w:val="1"/>
          <w:numId w:val="16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did not require the approval of the shareholders.</w:t>
      </w:r>
    </w:p>
    <w:p>
      <w:pPr>
        <w:spacing w:after="0" w:line="200" w:lineRule="exact"/>
        <w:rPr>
          <w:rFonts w:ascii="MS PGothic" w:cs="MS PGothic" w:eastAsia="MS PGothic" w:hAnsi="MS PGothic"/>
          <w:sz w:val="14"/>
          <w:szCs w:val="14"/>
          <w:color w:val="auto"/>
        </w:rPr>
      </w:pPr>
    </w:p>
    <w:p>
      <w:pPr>
        <w:ind w:left="260" w:right="100" w:hanging="255"/>
        <w:spacing w:after="0" w:line="288" w:lineRule="auto"/>
        <w:tabs>
          <w:tab w:leader="none" w:pos="26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93218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932180" cy="698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100" w:name="page101"/>
    <w:bookmarkEnd w:id="100"/>
    <w:p>
      <w:pPr>
        <w:ind w:left="295" w:hanging="295"/>
        <w:spacing w:after="0"/>
        <w:tabs>
          <w:tab w:leader="none" w:pos="295"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79" w:lineRule="exact"/>
        <w:rPr>
          <w:rFonts w:ascii="Times New Roman" w:cs="Times New Roman" w:eastAsia="Times New Roman" w:hAnsi="Times New Roman"/>
          <w:sz w:val="14"/>
          <w:szCs w:val="14"/>
          <w:color w:val="auto"/>
        </w:rPr>
      </w:pPr>
    </w:p>
    <w:p>
      <w:pPr>
        <w:ind w:left="295" w:hanging="295"/>
        <w:spacing w:after="0"/>
        <w:tabs>
          <w:tab w:leader="none" w:pos="295"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295" w:hanging="295"/>
        <w:spacing w:after="0"/>
        <w:tabs>
          <w:tab w:leader="none" w:pos="295"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w:t>
      </w:r>
    </w:p>
    <w:p>
      <w:pPr>
        <w:spacing w:after="0" w:line="188"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-97790</wp:posOffset>
            </wp:positionV>
            <wp:extent cx="697230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69723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340995</wp:posOffset>
            </wp:positionV>
            <wp:extent cx="7161530" cy="27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15"/>
          </w:cols>
          <w:pgMar w:left="305" w:top="327" w:right="37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1028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4"/>
                <w:szCs w:val="14"/>
                <w:color w:val="auto"/>
              </w:rPr>
              <w:t>/s/ Janet M. Bawcom</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900" w:type="dxa"/>
            <w:vAlign w:val="bottom"/>
          </w:tcPr>
          <w:p>
            <w:pPr>
              <w:spacing w:after="0"/>
              <w:rPr>
                <w:sz w:val="15"/>
                <w:szCs w:val="15"/>
                <w:color w:val="auto"/>
              </w:rPr>
            </w:pPr>
          </w:p>
        </w:tc>
        <w:tc>
          <w:tcPr>
            <w:tcW w:w="10280" w:type="dxa"/>
            <w:vAlign w:val="bottom"/>
          </w:tcPr>
          <w:p>
            <w:pPr>
              <w:ind w:left="374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5"/>
                <w:szCs w:val="15"/>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900" w:hanging="437"/>
        <w:spacing w:after="0"/>
        <w:tabs>
          <w:tab w:leader="none" w:pos="900" w:val="left"/>
        </w:tabs>
        <w:numPr>
          <w:ilvl w:val="0"/>
          <w:numId w:val="16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83" w:lineRule="exact"/>
        <w:rPr>
          <w:rFonts w:ascii="MS PGothic" w:cs="MS PGothic" w:eastAsia="MS PGothic" w:hAnsi="MS PGothic"/>
          <w:sz w:val="14"/>
          <w:szCs w:val="14"/>
          <w:color w:val="auto"/>
        </w:rPr>
      </w:pPr>
    </w:p>
    <w:p>
      <w:pPr>
        <w:ind w:left="900" w:hanging="437"/>
        <w:spacing w:after="0"/>
        <w:tabs>
          <w:tab w:leader="none" w:pos="900" w:val="left"/>
        </w:tabs>
        <w:numPr>
          <w:ilvl w:val="0"/>
          <w:numId w:val="16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84" w:lineRule="exact"/>
        <w:rPr>
          <w:sz w:val="20"/>
          <w:szCs w:val="20"/>
          <w:color w:val="auto"/>
        </w:rPr>
      </w:pPr>
    </w:p>
    <w:p>
      <w:pPr>
        <w:ind w:left="900" w:hanging="437"/>
        <w:spacing w:after="0"/>
        <w:tabs>
          <w:tab w:leader="none" w:pos="900" w:val="left"/>
        </w:tabs>
        <w:numPr>
          <w:ilvl w:val="0"/>
          <w:numId w:val="16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84" w:lineRule="exact"/>
        <w:rPr>
          <w:sz w:val="20"/>
          <w:szCs w:val="20"/>
          <w:color w:val="auto"/>
        </w:rPr>
      </w:pPr>
    </w:p>
    <w:p>
      <w:pPr>
        <w:ind w:left="900" w:hanging="437"/>
        <w:spacing w:after="0"/>
        <w:tabs>
          <w:tab w:leader="none" w:pos="900" w:val="left"/>
        </w:tabs>
        <w:numPr>
          <w:ilvl w:val="0"/>
          <w:numId w:val="16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on this   13th</w:t>
            </w: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day of</w:t>
            </w:r>
          </w:p>
        </w:tc>
        <w:tc>
          <w:tcPr>
            <w:tcW w:w="2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August</w:t>
            </w:r>
          </w:p>
        </w:tc>
        <w:tc>
          <w:tcPr>
            <w:tcW w:w="300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color w:val="auto"/>
              </w:rPr>
              <w:t>, 2018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4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Signed by:</w:t>
            </w:r>
          </w:p>
        </w:tc>
        <w:tc>
          <w:tcPr>
            <w:tcW w:w="780" w:type="dxa"/>
            <w:vAlign w:val="bottom"/>
          </w:tcPr>
          <w:p>
            <w:pPr>
              <w:spacing w:after="0"/>
              <w:rPr>
                <w:sz w:val="24"/>
                <w:szCs w:val="24"/>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 Janet M. Bawcom</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2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39" w:lineRule="exact"/>
        <w:rPr>
          <w:sz w:val="20"/>
          <w:szCs w:val="20"/>
          <w:color w:val="auto"/>
        </w:rPr>
      </w:pPr>
    </w:p>
    <w:p>
      <w:pPr>
        <w:ind w:left="900" w:hanging="437"/>
        <w:spacing w:after="0"/>
        <w:tabs>
          <w:tab w:leader="none" w:pos="900" w:val="left"/>
        </w:tabs>
        <w:numPr>
          <w:ilvl w:val="0"/>
          <w:numId w:val="16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73" w:lineRule="exact"/>
        <w:rPr>
          <w:rFonts w:ascii="MS PGothic" w:cs="MS PGothic" w:eastAsia="MS PGothic" w:hAnsi="MS PGothic"/>
          <w:sz w:val="14"/>
          <w:szCs w:val="14"/>
          <w:color w:val="auto"/>
        </w:rPr>
      </w:pPr>
    </w:p>
    <w:p>
      <w:pPr>
        <w:ind w:left="900" w:hanging="437"/>
        <w:spacing w:after="0"/>
        <w:tabs>
          <w:tab w:leader="none" w:pos="900" w:val="left"/>
        </w:tabs>
        <w:numPr>
          <w:ilvl w:val="0"/>
          <w:numId w:val="16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73" w:lineRule="exact"/>
        <w:rPr>
          <w:sz w:val="20"/>
          <w:szCs w:val="20"/>
          <w:color w:val="auto"/>
        </w:rPr>
      </w:pPr>
    </w:p>
    <w:p>
      <w:pPr>
        <w:ind w:left="900" w:hanging="437"/>
        <w:spacing w:after="0"/>
        <w:tabs>
          <w:tab w:leader="none" w:pos="900" w:val="left"/>
        </w:tabs>
        <w:numPr>
          <w:ilvl w:val="0"/>
          <w:numId w:val="16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73" w:lineRule="exact"/>
        <w:rPr>
          <w:sz w:val="20"/>
          <w:szCs w:val="20"/>
          <w:color w:val="auto"/>
        </w:rPr>
      </w:pPr>
    </w:p>
    <w:p>
      <w:pPr>
        <w:ind w:left="900" w:hanging="437"/>
        <w:spacing w:after="0"/>
        <w:tabs>
          <w:tab w:leader="none" w:pos="900" w:val="left"/>
        </w:tabs>
        <w:numPr>
          <w:ilvl w:val="0"/>
          <w:numId w:val="16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01" w:lineRule="exact"/>
        <w:rPr>
          <w:sz w:val="20"/>
          <w:szCs w:val="20"/>
          <w:color w:val="auto"/>
        </w:rPr>
      </w:pPr>
    </w:p>
    <w:p>
      <w:pPr>
        <w:spacing w:after="0"/>
        <w:tabs>
          <w:tab w:leader="none" w:pos="560" w:val="left"/>
          <w:tab w:leader="none" w:pos="4620" w:val="left"/>
          <w:tab w:leader="none" w:pos="5180" w:val="left"/>
          <w:tab w:leader="none" w:pos="9700" w:val="left"/>
          <w:tab w:leader="none" w:pos="11220" w:val="left"/>
        </w:tabs>
        <w:rPr>
          <w:sz w:val="20"/>
          <w:szCs w:val="20"/>
          <w:color w:val="auto"/>
        </w:rPr>
      </w:pPr>
      <w:r>
        <w:rPr>
          <w:rFonts w:ascii="Times New Roman" w:cs="Times New Roman" w:eastAsia="Times New Roman" w:hAnsi="Times New Roman"/>
          <w:sz w:val="14"/>
          <w:szCs w:val="14"/>
          <w:color w:val="auto"/>
        </w:rPr>
        <w:t>on this</w:t>
        <w:tab/>
        <w:t>13th</w:t>
      </w:r>
      <w:r>
        <w:rPr>
          <w:sz w:val="20"/>
          <w:szCs w:val="20"/>
          <w:color w:val="auto"/>
        </w:rPr>
        <w:tab/>
      </w:r>
      <w:r>
        <w:rPr>
          <w:rFonts w:ascii="Times New Roman" w:cs="Times New Roman" w:eastAsia="Times New Roman" w:hAnsi="Times New Roman"/>
          <w:sz w:val="14"/>
          <w:szCs w:val="14"/>
          <w:color w:val="auto"/>
        </w:rPr>
        <w:t>day of</w:t>
        <w:tab/>
        <w:t>August</w:t>
      </w:r>
      <w:r>
        <w:rPr>
          <w:sz w:val="20"/>
          <w:szCs w:val="20"/>
          <w:color w:val="auto"/>
        </w:rPr>
        <w:tab/>
      </w:r>
      <w:r>
        <w:rPr>
          <w:rFonts w:ascii="Times New Roman" w:cs="Times New Roman" w:eastAsia="Times New Roman" w:hAnsi="Times New Roman"/>
          <w:sz w:val="14"/>
          <w:szCs w:val="14"/>
          <w:color w:val="auto"/>
        </w:rPr>
        <w:t>, 2018</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27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18" w:right="3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9"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August 13, 2018 02:12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123190</wp:posOffset>
            </wp:positionV>
            <wp:extent cx="1351280" cy="3784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518" w:right="4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394"/>
        </w:trPr>
        <w:tc>
          <w:tcPr>
            <w:tcW w:w="2600" w:type="dxa"/>
            <w:vAlign w:val="bottom"/>
            <w:gridSpan w:val="2"/>
          </w:tcPr>
          <w:p>
            <w:pPr>
              <w:spacing w:after="0"/>
              <w:rPr>
                <w:sz w:val="20"/>
                <w:szCs w:val="20"/>
                <w:color w:val="auto"/>
              </w:rPr>
            </w:pPr>
            <w:r>
              <w:rPr>
                <w:rFonts w:ascii="Times New Roman" w:cs="Times New Roman" w:eastAsia="Times New Roman" w:hAnsi="Times New Roman"/>
                <w:sz w:val="34"/>
                <w:szCs w:val="34"/>
                <w:color w:val="auto"/>
              </w:rPr>
              <w:t>DF</w:t>
            </w:r>
          </w:p>
        </w:tc>
        <w:tc>
          <w:tcPr>
            <w:tcW w:w="460" w:type="dxa"/>
            <w:vAlign w:val="bottom"/>
          </w:tcPr>
          <w:p>
            <w:pPr>
              <w:spacing w:after="0"/>
              <w:rPr>
                <w:sz w:val="24"/>
                <w:szCs w:val="24"/>
                <w:color w:val="auto"/>
              </w:rPr>
            </w:pPr>
          </w:p>
        </w:tc>
        <w:tc>
          <w:tcPr>
            <w:tcW w:w="8220" w:type="dxa"/>
            <w:vAlign w:val="bottom"/>
            <w:gridSpan w:val="4"/>
            <w:vMerge w:val="restart"/>
          </w:tcPr>
          <w:p>
            <w:pPr>
              <w:jc w:val="center"/>
              <w:ind w:right="2969"/>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0" w:type="dxa"/>
            <w:vAlign w:val="bottom"/>
          </w:tcPr>
          <w:p>
            <w:pPr>
              <w:spacing w:after="0"/>
              <w:rPr>
                <w:sz w:val="1"/>
                <w:szCs w:val="1"/>
                <w:color w:val="auto"/>
              </w:rPr>
            </w:pPr>
          </w:p>
        </w:tc>
      </w:tr>
      <w:tr>
        <w:trPr>
          <w:trHeight w:val="112"/>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34"/>
                <w:szCs w:val="34"/>
                <w:color w:val="auto"/>
              </w:rPr>
              <w:t>PC</w:t>
            </w:r>
          </w:p>
        </w:tc>
        <w:tc>
          <w:tcPr>
            <w:tcW w:w="460" w:type="dxa"/>
            <w:vAlign w:val="bottom"/>
          </w:tcPr>
          <w:p>
            <w:pPr>
              <w:spacing w:after="0"/>
              <w:rPr>
                <w:sz w:val="9"/>
                <w:szCs w:val="9"/>
                <w:color w:val="auto"/>
              </w:rPr>
            </w:pPr>
          </w:p>
        </w:tc>
        <w:tc>
          <w:tcPr>
            <w:tcW w:w="8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6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William Francis Galvin</w:t>
            </w: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20" w:type="dxa"/>
            <w:vAlign w:val="bottom"/>
            <w:gridSpan w:val="4"/>
          </w:tcPr>
          <w:p>
            <w:pPr>
              <w:jc w:val="center"/>
              <w:ind w:right="2969"/>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0" w:type="dxa"/>
            <w:vAlign w:val="bottom"/>
          </w:tcPr>
          <w:p>
            <w:pPr>
              <w:spacing w:after="0"/>
              <w:rPr>
                <w:sz w:val="1"/>
                <w:szCs w:val="1"/>
                <w:color w:val="auto"/>
              </w:rPr>
            </w:pPr>
          </w:p>
        </w:tc>
      </w:tr>
      <w:tr>
        <w:trPr>
          <w:trHeight w:val="412"/>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Articles of Merger</w:t>
            </w:r>
          </w:p>
        </w:tc>
        <w:tc>
          <w:tcPr>
            <w:tcW w:w="46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FORM MUST BE TYPED</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20" w:type="dxa"/>
            <w:vAlign w:val="bottom"/>
            <w:gridSpan w:val="4"/>
          </w:tcPr>
          <w:p>
            <w:pPr>
              <w:jc w:val="center"/>
              <w:ind w:right="2969"/>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20" w:type="dxa"/>
            <w:vAlign w:val="bottom"/>
            <w:gridSpan w:val="4"/>
          </w:tcPr>
          <w:p>
            <w:pPr>
              <w:jc w:val="center"/>
              <w:ind w:right="2989"/>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20" w:type="dxa"/>
            <w:vAlign w:val="bottom"/>
            <w:gridSpan w:val="4"/>
          </w:tcPr>
          <w:p>
            <w:pPr>
              <w:jc w:val="center"/>
              <w:ind w:right="2969"/>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tc>
        <w:tc>
          <w:tcPr>
            <w:tcW w:w="0" w:type="dxa"/>
            <w:vAlign w:val="bottom"/>
          </w:tcPr>
          <w:p>
            <w:pPr>
              <w:spacing w:after="0"/>
              <w:rPr>
                <w:sz w:val="1"/>
                <w:szCs w:val="1"/>
                <w:color w:val="auto"/>
              </w:rPr>
            </w:pPr>
          </w:p>
        </w:tc>
      </w:tr>
      <w:tr>
        <w:trPr>
          <w:trHeight w:val="340"/>
        </w:trPr>
        <w:tc>
          <w:tcPr>
            <w:tcW w:w="4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 JURISDICTION</w:t>
            </w:r>
          </w:p>
        </w:tc>
        <w:tc>
          <w:tcPr>
            <w:tcW w:w="462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341"/>
        </w:trPr>
        <w:tc>
          <w:tcPr>
            <w:tcW w:w="2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EMC Group 1 Limited</w:t>
            </w: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Bermuda</w:t>
            </w:r>
          </w:p>
        </w:tc>
        <w:tc>
          <w:tcPr>
            <w:tcW w:w="4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November 3, 2008</w:t>
            </w:r>
          </w:p>
        </w:tc>
        <w:tc>
          <w:tcPr>
            <w:tcW w:w="0" w:type="dxa"/>
            <w:vAlign w:val="bottom"/>
          </w:tcPr>
          <w:p>
            <w:pPr>
              <w:spacing w:after="0"/>
              <w:rPr>
                <w:sz w:val="1"/>
                <w:szCs w:val="1"/>
                <w:color w:val="auto"/>
              </w:rPr>
            </w:pPr>
          </w:p>
        </w:tc>
      </w:tr>
      <w:tr>
        <w:trPr>
          <w:trHeight w:val="331"/>
        </w:trPr>
        <w:tc>
          <w:tcPr>
            <w:tcW w:w="2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Massachusetts</w:t>
            </w:r>
          </w:p>
        </w:tc>
        <w:tc>
          <w:tcPr>
            <w:tcW w:w="4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331"/>
        </w:trPr>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(3)</w:t>
            </w:r>
          </w:p>
        </w:tc>
        <w:tc>
          <w:tcPr>
            <w:tcW w:w="6480" w:type="dxa"/>
            <w:vAlign w:val="bottom"/>
            <w:gridSpan w:val="5"/>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(4)</w:t>
            </w:r>
          </w:p>
        </w:tc>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2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EMC Corporation</w:t>
            </w: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(Massachusetts ID No 042680009)</w:t>
            </w:r>
          </w:p>
        </w:tc>
        <w:tc>
          <w:tcPr>
            <w:tcW w:w="15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(5)</w:t>
            </w: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160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Massachusetts</w:t>
            </w:r>
          </w:p>
        </w:tc>
        <w:tc>
          <w:tcPr>
            <w:tcW w:w="0" w:type="dxa"/>
            <w:vAlign w:val="bottom"/>
          </w:tcPr>
          <w:p>
            <w:pPr>
              <w:spacing w:after="0"/>
              <w:rPr>
                <w:sz w:val="1"/>
                <w:szCs w:val="1"/>
                <w:color w:val="auto"/>
              </w:rPr>
            </w:pP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7"/>
              </w:rPr>
              <w:t>(6)</w:t>
            </w:r>
          </w:p>
        </w:tc>
        <w:tc>
          <w:tcPr>
            <w:tcW w:w="111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 time of filing is specified:</w:t>
            </w: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September 15, 2018</w:t>
            </w:r>
          </w:p>
        </w:tc>
        <w:tc>
          <w:tcPr>
            <w:tcW w:w="1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700" w:hanging="344"/>
        <w:spacing w:after="0"/>
        <w:tabs>
          <w:tab w:leader="none" w:pos="700" w:val="left"/>
        </w:tabs>
        <w:numPr>
          <w:ilvl w:val="0"/>
          <w:numId w:val="16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1" w:lineRule="exact"/>
        <w:rPr>
          <w:sz w:val="20"/>
          <w:szCs w:val="20"/>
          <w:color w:val="auto"/>
        </w:rPr>
      </w:pPr>
    </w:p>
    <w:p>
      <w:pPr>
        <w:ind w:left="700" w:hanging="344"/>
        <w:spacing w:after="0"/>
        <w:tabs>
          <w:tab w:leader="none" w:pos="700" w:val="left"/>
        </w:tabs>
        <w:numPr>
          <w:ilvl w:val="1"/>
          <w:numId w:val="17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did not require the approval of the shareholders.</w:t>
      </w:r>
    </w:p>
    <w:p>
      <w:pPr>
        <w:spacing w:after="0" w:line="200" w:lineRule="exact"/>
        <w:rPr>
          <w:rFonts w:ascii="MS PGothic" w:cs="MS PGothic" w:eastAsia="MS PGothic" w:hAnsi="MS PGothic"/>
          <w:sz w:val="14"/>
          <w:szCs w:val="14"/>
          <w:color w:val="auto"/>
        </w:rPr>
      </w:pPr>
    </w:p>
    <w:p>
      <w:pPr>
        <w:ind w:left="260" w:right="100" w:hanging="255"/>
        <w:spacing w:after="0" w:line="288" w:lineRule="auto"/>
        <w:tabs>
          <w:tab w:leader="none" w:pos="26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93218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932180" cy="698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104" w:name="page105"/>
    <w:bookmarkEnd w:id="104"/>
    <w:p>
      <w:pPr>
        <w:ind w:left="295" w:hanging="295"/>
        <w:spacing w:after="0"/>
        <w:tabs>
          <w:tab w:leader="none" w:pos="295"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79" w:lineRule="exact"/>
        <w:rPr>
          <w:rFonts w:ascii="Times New Roman" w:cs="Times New Roman" w:eastAsia="Times New Roman" w:hAnsi="Times New Roman"/>
          <w:sz w:val="14"/>
          <w:szCs w:val="14"/>
          <w:color w:val="auto"/>
        </w:rPr>
      </w:pPr>
    </w:p>
    <w:p>
      <w:pPr>
        <w:ind w:left="295" w:hanging="295"/>
        <w:spacing w:after="0"/>
        <w:tabs>
          <w:tab w:leader="none" w:pos="295"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295" w:right="2760" w:hanging="295"/>
        <w:spacing w:after="0" w:line="264" w:lineRule="auto"/>
        <w:tabs>
          <w:tab w:leader="none" w:pos="295"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 n/a</w:t>
      </w:r>
    </w:p>
    <w:p>
      <w:pPr>
        <w:jc w:val="center"/>
        <w:ind w:right="-74"/>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-100965</wp:posOffset>
            </wp:positionV>
            <wp:extent cx="697230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69723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7161530" cy="273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15"/>
          </w:cols>
          <w:pgMar w:left="305" w:top="327" w:right="3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1028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4"/>
                <w:szCs w:val="14"/>
                <w:color w:val="auto"/>
              </w:rPr>
              <w:t>/s/ Janet M. Bawcom</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900" w:type="dxa"/>
            <w:vAlign w:val="bottom"/>
          </w:tcPr>
          <w:p>
            <w:pPr>
              <w:spacing w:after="0"/>
              <w:rPr>
                <w:sz w:val="15"/>
                <w:szCs w:val="15"/>
                <w:color w:val="auto"/>
              </w:rPr>
            </w:pPr>
          </w:p>
        </w:tc>
        <w:tc>
          <w:tcPr>
            <w:tcW w:w="10280" w:type="dxa"/>
            <w:vAlign w:val="bottom"/>
          </w:tcPr>
          <w:p>
            <w:pPr>
              <w:jc w:val="center"/>
              <w:ind w:right="709"/>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5"/>
                <w:szCs w:val="15"/>
                <w:color w:val="auto"/>
              </w:rPr>
            </w:pPr>
          </w:p>
        </w:tc>
      </w:tr>
      <w:tr>
        <w:trPr>
          <w:trHeight w:val="324"/>
        </w:trPr>
        <w:tc>
          <w:tcPr>
            <w:tcW w:w="900" w:type="dxa"/>
            <w:vAlign w:val="bottom"/>
          </w:tcPr>
          <w:p>
            <w:pPr>
              <w:spacing w:after="0"/>
              <w:rPr>
                <w:sz w:val="24"/>
                <w:szCs w:val="24"/>
                <w:color w:val="auto"/>
              </w:rPr>
            </w:pPr>
          </w:p>
        </w:tc>
        <w:tc>
          <w:tcPr>
            <w:tcW w:w="10280" w:type="dxa"/>
            <w:vAlign w:val="bottom"/>
          </w:tcPr>
          <w:p>
            <w:pPr>
              <w:jc w:val="center"/>
              <w:ind w:right="709"/>
              <w:spacing w:after="0"/>
              <w:rPr>
                <w:sz w:val="20"/>
                <w:szCs w:val="20"/>
                <w:color w:val="auto"/>
              </w:rPr>
            </w:pPr>
            <w:r>
              <w:rPr>
                <w:rFonts w:ascii="Times New Roman" w:cs="Times New Roman" w:eastAsia="Times New Roman" w:hAnsi="Times New Roman"/>
                <w:sz w:val="14"/>
                <w:szCs w:val="14"/>
                <w:color w:val="auto"/>
              </w:rPr>
              <w:t>Janet M. Bawcom, Director, EMC Group l Limited</w:t>
            </w:r>
          </w:p>
        </w:tc>
        <w:tc>
          <w:tcPr>
            <w:tcW w:w="100" w:type="dxa"/>
            <w:vAlign w:val="bottom"/>
          </w:tcPr>
          <w:p>
            <w:pPr>
              <w:spacing w:after="0"/>
              <w:rPr>
                <w:sz w:val="24"/>
                <w:szCs w:val="24"/>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900" w:hanging="437"/>
        <w:spacing w:after="0"/>
        <w:tabs>
          <w:tab w:leader="none" w:pos="900" w:val="left"/>
        </w:tabs>
        <w:numPr>
          <w:ilvl w:val="0"/>
          <w:numId w:val="17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83" w:lineRule="exact"/>
        <w:rPr>
          <w:rFonts w:ascii="MS PGothic" w:cs="MS PGothic" w:eastAsia="MS PGothic" w:hAnsi="MS PGothic"/>
          <w:sz w:val="14"/>
          <w:szCs w:val="14"/>
          <w:color w:val="auto"/>
        </w:rPr>
      </w:pPr>
    </w:p>
    <w:p>
      <w:pPr>
        <w:ind w:left="900" w:hanging="437"/>
        <w:spacing w:after="0"/>
        <w:tabs>
          <w:tab w:leader="none" w:pos="900" w:val="left"/>
        </w:tabs>
        <w:numPr>
          <w:ilvl w:val="0"/>
          <w:numId w:val="17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84" w:lineRule="exact"/>
        <w:rPr>
          <w:sz w:val="20"/>
          <w:szCs w:val="20"/>
          <w:color w:val="auto"/>
        </w:rPr>
      </w:pPr>
    </w:p>
    <w:p>
      <w:pPr>
        <w:ind w:left="900" w:hanging="437"/>
        <w:spacing w:after="0"/>
        <w:tabs>
          <w:tab w:leader="none" w:pos="900" w:val="left"/>
        </w:tabs>
        <w:numPr>
          <w:ilvl w:val="0"/>
          <w:numId w:val="17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84" w:lineRule="exact"/>
        <w:rPr>
          <w:sz w:val="20"/>
          <w:szCs w:val="20"/>
          <w:color w:val="auto"/>
        </w:rPr>
      </w:pPr>
    </w:p>
    <w:p>
      <w:pPr>
        <w:ind w:left="900" w:hanging="437"/>
        <w:spacing w:after="0"/>
        <w:tabs>
          <w:tab w:leader="none" w:pos="900" w:val="left"/>
        </w:tabs>
        <w:numPr>
          <w:ilvl w:val="0"/>
          <w:numId w:val="17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on this   11th</w:t>
            </w: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day of</w:t>
            </w:r>
          </w:p>
        </w:tc>
        <w:tc>
          <w:tcPr>
            <w:tcW w:w="2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September</w:t>
            </w:r>
          </w:p>
        </w:tc>
        <w:tc>
          <w:tcPr>
            <w:tcW w:w="300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color w:val="auto"/>
              </w:rPr>
              <w:t>, 2018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4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Signed by:</w:t>
            </w:r>
          </w:p>
        </w:tc>
        <w:tc>
          <w:tcPr>
            <w:tcW w:w="780" w:type="dxa"/>
            <w:vAlign w:val="bottom"/>
          </w:tcPr>
          <w:p>
            <w:pPr>
              <w:spacing w:after="0"/>
              <w:rPr>
                <w:sz w:val="24"/>
                <w:szCs w:val="24"/>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 Janet M. Bawcom</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2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Janet M. Bawcom, Sanior Vice President and Assistant Secretary, EMC Corporation</w:t>
      </w:r>
    </w:p>
    <w:p>
      <w:pPr>
        <w:spacing w:after="0" w:line="201" w:lineRule="exact"/>
        <w:rPr>
          <w:sz w:val="20"/>
          <w:szCs w:val="20"/>
          <w:color w:val="auto"/>
        </w:rPr>
      </w:pPr>
    </w:p>
    <w:p>
      <w:pPr>
        <w:ind w:left="900" w:hanging="437"/>
        <w:spacing w:after="0"/>
        <w:tabs>
          <w:tab w:leader="none" w:pos="900" w:val="left"/>
        </w:tabs>
        <w:numPr>
          <w:ilvl w:val="0"/>
          <w:numId w:val="17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73" w:lineRule="exact"/>
        <w:rPr>
          <w:rFonts w:ascii="MS PGothic" w:cs="MS PGothic" w:eastAsia="MS PGothic" w:hAnsi="MS PGothic"/>
          <w:sz w:val="14"/>
          <w:szCs w:val="14"/>
          <w:color w:val="auto"/>
        </w:rPr>
      </w:pPr>
    </w:p>
    <w:p>
      <w:pPr>
        <w:ind w:left="900" w:hanging="437"/>
        <w:spacing w:after="0"/>
        <w:tabs>
          <w:tab w:leader="none" w:pos="900" w:val="left"/>
        </w:tabs>
        <w:numPr>
          <w:ilvl w:val="0"/>
          <w:numId w:val="17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73" w:lineRule="exact"/>
        <w:rPr>
          <w:sz w:val="20"/>
          <w:szCs w:val="20"/>
          <w:color w:val="auto"/>
        </w:rPr>
      </w:pPr>
    </w:p>
    <w:p>
      <w:pPr>
        <w:ind w:left="900" w:hanging="437"/>
        <w:spacing w:after="0"/>
        <w:tabs>
          <w:tab w:leader="none" w:pos="900" w:val="left"/>
        </w:tabs>
        <w:numPr>
          <w:ilvl w:val="0"/>
          <w:numId w:val="17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73" w:lineRule="exact"/>
        <w:rPr>
          <w:sz w:val="20"/>
          <w:szCs w:val="20"/>
          <w:color w:val="auto"/>
        </w:rPr>
      </w:pPr>
    </w:p>
    <w:p>
      <w:pPr>
        <w:ind w:left="900" w:hanging="437"/>
        <w:spacing w:after="0"/>
        <w:tabs>
          <w:tab w:leader="none" w:pos="900" w:val="left"/>
        </w:tabs>
        <w:numPr>
          <w:ilvl w:val="0"/>
          <w:numId w:val="17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201" w:lineRule="exact"/>
        <w:rPr>
          <w:sz w:val="20"/>
          <w:szCs w:val="20"/>
          <w:color w:val="auto"/>
        </w:rPr>
      </w:pPr>
    </w:p>
    <w:p>
      <w:pPr>
        <w:spacing w:after="0"/>
        <w:tabs>
          <w:tab w:leader="none" w:pos="560" w:val="left"/>
          <w:tab w:leader="none" w:pos="4620" w:val="left"/>
          <w:tab w:leader="none" w:pos="5180" w:val="left"/>
          <w:tab w:leader="none" w:pos="9700" w:val="left"/>
          <w:tab w:leader="none" w:pos="11220" w:val="left"/>
        </w:tabs>
        <w:rPr>
          <w:sz w:val="20"/>
          <w:szCs w:val="20"/>
          <w:color w:val="auto"/>
        </w:rPr>
      </w:pPr>
      <w:r>
        <w:rPr>
          <w:rFonts w:ascii="Times New Roman" w:cs="Times New Roman" w:eastAsia="Times New Roman" w:hAnsi="Times New Roman"/>
          <w:sz w:val="14"/>
          <w:szCs w:val="14"/>
          <w:color w:val="auto"/>
        </w:rPr>
        <w:t>on this</w:t>
        <w:tab/>
        <w:t>11th</w:t>
      </w:r>
      <w:r>
        <w:rPr>
          <w:sz w:val="20"/>
          <w:szCs w:val="20"/>
          <w:color w:val="auto"/>
        </w:rPr>
        <w:tab/>
      </w:r>
      <w:r>
        <w:rPr>
          <w:rFonts w:ascii="Times New Roman" w:cs="Times New Roman" w:eastAsia="Times New Roman" w:hAnsi="Times New Roman"/>
          <w:sz w:val="14"/>
          <w:szCs w:val="14"/>
          <w:color w:val="auto"/>
        </w:rPr>
        <w:t>day of</w:t>
        <w:tab/>
        <w:t>September</w:t>
      </w:r>
      <w:r>
        <w:rPr>
          <w:sz w:val="20"/>
          <w:szCs w:val="20"/>
          <w:color w:val="auto"/>
        </w:rPr>
        <w:tab/>
      </w:r>
      <w:r>
        <w:rPr>
          <w:rFonts w:ascii="Times New Roman" w:cs="Times New Roman" w:eastAsia="Times New Roman" w:hAnsi="Times New Roman"/>
          <w:sz w:val="14"/>
          <w:szCs w:val="14"/>
          <w:color w:val="auto"/>
        </w:rPr>
        <w:t>, 2018</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67290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27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518" w:right="31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CERTIFICATE OF MERGER</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EMC GROUP 5 LIMITED</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 Bermuda exempted company)</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INTO</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DELL GLOBAL HOLDINGS XV L.L.C.</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 Delaware limited liability Company)</w:t>
      </w:r>
    </w:p>
    <w:p>
      <w:pPr>
        <w:spacing w:after="0" w:line="18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 xml:space="preserve">Dated: September </w:t>
      </w:r>
      <w:r>
        <w:rPr>
          <w:rFonts w:ascii="Times New Roman" w:cs="Times New Roman" w:eastAsia="Times New Roman" w:hAnsi="Times New Roman"/>
          <w:sz w:val="14"/>
          <w:szCs w:val="14"/>
          <w:u w:val="single" w:color="auto"/>
          <w:color w:val="auto"/>
        </w:rPr>
        <w:t>11,</w:t>
      </w:r>
      <w:r>
        <w:rPr>
          <w:rFonts w:ascii="Times New Roman" w:cs="Times New Roman" w:eastAsia="Times New Roman" w:hAnsi="Times New Roman"/>
          <w:sz w:val="14"/>
          <w:szCs w:val="14"/>
          <w:color w:val="auto"/>
        </w:rPr>
        <w:t xml:space="preserve"> 2018</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undersigned limited liability company formed and existing under the laws of the State of Delaware,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DOES HEREBY CERTIFY:</w:t>
      </w:r>
    </w:p>
    <w:p>
      <w:pPr>
        <w:spacing w:after="0" w:line="177" w:lineRule="exact"/>
        <w:rPr>
          <w:sz w:val="20"/>
          <w:szCs w:val="20"/>
          <w:color w:val="auto"/>
        </w:rPr>
      </w:pPr>
    </w:p>
    <w:p>
      <w:pPr>
        <w:ind w:left="5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FIRST:</w:t>
      </w:r>
      <w:r>
        <w:rPr>
          <w:sz w:val="20"/>
          <w:szCs w:val="20"/>
          <w:color w:val="auto"/>
        </w:rPr>
        <w:tab/>
      </w:r>
      <w:r>
        <w:rPr>
          <w:rFonts w:ascii="Times New Roman" w:cs="Times New Roman" w:eastAsia="Times New Roman" w:hAnsi="Times New Roman"/>
          <w:sz w:val="14"/>
          <w:szCs w:val="14"/>
          <w:color w:val="auto"/>
        </w:rPr>
        <w:t>The name and jurisdiction of formation or organization of each of the constituent entities which is to merge are as follows:</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Jurisdiction of Formation or Organization</w:t>
            </w:r>
          </w:p>
        </w:tc>
      </w:tr>
      <w:tr>
        <w:trPr>
          <w:trHeight w:val="20"/>
        </w:trPr>
        <w:tc>
          <w:tcPr>
            <w:tcW w:w="34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167"/>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EMC Group 5 Limited</w:t>
            </w: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Веrmuda</w:t>
            </w:r>
          </w:p>
        </w:tc>
      </w:tr>
      <w:tr>
        <w:trPr>
          <w:trHeight w:val="184"/>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Dell Global Holdings XV L.L.C.</w:t>
            </w: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bl>
    <w:p>
      <w:pPr>
        <w:spacing w:after="0" w:line="154" w:lineRule="exact"/>
        <w:rPr>
          <w:sz w:val="20"/>
          <w:szCs w:val="20"/>
          <w:color w:val="auto"/>
        </w:rPr>
      </w:pPr>
    </w:p>
    <w:p>
      <w:pPr>
        <w:ind w:firstLine="511"/>
        <w:spacing w:after="0" w:line="291"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An Agreement and Plan of Merger has been approved and executed by (i) EMC Group 5 Limited, a Bermuda exempted company (the “</w:t>
      </w:r>
      <w:r>
        <w:rPr>
          <w:rFonts w:ascii="Times New Roman" w:cs="Times New Roman" w:eastAsia="Times New Roman" w:hAnsi="Times New Roman"/>
          <w:sz w:val="14"/>
          <w:szCs w:val="14"/>
          <w:b w:val="1"/>
          <w:bCs w:val="1"/>
          <w:color w:val="auto"/>
        </w:rPr>
        <w:t>Non-Surviving Entity</w:t>
      </w:r>
      <w:r>
        <w:rPr>
          <w:rFonts w:ascii="Times New Roman" w:cs="Times New Roman" w:eastAsia="Times New Roman" w:hAnsi="Times New Roman"/>
          <w:sz w:val="14"/>
          <w:szCs w:val="14"/>
          <w:color w:val="auto"/>
        </w:rPr>
        <w:t>”), and (ii) Dell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Global Holdings XV L.L.C., a Delaware limited liability company (the “</w:t>
      </w:r>
      <w:r>
        <w:rPr>
          <w:rFonts w:ascii="Times New Roman" w:cs="Times New Roman" w:eastAsia="Times New Roman" w:hAnsi="Times New Roman"/>
          <w:sz w:val="14"/>
          <w:szCs w:val="14"/>
          <w:b w:val="1"/>
          <w:bCs w:val="1"/>
          <w:color w:val="auto"/>
        </w:rPr>
        <w:t>Surviving LLC</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20"/>
        <w:spacing w:after="0"/>
        <w:tabs>
          <w:tab w:leader="none" w:pos="1360" w:val="left"/>
        </w:tabs>
        <w:rPr>
          <w:sz w:val="20"/>
          <w:szCs w:val="20"/>
          <w:color w:val="auto"/>
        </w:rPr>
      </w:pPr>
      <w:r>
        <w:rPr>
          <w:rFonts w:ascii="Times New Roman" w:cs="Times New Roman" w:eastAsia="Times New Roman" w:hAnsi="Times New Roman"/>
          <w:sz w:val="14"/>
          <w:szCs w:val="14"/>
          <w:b w:val="1"/>
          <w:bCs w:val="1"/>
          <w:color w:val="auto"/>
        </w:rPr>
        <w:t>THIRD:</w:t>
      </w:r>
      <w:r>
        <w:rPr>
          <w:sz w:val="20"/>
          <w:szCs w:val="20"/>
          <w:color w:val="auto"/>
        </w:rPr>
        <w:tab/>
      </w:r>
      <w:r>
        <w:rPr>
          <w:rFonts w:ascii="Times New Roman" w:cs="Times New Roman" w:eastAsia="Times New Roman" w:hAnsi="Times New Roman"/>
          <w:sz w:val="14"/>
          <w:szCs w:val="14"/>
          <w:color w:val="auto"/>
        </w:rPr>
        <w:t>The name of the surviving Delaware limited liability company is Dell Global Holdings XV L.L.C.</w:t>
      </w:r>
    </w:p>
    <w:p>
      <w:pPr>
        <w:spacing w:after="0" w:line="179" w:lineRule="exact"/>
        <w:rPr>
          <w:sz w:val="20"/>
          <w:szCs w:val="20"/>
          <w:color w:val="auto"/>
        </w:rPr>
      </w:pPr>
    </w:p>
    <w:p>
      <w:pPr>
        <w:ind w:left="520"/>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FOURTH:</w:t>
      </w:r>
      <w:r>
        <w:rPr>
          <w:sz w:val="20"/>
          <w:szCs w:val="20"/>
          <w:color w:val="auto"/>
        </w:rPr>
        <w:tab/>
      </w:r>
      <w:r>
        <w:rPr>
          <w:rFonts w:ascii="Times New Roman" w:cs="Times New Roman" w:eastAsia="Times New Roman" w:hAnsi="Times New Roman"/>
          <w:sz w:val="14"/>
          <w:szCs w:val="14"/>
          <w:color w:val="auto"/>
        </w:rPr>
        <w:t>The merger of the Non-Surviving Entity into the Surviving LLC shall be effective on September 15, 2018.</w:t>
      </w:r>
    </w:p>
    <w:p>
      <w:pPr>
        <w:spacing w:after="0" w:line="179" w:lineRule="exact"/>
        <w:rPr>
          <w:sz w:val="20"/>
          <w:szCs w:val="20"/>
          <w:color w:val="auto"/>
        </w:rPr>
      </w:pPr>
    </w:p>
    <w:p>
      <w:pPr>
        <w:ind w:right="120" w:firstLine="511"/>
        <w:spacing w:after="0" w:line="291"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executed Agreement and Plan of Merger is on file at a place of business of the Surviving LLC. The address of such place of business of the Surviving LLC is One Dell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Way, Round Rock, Texas 78682.</w:t>
      </w:r>
    </w:p>
    <w:p>
      <w:pPr>
        <w:spacing w:after="0" w:line="120" w:lineRule="exact"/>
        <w:rPr>
          <w:sz w:val="20"/>
          <w:szCs w:val="20"/>
          <w:color w:val="auto"/>
        </w:rPr>
      </w:pPr>
    </w:p>
    <w:p>
      <w:pPr>
        <w:ind w:right="60" w:firstLine="511"/>
        <w:spacing w:after="0" w:line="291"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A copy of the Agreement and Plan of Merger will be furnished by the Surviving LLC, on request and without cost, to any member of the Surviving LLC and any member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person holding an interest in the Non-Surviving Entity.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340995</wp:posOffset>
            </wp:positionV>
            <wp:extent cx="7161530" cy="27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40"/>
          </w:cols>
          <w:pgMar w:left="300" w:top="665"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Dell Global Holdings XV L.L.C has caused this Certificate of Merger to be duly executed as of the date first written above.</w:t>
      </w:r>
    </w:p>
    <w:p>
      <w:pPr>
        <w:spacing w:after="0" w:line="1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DELL GLOBAL HOLDINGS XV L.L.C.</w:t>
      </w:r>
    </w:p>
    <w:p>
      <w:pPr>
        <w:spacing w:after="0" w:line="181" w:lineRule="exact"/>
        <w:rPr>
          <w:sz w:val="20"/>
          <w:szCs w:val="20"/>
          <w:color w:val="auto"/>
        </w:rPr>
      </w:pPr>
    </w:p>
    <w:p>
      <w:pPr>
        <w:ind w:left="5140"/>
        <w:spacing w:after="0"/>
        <w:tabs>
          <w:tab w:leader="none" w:pos="5440" w:val="left"/>
        </w:tabs>
        <w:rPr>
          <w:sz w:val="20"/>
          <w:szCs w:val="20"/>
          <w:color w:val="auto"/>
        </w:rPr>
      </w:pPr>
      <w:r>
        <w:rPr>
          <w:rFonts w:ascii="Times New Roman" w:cs="Times New Roman" w:eastAsia="Times New Roman" w:hAnsi="Times New Roman"/>
          <w:sz w:val="14"/>
          <w:szCs w:val="14"/>
          <w:color w:val="auto"/>
        </w:rPr>
        <w:t>By:</w:t>
        <w:tab/>
        <w:t>/s/ Janet M. Bawcom</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Name: Janet M. Bawcom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-100965</wp:posOffset>
            </wp:positionV>
            <wp:extent cx="336423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4"/>
          <w:szCs w:val="14"/>
          <w:color w:val="auto"/>
        </w:rPr>
        <w:t>Title: Senior Vice President and Assistant Secretary</w:t>
      </w:r>
    </w:p>
    <w:p>
      <w:pPr>
        <w:spacing w:after="0" w:line="16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w:t>
      </w:r>
      <w:r>
        <w:rPr>
          <w:rFonts w:ascii="Times New Roman" w:cs="Times New Roman" w:eastAsia="Times New Roman" w:hAnsi="Times New Roman"/>
          <w:sz w:val="14"/>
          <w:szCs w:val="14"/>
          <w:color w:val="auto"/>
        </w:rPr>
        <w:t xml:space="preserve"> to </w:t>
      </w:r>
      <w:r>
        <w:rPr>
          <w:rFonts w:ascii="Times New Roman" w:cs="Times New Roman" w:eastAsia="Times New Roman" w:hAnsi="Times New Roman"/>
          <w:sz w:val="14"/>
          <w:szCs w:val="14"/>
          <w:i w:val="1"/>
          <w:iCs w:val="1"/>
          <w:color w:val="auto"/>
        </w:rPr>
        <w:t>Certificate of Merger - EMC Group 5 Limited into</w:t>
      </w:r>
    </w:p>
    <w:p>
      <w:pPr>
        <w:spacing w:after="0" w:line="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i w:val="1"/>
          <w:iCs w:val="1"/>
          <w:color w:val="auto"/>
        </w:rPr>
        <w:t>Dell Global Holdings XV L.L.C.</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330200</wp:posOffset>
            </wp:positionV>
            <wp:extent cx="7161530" cy="27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9639"/>
          </w:cols>
          <w:pgMar w:left="820" w:top="325"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September 12, 2018 12:04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123190</wp:posOffset>
            </wp:positionV>
            <wp:extent cx="1351280" cy="3784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4" w:right="47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56"/>
        </w:trPr>
        <w:tc>
          <w:tcPr>
            <w:tcW w:w="282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700" w:type="dxa"/>
            <w:vAlign w:val="bottom"/>
          </w:tcPr>
          <w:p>
            <w:pPr>
              <w:jc w:val="center"/>
              <w:ind w:left="903"/>
              <w:spacing w:after="0"/>
              <w:rPr>
                <w:sz w:val="20"/>
                <w:szCs w:val="20"/>
                <w:color w:val="auto"/>
              </w:rPr>
            </w:pPr>
            <w:r>
              <w:rPr>
                <w:rFonts w:ascii="Times New Roman" w:cs="Times New Roman" w:eastAsia="Times New Roman" w:hAnsi="Times New Roman"/>
                <w:sz w:val="20"/>
                <w:szCs w:val="20"/>
                <w:b w:val="1"/>
                <w:bCs w:val="1"/>
                <w:color w:val="auto"/>
                <w:w w:val="98"/>
              </w:rPr>
              <w:t>The Commonwealth of Massachusetts</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820" w:type="dxa"/>
            <w:vAlign w:val="bottom"/>
            <w:vMerge w:val="continue"/>
          </w:tcPr>
          <w:p>
            <w:pPr>
              <w:spacing w:after="0"/>
              <w:rPr>
                <w:sz w:val="12"/>
                <w:szCs w:val="12"/>
                <w:color w:val="auto"/>
              </w:rPr>
            </w:pPr>
          </w:p>
        </w:tc>
        <w:tc>
          <w:tcPr>
            <w:tcW w:w="4700" w:type="dxa"/>
            <w:vAlign w:val="bottom"/>
          </w:tcPr>
          <w:p>
            <w:pPr>
              <w:jc w:val="center"/>
              <w:ind w:left="883"/>
              <w:spacing w:after="0" w:line="145" w:lineRule="exact"/>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2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4700" w:type="dxa"/>
            <w:vAlign w:val="bottom"/>
          </w:tcPr>
          <w:p>
            <w:pPr>
              <w:jc w:val="center"/>
              <w:ind w:left="86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820" w:type="dxa"/>
            <w:vAlign w:val="bottom"/>
            <w:vMerge w:val="continue"/>
          </w:tcPr>
          <w:p>
            <w:pPr>
              <w:spacing w:after="0"/>
              <w:rPr>
                <w:sz w:val="22"/>
                <w:szCs w:val="22"/>
                <w:color w:val="auto"/>
              </w:rPr>
            </w:pPr>
          </w:p>
        </w:tc>
        <w:tc>
          <w:tcPr>
            <w:tcW w:w="4700" w:type="dxa"/>
            <w:vAlign w:val="bottom"/>
          </w:tcPr>
          <w:p>
            <w:pPr>
              <w:jc w:val="center"/>
              <w:ind w:left="88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700" w:type="dxa"/>
            <w:vAlign w:val="bottom"/>
          </w:tcPr>
          <w:p>
            <w:pPr>
              <w:jc w:val="center"/>
              <w:ind w:left="883"/>
              <w:spacing w:after="0"/>
              <w:rPr>
                <w:sz w:val="20"/>
                <w:szCs w:val="20"/>
                <w:color w:val="auto"/>
              </w:rPr>
            </w:pPr>
            <w:r>
              <w:rPr>
                <w:rFonts w:ascii="Times New Roman" w:cs="Times New Roman" w:eastAsia="Times New Roman" w:hAnsi="Times New Roman"/>
                <w:sz w:val="17"/>
                <w:szCs w:val="17"/>
                <w:b w:val="1"/>
                <w:bCs w:val="1"/>
                <w:color w:val="auto"/>
                <w:w w:val="99"/>
              </w:rPr>
              <w:t>Articles of Merger</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4700" w:type="dxa"/>
            <w:vAlign w:val="bottom"/>
          </w:tcPr>
          <w:p>
            <w:pPr>
              <w:jc w:val="center"/>
              <w:ind w:left="883"/>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4700" w:type="dxa"/>
            <w:vAlign w:val="bottom"/>
          </w:tcPr>
          <w:p>
            <w:pPr>
              <w:jc w:val="center"/>
              <w:ind w:left="863"/>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4700" w:type="dxa"/>
            <w:vAlign w:val="bottom"/>
          </w:tcPr>
          <w:p>
            <w:pPr>
              <w:jc w:val="center"/>
              <w:ind w:left="883"/>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70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277"/>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7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267"/>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Data General International, Inc.</w:t>
            </w:r>
          </w:p>
        </w:tc>
        <w:tc>
          <w:tcPr>
            <w:tcW w:w="47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Delaware</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5, 1994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16153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(3) 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3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20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spacing w:after="0"/>
              <w:rPr>
                <w:sz w:val="16"/>
                <w:szCs w:val="16"/>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4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202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111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dare not more than</w:t>
            </w:r>
          </w:p>
        </w:tc>
      </w:tr>
      <w:tr>
        <w:trPr>
          <w:trHeight w:val="185"/>
        </w:trPr>
        <w:tc>
          <w:tcPr>
            <w:tcW w:w="18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 days from the date and time of filing is specified:</w:t>
            </w:r>
          </w:p>
        </w:tc>
        <w:tc>
          <w:tcPr>
            <w:tcW w:w="1140" w:type="dxa"/>
            <w:vAlign w:val="bottom"/>
          </w:tcPr>
          <w:p>
            <w:pPr>
              <w:spacing w:after="0"/>
              <w:rPr>
                <w:sz w:val="16"/>
                <w:szCs w:val="16"/>
                <w:color w:val="auto"/>
              </w:rPr>
            </w:pPr>
          </w:p>
        </w:tc>
        <w:tc>
          <w:tcPr>
            <w:tcW w:w="67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July 15, 2019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17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plan of merger did not require the approval of the shareholders.</w:t>
      </w:r>
    </w:p>
    <w:p>
      <w:pPr>
        <w:spacing w:after="0" w:line="210" w:lineRule="exact"/>
        <w:rPr>
          <w:sz w:val="20"/>
          <w:szCs w:val="20"/>
          <w:color w:val="auto"/>
        </w:rPr>
      </w:pPr>
    </w:p>
    <w:p>
      <w:pPr>
        <w:ind w:left="260" w:right="80" w:hanging="255"/>
        <w:spacing w:after="0" w:line="288" w:lineRule="auto"/>
        <w:tabs>
          <w:tab w:leader="none" w:pos="2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28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6280" cy="698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665" w:right="319" w:bottom="1440" w:gutter="0" w:footer="0" w:header="0"/>
        </w:sectPr>
      </w:pPr>
    </w:p>
    <w:bookmarkStart w:id="110" w:name="page111"/>
    <w:bookmarkEnd w:id="110"/>
    <w:p>
      <w:pPr>
        <w:ind w:left="255" w:hanging="255"/>
        <w:spacing w:after="0"/>
        <w:tabs>
          <w:tab w:leader="none" w:pos="255"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79" w:lineRule="exact"/>
        <w:rPr>
          <w:rFonts w:ascii="Times New Roman" w:cs="Times New Roman" w:eastAsia="Times New Roman" w:hAnsi="Times New Roman"/>
          <w:sz w:val="14"/>
          <w:szCs w:val="14"/>
          <w:color w:val="auto"/>
        </w:rPr>
      </w:pPr>
    </w:p>
    <w:p>
      <w:pPr>
        <w:ind w:left="255" w:hanging="255"/>
        <w:spacing w:after="0"/>
        <w:tabs>
          <w:tab w:leader="none" w:pos="255"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335" w:hanging="335"/>
        <w:spacing w:after="0"/>
        <w:tabs>
          <w:tab w:leader="none" w:pos="335"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Scare the executive office address of the surviving foreign other entity if such information is not on the public record in the</w:t>
      </w:r>
    </w:p>
    <w:p>
      <w:pPr>
        <w:spacing w:after="0" w:line="23" w:lineRule="exact"/>
        <w:rPr>
          <w:sz w:val="20"/>
          <w:szCs w:val="20"/>
          <w:color w:val="auto"/>
        </w:rPr>
      </w:pPr>
    </w:p>
    <w:p>
      <w:pPr>
        <w:ind w:left="335"/>
        <w:spacing w:after="0"/>
        <w:tabs>
          <w:tab w:leader="none" w:pos="2014" w:val="left"/>
        </w:tabs>
        <w:rPr>
          <w:sz w:val="20"/>
          <w:szCs w:val="20"/>
          <w:color w:val="auto"/>
        </w:rPr>
      </w:pPr>
      <w:r>
        <w:rPr>
          <w:rFonts w:ascii="Times New Roman" w:cs="Times New Roman" w:eastAsia="Times New Roman" w:hAnsi="Times New Roman"/>
          <w:sz w:val="14"/>
          <w:szCs w:val="14"/>
          <w:color w:val="auto"/>
        </w:rPr>
        <w:t>foreign jurisdiction:</w:t>
      </w:r>
      <w:r>
        <w:rPr>
          <w:sz w:val="20"/>
          <w:szCs w:val="20"/>
          <w:color w:val="auto"/>
        </w:rPr>
        <w:tab/>
      </w:r>
      <w:r>
        <w:rPr>
          <w:rFonts w:ascii="Times New Roman" w:cs="Times New Roman" w:eastAsia="Times New Roman" w:hAnsi="Times New Roman"/>
          <w:sz w:val="13"/>
          <w:szCs w:val="13"/>
          <w:color w:val="auto"/>
        </w:rPr>
        <w:t>N/A</w:t>
      </w:r>
    </w:p>
    <w:p>
      <w:pPr>
        <w:spacing w:after="0" w:line="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-100965</wp:posOffset>
            </wp:positionV>
            <wp:extent cx="587121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58712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330200</wp:posOffset>
            </wp:positionV>
            <wp:extent cx="7161530" cy="27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175"/>
          </w:cols>
          <w:pgMar w:left="305" w:top="497" w:right="4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854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/s/ Robert Potts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1040" w:type="dxa"/>
            <w:vAlign w:val="bottom"/>
          </w:tcPr>
          <w:p>
            <w:pPr>
              <w:spacing w:after="0"/>
              <w:rPr>
                <w:sz w:val="12"/>
                <w:szCs w:val="12"/>
                <w:color w:val="auto"/>
              </w:rPr>
            </w:pPr>
          </w:p>
        </w:tc>
        <w:tc>
          <w:tcPr>
            <w:tcW w:w="8540" w:type="dxa"/>
            <w:vAlign w:val="bottom"/>
            <w:tcBorders>
              <w:top w:val="single" w:sz="8" w:color="auto"/>
            </w:tcBorders>
          </w:tcPr>
          <w:p>
            <w:pPr>
              <w:jc w:val="center"/>
              <w:ind w:left="1529"/>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4"/>
        </w:trPr>
        <w:tc>
          <w:tcPr>
            <w:tcW w:w="1040" w:type="dxa"/>
            <w:vAlign w:val="bottom"/>
          </w:tcPr>
          <w:p>
            <w:pPr>
              <w:spacing w:after="0"/>
              <w:rPr>
                <w:sz w:val="16"/>
                <w:szCs w:val="16"/>
                <w:color w:val="auto"/>
              </w:rPr>
            </w:pPr>
          </w:p>
        </w:tc>
        <w:tc>
          <w:tcPr>
            <w:tcW w:w="8540" w:type="dxa"/>
            <w:vAlign w:val="bottom"/>
          </w:tcPr>
          <w:p>
            <w:pPr>
              <w:jc w:val="center"/>
              <w:ind w:left="1529"/>
              <w:spacing w:after="0"/>
              <w:rPr>
                <w:sz w:val="20"/>
                <w:szCs w:val="20"/>
                <w:color w:val="auto"/>
              </w:rPr>
            </w:pPr>
            <w:r>
              <w:rPr>
                <w:rFonts w:ascii="Times New Roman" w:cs="Times New Roman" w:eastAsia="Times New Roman" w:hAnsi="Times New Roman"/>
                <w:sz w:val="14"/>
                <w:szCs w:val="14"/>
                <w:color w:val="auto"/>
              </w:rPr>
              <w:t>Robert Potts, Assistant Secretary, Data General International, Inc.</w:t>
            </w: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700" w:hanging="237"/>
        <w:spacing w:after="0"/>
        <w:tabs>
          <w:tab w:leader="none" w:pos="700" w:val="left"/>
        </w:tabs>
        <w:numPr>
          <w:ilvl w:val="0"/>
          <w:numId w:val="18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18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18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18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340" w:type="dxa"/>
            <w:vAlign w:val="bottom"/>
          </w:tcPr>
          <w:p>
            <w:pPr>
              <w:spacing w:after="0"/>
              <w:rPr>
                <w:sz w:val="16"/>
                <w:szCs w:val="16"/>
                <w:color w:val="auto"/>
              </w:rPr>
            </w:pPr>
          </w:p>
        </w:tc>
        <w:tc>
          <w:tcPr>
            <w:tcW w:w="29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12th</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 of</w:t>
            </w:r>
          </w:p>
        </w:tc>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w:t>
            </w:r>
          </w:p>
        </w:tc>
        <w:tc>
          <w:tcPr>
            <w:tcW w:w="2360" w:type="dxa"/>
            <w:vAlign w:val="bottom"/>
            <w:gridSpan w:val="2"/>
          </w:tcPr>
          <w:p>
            <w:pPr>
              <w:jc w:val="right"/>
              <w:ind w:right="1980"/>
              <w:spacing w:after="0"/>
              <w:rPr>
                <w:sz w:val="20"/>
                <w:szCs w:val="20"/>
                <w:color w:val="auto"/>
              </w:rPr>
            </w:pPr>
            <w:r>
              <w:rPr>
                <w:rFonts w:ascii="Times New Roman" w:cs="Times New Roman" w:eastAsia="Times New Roman" w:hAnsi="Times New Roman"/>
                <w:sz w:val="14"/>
                <w:szCs w:val="14"/>
                <w:color w:val="auto"/>
              </w:rPr>
              <w:t>, 2019</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340" w:type="dxa"/>
            <w:vAlign w:val="bottom"/>
            <w:tcBorders>
              <w:top w:val="single" w:sz="8" w:color="auto"/>
            </w:tcBorders>
          </w:tcPr>
          <w:p>
            <w:pPr>
              <w:spacing w:after="0"/>
              <w:rPr>
                <w:sz w:val="24"/>
                <w:szCs w:val="24"/>
                <w:color w:val="auto"/>
              </w:rPr>
            </w:pPr>
          </w:p>
        </w:tc>
        <w:tc>
          <w:tcPr>
            <w:tcW w:w="294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/s/ Robert Potts</w:t>
            </w:r>
          </w:p>
        </w:tc>
        <w:tc>
          <w:tcPr>
            <w:tcW w:w="100" w:type="dxa"/>
            <w:vAlign w:val="bottom"/>
            <w:tcBorders>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146"/>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8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4"/>
        </w:trPr>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Robert Potts, Assistant Secretary, EMC Corporation</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p>
    <w:p>
      <w:pPr>
        <w:ind w:left="700" w:hanging="237"/>
        <w:spacing w:after="0"/>
        <w:tabs>
          <w:tab w:leader="none" w:pos="700" w:val="left"/>
        </w:tabs>
        <w:numPr>
          <w:ilvl w:val="0"/>
          <w:numId w:val="18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18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18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18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4" w:lineRule="exact"/>
        <w:rPr>
          <w:sz w:val="20"/>
          <w:szCs w:val="20"/>
          <w:color w:val="auto"/>
        </w:rPr>
      </w:pPr>
    </w:p>
    <w:p>
      <w:pPr>
        <w:spacing w:after="0"/>
        <w:tabs>
          <w:tab w:leader="none" w:pos="2180" w:val="left"/>
          <w:tab w:leader="none" w:pos="3980" w:val="left"/>
          <w:tab w:leader="none" w:pos="4620" w:val="left"/>
          <w:tab w:leader="none" w:pos="880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12th</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July</w:t>
      </w:r>
      <w:r>
        <w:rPr>
          <w:sz w:val="20"/>
          <w:szCs w:val="20"/>
          <w:color w:val="auto"/>
        </w:rPr>
        <w:tab/>
      </w:r>
      <w:r>
        <w:rPr>
          <w:rFonts w:ascii="Times New Roman" w:cs="Times New Roman" w:eastAsia="Times New Roman" w:hAnsi="Times New Roman"/>
          <w:sz w:val="14"/>
          <w:szCs w:val="14"/>
          <w:color w:val="auto"/>
        </w:rPr>
        <w:t>, 2019</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5080</wp:posOffset>
            </wp:positionV>
            <wp:extent cx="6654800" cy="133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27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20"/>
          </w:cols>
          <w:pgMar w:left="300" w:top="519" w:right="37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9"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July 12, 2019 03:51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123190</wp:posOffset>
            </wp:positionV>
            <wp:extent cx="1351280" cy="3784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7" w:right="4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56"/>
        </w:trPr>
        <w:tc>
          <w:tcPr>
            <w:tcW w:w="276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760" w:type="dxa"/>
            <w:vAlign w:val="bottom"/>
          </w:tcPr>
          <w:p>
            <w:pPr>
              <w:jc w:val="center"/>
              <w:ind w:left="963"/>
              <w:spacing w:after="0"/>
              <w:rPr>
                <w:sz w:val="20"/>
                <w:szCs w:val="20"/>
                <w:color w:val="auto"/>
              </w:rPr>
            </w:pPr>
            <w:r>
              <w:rPr>
                <w:rFonts w:ascii="Times New Roman" w:cs="Times New Roman" w:eastAsia="Times New Roman" w:hAnsi="Times New Roman"/>
                <w:sz w:val="20"/>
                <w:szCs w:val="20"/>
                <w:b w:val="1"/>
                <w:bCs w:val="1"/>
                <w:color w:val="auto"/>
                <w:w w:val="98"/>
              </w:rPr>
              <w:t>The Commonwealth of Massachusetts</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760" w:type="dxa"/>
            <w:vAlign w:val="bottom"/>
            <w:vMerge w:val="continue"/>
          </w:tcPr>
          <w:p>
            <w:pPr>
              <w:spacing w:after="0"/>
              <w:rPr>
                <w:sz w:val="12"/>
                <w:szCs w:val="12"/>
                <w:color w:val="auto"/>
              </w:rPr>
            </w:pPr>
          </w:p>
        </w:tc>
        <w:tc>
          <w:tcPr>
            <w:tcW w:w="4760" w:type="dxa"/>
            <w:vAlign w:val="bottom"/>
          </w:tcPr>
          <w:p>
            <w:pPr>
              <w:jc w:val="center"/>
              <w:ind w:left="943"/>
              <w:spacing w:after="0" w:line="145" w:lineRule="exact"/>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6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4760" w:type="dxa"/>
            <w:vAlign w:val="bottom"/>
          </w:tcPr>
          <w:p>
            <w:pPr>
              <w:jc w:val="center"/>
              <w:ind w:left="92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760" w:type="dxa"/>
            <w:vAlign w:val="bottom"/>
            <w:vMerge w:val="continue"/>
          </w:tcPr>
          <w:p>
            <w:pPr>
              <w:spacing w:after="0"/>
              <w:rPr>
                <w:sz w:val="22"/>
                <w:szCs w:val="22"/>
                <w:color w:val="auto"/>
              </w:rPr>
            </w:pPr>
          </w:p>
        </w:tc>
        <w:tc>
          <w:tcPr>
            <w:tcW w:w="4760" w:type="dxa"/>
            <w:vAlign w:val="bottom"/>
          </w:tcPr>
          <w:p>
            <w:pPr>
              <w:jc w:val="center"/>
              <w:ind w:left="94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760" w:type="dxa"/>
            <w:vAlign w:val="bottom"/>
          </w:tcPr>
          <w:p>
            <w:pPr>
              <w:jc w:val="center"/>
              <w:ind w:left="943"/>
              <w:spacing w:after="0"/>
              <w:rPr>
                <w:sz w:val="20"/>
                <w:szCs w:val="20"/>
                <w:color w:val="auto"/>
              </w:rPr>
            </w:pPr>
            <w:r>
              <w:rPr>
                <w:rFonts w:ascii="Times New Roman" w:cs="Times New Roman" w:eastAsia="Times New Roman" w:hAnsi="Times New Roman"/>
                <w:sz w:val="17"/>
                <w:szCs w:val="17"/>
                <w:b w:val="1"/>
                <w:bCs w:val="1"/>
                <w:color w:val="auto"/>
                <w:w w:val="99"/>
              </w:rPr>
              <w:t>Articles of Merger</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4760" w:type="dxa"/>
            <w:vAlign w:val="bottom"/>
          </w:tcPr>
          <w:p>
            <w:pPr>
              <w:jc w:val="center"/>
              <w:ind w:left="943"/>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60" w:type="dxa"/>
            <w:vAlign w:val="bottom"/>
          </w:tcPr>
          <w:p>
            <w:pPr>
              <w:jc w:val="center"/>
              <w:ind w:left="923"/>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4760" w:type="dxa"/>
            <w:vAlign w:val="bottom"/>
          </w:tcPr>
          <w:p>
            <w:pPr>
              <w:jc w:val="center"/>
              <w:ind w:left="943"/>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76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27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7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26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Investment Corporation</w:t>
            </w:r>
          </w:p>
        </w:tc>
        <w:tc>
          <w:tcPr>
            <w:tcW w:w="47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Delaware</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Marcg 22, 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16153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(3) The foreign corporation or ocher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3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20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spacing w:after="0"/>
              <w:rPr>
                <w:sz w:val="16"/>
                <w:szCs w:val="16"/>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4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202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111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w:t>
            </w:r>
          </w:p>
        </w:tc>
      </w:tr>
      <w:tr>
        <w:trPr>
          <w:trHeight w:val="185"/>
        </w:trPr>
        <w:tc>
          <w:tcPr>
            <w:tcW w:w="18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days from the date and time of filing is specified:</w:t>
            </w:r>
          </w:p>
        </w:tc>
        <w:tc>
          <w:tcPr>
            <w:tcW w:w="1140" w:type="dxa"/>
            <w:vAlign w:val="bottom"/>
          </w:tcPr>
          <w:p>
            <w:pPr>
              <w:spacing w:after="0"/>
              <w:rPr>
                <w:sz w:val="16"/>
                <w:szCs w:val="16"/>
                <w:color w:val="auto"/>
              </w:rPr>
            </w:pPr>
          </w:p>
        </w:tc>
        <w:tc>
          <w:tcPr>
            <w:tcW w:w="67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July 15, 2019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18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79" w:lineRule="exact"/>
        <w:rPr>
          <w:sz w:val="20"/>
          <w:szCs w:val="20"/>
          <w:color w:val="auto"/>
        </w:rPr>
      </w:pPr>
    </w:p>
    <w:p>
      <w:pPr>
        <w:ind w:left="520" w:hanging="260"/>
        <w:spacing w:after="0"/>
        <w:tabs>
          <w:tab w:leader="none" w:pos="520" w:val="left"/>
        </w:tabs>
        <w:numPr>
          <w:ilvl w:val="1"/>
          <w:numId w:val="18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did not require the approval of the shareholders.</w:t>
      </w:r>
    </w:p>
    <w:p>
      <w:pPr>
        <w:spacing w:after="0" w:line="179" w:lineRule="exact"/>
        <w:rPr>
          <w:rFonts w:ascii="MS PGothic" w:cs="MS PGothic" w:eastAsia="MS PGothic" w:hAnsi="MS PGothic"/>
          <w:sz w:val="14"/>
          <w:szCs w:val="14"/>
          <w:color w:val="auto"/>
        </w:rPr>
      </w:pPr>
    </w:p>
    <w:p>
      <w:pPr>
        <w:ind w:left="200" w:right="180" w:hanging="195"/>
        <w:spacing w:after="0" w:line="288" w:lineRule="auto"/>
        <w:tabs>
          <w:tab w:leader="none" w:pos="2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ind w:left="260" w:hanging="255"/>
        <w:spacing w:after="0"/>
        <w:tabs>
          <w:tab w:leader="none" w:pos="260" w:val="left"/>
        </w:tabs>
        <w:numPr>
          <w:ilvl w:val="0"/>
          <w:numId w:val="18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i w:val="1"/>
          <w:iCs w:val="1"/>
          <w:color w:val="auto"/>
        </w:rPr>
        <w:t>**</w:t>
        <w:tab/>
        <w:t>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86487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864870" cy="698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161530" cy="27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114" w:name="page115"/>
    <w:bookmarkEnd w:id="114"/>
    <w:p>
      <w:pPr>
        <w:ind w:left="255" w:hanging="255"/>
        <w:spacing w:after="0"/>
        <w:tabs>
          <w:tab w:leader="none" w:pos="255"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79" w:lineRule="exact"/>
        <w:rPr>
          <w:rFonts w:ascii="Times New Roman" w:cs="Times New Roman" w:eastAsia="Times New Roman" w:hAnsi="Times New Roman"/>
          <w:sz w:val="14"/>
          <w:szCs w:val="14"/>
          <w:color w:val="auto"/>
        </w:rPr>
      </w:pPr>
    </w:p>
    <w:p>
      <w:pPr>
        <w:ind w:left="255" w:hanging="255"/>
        <w:spacing w:after="0"/>
        <w:tabs>
          <w:tab w:leader="none" w:pos="255"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275" w:hanging="275"/>
        <w:spacing w:after="0"/>
        <w:tabs>
          <w:tab w:leader="none" w:pos="275"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w:t>
      </w:r>
    </w:p>
    <w:p>
      <w:pPr>
        <w:spacing w:after="0" w:line="23" w:lineRule="exact"/>
        <w:rPr>
          <w:sz w:val="20"/>
          <w:szCs w:val="20"/>
          <w:color w:val="auto"/>
        </w:rPr>
      </w:pPr>
    </w:p>
    <w:p>
      <w:pPr>
        <w:ind w:left="255"/>
        <w:spacing w:after="0"/>
        <w:tabs>
          <w:tab w:leader="none" w:pos="2354" w:val="left"/>
        </w:tabs>
        <w:rPr>
          <w:sz w:val="20"/>
          <w:szCs w:val="20"/>
          <w:color w:val="auto"/>
        </w:rPr>
      </w:pPr>
      <w:r>
        <w:rPr>
          <w:rFonts w:ascii="Times New Roman" w:cs="Times New Roman" w:eastAsia="Times New Roman" w:hAnsi="Times New Roman"/>
          <w:sz w:val="14"/>
          <w:szCs w:val="14"/>
          <w:color w:val="auto"/>
        </w:rPr>
        <w:t>foreign jurisdiction:</w:t>
      </w:r>
      <w:r>
        <w:rPr>
          <w:sz w:val="20"/>
          <w:szCs w:val="20"/>
          <w:color w:val="auto"/>
        </w:rPr>
        <w:tab/>
      </w:r>
      <w:r>
        <w:rPr>
          <w:rFonts w:ascii="Times New Roman" w:cs="Times New Roman" w:eastAsia="Times New Roman" w:hAnsi="Times New Roman"/>
          <w:sz w:val="13"/>
          <w:szCs w:val="13"/>
          <w:color w:val="auto"/>
        </w:rPr>
        <w:t>N/A</w:t>
      </w:r>
    </w:p>
    <w:p>
      <w:pPr>
        <w:spacing w:after="0" w:line="9"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-100965</wp:posOffset>
            </wp:positionV>
            <wp:extent cx="565467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56546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161530" cy="27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175"/>
          </w:cols>
          <w:pgMar w:left="305" w:top="497" w:right="4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850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/s/ Robert Potts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1040" w:type="dxa"/>
            <w:vAlign w:val="bottom"/>
          </w:tcPr>
          <w:p>
            <w:pPr>
              <w:spacing w:after="0"/>
              <w:rPr>
                <w:sz w:val="12"/>
                <w:szCs w:val="12"/>
                <w:color w:val="auto"/>
              </w:rPr>
            </w:pPr>
          </w:p>
        </w:tc>
        <w:tc>
          <w:tcPr>
            <w:tcW w:w="8500" w:type="dxa"/>
            <w:vAlign w:val="bottom"/>
            <w:tcBorders>
              <w:top w:val="single" w:sz="8" w:color="auto"/>
            </w:tcBorders>
          </w:tcPr>
          <w:p>
            <w:pPr>
              <w:jc w:val="center"/>
              <w:ind w:left="1569"/>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4"/>
        </w:trPr>
        <w:tc>
          <w:tcPr>
            <w:tcW w:w="1040" w:type="dxa"/>
            <w:vAlign w:val="bottom"/>
          </w:tcPr>
          <w:p>
            <w:pPr>
              <w:spacing w:after="0"/>
              <w:rPr>
                <w:sz w:val="16"/>
                <w:szCs w:val="16"/>
                <w:color w:val="auto"/>
              </w:rPr>
            </w:pPr>
          </w:p>
        </w:tc>
        <w:tc>
          <w:tcPr>
            <w:tcW w:w="8500" w:type="dxa"/>
            <w:vAlign w:val="bottom"/>
          </w:tcPr>
          <w:p>
            <w:pPr>
              <w:jc w:val="center"/>
              <w:ind w:left="1569"/>
              <w:spacing w:after="0"/>
              <w:rPr>
                <w:sz w:val="20"/>
                <w:szCs w:val="20"/>
                <w:color w:val="auto"/>
              </w:rPr>
            </w:pPr>
            <w:r>
              <w:rPr>
                <w:rFonts w:ascii="Times New Roman" w:cs="Times New Roman" w:eastAsia="Times New Roman" w:hAnsi="Times New Roman"/>
                <w:sz w:val="14"/>
                <w:szCs w:val="14"/>
                <w:color w:val="auto"/>
              </w:rPr>
              <w:t>Robert Potts, Assistant Secretary, EMC Investment Corporation</w:t>
            </w: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700" w:hanging="237"/>
        <w:spacing w:after="0"/>
        <w:tabs>
          <w:tab w:leader="none" w:pos="700" w:val="left"/>
        </w:tabs>
        <w:numPr>
          <w:ilvl w:val="0"/>
          <w:numId w:val="19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19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19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19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340" w:type="dxa"/>
            <w:vAlign w:val="bottom"/>
          </w:tcPr>
          <w:p>
            <w:pPr>
              <w:spacing w:after="0"/>
              <w:rPr>
                <w:sz w:val="16"/>
                <w:szCs w:val="16"/>
                <w:color w:val="auto"/>
              </w:rPr>
            </w:pPr>
          </w:p>
        </w:tc>
        <w:tc>
          <w:tcPr>
            <w:tcW w:w="29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12th</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 of</w:t>
            </w:r>
          </w:p>
        </w:tc>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w:t>
            </w:r>
          </w:p>
        </w:tc>
        <w:tc>
          <w:tcPr>
            <w:tcW w:w="2360" w:type="dxa"/>
            <w:vAlign w:val="bottom"/>
            <w:gridSpan w:val="2"/>
          </w:tcPr>
          <w:p>
            <w:pPr>
              <w:jc w:val="right"/>
              <w:ind w:right="1980"/>
              <w:spacing w:after="0"/>
              <w:rPr>
                <w:sz w:val="20"/>
                <w:szCs w:val="20"/>
                <w:color w:val="auto"/>
              </w:rPr>
            </w:pPr>
            <w:r>
              <w:rPr>
                <w:rFonts w:ascii="Times New Roman" w:cs="Times New Roman" w:eastAsia="Times New Roman" w:hAnsi="Times New Roman"/>
                <w:sz w:val="14"/>
                <w:szCs w:val="14"/>
                <w:color w:val="auto"/>
              </w:rPr>
              <w:t>, 2019</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340" w:type="dxa"/>
            <w:vAlign w:val="bottom"/>
            <w:tcBorders>
              <w:top w:val="single" w:sz="8" w:color="auto"/>
            </w:tcBorders>
          </w:tcPr>
          <w:p>
            <w:pPr>
              <w:spacing w:after="0"/>
              <w:rPr>
                <w:sz w:val="24"/>
                <w:szCs w:val="24"/>
                <w:color w:val="auto"/>
              </w:rPr>
            </w:pPr>
          </w:p>
        </w:tc>
        <w:tc>
          <w:tcPr>
            <w:tcW w:w="294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/s/ Robert Potts</w:t>
            </w:r>
          </w:p>
        </w:tc>
        <w:tc>
          <w:tcPr>
            <w:tcW w:w="100" w:type="dxa"/>
            <w:vAlign w:val="bottom"/>
            <w:tcBorders>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146"/>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8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4"/>
        </w:trPr>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Robert Potts, Assistant Secretary, EMC Corporation</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p>
    <w:p>
      <w:pPr>
        <w:ind w:left="700" w:hanging="237"/>
        <w:spacing w:after="0"/>
        <w:tabs>
          <w:tab w:leader="none" w:pos="700" w:val="left"/>
        </w:tabs>
        <w:numPr>
          <w:ilvl w:val="0"/>
          <w:numId w:val="19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19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19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19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p>
      <w:pPr>
        <w:spacing w:after="0"/>
        <w:tabs>
          <w:tab w:leader="none" w:pos="2180" w:val="left"/>
          <w:tab w:leader="none" w:pos="3980" w:val="left"/>
          <w:tab w:leader="none" w:pos="4620" w:val="left"/>
          <w:tab w:leader="none" w:pos="880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12th</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July</w:t>
      </w:r>
      <w:r>
        <w:rPr>
          <w:sz w:val="20"/>
          <w:szCs w:val="20"/>
          <w:color w:val="auto"/>
        </w:rPr>
        <w:tab/>
      </w:r>
      <w:r>
        <w:rPr>
          <w:rFonts w:ascii="Times New Roman" w:cs="Times New Roman" w:eastAsia="Times New Roman" w:hAnsi="Times New Roman"/>
          <w:sz w:val="14"/>
          <w:szCs w:val="14"/>
          <w:color w:val="auto"/>
        </w:rPr>
        <w:t>, 2019</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6654800" cy="133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wp:posOffset>
            </wp:positionV>
            <wp:extent cx="7161530" cy="27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20"/>
          </w:cols>
          <w:pgMar w:left="300" w:top="518" w:right="37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July 15, 2019 04:04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123190</wp:posOffset>
            </wp:positionV>
            <wp:extent cx="1351280" cy="3784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4" w:right="47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394"/>
        </w:trPr>
        <w:tc>
          <w:tcPr>
            <w:tcW w:w="2680" w:type="dxa"/>
            <w:vAlign w:val="bottom"/>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840" w:type="dxa"/>
            <w:vAlign w:val="bottom"/>
          </w:tcPr>
          <w:p>
            <w:pPr>
              <w:jc w:val="center"/>
              <w:ind w:left="1027"/>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80" w:type="dxa"/>
            <w:vAlign w:val="bottom"/>
            <w:vMerge w:val="restart"/>
          </w:tcPr>
          <w:p>
            <w:pPr>
              <w:spacing w:after="0" w:line="375" w:lineRule="exact"/>
              <w:rPr>
                <w:sz w:val="20"/>
                <w:szCs w:val="20"/>
                <w:color w:val="auto"/>
              </w:rPr>
            </w:pPr>
            <w:r>
              <w:rPr>
                <w:rFonts w:ascii="Times New Roman" w:cs="Times New Roman" w:eastAsia="Times New Roman" w:hAnsi="Times New Roman"/>
                <w:sz w:val="34"/>
                <w:szCs w:val="34"/>
                <w:b w:val="1"/>
                <w:bCs w:val="1"/>
                <w:color w:val="auto"/>
              </w:rPr>
              <w:t>PC</w:t>
            </w:r>
          </w:p>
        </w:tc>
        <w:tc>
          <w:tcPr>
            <w:tcW w:w="4840" w:type="dxa"/>
            <w:vAlign w:val="bottom"/>
          </w:tcPr>
          <w:p>
            <w:pPr>
              <w:jc w:val="center"/>
              <w:ind w:left="1027"/>
              <w:spacing w:after="0"/>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680" w:type="dxa"/>
            <w:vAlign w:val="bottom"/>
            <w:vMerge w:val="continue"/>
          </w:tcPr>
          <w:p>
            <w:pPr>
              <w:spacing w:after="0"/>
              <w:rPr>
                <w:sz w:val="14"/>
                <w:szCs w:val="14"/>
                <w:color w:val="auto"/>
              </w:rPr>
            </w:pPr>
          </w:p>
        </w:tc>
        <w:tc>
          <w:tcPr>
            <w:tcW w:w="4840" w:type="dxa"/>
            <w:vAlign w:val="bottom"/>
          </w:tcPr>
          <w:p>
            <w:pPr>
              <w:jc w:val="center"/>
              <w:ind w:left="1007"/>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4840" w:type="dxa"/>
            <w:vAlign w:val="bottom"/>
          </w:tcPr>
          <w:p>
            <w:pPr>
              <w:jc w:val="center"/>
              <w:ind w:left="1027"/>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840" w:type="dxa"/>
            <w:vAlign w:val="bottom"/>
          </w:tcPr>
          <w:p>
            <w:pPr>
              <w:jc w:val="center"/>
              <w:ind w:left="1027"/>
              <w:spacing w:after="0"/>
              <w:rPr>
                <w:sz w:val="20"/>
                <w:szCs w:val="20"/>
                <w:color w:val="auto"/>
              </w:rPr>
            </w:pPr>
            <w:r>
              <w:rPr>
                <w:rFonts w:ascii="Times New Roman" w:cs="Times New Roman" w:eastAsia="Times New Roman" w:hAnsi="Times New Roman"/>
                <w:sz w:val="14"/>
                <w:szCs w:val="14"/>
                <w:b w:val="1"/>
                <w:bCs w:val="1"/>
                <w:color w:val="auto"/>
                <w:w w:val="99"/>
              </w:rPr>
              <w:t>Articles of Merger</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70"/>
        </w:trPr>
        <w:tc>
          <w:tcPr>
            <w:tcW w:w="2680" w:type="dxa"/>
            <w:vAlign w:val="bottom"/>
          </w:tcPr>
          <w:p>
            <w:pPr>
              <w:spacing w:after="0"/>
              <w:rPr>
                <w:sz w:val="14"/>
                <w:szCs w:val="14"/>
                <w:color w:val="auto"/>
              </w:rPr>
            </w:pPr>
          </w:p>
        </w:tc>
        <w:tc>
          <w:tcPr>
            <w:tcW w:w="4840" w:type="dxa"/>
            <w:vAlign w:val="bottom"/>
          </w:tcPr>
          <w:p>
            <w:pPr>
              <w:jc w:val="center"/>
              <w:ind w:left="1027"/>
              <w:spacing w:after="0"/>
              <w:rPr>
                <w:sz w:val="20"/>
                <w:szCs w:val="20"/>
                <w:color w:val="auto"/>
              </w:rPr>
            </w:pPr>
            <w:r>
              <w:rPr>
                <w:rFonts w:ascii="Times New Roman" w:cs="Times New Roman" w:eastAsia="Times New Roman" w:hAnsi="Times New Roman"/>
                <w:sz w:val="14"/>
                <w:szCs w:val="14"/>
                <w:b w:val="1"/>
                <w:bCs w:val="1"/>
                <w:color w:val="auto"/>
              </w:rPr>
              <w:t>Involving Domestic Corporations,</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14"/>
                <w:szCs w:val="14"/>
                <w:color w:val="auto"/>
              </w:rPr>
            </w:pPr>
          </w:p>
        </w:tc>
        <w:tc>
          <w:tcPr>
            <w:tcW w:w="4840" w:type="dxa"/>
            <w:vAlign w:val="bottom"/>
          </w:tcPr>
          <w:p>
            <w:pPr>
              <w:jc w:val="center"/>
              <w:ind w:left="1007"/>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4840" w:type="dxa"/>
            <w:vAlign w:val="bottom"/>
          </w:tcPr>
          <w:p>
            <w:pPr>
              <w:jc w:val="center"/>
              <w:ind w:left="1027"/>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8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277"/>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267"/>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 wave Software LLC</w:t>
            </w:r>
          </w:p>
        </w:tc>
        <w:tc>
          <w:tcPr>
            <w:tcW w:w="4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Texas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June 3, 2003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16153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(3) 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3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20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spacing w:after="0"/>
              <w:rPr>
                <w:sz w:val="16"/>
                <w:szCs w:val="16"/>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4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202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111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dare not more than 90</w:t>
            </w:r>
          </w:p>
        </w:tc>
      </w:tr>
      <w:tr>
        <w:trPr>
          <w:trHeight w:val="185"/>
        </w:trPr>
        <w:tc>
          <w:tcPr>
            <w:tcW w:w="18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days from the date and time of filing is specified:</w:t>
            </w:r>
          </w:p>
        </w:tc>
        <w:tc>
          <w:tcPr>
            <w:tcW w:w="1140" w:type="dxa"/>
            <w:vAlign w:val="bottom"/>
          </w:tcPr>
          <w:p>
            <w:pPr>
              <w:spacing w:after="0"/>
              <w:rPr>
                <w:sz w:val="16"/>
                <w:szCs w:val="16"/>
                <w:color w:val="auto"/>
              </w:rPr>
            </w:pPr>
          </w:p>
        </w:tc>
        <w:tc>
          <w:tcPr>
            <w:tcW w:w="67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July 15, 2019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19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plan of merger did not require the approval of the shareholders.</w:t>
      </w:r>
    </w:p>
    <w:p>
      <w:pPr>
        <w:spacing w:after="0" w:line="210" w:lineRule="exact"/>
        <w:rPr>
          <w:sz w:val="20"/>
          <w:szCs w:val="20"/>
          <w:color w:val="auto"/>
        </w:rPr>
      </w:pPr>
    </w:p>
    <w:p>
      <w:pPr>
        <w:ind w:left="260" w:right="80" w:hanging="255"/>
        <w:spacing w:after="0" w:line="288" w:lineRule="auto"/>
        <w:tabs>
          <w:tab w:leader="none" w:pos="2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86487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864870" cy="698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118" w:name="page119"/>
    <w:bookmarkEnd w:id="118"/>
    <w:p>
      <w:pPr>
        <w:ind w:left="255" w:hanging="255"/>
        <w:spacing w:after="0"/>
        <w:tabs>
          <w:tab w:leader="none" w:pos="255"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79" w:lineRule="exact"/>
        <w:rPr>
          <w:rFonts w:ascii="Times New Roman" w:cs="Times New Roman" w:eastAsia="Times New Roman" w:hAnsi="Times New Roman"/>
          <w:sz w:val="14"/>
          <w:szCs w:val="14"/>
          <w:color w:val="auto"/>
        </w:rPr>
      </w:pPr>
    </w:p>
    <w:p>
      <w:pPr>
        <w:ind w:left="255" w:hanging="255"/>
        <w:spacing w:after="0"/>
        <w:tabs>
          <w:tab w:leader="none" w:pos="255"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275" w:hanging="275"/>
        <w:spacing w:after="0"/>
        <w:tabs>
          <w:tab w:leader="none" w:pos="275"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w:t>
      </w:r>
    </w:p>
    <w:p>
      <w:pPr>
        <w:spacing w:after="0" w:line="23" w:lineRule="exact"/>
        <w:rPr>
          <w:sz w:val="20"/>
          <w:szCs w:val="20"/>
          <w:color w:val="auto"/>
        </w:rPr>
      </w:pPr>
    </w:p>
    <w:p>
      <w:pPr>
        <w:ind w:left="255"/>
        <w:spacing w:after="0"/>
        <w:tabs>
          <w:tab w:leader="none" w:pos="2354" w:val="left"/>
        </w:tabs>
        <w:rPr>
          <w:sz w:val="20"/>
          <w:szCs w:val="20"/>
          <w:color w:val="auto"/>
        </w:rPr>
      </w:pPr>
      <w:r>
        <w:rPr>
          <w:rFonts w:ascii="Times New Roman" w:cs="Times New Roman" w:eastAsia="Times New Roman" w:hAnsi="Times New Roman"/>
          <w:sz w:val="14"/>
          <w:szCs w:val="14"/>
          <w:color w:val="auto"/>
        </w:rPr>
        <w:t>foreign jurisdiction:</w:t>
      </w:r>
      <w:r>
        <w:rPr>
          <w:sz w:val="20"/>
          <w:szCs w:val="20"/>
          <w:color w:val="auto"/>
        </w:rPr>
        <w:tab/>
      </w:r>
      <w:r>
        <w:rPr>
          <w:rFonts w:ascii="Times New Roman" w:cs="Times New Roman" w:eastAsia="Times New Roman" w:hAnsi="Times New Roman"/>
          <w:sz w:val="13"/>
          <w:szCs w:val="13"/>
          <w:color w:val="auto"/>
        </w:rPr>
        <w:t>N/A</w:t>
      </w:r>
    </w:p>
    <w:p>
      <w:pPr>
        <w:spacing w:after="0" w:line="9"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-100965</wp:posOffset>
            </wp:positionV>
            <wp:extent cx="565467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56546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161530" cy="27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175"/>
          </w:cols>
          <w:pgMar w:left="305" w:top="497" w:right="4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8420" w:type="dxa"/>
            <w:vAlign w:val="bottom"/>
          </w:tcPr>
          <w:p>
            <w:pPr>
              <w:ind w:left="4640"/>
              <w:spacing w:after="0"/>
              <w:rPr>
                <w:sz w:val="20"/>
                <w:szCs w:val="20"/>
                <w:color w:val="auto"/>
              </w:rPr>
            </w:pPr>
            <w:r>
              <w:rPr>
                <w:rFonts w:ascii="Times New Roman" w:cs="Times New Roman" w:eastAsia="Times New Roman" w:hAnsi="Times New Roman"/>
                <w:sz w:val="14"/>
                <w:szCs w:val="14"/>
                <w:color w:val="auto"/>
              </w:rPr>
              <w:t>/s/ Robert Potts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1040" w:type="dxa"/>
            <w:vAlign w:val="bottom"/>
          </w:tcPr>
          <w:p>
            <w:pPr>
              <w:spacing w:after="0"/>
              <w:rPr>
                <w:sz w:val="12"/>
                <w:szCs w:val="12"/>
                <w:color w:val="auto"/>
              </w:rPr>
            </w:pPr>
          </w:p>
        </w:tc>
        <w:tc>
          <w:tcPr>
            <w:tcW w:w="8420" w:type="dxa"/>
            <w:vAlign w:val="bottom"/>
            <w:tcBorders>
              <w:top w:val="single" w:sz="8" w:color="auto"/>
            </w:tcBorders>
          </w:tcPr>
          <w:p>
            <w:pPr>
              <w:jc w:val="center"/>
              <w:ind w:left="1649"/>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4"/>
        </w:trPr>
        <w:tc>
          <w:tcPr>
            <w:tcW w:w="1040" w:type="dxa"/>
            <w:vAlign w:val="bottom"/>
          </w:tcPr>
          <w:p>
            <w:pPr>
              <w:spacing w:after="0"/>
              <w:rPr>
                <w:sz w:val="16"/>
                <w:szCs w:val="16"/>
                <w:color w:val="auto"/>
              </w:rPr>
            </w:pPr>
          </w:p>
        </w:tc>
        <w:tc>
          <w:tcPr>
            <w:tcW w:w="8420" w:type="dxa"/>
            <w:vAlign w:val="bottom"/>
          </w:tcPr>
          <w:p>
            <w:pPr>
              <w:jc w:val="center"/>
              <w:ind w:left="1649"/>
              <w:spacing w:after="0"/>
              <w:rPr>
                <w:sz w:val="20"/>
                <w:szCs w:val="20"/>
                <w:color w:val="auto"/>
              </w:rPr>
            </w:pPr>
            <w:r>
              <w:rPr>
                <w:rFonts w:ascii="Times New Roman" w:cs="Times New Roman" w:eastAsia="Times New Roman" w:hAnsi="Times New Roman"/>
                <w:sz w:val="14"/>
                <w:szCs w:val="14"/>
                <w:color w:val="auto"/>
              </w:rPr>
              <w:t>Robert Potts, Assistant Secretary, I Wave Software, LLC.</w:t>
            </w:r>
          </w:p>
        </w:tc>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700" w:hanging="237"/>
        <w:spacing w:after="0"/>
        <w:tabs>
          <w:tab w:leader="none" w:pos="700" w:val="left"/>
        </w:tabs>
        <w:numPr>
          <w:ilvl w:val="0"/>
          <w:numId w:val="20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20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20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20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340" w:type="dxa"/>
            <w:vAlign w:val="bottom"/>
          </w:tcPr>
          <w:p>
            <w:pPr>
              <w:spacing w:after="0"/>
              <w:rPr>
                <w:sz w:val="16"/>
                <w:szCs w:val="16"/>
                <w:color w:val="auto"/>
              </w:rPr>
            </w:pPr>
          </w:p>
        </w:tc>
        <w:tc>
          <w:tcPr>
            <w:tcW w:w="29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12th</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 of</w:t>
            </w:r>
          </w:p>
        </w:tc>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w:t>
            </w:r>
          </w:p>
        </w:tc>
        <w:tc>
          <w:tcPr>
            <w:tcW w:w="2360" w:type="dxa"/>
            <w:vAlign w:val="bottom"/>
            <w:gridSpan w:val="2"/>
          </w:tcPr>
          <w:p>
            <w:pPr>
              <w:jc w:val="right"/>
              <w:ind w:right="1980"/>
              <w:spacing w:after="0"/>
              <w:rPr>
                <w:sz w:val="20"/>
                <w:szCs w:val="20"/>
                <w:color w:val="auto"/>
              </w:rPr>
            </w:pPr>
            <w:r>
              <w:rPr>
                <w:rFonts w:ascii="Times New Roman" w:cs="Times New Roman" w:eastAsia="Times New Roman" w:hAnsi="Times New Roman"/>
                <w:sz w:val="14"/>
                <w:szCs w:val="14"/>
                <w:color w:val="auto"/>
              </w:rPr>
              <w:t>, 2019</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340" w:type="dxa"/>
            <w:vAlign w:val="bottom"/>
            <w:tcBorders>
              <w:top w:val="single" w:sz="8" w:color="auto"/>
            </w:tcBorders>
          </w:tcPr>
          <w:p>
            <w:pPr>
              <w:spacing w:after="0"/>
              <w:rPr>
                <w:sz w:val="24"/>
                <w:szCs w:val="24"/>
                <w:color w:val="auto"/>
              </w:rPr>
            </w:pPr>
          </w:p>
        </w:tc>
        <w:tc>
          <w:tcPr>
            <w:tcW w:w="294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/s/ Robert Potts</w:t>
            </w:r>
          </w:p>
        </w:tc>
        <w:tc>
          <w:tcPr>
            <w:tcW w:w="100" w:type="dxa"/>
            <w:vAlign w:val="bottom"/>
            <w:tcBorders>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146"/>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8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4"/>
        </w:trPr>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Robert Potts, Assistant Secretary, EMC Corporation</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p>
    <w:p>
      <w:pPr>
        <w:ind w:left="700" w:hanging="237"/>
        <w:spacing w:after="0"/>
        <w:tabs>
          <w:tab w:leader="none" w:pos="700" w:val="left"/>
        </w:tabs>
        <w:numPr>
          <w:ilvl w:val="0"/>
          <w:numId w:val="20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20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20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20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4" w:lineRule="exact"/>
        <w:rPr>
          <w:sz w:val="20"/>
          <w:szCs w:val="20"/>
          <w:color w:val="auto"/>
        </w:rPr>
      </w:pPr>
    </w:p>
    <w:p>
      <w:pPr>
        <w:spacing w:after="0"/>
        <w:tabs>
          <w:tab w:leader="none" w:pos="2180" w:val="left"/>
          <w:tab w:leader="none" w:pos="3980" w:val="left"/>
          <w:tab w:leader="none" w:pos="4620" w:val="left"/>
          <w:tab w:leader="none" w:pos="880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12th</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July</w:t>
      </w:r>
      <w:r>
        <w:rPr>
          <w:sz w:val="20"/>
          <w:szCs w:val="20"/>
          <w:color w:val="auto"/>
        </w:rPr>
        <w:tab/>
      </w:r>
      <w:r>
        <w:rPr>
          <w:rFonts w:ascii="Times New Roman" w:cs="Times New Roman" w:eastAsia="Times New Roman" w:hAnsi="Times New Roman"/>
          <w:sz w:val="14"/>
          <w:szCs w:val="14"/>
          <w:color w:val="auto"/>
        </w:rPr>
        <w:t>, 2019</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5080</wp:posOffset>
            </wp:positionV>
            <wp:extent cx="6654800" cy="133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273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20"/>
          </w:cols>
          <w:pgMar w:left="300" w:top="518" w:right="37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July 15, 2019 04:06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123190</wp:posOffset>
            </wp:positionV>
            <wp:extent cx="1351280" cy="3784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4" w:right="47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394"/>
        </w:trPr>
        <w:tc>
          <w:tcPr>
            <w:tcW w:w="2680" w:type="dxa"/>
            <w:vAlign w:val="bottom"/>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80" w:type="dxa"/>
            <w:vAlign w:val="bottom"/>
            <w:vMerge w:val="restart"/>
          </w:tcPr>
          <w:p>
            <w:pPr>
              <w:spacing w:after="0" w:line="375" w:lineRule="exact"/>
              <w:rPr>
                <w:sz w:val="20"/>
                <w:szCs w:val="20"/>
                <w:color w:val="auto"/>
              </w:rPr>
            </w:pPr>
            <w:r>
              <w:rPr>
                <w:rFonts w:ascii="Times New Roman" w:cs="Times New Roman" w:eastAsia="Times New Roman" w:hAnsi="Times New Roman"/>
                <w:sz w:val="34"/>
                <w:szCs w:val="34"/>
                <w:b w:val="1"/>
                <w:bCs w:val="1"/>
                <w:color w:val="auto"/>
              </w:rPr>
              <w:t>PC</w:t>
            </w: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680" w:type="dxa"/>
            <w:vAlign w:val="bottom"/>
            <w:vMerge w:val="continue"/>
          </w:tcPr>
          <w:p>
            <w:pPr>
              <w:spacing w:after="0"/>
              <w:rPr>
                <w:sz w:val="14"/>
                <w:szCs w:val="14"/>
                <w:color w:val="auto"/>
              </w:rPr>
            </w:pPr>
          </w:p>
        </w:tc>
        <w:tc>
          <w:tcPr>
            <w:tcW w:w="4840" w:type="dxa"/>
            <w:vAlign w:val="bottom"/>
          </w:tcPr>
          <w:p>
            <w:pPr>
              <w:jc w:val="center"/>
              <w:ind w:left="100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17"/>
                <w:szCs w:val="17"/>
                <w:b w:val="1"/>
                <w:bCs w:val="1"/>
                <w:color w:val="auto"/>
                <w:w w:val="99"/>
              </w:rPr>
              <w:t>Articles of Merger</w:t>
            </w:r>
          </w:p>
        </w:tc>
        <w:tc>
          <w:tcPr>
            <w:tcW w:w="3760" w:type="dxa"/>
            <w:vAlign w:val="bottom"/>
          </w:tcPr>
          <w:p>
            <w:pPr>
              <w:ind w:left="222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4840" w:type="dxa"/>
            <w:vAlign w:val="bottom"/>
          </w:tcPr>
          <w:p>
            <w:pPr>
              <w:jc w:val="center"/>
              <w:ind w:left="1023"/>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4840" w:type="dxa"/>
            <w:vAlign w:val="bottom"/>
          </w:tcPr>
          <w:p>
            <w:pPr>
              <w:jc w:val="center"/>
              <w:ind w:left="1003"/>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80" w:type="dxa"/>
            <w:vAlign w:val="bottom"/>
          </w:tcPr>
          <w:p>
            <w:pPr>
              <w:spacing w:after="0"/>
              <w:rPr>
                <w:sz w:val="16"/>
                <w:szCs w:val="16"/>
                <w:color w:val="auto"/>
              </w:rPr>
            </w:pPr>
          </w:p>
        </w:tc>
        <w:tc>
          <w:tcPr>
            <w:tcW w:w="4840" w:type="dxa"/>
            <w:vAlign w:val="bottom"/>
          </w:tcPr>
          <w:p>
            <w:pPr>
              <w:jc w:val="center"/>
              <w:ind w:left="1023"/>
              <w:spacing w:after="0"/>
              <w:rPr>
                <w:sz w:val="20"/>
                <w:szCs w:val="20"/>
                <w:color w:val="auto"/>
              </w:rPr>
            </w:pPr>
            <w:r>
              <w:rPr>
                <w:rFonts w:ascii="Times New Roman" w:cs="Times New Roman" w:eastAsia="Times New Roman" w:hAnsi="Times New Roman"/>
                <w:sz w:val="14"/>
                <w:szCs w:val="14"/>
                <w:color w:val="auto"/>
              </w:rPr>
              <w:t>(General Laws Chapter 156D, Section 11.06; 950 CMR 113.37)</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8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(2) JURISDICTION</w:t>
            </w:r>
          </w:p>
        </w:tc>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277"/>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Massachusetts</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267"/>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Magnetics LLC</w:t>
            </w:r>
          </w:p>
        </w:tc>
        <w:tc>
          <w:tcPr>
            <w:tcW w:w="4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Delaware</w:t>
            </w:r>
          </w:p>
        </w:tc>
        <w:tc>
          <w:tcPr>
            <w:tcW w:w="3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October 22,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16153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(3) 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3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20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spacing w:after="0"/>
              <w:rPr>
                <w:sz w:val="16"/>
                <w:szCs w:val="16"/>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4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202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111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dare not more than 90</w:t>
            </w:r>
          </w:p>
        </w:tc>
      </w:tr>
      <w:tr>
        <w:trPr>
          <w:trHeight w:val="185"/>
        </w:trPr>
        <w:tc>
          <w:tcPr>
            <w:tcW w:w="18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days from the date and time of filing is specified:</w:t>
            </w:r>
          </w:p>
        </w:tc>
        <w:tc>
          <w:tcPr>
            <w:tcW w:w="1140" w:type="dxa"/>
            <w:vAlign w:val="bottom"/>
          </w:tcPr>
          <w:p>
            <w:pPr>
              <w:spacing w:after="0"/>
              <w:rPr>
                <w:sz w:val="16"/>
                <w:szCs w:val="16"/>
                <w:color w:val="auto"/>
              </w:rPr>
            </w:pPr>
          </w:p>
        </w:tc>
        <w:tc>
          <w:tcPr>
            <w:tcW w:w="67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July 15, 2019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20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86487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864870" cy="698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122" w:name="page123"/>
    <w:bookmarkEnd w:id="122"/>
    <w:p>
      <w:pPr>
        <w:ind w:left="255" w:hanging="255"/>
        <w:spacing w:after="0"/>
        <w:tabs>
          <w:tab w:leader="none" w:pos="255"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79" w:lineRule="exact"/>
        <w:rPr>
          <w:rFonts w:ascii="Times New Roman" w:cs="Times New Roman" w:eastAsia="Times New Roman" w:hAnsi="Times New Roman"/>
          <w:sz w:val="14"/>
          <w:szCs w:val="14"/>
          <w:color w:val="auto"/>
        </w:rPr>
      </w:pPr>
    </w:p>
    <w:p>
      <w:pPr>
        <w:ind w:left="255" w:hanging="255"/>
        <w:spacing w:after="0"/>
        <w:tabs>
          <w:tab w:leader="none" w:pos="255"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275" w:hanging="275"/>
        <w:spacing w:after="0"/>
        <w:tabs>
          <w:tab w:leader="none" w:pos="275"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w:t>
      </w:r>
    </w:p>
    <w:p>
      <w:pPr>
        <w:spacing w:after="0" w:line="23" w:lineRule="exact"/>
        <w:rPr>
          <w:sz w:val="20"/>
          <w:szCs w:val="20"/>
          <w:color w:val="auto"/>
        </w:rPr>
      </w:pPr>
    </w:p>
    <w:p>
      <w:pPr>
        <w:ind w:left="255"/>
        <w:spacing w:after="0"/>
        <w:tabs>
          <w:tab w:leader="none" w:pos="2354" w:val="left"/>
        </w:tabs>
        <w:rPr>
          <w:sz w:val="20"/>
          <w:szCs w:val="20"/>
          <w:color w:val="auto"/>
        </w:rPr>
      </w:pPr>
      <w:r>
        <w:rPr>
          <w:rFonts w:ascii="Times New Roman" w:cs="Times New Roman" w:eastAsia="Times New Roman" w:hAnsi="Times New Roman"/>
          <w:sz w:val="14"/>
          <w:szCs w:val="14"/>
          <w:color w:val="auto"/>
        </w:rPr>
        <w:t>foreign jurisdiction:</w:t>
      </w:r>
      <w:r>
        <w:rPr>
          <w:sz w:val="20"/>
          <w:szCs w:val="20"/>
          <w:color w:val="auto"/>
        </w:rPr>
        <w:tab/>
      </w:r>
      <w:r>
        <w:rPr>
          <w:rFonts w:ascii="Times New Roman" w:cs="Times New Roman" w:eastAsia="Times New Roman" w:hAnsi="Times New Roman"/>
          <w:sz w:val="13"/>
          <w:szCs w:val="13"/>
          <w:color w:val="auto"/>
        </w:rPr>
        <w:t>N/A</w:t>
      </w:r>
    </w:p>
    <w:p>
      <w:pPr>
        <w:spacing w:after="0" w:line="9"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-100965</wp:posOffset>
            </wp:positionV>
            <wp:extent cx="565467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56546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161530" cy="27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175"/>
          </w:cols>
          <w:pgMar w:left="305" w:top="497" w:right="4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4"/>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 18. 2019 11:58 AM</w:t>
            </w:r>
          </w:p>
        </w:tc>
        <w:tc>
          <w:tcPr>
            <w:tcW w:w="6000" w:type="dxa"/>
            <w:vAlign w:val="bottom"/>
          </w:tcPr>
          <w:p>
            <w:pPr>
              <w:spacing w:after="0"/>
              <w:rPr>
                <w:sz w:val="16"/>
                <w:szCs w:val="16"/>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No. 3522 P. 4</w:t>
            </w:r>
          </w:p>
        </w:tc>
      </w:tr>
      <w:tr>
        <w:trPr>
          <w:trHeight w:val="362"/>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600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9"/>
              </w:rPr>
              <w:t>/s/ Robert Potts</w:t>
            </w:r>
          </w:p>
        </w:tc>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104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6000" w:type="dxa"/>
            <w:vAlign w:val="bottom"/>
            <w:tcBorders>
              <w:top w:val="single" w:sz="8" w:color="auto"/>
            </w:tcBorders>
          </w:tcPr>
          <w:p>
            <w:pPr>
              <w:jc w:val="center"/>
              <w:ind w:left="109"/>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2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84"/>
        </w:trPr>
        <w:tc>
          <w:tcPr>
            <w:tcW w:w="10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Robert Potts, Assistant Secretary, Magnetics LLC.</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700" w:hanging="237"/>
        <w:spacing w:after="0"/>
        <w:tabs>
          <w:tab w:leader="none" w:pos="700" w:val="left"/>
        </w:tabs>
        <w:numPr>
          <w:ilvl w:val="0"/>
          <w:numId w:val="20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20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21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21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340" w:type="dxa"/>
            <w:vAlign w:val="bottom"/>
          </w:tcPr>
          <w:p>
            <w:pPr>
              <w:spacing w:after="0"/>
              <w:rPr>
                <w:sz w:val="14"/>
                <w:szCs w:val="14"/>
                <w:color w:val="auto"/>
              </w:rPr>
            </w:pPr>
          </w:p>
        </w:tc>
        <w:tc>
          <w:tcPr>
            <w:tcW w:w="29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18th</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 of</w:t>
            </w:r>
          </w:p>
        </w:tc>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July</w:t>
            </w:r>
          </w:p>
        </w:tc>
        <w:tc>
          <w:tcPr>
            <w:tcW w:w="2360" w:type="dxa"/>
            <w:vAlign w:val="bottom"/>
            <w:gridSpan w:val="2"/>
          </w:tcPr>
          <w:p>
            <w:pPr>
              <w:jc w:val="right"/>
              <w:ind w:right="1980"/>
              <w:spacing w:after="0"/>
              <w:rPr>
                <w:sz w:val="20"/>
                <w:szCs w:val="20"/>
                <w:color w:val="auto"/>
              </w:rPr>
            </w:pPr>
            <w:r>
              <w:rPr>
                <w:rFonts w:ascii="Times New Roman" w:cs="Times New Roman" w:eastAsia="Times New Roman" w:hAnsi="Times New Roman"/>
                <w:sz w:val="14"/>
                <w:szCs w:val="14"/>
                <w:color w:val="auto"/>
              </w:rPr>
              <w:t>, 2019</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340" w:type="dxa"/>
            <w:vAlign w:val="bottom"/>
            <w:tcBorders>
              <w:top w:val="single" w:sz="8" w:color="auto"/>
            </w:tcBorders>
          </w:tcPr>
          <w:p>
            <w:pPr>
              <w:spacing w:after="0"/>
              <w:rPr>
                <w:sz w:val="24"/>
                <w:szCs w:val="24"/>
                <w:color w:val="auto"/>
              </w:rPr>
            </w:pPr>
          </w:p>
        </w:tc>
        <w:tc>
          <w:tcPr>
            <w:tcW w:w="294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/s/ Robert Potts</w:t>
            </w:r>
          </w:p>
        </w:tc>
        <w:tc>
          <w:tcPr>
            <w:tcW w:w="100" w:type="dxa"/>
            <w:vAlign w:val="bottom"/>
            <w:tcBorders>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146"/>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8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4"/>
        </w:trPr>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Robert Potts, Assistant Secretary, EMC Corporation</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p>
    <w:p>
      <w:pPr>
        <w:ind w:left="700" w:hanging="237"/>
        <w:spacing w:after="0"/>
        <w:tabs>
          <w:tab w:leader="none" w:pos="700" w:val="left"/>
        </w:tabs>
        <w:numPr>
          <w:ilvl w:val="0"/>
          <w:numId w:val="21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21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21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21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4" w:lineRule="exact"/>
        <w:rPr>
          <w:sz w:val="20"/>
          <w:szCs w:val="20"/>
          <w:color w:val="auto"/>
        </w:rPr>
      </w:pPr>
    </w:p>
    <w:p>
      <w:pPr>
        <w:spacing w:after="0"/>
        <w:tabs>
          <w:tab w:leader="none" w:pos="2180" w:val="left"/>
          <w:tab w:leader="none" w:pos="3980" w:val="left"/>
          <w:tab w:leader="none" w:pos="4620" w:val="left"/>
          <w:tab w:leader="none" w:pos="880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18th</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July</w:t>
      </w:r>
      <w:r>
        <w:rPr>
          <w:sz w:val="20"/>
          <w:szCs w:val="20"/>
          <w:color w:val="auto"/>
        </w:rPr>
        <w:tab/>
      </w:r>
      <w:r>
        <w:rPr>
          <w:rFonts w:ascii="Times New Roman" w:cs="Times New Roman" w:eastAsia="Times New Roman" w:hAnsi="Times New Roman"/>
          <w:sz w:val="14"/>
          <w:szCs w:val="14"/>
          <w:color w:val="auto"/>
        </w:rPr>
        <w:t>, 2019</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5080</wp:posOffset>
            </wp:positionV>
            <wp:extent cx="6654800" cy="133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27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327" w:right="3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July 18, 2019 12:08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123190</wp:posOffset>
            </wp:positionV>
            <wp:extent cx="1351280" cy="3784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4" w:right="47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77"/>
        </w:trPr>
        <w:tc>
          <w:tcPr>
            <w:tcW w:w="264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242200"/>
              </w:rPr>
              <w:t>DF</w:t>
            </w:r>
          </w:p>
        </w:tc>
        <w:tc>
          <w:tcPr>
            <w:tcW w:w="5260" w:type="dxa"/>
            <w:vAlign w:val="bottom"/>
          </w:tcPr>
          <w:p>
            <w:pPr>
              <w:jc w:val="center"/>
              <w:ind w:left="683"/>
              <w:spacing w:after="0"/>
              <w:rPr>
                <w:sz w:val="20"/>
                <w:szCs w:val="20"/>
                <w:color w:val="auto"/>
              </w:rPr>
            </w:pPr>
            <w:r>
              <w:rPr>
                <w:rFonts w:ascii="Times New Roman" w:cs="Times New Roman" w:eastAsia="Times New Roman" w:hAnsi="Times New Roman"/>
                <w:sz w:val="20"/>
                <w:szCs w:val="20"/>
                <w:b w:val="1"/>
                <w:bCs w:val="1"/>
                <w:color w:val="242400"/>
                <w:w w:val="99"/>
              </w:rPr>
              <w:t>The Commonwealth of Massachusetts</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40" w:type="dxa"/>
            <w:vAlign w:val="bottom"/>
            <w:vMerge w:val="continue"/>
          </w:tcPr>
          <w:p>
            <w:pPr>
              <w:spacing w:after="0"/>
              <w:rPr>
                <w:sz w:val="12"/>
                <w:szCs w:val="12"/>
                <w:color w:val="auto"/>
              </w:rPr>
            </w:pPr>
          </w:p>
        </w:tc>
        <w:tc>
          <w:tcPr>
            <w:tcW w:w="5260" w:type="dxa"/>
            <w:vAlign w:val="bottom"/>
          </w:tcPr>
          <w:p>
            <w:pPr>
              <w:jc w:val="center"/>
              <w:ind w:left="683"/>
              <w:spacing w:after="0" w:line="145" w:lineRule="exact"/>
              <w:rPr>
                <w:sz w:val="20"/>
                <w:szCs w:val="20"/>
                <w:color w:val="auto"/>
              </w:rPr>
            </w:pPr>
            <w:r>
              <w:rPr>
                <w:rFonts w:ascii="Times New Roman" w:cs="Times New Roman" w:eastAsia="Times New Roman" w:hAnsi="Times New Roman"/>
                <w:sz w:val="14"/>
                <w:szCs w:val="14"/>
                <w:b w:val="1"/>
                <w:bCs w:val="1"/>
                <w:color w:val="141400"/>
              </w:rPr>
              <w:t>William Francis Galvin</w:t>
            </w: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64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5260" w:type="dxa"/>
            <w:vAlign w:val="bottom"/>
          </w:tcPr>
          <w:p>
            <w:pPr>
              <w:jc w:val="center"/>
              <w:ind w:left="663"/>
              <w:spacing w:after="0"/>
              <w:rPr>
                <w:sz w:val="20"/>
                <w:szCs w:val="20"/>
                <w:color w:val="auto"/>
              </w:rPr>
            </w:pPr>
            <w:r>
              <w:rPr>
                <w:rFonts w:ascii="Times New Roman" w:cs="Times New Roman" w:eastAsia="Times New Roman" w:hAnsi="Times New Roman"/>
                <w:sz w:val="14"/>
                <w:szCs w:val="14"/>
                <w:color w:val="161600"/>
              </w:rPr>
              <w:t>Secretary of the Commonwealth</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640" w:type="dxa"/>
            <w:vAlign w:val="bottom"/>
            <w:vMerge w:val="continue"/>
          </w:tcPr>
          <w:p>
            <w:pPr>
              <w:spacing w:after="0"/>
              <w:rPr>
                <w:sz w:val="20"/>
                <w:szCs w:val="20"/>
                <w:color w:val="auto"/>
              </w:rPr>
            </w:pPr>
          </w:p>
        </w:tc>
        <w:tc>
          <w:tcPr>
            <w:tcW w:w="5260" w:type="dxa"/>
            <w:vAlign w:val="bottom"/>
          </w:tcPr>
          <w:p>
            <w:pPr>
              <w:jc w:val="center"/>
              <w:ind w:left="683"/>
              <w:spacing w:after="0"/>
              <w:rPr>
                <w:sz w:val="20"/>
                <w:szCs w:val="20"/>
                <w:color w:val="auto"/>
              </w:rPr>
            </w:pPr>
            <w:r>
              <w:rPr>
                <w:rFonts w:ascii="Times New Roman" w:cs="Times New Roman" w:eastAsia="Times New Roman" w:hAnsi="Times New Roman"/>
                <w:sz w:val="14"/>
                <w:szCs w:val="14"/>
                <w:color w:val="161600"/>
              </w:rPr>
              <w:t>One Ashburton Place, Boston, Massachusetts 02108-1512</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1B1B00"/>
              </w:rPr>
              <w:t>FORM MUST BE TYPED</w:t>
            </w:r>
          </w:p>
        </w:tc>
        <w:tc>
          <w:tcPr>
            <w:tcW w:w="5260" w:type="dxa"/>
            <w:vAlign w:val="bottom"/>
          </w:tcPr>
          <w:p>
            <w:pPr>
              <w:jc w:val="center"/>
              <w:ind w:left="443"/>
              <w:spacing w:after="0"/>
              <w:rPr>
                <w:sz w:val="20"/>
                <w:szCs w:val="20"/>
                <w:color w:val="auto"/>
              </w:rPr>
            </w:pPr>
            <w:r>
              <w:rPr>
                <w:rFonts w:ascii="Times New Roman" w:cs="Times New Roman" w:eastAsia="Times New Roman" w:hAnsi="Times New Roman"/>
                <w:sz w:val="17"/>
                <w:szCs w:val="17"/>
                <w:b w:val="1"/>
                <w:bCs w:val="1"/>
                <w:color w:val="1C1C00"/>
                <w:w w:val="99"/>
              </w:rPr>
              <w:t>Articles of Merger</w:t>
            </w:r>
          </w:p>
        </w:tc>
        <w:tc>
          <w:tcPr>
            <w:tcW w:w="3380" w:type="dxa"/>
            <w:vAlign w:val="bottom"/>
          </w:tcPr>
          <w:p>
            <w:pPr>
              <w:ind w:left="1840"/>
              <w:spacing w:after="0"/>
              <w:rPr>
                <w:sz w:val="20"/>
                <w:szCs w:val="20"/>
                <w:color w:val="auto"/>
              </w:rPr>
            </w:pPr>
            <w:r>
              <w:rPr>
                <w:rFonts w:ascii="Times New Roman" w:cs="Times New Roman" w:eastAsia="Times New Roman" w:hAnsi="Times New Roman"/>
                <w:sz w:val="14"/>
                <w:szCs w:val="14"/>
                <w:color w:val="1C1C00"/>
                <w:w w:val="99"/>
              </w:rPr>
              <w:t>FORM MUST BE TYPED</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5260" w:type="dxa"/>
            <w:vAlign w:val="bottom"/>
          </w:tcPr>
          <w:p>
            <w:pPr>
              <w:jc w:val="center"/>
              <w:ind w:left="443"/>
              <w:spacing w:after="0" w:line="192" w:lineRule="exact"/>
              <w:rPr>
                <w:sz w:val="20"/>
                <w:szCs w:val="20"/>
                <w:color w:val="auto"/>
              </w:rPr>
            </w:pPr>
            <w:r>
              <w:rPr>
                <w:rFonts w:ascii="Times New Roman" w:cs="Times New Roman" w:eastAsia="Times New Roman" w:hAnsi="Times New Roman"/>
                <w:sz w:val="17"/>
                <w:szCs w:val="17"/>
                <w:b w:val="1"/>
                <w:bCs w:val="1"/>
                <w:color w:val="1C1C00"/>
                <w:w w:val="99"/>
              </w:rPr>
              <w:t>Involving Domestic Corporations,</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5260" w:type="dxa"/>
            <w:vAlign w:val="bottom"/>
          </w:tcPr>
          <w:p>
            <w:pPr>
              <w:jc w:val="center"/>
              <w:ind w:left="463"/>
              <w:spacing w:after="0"/>
              <w:rPr>
                <w:sz w:val="20"/>
                <w:szCs w:val="20"/>
                <w:color w:val="auto"/>
              </w:rPr>
            </w:pPr>
            <w:r>
              <w:rPr>
                <w:rFonts w:ascii="Times New Roman" w:cs="Times New Roman" w:eastAsia="Times New Roman" w:hAnsi="Times New Roman"/>
                <w:sz w:val="17"/>
                <w:szCs w:val="17"/>
                <w:b w:val="1"/>
                <w:bCs w:val="1"/>
                <w:color w:val="1C1C00"/>
              </w:rPr>
              <w:t>Foreign Corporations or Foreign Other Entities</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tcPr>
          <w:p>
            <w:pPr>
              <w:spacing w:after="0"/>
              <w:rPr>
                <w:sz w:val="16"/>
                <w:szCs w:val="16"/>
                <w:color w:val="auto"/>
              </w:rPr>
            </w:pPr>
          </w:p>
        </w:tc>
        <w:tc>
          <w:tcPr>
            <w:tcW w:w="5260" w:type="dxa"/>
            <w:vAlign w:val="bottom"/>
          </w:tcPr>
          <w:p>
            <w:pPr>
              <w:jc w:val="center"/>
              <w:ind w:left="443"/>
              <w:spacing w:after="0"/>
              <w:rPr>
                <w:sz w:val="20"/>
                <w:szCs w:val="20"/>
                <w:color w:val="auto"/>
              </w:rPr>
            </w:pPr>
            <w:r>
              <w:rPr>
                <w:rFonts w:ascii="Times New Roman" w:cs="Times New Roman" w:eastAsia="Times New Roman" w:hAnsi="Times New Roman"/>
                <w:sz w:val="14"/>
                <w:szCs w:val="14"/>
                <w:color w:val="1C1C00"/>
              </w:rPr>
              <w:t>(General Laws Chapter 156D, Section 11.06; 950 CMR 113.37)</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1E1E00"/>
              </w:rPr>
              <w:t>Exact name, jurisdiction and date of organization of each party to the merger:</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171700"/>
              </w:rPr>
              <w:t>(1) EXACT NAME</w:t>
            </w:r>
          </w:p>
        </w:tc>
        <w:tc>
          <w:tcPr>
            <w:tcW w:w="5260" w:type="dxa"/>
            <w:vAlign w:val="bottom"/>
          </w:tcPr>
          <w:p>
            <w:pPr>
              <w:ind w:left="1880"/>
              <w:spacing w:after="0"/>
              <w:rPr>
                <w:sz w:val="20"/>
                <w:szCs w:val="20"/>
                <w:color w:val="auto"/>
              </w:rPr>
            </w:pPr>
            <w:r>
              <w:rPr>
                <w:rFonts w:ascii="Times New Roman" w:cs="Times New Roman" w:eastAsia="Times New Roman" w:hAnsi="Times New Roman"/>
                <w:sz w:val="14"/>
                <w:szCs w:val="14"/>
                <w:color w:val="1A1A00"/>
              </w:rPr>
              <w:t>(2) JURISDICTION</w:t>
            </w:r>
          </w:p>
        </w:tc>
        <w:tc>
          <w:tcPr>
            <w:tcW w:w="3380" w:type="dxa"/>
            <w:vAlign w:val="bottom"/>
          </w:tcPr>
          <w:p>
            <w:pPr>
              <w:ind w:left="560"/>
              <w:spacing w:after="0"/>
              <w:rPr>
                <w:sz w:val="20"/>
                <w:szCs w:val="20"/>
                <w:color w:val="auto"/>
              </w:rPr>
            </w:pPr>
            <w:r>
              <w:rPr>
                <w:rFonts w:ascii="Times New Roman" w:cs="Times New Roman" w:eastAsia="Times New Roman" w:hAnsi="Times New Roman"/>
                <w:sz w:val="14"/>
                <w:szCs w:val="14"/>
                <w:color w:val="191900"/>
              </w:rPr>
              <w:t>DATE OF ORGANIZATION</w:t>
            </w:r>
          </w:p>
        </w:tc>
        <w:tc>
          <w:tcPr>
            <w:tcW w:w="0" w:type="dxa"/>
            <w:vAlign w:val="bottom"/>
          </w:tcPr>
          <w:p>
            <w:pPr>
              <w:spacing w:after="0"/>
              <w:rPr>
                <w:sz w:val="1"/>
                <w:szCs w:val="1"/>
                <w:color w:val="auto"/>
              </w:rPr>
            </w:pPr>
          </w:p>
        </w:tc>
      </w:tr>
      <w:tr>
        <w:trPr>
          <w:trHeight w:val="341"/>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71700"/>
              </w:rPr>
              <w:t>EMC Corporation</w:t>
            </w:r>
          </w:p>
        </w:tc>
        <w:tc>
          <w:tcPr>
            <w:tcW w:w="52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4"/>
                <w:szCs w:val="14"/>
                <w:color w:val="121200"/>
              </w:rPr>
              <w:t>Massachusetts</w:t>
            </w:r>
          </w:p>
        </w:tc>
        <w:tc>
          <w:tcPr>
            <w:tcW w:w="3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222200"/>
              </w:rPr>
              <w:t>August 23, 1979</w:t>
            </w:r>
          </w:p>
        </w:tc>
        <w:tc>
          <w:tcPr>
            <w:tcW w:w="0" w:type="dxa"/>
            <w:vAlign w:val="bottom"/>
          </w:tcPr>
          <w:p>
            <w:pPr>
              <w:spacing w:after="0"/>
              <w:rPr>
                <w:sz w:val="1"/>
                <w:szCs w:val="1"/>
                <w:color w:val="auto"/>
              </w:rPr>
            </w:pPr>
          </w:p>
        </w:tc>
      </w:tr>
      <w:tr>
        <w:trPr>
          <w:trHeight w:val="331"/>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11100"/>
              </w:rPr>
              <w:t>Evolutionary, Corporation</w:t>
            </w:r>
          </w:p>
        </w:tc>
        <w:tc>
          <w:tcPr>
            <w:tcW w:w="52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4"/>
                <w:szCs w:val="14"/>
                <w:color w:val="121200"/>
              </w:rPr>
              <w:t>Delaware</w:t>
            </w:r>
          </w:p>
        </w:tc>
        <w:tc>
          <w:tcPr>
            <w:tcW w:w="3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222200"/>
              </w:rPr>
              <w:t>July 25,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262600"/>
                <w:w w:val="97"/>
              </w:rPr>
              <w:t>(3)</w:t>
            </w:r>
          </w:p>
        </w:tc>
        <w:tc>
          <w:tcPr>
            <w:tcW w:w="11100" w:type="dxa"/>
            <w:vAlign w:val="bottom"/>
            <w:gridSpan w:val="5"/>
          </w:tcPr>
          <w:p>
            <w:pPr>
              <w:ind w:left="20"/>
              <w:spacing w:after="0" w:line="161" w:lineRule="exact"/>
              <w:rPr>
                <w:sz w:val="20"/>
                <w:szCs w:val="20"/>
                <w:color w:val="auto"/>
              </w:rPr>
            </w:pPr>
            <w:r>
              <w:rPr>
                <w:rFonts w:ascii="Times New Roman" w:cs="Times New Roman" w:eastAsia="Times New Roman" w:hAnsi="Times New Roman"/>
                <w:sz w:val="14"/>
                <w:szCs w:val="14"/>
                <w:color w:val="262600"/>
              </w:rPr>
              <w:t xml:space="preserve">The foreign corporation or other entity </w:t>
            </w:r>
            <w:r>
              <w:rPr>
                <w:rFonts w:ascii="MS PGothic" w:cs="MS PGothic" w:eastAsia="MS PGothic" w:hAnsi="MS PGothic"/>
                <w:sz w:val="14"/>
                <w:szCs w:val="14"/>
                <w:color w:val="262600"/>
              </w:rPr>
              <w:t>☐</w:t>
            </w:r>
            <w:r>
              <w:rPr>
                <w:rFonts w:ascii="Times New Roman" w:cs="Times New Roman" w:eastAsia="Times New Roman" w:hAnsi="Times New Roman"/>
                <w:sz w:val="14"/>
                <w:szCs w:val="14"/>
                <w:color w:val="262600"/>
              </w:rPr>
              <w:t xml:space="preserve"> is /</w:t>
            </w:r>
            <w:r>
              <w:rPr>
                <w:rFonts w:ascii="MS PGothic" w:cs="MS PGothic" w:eastAsia="MS PGothic" w:hAnsi="MS PGothic"/>
                <w:sz w:val="14"/>
                <w:szCs w:val="14"/>
                <w:color w:val="262600"/>
              </w:rPr>
              <w:t>☒</w:t>
            </w:r>
            <w:r>
              <w:rPr>
                <w:rFonts w:ascii="Times New Roman" w:cs="Times New Roman" w:eastAsia="Times New Roman" w:hAnsi="Times New Roman"/>
                <w:sz w:val="14"/>
                <w:szCs w:val="14"/>
                <w:color w:val="262600"/>
              </w:rPr>
              <w:t xml:space="preserve"> is not authorized to conduct business in the Commonwealth.</w:t>
            </w:r>
          </w:p>
        </w:tc>
      </w:tr>
      <w:tr>
        <w:trPr>
          <w:trHeight w:val="340"/>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1B1B00"/>
                <w:w w:val="97"/>
              </w:rPr>
              <w:t>(4)</w:t>
            </w:r>
          </w:p>
        </w:tc>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1B1B00"/>
              </w:rPr>
              <w:t>Exact name of the surviving entity:</w:t>
            </w: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1B1B00"/>
              </w:rPr>
              <w:t>EMC Corporation</w:t>
            </w:r>
          </w:p>
        </w:tc>
        <w:tc>
          <w:tcPr>
            <w:tcW w:w="17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131300"/>
                <w:w w:val="97"/>
              </w:rPr>
              <w:t>(5)</w:t>
            </w:r>
          </w:p>
        </w:tc>
        <w:tc>
          <w:tcPr>
            <w:tcW w:w="4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131300"/>
              </w:rPr>
              <w:t>Jurisdiction under the laws of which the surviving entity will be organized:</w:t>
            </w:r>
          </w:p>
        </w:tc>
        <w:tc>
          <w:tcPr>
            <w:tcW w:w="176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31300"/>
              </w:rPr>
              <w:t>Massachusetts</w:t>
            </w: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1E1E00"/>
                <w:w w:val="97"/>
              </w:rPr>
              <w:t>(6)</w:t>
            </w:r>
          </w:p>
        </w:tc>
        <w:tc>
          <w:tcPr>
            <w:tcW w:w="111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1E1E00"/>
              </w:rPr>
              <w:t>The merger shall be effective at the time and on the date approved by the Division, unless a later effective date or more than</w:t>
            </w:r>
          </w:p>
        </w:tc>
      </w:tr>
      <w:tr>
        <w:trPr>
          <w:trHeight w:val="185"/>
        </w:trPr>
        <w:tc>
          <w:tcPr>
            <w:tcW w:w="18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191900"/>
              </w:rPr>
              <w:t>90 days from the date and time of filing is specified:</w:t>
            </w:r>
          </w:p>
        </w:tc>
        <w:tc>
          <w:tcPr>
            <w:tcW w:w="26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1E1E00"/>
              </w:rPr>
              <w:t>August 2,2019</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424200"/>
        </w:rPr>
        <w:t>(</w:t>
      </w:r>
      <w:r>
        <w:rPr>
          <w:rFonts w:ascii="Times New Roman" w:cs="Times New Roman" w:eastAsia="Times New Roman" w:hAnsi="Times New Roman"/>
          <w:sz w:val="14"/>
          <w:szCs w:val="14"/>
          <w:color w:val="000000"/>
        </w:rPr>
        <w:t>7-8) For each domestic corporation that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212100"/>
        </w:rPr>
        <w:t>(check appropriate box)</w:t>
      </w:r>
    </w:p>
    <w:p>
      <w:pPr>
        <w:spacing w:after="0" w:line="181" w:lineRule="exact"/>
        <w:rPr>
          <w:sz w:val="20"/>
          <w:szCs w:val="20"/>
          <w:color w:val="auto"/>
        </w:rPr>
      </w:pPr>
    </w:p>
    <w:p>
      <w:pPr>
        <w:ind w:left="520" w:hanging="260"/>
        <w:spacing w:after="0"/>
        <w:tabs>
          <w:tab w:leader="none" w:pos="520" w:val="left"/>
        </w:tabs>
        <w:numPr>
          <w:ilvl w:val="0"/>
          <w:numId w:val="215"/>
        </w:numPr>
        <w:rPr>
          <w:rFonts w:ascii="MS PGothic" w:cs="MS PGothic" w:eastAsia="MS PGothic" w:hAnsi="MS PGothic"/>
          <w:sz w:val="14"/>
          <w:szCs w:val="14"/>
          <w:color w:val="1A1F00"/>
        </w:rPr>
      </w:pPr>
      <w:r>
        <w:rPr>
          <w:rFonts w:ascii="Times New Roman" w:cs="Times New Roman" w:eastAsia="Times New Roman" w:hAnsi="Times New Roman"/>
          <w:sz w:val="14"/>
          <w:szCs w:val="14"/>
          <w:color w:val="1A1F00"/>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1A1F00"/>
        </w:rPr>
      </w:pPr>
    </w:p>
    <w:p>
      <w:pPr>
        <w:ind w:left="260"/>
        <w:spacing w:after="0"/>
        <w:rPr>
          <w:rFonts w:ascii="MS PGothic" w:cs="MS PGothic" w:eastAsia="MS PGothic" w:hAnsi="MS PGothic"/>
          <w:sz w:val="14"/>
          <w:szCs w:val="14"/>
          <w:color w:val="1A1F00"/>
        </w:rPr>
      </w:pPr>
      <w:r>
        <w:rPr>
          <w:rFonts w:ascii="Times New Roman" w:cs="Times New Roman" w:eastAsia="Times New Roman" w:hAnsi="Times New Roman"/>
          <w:sz w:val="14"/>
          <w:szCs w:val="14"/>
          <w:color w:val="121200"/>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242400"/>
        </w:rPr>
        <w:t>☒</w:t>
      </w:r>
      <w:r>
        <w:rPr>
          <w:rFonts w:ascii="Times New Roman" w:cs="Times New Roman" w:eastAsia="Times New Roman" w:hAnsi="Times New Roman"/>
          <w:sz w:val="14"/>
          <w:szCs w:val="14"/>
          <w:color w:val="242400"/>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216"/>
        </w:numPr>
        <w:rPr>
          <w:rFonts w:ascii="Times New Roman" w:cs="Times New Roman" w:eastAsia="Times New Roman" w:hAnsi="Times New Roman"/>
          <w:sz w:val="14"/>
          <w:szCs w:val="14"/>
          <w:color w:val="151600"/>
        </w:rPr>
      </w:pPr>
      <w:r>
        <w:rPr>
          <w:rFonts w:ascii="Times New Roman" w:cs="Times New Roman" w:eastAsia="Times New Roman" w:hAnsi="Times New Roman"/>
          <w:sz w:val="14"/>
          <w:szCs w:val="14"/>
          <w:color w:val="151600"/>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ind w:left="260" w:hanging="255"/>
        <w:spacing w:after="0"/>
        <w:tabs>
          <w:tab w:leader="none" w:pos="260" w:val="left"/>
        </w:tabs>
        <w:numPr>
          <w:ilvl w:val="0"/>
          <w:numId w:val="217"/>
        </w:numPr>
        <w:rPr>
          <w:rFonts w:ascii="Times New Roman" w:cs="Times New Roman" w:eastAsia="Times New Roman" w:hAnsi="Times New Roman"/>
          <w:sz w:val="14"/>
          <w:szCs w:val="14"/>
          <w:i w:val="1"/>
          <w:iCs w:val="1"/>
          <w:color w:val="212100"/>
        </w:rPr>
      </w:pPr>
      <w:r>
        <w:rPr>
          <w:rFonts w:ascii="Times New Roman" w:cs="Times New Roman" w:eastAsia="Times New Roman" w:hAnsi="Times New Roman"/>
          <w:sz w:val="14"/>
          <w:szCs w:val="14"/>
          <w:i w:val="1"/>
          <w:iCs w:val="1"/>
          <w:color w:val="212100"/>
        </w:rPr>
        <w:t>Check appropriate box</w:t>
      </w:r>
    </w:p>
    <w:p>
      <w:pPr>
        <w:spacing w:after="0" w:line="2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i w:val="1"/>
          <w:iCs w:val="1"/>
          <w:color w:val="262600"/>
        </w:rPr>
        <w:t>**</w:t>
        <w:tab/>
        <w:t>Provide this information for each domestic corporation separately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2200"/>
        </w:rPr>
        <w:t>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58115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158115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wp:posOffset>
            </wp:positionV>
            <wp:extent cx="7161530" cy="273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126" w:name="page127"/>
    <w:bookmarkEnd w:id="126"/>
    <w:p>
      <w:pPr>
        <w:ind w:left="275" w:hanging="275"/>
        <w:spacing w:after="0"/>
        <w:tabs>
          <w:tab w:leader="none" w:pos="275" w:val="left"/>
        </w:tabs>
        <w:numPr>
          <w:ilvl w:val="0"/>
          <w:numId w:val="218"/>
        </w:numPr>
        <w:rPr>
          <w:rFonts w:ascii="Times New Roman" w:cs="Times New Roman" w:eastAsia="Times New Roman" w:hAnsi="Times New Roman"/>
          <w:sz w:val="14"/>
          <w:szCs w:val="14"/>
          <w:color w:val="1A1A00"/>
        </w:rPr>
      </w:pPr>
      <w:r>
        <w:rPr>
          <w:rFonts w:ascii="Times New Roman" w:cs="Times New Roman" w:eastAsia="Times New Roman" w:hAnsi="Times New Roman"/>
          <w:sz w:val="14"/>
          <w:szCs w:val="14"/>
          <w:color w:val="1A1A00"/>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w:t>
      </w:r>
      <w:r>
        <w:rPr>
          <w:rFonts w:ascii="Times New Roman" w:cs="Times New Roman" w:eastAsia="Times New Roman" w:hAnsi="Times New Roman"/>
          <w:sz w:val="14"/>
          <w:szCs w:val="14"/>
          <w:color w:val="131300"/>
        </w:rPr>
        <w:t>tion.</w:t>
      </w:r>
    </w:p>
    <w:p>
      <w:pPr>
        <w:spacing w:after="0" w:line="179" w:lineRule="exact"/>
        <w:rPr>
          <w:rFonts w:ascii="Times New Roman" w:cs="Times New Roman" w:eastAsia="Times New Roman" w:hAnsi="Times New Roman"/>
          <w:sz w:val="14"/>
          <w:szCs w:val="14"/>
          <w:color w:val="1A1A00"/>
        </w:rPr>
      </w:pPr>
    </w:p>
    <w:p>
      <w:pPr>
        <w:ind w:left="275" w:hanging="275"/>
        <w:spacing w:after="0"/>
        <w:tabs>
          <w:tab w:leader="none" w:pos="275" w:val="left"/>
        </w:tabs>
        <w:numPr>
          <w:ilvl w:val="0"/>
          <w:numId w:val="218"/>
        </w:numPr>
        <w:rPr>
          <w:rFonts w:ascii="Times New Roman" w:cs="Times New Roman" w:eastAsia="Times New Roman" w:hAnsi="Times New Roman"/>
          <w:sz w:val="14"/>
          <w:szCs w:val="14"/>
          <w:color w:val="161600"/>
        </w:rPr>
      </w:pPr>
      <w:r>
        <w:rPr>
          <w:rFonts w:ascii="Times New Roman" w:cs="Times New Roman" w:eastAsia="Times New Roman" w:hAnsi="Times New Roman"/>
          <w:sz w:val="14"/>
          <w:szCs w:val="14"/>
          <w:color w:val="161600"/>
        </w:rPr>
        <w:t xml:space="preserve">Attach the articles of organization of the surviving entity, where the survivor is a NEW domestic business corporation, including </w:t>
      </w:r>
      <w:r>
        <w:rPr>
          <w:rFonts w:ascii="Times New Roman" w:cs="Times New Roman" w:eastAsia="Times New Roman" w:hAnsi="Times New Roman"/>
          <w:sz w:val="14"/>
          <w:szCs w:val="14"/>
          <w:color w:val="1C1C00"/>
        </w:rPr>
        <w:t>all the supplemental information required by 950 CMR 113.16.</w:t>
      </w:r>
    </w:p>
    <w:p>
      <w:pPr>
        <w:spacing w:after="0" w:line="179" w:lineRule="exact"/>
        <w:rPr>
          <w:rFonts w:ascii="Times New Roman" w:cs="Times New Roman" w:eastAsia="Times New Roman" w:hAnsi="Times New Roman"/>
          <w:sz w:val="14"/>
          <w:szCs w:val="14"/>
          <w:color w:val="161600"/>
        </w:rPr>
      </w:pPr>
    </w:p>
    <w:p>
      <w:pPr>
        <w:ind w:left="435" w:hanging="435"/>
        <w:spacing w:after="0"/>
        <w:tabs>
          <w:tab w:leader="none" w:pos="435" w:val="left"/>
        </w:tabs>
        <w:numPr>
          <w:ilvl w:val="0"/>
          <w:numId w:val="218"/>
        </w:numPr>
        <w:rPr>
          <w:rFonts w:ascii="Times New Roman" w:cs="Times New Roman" w:eastAsia="Times New Roman" w:hAnsi="Times New Roman"/>
          <w:sz w:val="14"/>
          <w:szCs w:val="14"/>
          <w:color w:val="1F1F00"/>
        </w:rPr>
      </w:pPr>
      <w:r>
        <w:rPr>
          <w:rFonts w:ascii="Times New Roman" w:cs="Times New Roman" w:eastAsia="Times New Roman" w:hAnsi="Times New Roman"/>
          <w:sz w:val="14"/>
          <w:szCs w:val="14"/>
          <w:color w:val="1F1F00"/>
        </w:rPr>
        <w:t>State the executive office address of the surviving foreign other entity if such information is nor on the public record in the</w:t>
      </w:r>
    </w:p>
    <w:p>
      <w:pPr>
        <w:spacing w:after="0" w:line="23" w:lineRule="exact"/>
        <w:rPr>
          <w:sz w:val="20"/>
          <w:szCs w:val="20"/>
          <w:color w:val="auto"/>
        </w:rPr>
      </w:pPr>
    </w:p>
    <w:p>
      <w:pPr>
        <w:ind w:left="335"/>
        <w:spacing w:after="0"/>
        <w:tabs>
          <w:tab w:leader="none" w:pos="2014" w:val="left"/>
        </w:tabs>
        <w:rPr>
          <w:sz w:val="20"/>
          <w:szCs w:val="20"/>
          <w:color w:val="auto"/>
        </w:rPr>
      </w:pPr>
      <w:r>
        <w:rPr>
          <w:rFonts w:ascii="Times New Roman" w:cs="Times New Roman" w:eastAsia="Times New Roman" w:hAnsi="Times New Roman"/>
          <w:sz w:val="14"/>
          <w:szCs w:val="14"/>
          <w:color w:val="1F1F00"/>
        </w:rPr>
        <w:t>foreign jurisdiction:</w:t>
      </w:r>
      <w:r>
        <w:rPr>
          <w:sz w:val="20"/>
          <w:szCs w:val="20"/>
          <w:color w:val="auto"/>
        </w:rPr>
        <w:tab/>
      </w:r>
      <w:r>
        <w:rPr>
          <w:rFonts w:ascii="Times New Roman" w:cs="Times New Roman" w:eastAsia="Times New Roman" w:hAnsi="Times New Roman"/>
          <w:sz w:val="13"/>
          <w:szCs w:val="13"/>
          <w:color w:val="1F1F00"/>
        </w:rPr>
        <w:t>N/A</w:t>
      </w:r>
    </w:p>
    <w:p>
      <w:pPr>
        <w:spacing w:after="0" w:line="9"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4"/>
          <w:szCs w:val="14"/>
          <w:i w:val="1"/>
          <w:iCs w:val="1"/>
          <w:color w:val="141400"/>
        </w:rPr>
        <w:t>(number, select, city or 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-100965</wp:posOffset>
            </wp:positionV>
            <wp:extent cx="587121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58712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7161530" cy="273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195"/>
          </w:cols>
          <w:pgMar w:left="305" w:top="518" w:right="39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8200" w:type="dxa"/>
            <w:vAlign w:val="bottom"/>
          </w:tcPr>
          <w:p>
            <w:pPr>
              <w:ind w:left="4820"/>
              <w:spacing w:after="0"/>
              <w:rPr>
                <w:sz w:val="20"/>
                <w:szCs w:val="20"/>
                <w:color w:val="auto"/>
              </w:rPr>
            </w:pPr>
            <w:r>
              <w:rPr>
                <w:rFonts w:ascii="Times New Roman" w:cs="Times New Roman" w:eastAsia="Times New Roman" w:hAnsi="Times New Roman"/>
                <w:sz w:val="14"/>
                <w:szCs w:val="14"/>
                <w:color w:val="auto"/>
              </w:rPr>
              <w:t>/s/ Robert Potts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6"/>
        </w:trPr>
        <w:tc>
          <w:tcPr>
            <w:tcW w:w="1040" w:type="dxa"/>
            <w:vAlign w:val="bottom"/>
          </w:tcPr>
          <w:p>
            <w:pPr>
              <w:spacing w:after="0"/>
              <w:rPr>
                <w:sz w:val="11"/>
                <w:szCs w:val="11"/>
                <w:color w:val="auto"/>
              </w:rPr>
            </w:pPr>
          </w:p>
        </w:tc>
        <w:tc>
          <w:tcPr>
            <w:tcW w:w="8200" w:type="dxa"/>
            <w:vAlign w:val="bottom"/>
            <w:tcBorders>
              <w:top w:val="single" w:sz="8" w:color="auto"/>
            </w:tcBorders>
          </w:tcPr>
          <w:p>
            <w:pPr>
              <w:jc w:val="center"/>
              <w:ind w:left="829"/>
              <w:spacing w:after="0" w:line="136"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9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84"/>
        </w:trPr>
        <w:tc>
          <w:tcPr>
            <w:tcW w:w="1040" w:type="dxa"/>
            <w:vAlign w:val="bottom"/>
          </w:tcPr>
          <w:p>
            <w:pPr>
              <w:spacing w:after="0"/>
              <w:rPr>
                <w:sz w:val="16"/>
                <w:szCs w:val="16"/>
                <w:color w:val="auto"/>
              </w:rPr>
            </w:pPr>
          </w:p>
        </w:tc>
        <w:tc>
          <w:tcPr>
            <w:tcW w:w="820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 xml:space="preserve">Robert Potts, Assistant Secretary, </w:t>
            </w:r>
            <w:r>
              <w:rPr>
                <w:rFonts w:ascii="Times New Roman" w:cs="Times New Roman" w:eastAsia="Times New Roman" w:hAnsi="Times New Roman"/>
                <w:sz w:val="14"/>
                <w:szCs w:val="14"/>
                <w:color w:val="181800"/>
              </w:rPr>
              <w:t>Evolutionary Corporation</w:t>
            </w: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580" w:hanging="341"/>
        <w:spacing w:after="0"/>
        <w:tabs>
          <w:tab w:leader="none" w:pos="580" w:val="left"/>
        </w:tabs>
        <w:numPr>
          <w:ilvl w:val="0"/>
          <w:numId w:val="21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80" w:hanging="341"/>
        <w:spacing w:after="0"/>
        <w:tabs>
          <w:tab w:leader="none" w:pos="580" w:val="left"/>
        </w:tabs>
        <w:numPr>
          <w:ilvl w:val="0"/>
          <w:numId w:val="21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80" w:hanging="341"/>
        <w:spacing w:after="0"/>
        <w:tabs>
          <w:tab w:leader="none" w:pos="580" w:val="left"/>
        </w:tabs>
        <w:numPr>
          <w:ilvl w:val="0"/>
          <w:numId w:val="22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80" w:hanging="341"/>
        <w:spacing w:after="0"/>
        <w:tabs>
          <w:tab w:leader="none" w:pos="580" w:val="left"/>
        </w:tabs>
        <w:numPr>
          <w:ilvl w:val="0"/>
          <w:numId w:val="22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460" w:type="dxa"/>
            <w:vAlign w:val="bottom"/>
          </w:tcPr>
          <w:p>
            <w:pPr>
              <w:spacing w:after="0"/>
              <w:rPr>
                <w:sz w:val="16"/>
                <w:szCs w:val="16"/>
                <w:color w:val="auto"/>
              </w:rPr>
            </w:pPr>
          </w:p>
        </w:tc>
        <w:tc>
          <w:tcPr>
            <w:tcW w:w="29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30th</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day of   July</w:t>
            </w:r>
          </w:p>
        </w:tc>
        <w:tc>
          <w:tcPr>
            <w:tcW w:w="3520" w:type="dxa"/>
            <w:vAlign w:val="bottom"/>
            <w:gridSpan w:val="3"/>
          </w:tcPr>
          <w:p>
            <w:pPr>
              <w:jc w:val="right"/>
              <w:ind w:right="2540"/>
              <w:spacing w:after="0"/>
              <w:rPr>
                <w:sz w:val="20"/>
                <w:szCs w:val="20"/>
                <w:color w:val="auto"/>
              </w:rPr>
            </w:pPr>
            <w:r>
              <w:rPr>
                <w:rFonts w:ascii="Times New Roman" w:cs="Times New Roman" w:eastAsia="Times New Roman" w:hAnsi="Times New Roman"/>
                <w:sz w:val="14"/>
                <w:szCs w:val="14"/>
                <w:color w:val="auto"/>
              </w:rPr>
              <w:t>, 2019</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22"/>
        </w:trPr>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2"/>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2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/s/ Robert Potts</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136"/>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20" w:type="dxa"/>
            <w:vAlign w:val="bottom"/>
          </w:tcPr>
          <w:p>
            <w:pPr>
              <w:jc w:val="center"/>
              <w:ind w:right="949"/>
              <w:spacing w:after="0" w:line="136"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4"/>
        </w:trPr>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680" w:type="dxa"/>
            <w:vAlign w:val="bottom"/>
            <w:gridSpan w:val="2"/>
          </w:tcPr>
          <w:p>
            <w:pPr>
              <w:jc w:val="center"/>
              <w:ind w:right="389"/>
              <w:spacing w:after="0"/>
              <w:rPr>
                <w:sz w:val="20"/>
                <w:szCs w:val="20"/>
                <w:color w:val="auto"/>
              </w:rPr>
            </w:pPr>
            <w:r>
              <w:rPr>
                <w:rFonts w:ascii="Times New Roman" w:cs="Times New Roman" w:eastAsia="Times New Roman" w:hAnsi="Times New Roman"/>
                <w:sz w:val="14"/>
                <w:szCs w:val="14"/>
                <w:color w:val="auto"/>
              </w:rPr>
              <w:t>Robert Potts, Assistant Secretary, EMC Corporation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p>
    <w:p>
      <w:pPr>
        <w:ind w:left="580" w:hanging="341"/>
        <w:spacing w:after="0"/>
        <w:tabs>
          <w:tab w:leader="none" w:pos="580" w:val="left"/>
        </w:tabs>
        <w:numPr>
          <w:ilvl w:val="0"/>
          <w:numId w:val="22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80" w:hanging="341"/>
        <w:spacing w:after="0"/>
        <w:tabs>
          <w:tab w:leader="none" w:pos="580" w:val="left"/>
        </w:tabs>
        <w:numPr>
          <w:ilvl w:val="0"/>
          <w:numId w:val="22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80" w:hanging="341"/>
        <w:spacing w:after="0"/>
        <w:tabs>
          <w:tab w:leader="none" w:pos="580" w:val="left"/>
        </w:tabs>
        <w:numPr>
          <w:ilvl w:val="0"/>
          <w:numId w:val="22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80" w:hanging="341"/>
        <w:spacing w:after="0"/>
        <w:tabs>
          <w:tab w:leader="none" w:pos="580" w:val="left"/>
        </w:tabs>
        <w:numPr>
          <w:ilvl w:val="0"/>
          <w:numId w:val="22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p>
      <w:pPr>
        <w:spacing w:after="0"/>
        <w:tabs>
          <w:tab w:leader="none" w:pos="2140" w:val="left"/>
          <w:tab w:leader="none" w:pos="3980" w:val="left"/>
          <w:tab w:leader="none" w:pos="4520" w:val="left"/>
          <w:tab w:leader="none" w:pos="834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30th</w:t>
      </w:r>
      <w:r>
        <w:rPr>
          <w:sz w:val="20"/>
          <w:szCs w:val="20"/>
          <w:color w:val="auto"/>
        </w:rPr>
        <w:tab/>
      </w:r>
      <w:r>
        <w:rPr>
          <w:rFonts w:ascii="Times New Roman" w:cs="Times New Roman" w:eastAsia="Times New Roman" w:hAnsi="Times New Roman"/>
          <w:sz w:val="14"/>
          <w:szCs w:val="14"/>
          <w:color w:val="auto"/>
        </w:rPr>
        <w:t>day of</w:t>
        <w:tab/>
        <w:t>July</w:t>
      </w:r>
      <w:r>
        <w:rPr>
          <w:sz w:val="20"/>
          <w:szCs w:val="20"/>
          <w:color w:val="auto"/>
        </w:rPr>
        <w:tab/>
      </w:r>
      <w:r>
        <w:rPr>
          <w:rFonts w:ascii="Times New Roman" w:cs="Times New Roman" w:eastAsia="Times New Roman" w:hAnsi="Times New Roman"/>
          <w:sz w:val="14"/>
          <w:szCs w:val="14"/>
          <w:color w:val="auto"/>
        </w:rPr>
        <w:t>2019</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133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67290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454025</wp:posOffset>
            </wp:positionV>
            <wp:extent cx="7161530" cy="27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20"/>
          </w:cols>
          <w:pgMar w:left="300" w:top="518" w:right="37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color w:val="131300"/>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1C1C00"/>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A1A00"/>
        </w:rPr>
        <w:t>July 30, 2019 04:01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123190</wp:posOffset>
            </wp:positionV>
            <wp:extent cx="1351280" cy="3784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21200"/>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4"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34"/>
          <w:szCs w:val="34"/>
          <w:b w:val="1"/>
          <w:bCs w:val="1"/>
          <w:color w:val="242200"/>
        </w:rPr>
        <w:t>DF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34"/>
          <w:szCs w:val="34"/>
          <w:b w:val="1"/>
          <w:bCs w:val="1"/>
          <w:color w:val="auto"/>
        </w:rPr>
        <w:t>PC</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B1B00"/>
        </w:rPr>
        <w:t>FORM MUST BE TYPED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20"/>
          <w:szCs w:val="20"/>
          <w:b w:val="1"/>
          <w:bCs w:val="1"/>
          <w:color w:val="242400"/>
        </w:rPr>
        <w:t>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-408305</wp:posOffset>
            </wp:positionV>
            <wp:extent cx="7200265" cy="330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32"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4"/>
          <w:szCs w:val="14"/>
          <w:b w:val="1"/>
          <w:bCs w:val="1"/>
          <w:color w:val="141400"/>
        </w:rPr>
        <w:t>William Francis Galvin</w:t>
      </w:r>
    </w:p>
    <w:p>
      <w:pPr>
        <w:spacing w:after="0" w:line="64"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4"/>
          <w:szCs w:val="14"/>
          <w:color w:val="161600"/>
        </w:rPr>
        <w:t>Secretary of the Commonwealth</w:t>
      </w:r>
    </w:p>
    <w:p>
      <w:pPr>
        <w:spacing w:after="0" w:line="62"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4"/>
          <w:szCs w:val="14"/>
          <w:color w:val="161600"/>
        </w:rPr>
        <w:t>One Ashburton Place, Boston, Massachusetts 02108-1512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jc w:val="center"/>
              <w:ind w:right="1055"/>
              <w:spacing w:after="0"/>
              <w:rPr>
                <w:sz w:val="20"/>
                <w:szCs w:val="20"/>
                <w:color w:val="auto"/>
              </w:rPr>
            </w:pPr>
            <w:r>
              <w:rPr>
                <w:rFonts w:ascii="Times New Roman" w:cs="Times New Roman" w:eastAsia="Times New Roman" w:hAnsi="Times New Roman"/>
                <w:sz w:val="17"/>
                <w:szCs w:val="17"/>
                <w:b w:val="1"/>
                <w:bCs w:val="1"/>
                <w:color w:val="1C1C00"/>
                <w:w w:val="99"/>
              </w:rPr>
              <w:t>Articles of Merger</w:t>
            </w:r>
          </w:p>
        </w:tc>
        <w:tc>
          <w:tcPr>
            <w:tcW w:w="27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1C1C00"/>
              </w:rPr>
              <w:t>FORM MUST BE TYPED</w:t>
            </w:r>
          </w:p>
        </w:tc>
      </w:tr>
      <w:tr>
        <w:trPr>
          <w:trHeight w:val="192"/>
        </w:trPr>
        <w:tc>
          <w:tcPr>
            <w:tcW w:w="4640" w:type="dxa"/>
            <w:vAlign w:val="bottom"/>
          </w:tcPr>
          <w:p>
            <w:pPr>
              <w:jc w:val="center"/>
              <w:ind w:right="1055"/>
              <w:spacing w:after="0" w:line="192" w:lineRule="exact"/>
              <w:rPr>
                <w:sz w:val="20"/>
                <w:szCs w:val="20"/>
                <w:color w:val="auto"/>
              </w:rPr>
            </w:pPr>
            <w:r>
              <w:rPr>
                <w:rFonts w:ascii="Times New Roman" w:cs="Times New Roman" w:eastAsia="Times New Roman" w:hAnsi="Times New Roman"/>
                <w:sz w:val="17"/>
                <w:szCs w:val="17"/>
                <w:b w:val="1"/>
                <w:bCs w:val="1"/>
                <w:color w:val="1C1C00"/>
                <w:w w:val="99"/>
              </w:rPr>
              <w:t>Involving Domestic Corporations,</w:t>
            </w:r>
          </w:p>
        </w:tc>
        <w:tc>
          <w:tcPr>
            <w:tcW w:w="2740" w:type="dxa"/>
            <w:vAlign w:val="bottom"/>
          </w:tcPr>
          <w:p>
            <w:pPr>
              <w:spacing w:after="0"/>
              <w:rPr>
                <w:sz w:val="16"/>
                <w:szCs w:val="16"/>
                <w:color w:val="auto"/>
              </w:rPr>
            </w:pPr>
          </w:p>
        </w:tc>
      </w:tr>
      <w:tr>
        <w:trPr>
          <w:trHeight w:val="218"/>
        </w:trPr>
        <w:tc>
          <w:tcPr>
            <w:tcW w:w="4640" w:type="dxa"/>
            <w:vAlign w:val="bottom"/>
          </w:tcPr>
          <w:p>
            <w:pPr>
              <w:jc w:val="center"/>
              <w:ind w:right="1055"/>
              <w:spacing w:after="0"/>
              <w:rPr>
                <w:sz w:val="20"/>
                <w:szCs w:val="20"/>
                <w:color w:val="auto"/>
              </w:rPr>
            </w:pPr>
            <w:r>
              <w:rPr>
                <w:rFonts w:ascii="Times New Roman" w:cs="Times New Roman" w:eastAsia="Times New Roman" w:hAnsi="Times New Roman"/>
                <w:sz w:val="17"/>
                <w:szCs w:val="17"/>
                <w:b w:val="1"/>
                <w:bCs w:val="1"/>
                <w:color w:val="1C1C00"/>
                <w:w w:val="99"/>
              </w:rPr>
              <w:t>Foreign Corporations or Foreign Other Entities.</w:t>
            </w:r>
          </w:p>
        </w:tc>
        <w:tc>
          <w:tcPr>
            <w:tcW w:w="274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2">
            <w:col w:w="3180" w:space="720"/>
            <w:col w:w="7380"/>
          </w:cols>
          <w:pgMar w:left="300" w:top="473" w:right="319" w:bottom="1440" w:gutter="0" w:footer="0" w:header="0"/>
        </w:sectPr>
      </w:pPr>
    </w:p>
    <w:tbl>
      <w:tblPr>
        <w:tblLayout w:type="fixed"/>
        <w:tblInd w:w="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5440" w:type="dxa"/>
            <w:vAlign w:val="bottom"/>
          </w:tcPr>
          <w:p>
            <w:pPr>
              <w:ind w:left="1320"/>
              <w:spacing w:after="0"/>
              <w:rPr>
                <w:sz w:val="20"/>
                <w:szCs w:val="20"/>
                <w:color w:val="auto"/>
              </w:rPr>
            </w:pPr>
            <w:r>
              <w:rPr>
                <w:rFonts w:ascii="Times New Roman" w:cs="Times New Roman" w:eastAsia="Times New Roman" w:hAnsi="Times New Roman"/>
                <w:sz w:val="14"/>
                <w:szCs w:val="14"/>
                <w:color w:val="1C1C00"/>
              </w:rPr>
              <w:t>(General Laws Chapter 156D, Section 11.06; 950 CMR 113.37)</w:t>
            </w:r>
          </w:p>
        </w:tc>
        <w:tc>
          <w:tcPr>
            <w:tcW w:w="3320" w:type="dxa"/>
            <w:vAlign w:val="bottom"/>
          </w:tcPr>
          <w:p>
            <w:pPr>
              <w:spacing w:after="0"/>
              <w:rPr>
                <w:sz w:val="16"/>
                <w:szCs w:val="16"/>
                <w:color w:val="auto"/>
              </w:rPr>
            </w:pPr>
          </w:p>
        </w:tc>
      </w:tr>
      <w:tr>
        <w:trPr>
          <w:trHeight w:val="324"/>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1E1E00"/>
              </w:rPr>
              <w:t>Exact name, jurisdiction and date of organization of each party to the merger:</w:t>
            </w:r>
          </w:p>
        </w:tc>
        <w:tc>
          <w:tcPr>
            <w:tcW w:w="3320" w:type="dxa"/>
            <w:vAlign w:val="bottom"/>
          </w:tcPr>
          <w:p>
            <w:pPr>
              <w:spacing w:after="0"/>
              <w:rPr>
                <w:sz w:val="24"/>
                <w:szCs w:val="24"/>
                <w:color w:val="auto"/>
              </w:rPr>
            </w:pPr>
          </w:p>
        </w:tc>
      </w:tr>
      <w:tr>
        <w:trPr>
          <w:trHeight w:val="340"/>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171700"/>
              </w:rPr>
              <w:t>(1) EXACT NAME</w:t>
            </w:r>
          </w:p>
        </w:tc>
        <w:tc>
          <w:tcPr>
            <w:tcW w:w="5440" w:type="dxa"/>
            <w:vAlign w:val="bottom"/>
          </w:tcPr>
          <w:p>
            <w:pPr>
              <w:ind w:left="2000"/>
              <w:spacing w:after="0"/>
              <w:rPr>
                <w:sz w:val="20"/>
                <w:szCs w:val="20"/>
                <w:color w:val="auto"/>
              </w:rPr>
            </w:pPr>
            <w:r>
              <w:rPr>
                <w:rFonts w:ascii="Times New Roman" w:cs="Times New Roman" w:eastAsia="Times New Roman" w:hAnsi="Times New Roman"/>
                <w:sz w:val="14"/>
                <w:szCs w:val="14"/>
                <w:color w:val="1A1A00"/>
              </w:rPr>
              <w:t>(2) JURISDICTION</w:t>
            </w:r>
          </w:p>
        </w:tc>
        <w:tc>
          <w:tcPr>
            <w:tcW w:w="3320" w:type="dxa"/>
            <w:vAlign w:val="bottom"/>
          </w:tcPr>
          <w:p>
            <w:pPr>
              <w:ind w:left="500"/>
              <w:spacing w:after="0"/>
              <w:rPr>
                <w:sz w:val="20"/>
                <w:szCs w:val="20"/>
                <w:color w:val="auto"/>
              </w:rPr>
            </w:pPr>
            <w:r>
              <w:rPr>
                <w:rFonts w:ascii="Times New Roman" w:cs="Times New Roman" w:eastAsia="Times New Roman" w:hAnsi="Times New Roman"/>
                <w:sz w:val="14"/>
                <w:szCs w:val="14"/>
                <w:color w:val="191900"/>
              </w:rPr>
              <w:t>DATE OF ORGANIZATION</w:t>
            </w:r>
          </w:p>
        </w:tc>
      </w:tr>
      <w:tr>
        <w:trPr>
          <w:trHeight w:val="341"/>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71700"/>
              </w:rPr>
              <w:t>EMC Corporation</w:t>
            </w:r>
          </w:p>
        </w:tc>
        <w:tc>
          <w:tcPr>
            <w:tcW w:w="54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color w:val="121200"/>
              </w:rPr>
              <w:t>Massachusetts</w:t>
            </w:r>
          </w:p>
        </w:tc>
        <w:tc>
          <w:tcPr>
            <w:tcW w:w="3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222200"/>
              </w:rPr>
              <w:t>August 23, 1979</w:t>
            </w:r>
          </w:p>
        </w:tc>
      </w:tr>
      <w:tr>
        <w:trPr>
          <w:trHeight w:val="331"/>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11100"/>
              </w:rPr>
              <w:t>VCE Company, LLC</w:t>
            </w:r>
          </w:p>
        </w:tc>
        <w:tc>
          <w:tcPr>
            <w:tcW w:w="54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color w:val="121200"/>
              </w:rPr>
              <w:t>Delaware</w:t>
            </w:r>
          </w:p>
        </w:tc>
        <w:tc>
          <w:tcPr>
            <w:tcW w:w="3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222200"/>
              </w:rPr>
              <w:t>September 23,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262600"/>
                <w:w w:val="97"/>
              </w:rPr>
              <w:t>(3)</w:t>
            </w:r>
          </w:p>
        </w:tc>
        <w:tc>
          <w:tcPr>
            <w:tcW w:w="11100" w:type="dxa"/>
            <w:vAlign w:val="bottom"/>
            <w:gridSpan w:val="5"/>
          </w:tcPr>
          <w:p>
            <w:pPr>
              <w:ind w:left="20"/>
              <w:spacing w:after="0" w:line="161" w:lineRule="exact"/>
              <w:rPr>
                <w:sz w:val="20"/>
                <w:szCs w:val="20"/>
                <w:color w:val="auto"/>
              </w:rPr>
            </w:pPr>
            <w:r>
              <w:rPr>
                <w:rFonts w:ascii="Times New Roman" w:cs="Times New Roman" w:eastAsia="Times New Roman" w:hAnsi="Times New Roman"/>
                <w:sz w:val="14"/>
                <w:szCs w:val="14"/>
                <w:color w:val="262600"/>
              </w:rPr>
              <w:t xml:space="preserve">The foreign corporation or other entity </w:t>
            </w:r>
            <w:r>
              <w:rPr>
                <w:rFonts w:ascii="MS PGothic" w:cs="MS PGothic" w:eastAsia="MS PGothic" w:hAnsi="MS PGothic"/>
                <w:sz w:val="14"/>
                <w:szCs w:val="14"/>
                <w:color w:val="262600"/>
              </w:rPr>
              <w:t>☒</w:t>
            </w:r>
            <w:r>
              <w:rPr>
                <w:rFonts w:ascii="Times New Roman" w:cs="Times New Roman" w:eastAsia="Times New Roman" w:hAnsi="Times New Roman"/>
                <w:sz w:val="14"/>
                <w:szCs w:val="14"/>
                <w:color w:val="262600"/>
              </w:rPr>
              <w:t xml:space="preserve"> is/</w:t>
            </w:r>
            <w:r>
              <w:rPr>
                <w:rFonts w:ascii="MS PGothic" w:cs="MS PGothic" w:eastAsia="MS PGothic" w:hAnsi="MS PGothic"/>
                <w:sz w:val="14"/>
                <w:szCs w:val="14"/>
                <w:color w:val="262600"/>
              </w:rPr>
              <w:t>☐</w:t>
            </w:r>
            <w:r>
              <w:rPr>
                <w:rFonts w:ascii="Times New Roman" w:cs="Times New Roman" w:eastAsia="Times New Roman" w:hAnsi="Times New Roman"/>
                <w:sz w:val="14"/>
                <w:szCs w:val="14"/>
                <w:color w:val="262600"/>
              </w:rPr>
              <w:t>is not authorized to conduct business in the Commonwealth.</w:t>
            </w:r>
          </w:p>
        </w:tc>
      </w:tr>
      <w:tr>
        <w:trPr>
          <w:trHeight w:val="340"/>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1B1B00"/>
                <w:w w:val="97"/>
              </w:rPr>
              <w:t>(4)</w:t>
            </w:r>
          </w:p>
        </w:tc>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1B1B00"/>
              </w:rPr>
              <w:t>Exact name of the surviving entity:</w:t>
            </w: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B1B00"/>
              </w:rPr>
              <w:t>EMC Corporation</w:t>
            </w:r>
          </w:p>
        </w:tc>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131300"/>
                <w:w w:val="97"/>
              </w:rPr>
              <w:t>(5)</w:t>
            </w:r>
          </w:p>
        </w:tc>
        <w:tc>
          <w:tcPr>
            <w:tcW w:w="4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131300"/>
              </w:rPr>
              <w:t>Jurisdiction under the laws of which the surviving entity will be organized:</w:t>
            </w:r>
          </w:p>
        </w:tc>
        <w:tc>
          <w:tcPr>
            <w:tcW w:w="126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31300"/>
              </w:rPr>
              <w:t>Massachusetts</w:t>
            </w: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1E1E00"/>
                <w:w w:val="97"/>
              </w:rPr>
              <w:t>(6)</w:t>
            </w:r>
          </w:p>
        </w:tc>
        <w:tc>
          <w:tcPr>
            <w:tcW w:w="111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1E1E00"/>
              </w:rPr>
              <w:t>The merger shall be effective at the time and on the date approved by the Division, unless a later effective date or more than</w:t>
            </w:r>
          </w:p>
        </w:tc>
      </w:tr>
      <w:tr>
        <w:trPr>
          <w:trHeight w:val="185"/>
        </w:trPr>
        <w:tc>
          <w:tcPr>
            <w:tcW w:w="180" w:type="dxa"/>
            <w:vAlign w:val="bottom"/>
          </w:tcPr>
          <w:p>
            <w:pPr>
              <w:spacing w:after="0"/>
              <w:rPr>
                <w:sz w:val="16"/>
                <w:szCs w:val="16"/>
                <w:color w:val="auto"/>
              </w:rPr>
            </w:pPr>
          </w:p>
        </w:tc>
        <w:tc>
          <w:tcPr>
            <w:tcW w:w="4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191900"/>
              </w:rPr>
              <w:t>90 days from the date and time of filing is specified:</w:t>
            </w: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E1E00"/>
              </w:rPr>
              <w:t>September</w:t>
            </w:r>
          </w:p>
        </w:tc>
        <w:tc>
          <w:tcPr>
            <w:tcW w:w="12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1E1E00"/>
              </w:rPr>
              <w:t>27, 2019</w:t>
            </w:r>
          </w:p>
        </w:tc>
        <w:tc>
          <w:tcPr>
            <w:tcW w:w="4960" w:type="dxa"/>
            <w:vAlign w:val="bottom"/>
            <w:tcBorders>
              <w:bottom w:val="single" w:sz="8" w:color="auto"/>
            </w:tcBorders>
          </w:tcPr>
          <w:p>
            <w:pPr>
              <w:spacing w:after="0"/>
              <w:rPr>
                <w:sz w:val="16"/>
                <w:szCs w:val="16"/>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225"/>
        </w:numPr>
        <w:rPr>
          <w:rFonts w:ascii="MS PGothic" w:cs="MS PGothic" w:eastAsia="MS PGothic" w:hAnsi="MS PGothic"/>
          <w:sz w:val="14"/>
          <w:szCs w:val="14"/>
          <w:color w:val="1A1F00"/>
        </w:rPr>
      </w:pPr>
      <w:r>
        <w:rPr>
          <w:rFonts w:ascii="Times New Roman" w:cs="Times New Roman" w:eastAsia="Times New Roman" w:hAnsi="Times New Roman"/>
          <w:sz w:val="14"/>
          <w:szCs w:val="14"/>
          <w:color w:val="1A1F00"/>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1A1F00"/>
        </w:rPr>
      </w:pPr>
    </w:p>
    <w:p>
      <w:pPr>
        <w:ind w:left="260"/>
        <w:spacing w:after="0"/>
        <w:rPr>
          <w:rFonts w:ascii="MS PGothic" w:cs="MS PGothic" w:eastAsia="MS PGothic" w:hAnsi="MS PGothic"/>
          <w:sz w:val="14"/>
          <w:szCs w:val="14"/>
          <w:color w:val="1A1F00"/>
        </w:rPr>
      </w:pPr>
      <w:r>
        <w:rPr>
          <w:rFonts w:ascii="Times New Roman" w:cs="Times New Roman" w:eastAsia="Times New Roman" w:hAnsi="Times New Roman"/>
          <w:sz w:val="14"/>
          <w:szCs w:val="14"/>
          <w:color w:val="121200"/>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242400"/>
        </w:rPr>
        <w:t>☒</w:t>
      </w:r>
      <w:r>
        <w:rPr>
          <w:rFonts w:ascii="Times New Roman" w:cs="Times New Roman" w:eastAsia="Times New Roman" w:hAnsi="Times New Roman"/>
          <w:sz w:val="14"/>
          <w:szCs w:val="14"/>
          <w:color w:val="242400"/>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226"/>
        </w:numPr>
        <w:rPr>
          <w:rFonts w:ascii="Times New Roman" w:cs="Times New Roman" w:eastAsia="Times New Roman" w:hAnsi="Times New Roman"/>
          <w:sz w:val="14"/>
          <w:szCs w:val="14"/>
          <w:color w:val="151600"/>
        </w:rPr>
      </w:pPr>
      <w:r>
        <w:rPr>
          <w:rFonts w:ascii="Times New Roman" w:cs="Times New Roman" w:eastAsia="Times New Roman" w:hAnsi="Times New Roman"/>
          <w:sz w:val="14"/>
          <w:szCs w:val="14"/>
          <w:color w:val="151600"/>
        </w:rPr>
        <w:t xml:space="preserve">Participation of each other domestic entity; foreign corporation, or foreign other entity was duly authorized by the law under </w:t>
      </w:r>
      <w:r>
        <w:rPr>
          <w:rFonts w:ascii="Times New Roman" w:cs="Times New Roman" w:eastAsia="Times New Roman" w:hAnsi="Times New Roman"/>
          <w:sz w:val="14"/>
          <w:szCs w:val="14"/>
          <w:color w:val="1A1A00"/>
        </w:rPr>
        <w:t>which the other entity or foreign corporation is organized and by its</w:t>
      </w:r>
      <w:r>
        <w:rPr>
          <w:rFonts w:ascii="Times New Roman" w:cs="Times New Roman" w:eastAsia="Times New Roman" w:hAnsi="Times New Roman"/>
          <w:sz w:val="14"/>
          <w:szCs w:val="14"/>
          <w:color w:val="151600"/>
        </w:rPr>
        <w:t xml:space="preserve"> </w:t>
      </w:r>
      <w:r>
        <w:rPr>
          <w:rFonts w:ascii="Times New Roman" w:cs="Times New Roman" w:eastAsia="Times New Roman" w:hAnsi="Times New Roman"/>
          <w:sz w:val="14"/>
          <w:szCs w:val="14"/>
          <w:color w:val="1A1A00"/>
        </w:rPr>
        <w:t>organizational documents.</w:t>
      </w:r>
    </w:p>
    <w:p>
      <w:pPr>
        <w:spacing w:after="0" w:line="122" w:lineRule="exact"/>
        <w:rPr>
          <w:sz w:val="20"/>
          <w:szCs w:val="20"/>
          <w:color w:val="auto"/>
        </w:rPr>
      </w:pPr>
    </w:p>
    <w:p>
      <w:pPr>
        <w:ind w:left="260" w:hanging="255"/>
        <w:spacing w:after="0"/>
        <w:tabs>
          <w:tab w:leader="none" w:pos="260" w:val="left"/>
        </w:tabs>
        <w:numPr>
          <w:ilvl w:val="0"/>
          <w:numId w:val="227"/>
        </w:numPr>
        <w:rPr>
          <w:rFonts w:ascii="Times New Roman" w:cs="Times New Roman" w:eastAsia="Times New Roman" w:hAnsi="Times New Roman"/>
          <w:sz w:val="14"/>
          <w:szCs w:val="14"/>
          <w:i w:val="1"/>
          <w:iCs w:val="1"/>
          <w:color w:val="212100"/>
        </w:rPr>
      </w:pPr>
      <w:r>
        <w:rPr>
          <w:rFonts w:ascii="Times New Roman" w:cs="Times New Roman" w:eastAsia="Times New Roman" w:hAnsi="Times New Roman"/>
          <w:sz w:val="14"/>
          <w:szCs w:val="14"/>
          <w:i w:val="1"/>
          <w:iCs w:val="1"/>
          <w:color w:val="212100"/>
        </w:rPr>
        <w:t>Check appropriate box</w:t>
      </w:r>
    </w:p>
    <w:p>
      <w:pPr>
        <w:spacing w:after="0" w:line="2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i w:val="1"/>
          <w:iCs w:val="1"/>
          <w:color w:val="262600"/>
        </w:rPr>
        <w:t>**</w:t>
        <w:tab/>
        <w:t>Provide this information for each domestic corporation separately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800"/>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136461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136461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232410</wp:posOffset>
            </wp:positionV>
            <wp:extent cx="7161530" cy="27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color w:val="1A1A00"/>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(10)Attach any amendment to articles of organization of the surviving entity, where the survivor is a domestic business corpora</w:t>
      </w:r>
      <w:r>
        <w:rPr>
          <w:rFonts w:ascii="Times New Roman" w:cs="Times New Roman" w:eastAsia="Times New Roman" w:hAnsi="Times New Roman"/>
          <w:sz w:val="14"/>
          <w:szCs w:val="14"/>
          <w:color w:val="131300"/>
        </w:rPr>
        <w:t>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600"/>
        </w:rPr>
        <w:t xml:space="preserve">(11)Attach the articles of organization of the surviving entity, where the survivor is 3 NEW domestic business corporation, including </w:t>
      </w:r>
      <w:r>
        <w:rPr>
          <w:rFonts w:ascii="Times New Roman" w:cs="Times New Roman" w:eastAsia="Times New Roman" w:hAnsi="Times New Roman"/>
          <w:sz w:val="14"/>
          <w:szCs w:val="14"/>
          <w:color w:val="1C1C00"/>
        </w:rPr>
        <w:t>all the supplemental information required by 950 CMR 113.16.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1F1F00"/>
        </w:rPr>
        <w:t>12)State the executive office address of the surviving foreign other entity if such information is not on the public record in the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ind w:left="340"/>
              <w:spacing w:after="0"/>
              <w:rPr>
                <w:sz w:val="20"/>
                <w:szCs w:val="20"/>
                <w:color w:val="auto"/>
              </w:rPr>
            </w:pPr>
            <w:r>
              <w:rPr>
                <w:rFonts w:ascii="Times New Roman" w:cs="Times New Roman" w:eastAsia="Times New Roman" w:hAnsi="Times New Roman"/>
                <w:sz w:val="14"/>
                <w:szCs w:val="14"/>
                <w:color w:val="1F1F00"/>
              </w:rPr>
              <w:t>foreign jurisdiction:</w:t>
            </w:r>
          </w:p>
        </w:tc>
        <w:tc>
          <w:tcPr>
            <w:tcW w:w="94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1F1F00"/>
              </w:rPr>
              <w:t>N/A</w:t>
            </w:r>
          </w:p>
        </w:tc>
      </w:tr>
      <w:tr>
        <w:trPr>
          <w:trHeight w:val="177"/>
        </w:trPr>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20" w:type="dxa"/>
            <w:vAlign w:val="bottom"/>
            <w:tcBorders>
              <w:top w:val="single" w:sz="8" w:color="auto"/>
            </w:tcBorders>
          </w:tcPr>
          <w:p>
            <w:pPr>
              <w:ind w:left="2220"/>
              <w:spacing w:after="0"/>
              <w:rPr>
                <w:sz w:val="20"/>
                <w:szCs w:val="20"/>
                <w:color w:val="auto"/>
              </w:rPr>
            </w:pPr>
            <w:r>
              <w:rPr>
                <w:rFonts w:ascii="Times New Roman" w:cs="Times New Roman" w:eastAsia="Times New Roman" w:hAnsi="Times New Roman"/>
                <w:sz w:val="14"/>
                <w:szCs w:val="14"/>
                <w:i w:val="1"/>
                <w:iCs w:val="1"/>
                <w:color w:val="141400"/>
              </w:rPr>
              <w:t>(number, street, city or town, state, zip code)</w:t>
            </w:r>
          </w:p>
        </w:tc>
      </w:tr>
      <w:tr>
        <w:trPr>
          <w:trHeight w:val="517"/>
        </w:trPr>
        <w:tc>
          <w:tcPr>
            <w:tcW w:w="1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280"/>
          </w:cols>
          <w:pgMar w:left="300" w:top="497" w:right="319" w:bottom="1440" w:gutter="0" w:footer="0" w:header="0"/>
        </w:sectPr>
      </w:pPr>
    </w:p>
    <w:bookmarkStart w:id="131" w:name="page132"/>
    <w:bookmarkEnd w:id="1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8160" w:type="dxa"/>
            <w:vAlign w:val="bottom"/>
          </w:tcPr>
          <w:p>
            <w:pPr>
              <w:ind w:left="4820"/>
              <w:spacing w:after="0"/>
              <w:rPr>
                <w:sz w:val="20"/>
                <w:szCs w:val="20"/>
                <w:color w:val="auto"/>
              </w:rPr>
            </w:pPr>
            <w:r>
              <w:rPr>
                <w:rFonts w:ascii="Times New Roman" w:cs="Times New Roman" w:eastAsia="Times New Roman" w:hAnsi="Times New Roman"/>
                <w:sz w:val="14"/>
                <w:szCs w:val="14"/>
                <w:color w:val="auto"/>
              </w:rPr>
              <w:t>/s/ Robert Potts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6"/>
        </w:trPr>
        <w:tc>
          <w:tcPr>
            <w:tcW w:w="1040" w:type="dxa"/>
            <w:vAlign w:val="bottom"/>
          </w:tcPr>
          <w:p>
            <w:pPr>
              <w:spacing w:after="0"/>
              <w:rPr>
                <w:sz w:val="11"/>
                <w:szCs w:val="11"/>
                <w:color w:val="auto"/>
              </w:rPr>
            </w:pPr>
          </w:p>
        </w:tc>
        <w:tc>
          <w:tcPr>
            <w:tcW w:w="8160" w:type="dxa"/>
            <w:vAlign w:val="bottom"/>
            <w:tcBorders>
              <w:top w:val="single" w:sz="8" w:color="auto"/>
            </w:tcBorders>
          </w:tcPr>
          <w:p>
            <w:pPr>
              <w:jc w:val="center"/>
              <w:ind w:left="869"/>
              <w:spacing w:after="0" w:line="136"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9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84"/>
        </w:trPr>
        <w:tc>
          <w:tcPr>
            <w:tcW w:w="1040" w:type="dxa"/>
            <w:vAlign w:val="bottom"/>
          </w:tcPr>
          <w:p>
            <w:pPr>
              <w:spacing w:after="0"/>
              <w:rPr>
                <w:sz w:val="16"/>
                <w:szCs w:val="16"/>
                <w:color w:val="auto"/>
              </w:rPr>
            </w:pPr>
          </w:p>
        </w:tc>
        <w:tc>
          <w:tcPr>
            <w:tcW w:w="816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rPr>
              <w:t>Robert L. Potts, Assistant Secretary, VCE Company, LLC</w:t>
            </w: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p>
    <w:p>
      <w:pPr>
        <w:ind w:left="580" w:hanging="341"/>
        <w:spacing w:after="0"/>
        <w:tabs>
          <w:tab w:leader="none" w:pos="580" w:val="left"/>
        </w:tabs>
        <w:numPr>
          <w:ilvl w:val="0"/>
          <w:numId w:val="22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80" w:hanging="341"/>
        <w:spacing w:after="0"/>
        <w:tabs>
          <w:tab w:leader="none" w:pos="580" w:val="left"/>
        </w:tabs>
        <w:numPr>
          <w:ilvl w:val="0"/>
          <w:numId w:val="22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80" w:hanging="341"/>
        <w:spacing w:after="0"/>
        <w:tabs>
          <w:tab w:leader="none" w:pos="580" w:val="left"/>
        </w:tabs>
        <w:numPr>
          <w:ilvl w:val="0"/>
          <w:numId w:val="22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80" w:hanging="341"/>
        <w:spacing w:after="0"/>
        <w:tabs>
          <w:tab w:leader="none" w:pos="580" w:val="left"/>
        </w:tabs>
        <w:numPr>
          <w:ilvl w:val="0"/>
          <w:numId w:val="23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460" w:type="dxa"/>
            <w:vAlign w:val="bottom"/>
          </w:tcPr>
          <w:p>
            <w:pPr>
              <w:spacing w:after="0"/>
              <w:rPr>
                <w:sz w:val="16"/>
                <w:szCs w:val="16"/>
                <w:color w:val="auto"/>
              </w:rPr>
            </w:pPr>
          </w:p>
        </w:tc>
        <w:tc>
          <w:tcPr>
            <w:tcW w:w="29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23rd</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day of   September</w:t>
            </w:r>
          </w:p>
        </w:tc>
        <w:tc>
          <w:tcPr>
            <w:tcW w:w="3520" w:type="dxa"/>
            <w:vAlign w:val="bottom"/>
            <w:gridSpan w:val="3"/>
          </w:tcPr>
          <w:p>
            <w:pPr>
              <w:jc w:val="right"/>
              <w:ind w:right="2540"/>
              <w:spacing w:after="0"/>
              <w:rPr>
                <w:sz w:val="20"/>
                <w:szCs w:val="20"/>
                <w:color w:val="auto"/>
              </w:rPr>
            </w:pPr>
            <w:r>
              <w:rPr>
                <w:rFonts w:ascii="Times New Roman" w:cs="Times New Roman" w:eastAsia="Times New Roman" w:hAnsi="Times New Roman"/>
                <w:sz w:val="14"/>
                <w:szCs w:val="14"/>
                <w:color w:val="auto"/>
              </w:rPr>
              <w:t>, 2019</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22"/>
        </w:trPr>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2"/>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2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/s/ Robert Potts</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136"/>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20" w:type="dxa"/>
            <w:vAlign w:val="bottom"/>
          </w:tcPr>
          <w:p>
            <w:pPr>
              <w:jc w:val="center"/>
              <w:ind w:right="949"/>
              <w:spacing w:after="0" w:line="136"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4"/>
        </w:trPr>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680" w:type="dxa"/>
            <w:vAlign w:val="bottom"/>
            <w:gridSpan w:val="2"/>
          </w:tcPr>
          <w:p>
            <w:pPr>
              <w:jc w:val="center"/>
              <w:ind w:right="389"/>
              <w:spacing w:after="0"/>
              <w:rPr>
                <w:sz w:val="20"/>
                <w:szCs w:val="20"/>
                <w:color w:val="auto"/>
              </w:rPr>
            </w:pPr>
            <w:r>
              <w:rPr>
                <w:rFonts w:ascii="Times New Roman" w:cs="Times New Roman" w:eastAsia="Times New Roman" w:hAnsi="Times New Roman"/>
                <w:sz w:val="14"/>
                <w:szCs w:val="14"/>
                <w:color w:val="auto"/>
              </w:rPr>
              <w:t>Robert Potts, Assistant Secretary, EMC Corporation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p>
    <w:p>
      <w:pPr>
        <w:ind w:left="580" w:hanging="341"/>
        <w:spacing w:after="0"/>
        <w:tabs>
          <w:tab w:leader="none" w:pos="580" w:val="left"/>
        </w:tabs>
        <w:numPr>
          <w:ilvl w:val="0"/>
          <w:numId w:val="23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80" w:hanging="341"/>
        <w:spacing w:after="0"/>
        <w:tabs>
          <w:tab w:leader="none" w:pos="580" w:val="left"/>
        </w:tabs>
        <w:numPr>
          <w:ilvl w:val="0"/>
          <w:numId w:val="23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80" w:hanging="341"/>
        <w:spacing w:after="0"/>
        <w:tabs>
          <w:tab w:leader="none" w:pos="580" w:val="left"/>
        </w:tabs>
        <w:numPr>
          <w:ilvl w:val="0"/>
          <w:numId w:val="23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80" w:hanging="341"/>
        <w:spacing w:after="0"/>
        <w:tabs>
          <w:tab w:leader="none" w:pos="580" w:val="left"/>
        </w:tabs>
        <w:numPr>
          <w:ilvl w:val="0"/>
          <w:numId w:val="23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p>
      <w:pPr>
        <w:spacing w:after="0"/>
        <w:tabs>
          <w:tab w:leader="none" w:pos="2120" w:val="left"/>
          <w:tab w:leader="none" w:pos="3980" w:val="left"/>
          <w:tab w:leader="none" w:pos="4520" w:val="left"/>
          <w:tab w:leader="none" w:pos="834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23rd</w:t>
      </w:r>
      <w:r>
        <w:rPr>
          <w:sz w:val="20"/>
          <w:szCs w:val="20"/>
          <w:color w:val="auto"/>
        </w:rPr>
        <w:tab/>
      </w:r>
      <w:r>
        <w:rPr>
          <w:rFonts w:ascii="Times New Roman" w:cs="Times New Roman" w:eastAsia="Times New Roman" w:hAnsi="Times New Roman"/>
          <w:sz w:val="14"/>
          <w:szCs w:val="14"/>
          <w:color w:val="auto"/>
        </w:rPr>
        <w:t>day of</w:t>
        <w:tab/>
        <w:t>September</w:t>
      </w:r>
      <w:r>
        <w:rPr>
          <w:sz w:val="20"/>
          <w:szCs w:val="20"/>
          <w:color w:val="auto"/>
        </w:rPr>
        <w:tab/>
      </w:r>
      <w:r>
        <w:rPr>
          <w:rFonts w:ascii="Times New Roman" w:cs="Times New Roman" w:eastAsia="Times New Roman" w:hAnsi="Times New Roman"/>
          <w:sz w:val="14"/>
          <w:szCs w:val="14"/>
          <w:color w:val="auto"/>
        </w:rPr>
        <w:t>2019</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133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67290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454025</wp:posOffset>
            </wp:positionV>
            <wp:extent cx="7161530" cy="27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20"/>
          </w:cols>
          <w:pgMar w:left="300" w:top="518" w:right="37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4"/>
          <w:szCs w:val="14"/>
          <w:color w:val="131300"/>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9"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1C1C00"/>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A1A00"/>
        </w:rPr>
        <w:t>September 24, 2019 10:07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123190</wp:posOffset>
            </wp:positionV>
            <wp:extent cx="1351280" cy="3784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21200"/>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7" w:right="47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391"/>
        </w:trPr>
        <w:tc>
          <w:tcPr>
            <w:tcW w:w="2640" w:type="dxa"/>
            <w:vAlign w:val="bottom"/>
          </w:tcPr>
          <w:p>
            <w:pPr>
              <w:spacing w:after="0"/>
              <w:rPr>
                <w:sz w:val="20"/>
                <w:szCs w:val="20"/>
                <w:color w:val="auto"/>
              </w:rPr>
            </w:pPr>
            <w:r>
              <w:rPr>
                <w:rFonts w:ascii="Times New Roman" w:cs="Times New Roman" w:eastAsia="Times New Roman" w:hAnsi="Times New Roman"/>
                <w:sz w:val="34"/>
                <w:szCs w:val="34"/>
                <w:b w:val="1"/>
                <w:bCs w:val="1"/>
                <w:color w:val="242200"/>
              </w:rPr>
              <w:t>DF</w:t>
            </w:r>
          </w:p>
        </w:tc>
        <w:tc>
          <w:tcPr>
            <w:tcW w:w="5260" w:type="dxa"/>
            <w:vAlign w:val="bottom"/>
          </w:tcPr>
          <w:p>
            <w:pPr>
              <w:jc w:val="center"/>
              <w:ind w:left="683"/>
              <w:spacing w:after="0"/>
              <w:rPr>
                <w:sz w:val="20"/>
                <w:szCs w:val="20"/>
                <w:color w:val="auto"/>
              </w:rPr>
            </w:pPr>
            <w:r>
              <w:rPr>
                <w:rFonts w:ascii="Times New Roman" w:cs="Times New Roman" w:eastAsia="Times New Roman" w:hAnsi="Times New Roman"/>
                <w:sz w:val="20"/>
                <w:szCs w:val="20"/>
                <w:b w:val="1"/>
                <w:bCs w:val="1"/>
                <w:color w:val="242400"/>
                <w:w w:val="99"/>
              </w:rPr>
              <w:t>The Commonwealth of Massachusetts</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4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5260" w:type="dxa"/>
            <w:vAlign w:val="bottom"/>
          </w:tcPr>
          <w:p>
            <w:pPr>
              <w:jc w:val="center"/>
              <w:ind w:left="683"/>
              <w:spacing w:after="0"/>
              <w:rPr>
                <w:sz w:val="20"/>
                <w:szCs w:val="20"/>
                <w:color w:val="auto"/>
              </w:rPr>
            </w:pPr>
            <w:r>
              <w:rPr>
                <w:rFonts w:ascii="Times New Roman" w:cs="Times New Roman" w:eastAsia="Times New Roman" w:hAnsi="Times New Roman"/>
                <w:sz w:val="14"/>
                <w:szCs w:val="14"/>
                <w:b w:val="1"/>
                <w:bCs w:val="1"/>
                <w:color w:val="141400"/>
              </w:rPr>
              <w:t>William Francis Galvin</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640" w:type="dxa"/>
            <w:vAlign w:val="bottom"/>
            <w:vMerge w:val="continue"/>
          </w:tcPr>
          <w:p>
            <w:pPr>
              <w:spacing w:after="0"/>
              <w:rPr>
                <w:sz w:val="22"/>
                <w:szCs w:val="22"/>
                <w:color w:val="auto"/>
              </w:rPr>
            </w:pPr>
          </w:p>
        </w:tc>
        <w:tc>
          <w:tcPr>
            <w:tcW w:w="5260" w:type="dxa"/>
            <w:vAlign w:val="bottom"/>
          </w:tcPr>
          <w:p>
            <w:pPr>
              <w:jc w:val="center"/>
              <w:ind w:left="663"/>
              <w:spacing w:after="0"/>
              <w:rPr>
                <w:sz w:val="20"/>
                <w:szCs w:val="20"/>
                <w:color w:val="auto"/>
              </w:rPr>
            </w:pPr>
            <w:r>
              <w:rPr>
                <w:rFonts w:ascii="Times New Roman" w:cs="Times New Roman" w:eastAsia="Times New Roman" w:hAnsi="Times New Roman"/>
                <w:sz w:val="14"/>
                <w:szCs w:val="14"/>
                <w:color w:val="161600"/>
              </w:rPr>
              <w:t>Secretary of the Commonwealth</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640" w:type="dxa"/>
            <w:vAlign w:val="bottom"/>
          </w:tcPr>
          <w:p>
            <w:pPr>
              <w:spacing w:after="0"/>
              <w:rPr>
                <w:sz w:val="16"/>
                <w:szCs w:val="16"/>
                <w:color w:val="auto"/>
              </w:rPr>
            </w:pPr>
          </w:p>
        </w:tc>
        <w:tc>
          <w:tcPr>
            <w:tcW w:w="5260" w:type="dxa"/>
            <w:vAlign w:val="bottom"/>
          </w:tcPr>
          <w:p>
            <w:pPr>
              <w:jc w:val="center"/>
              <w:ind w:left="683"/>
              <w:spacing w:after="0"/>
              <w:rPr>
                <w:sz w:val="20"/>
                <w:szCs w:val="20"/>
                <w:color w:val="auto"/>
              </w:rPr>
            </w:pPr>
            <w:r>
              <w:rPr>
                <w:rFonts w:ascii="Times New Roman" w:cs="Times New Roman" w:eastAsia="Times New Roman" w:hAnsi="Times New Roman"/>
                <w:sz w:val="14"/>
                <w:szCs w:val="14"/>
                <w:color w:val="161600"/>
              </w:rPr>
              <w:t>One Ashburton Place, Boston, Massachusetts 02108-1512</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1B1B00"/>
              </w:rPr>
              <w:t>FORM MUST BE TYPED</w:t>
            </w:r>
          </w:p>
        </w:tc>
        <w:tc>
          <w:tcPr>
            <w:tcW w:w="5260" w:type="dxa"/>
            <w:vAlign w:val="bottom"/>
          </w:tcPr>
          <w:p>
            <w:pPr>
              <w:jc w:val="center"/>
              <w:ind w:left="443"/>
              <w:spacing w:after="0"/>
              <w:rPr>
                <w:sz w:val="20"/>
                <w:szCs w:val="20"/>
                <w:color w:val="auto"/>
              </w:rPr>
            </w:pPr>
            <w:r>
              <w:rPr>
                <w:rFonts w:ascii="Times New Roman" w:cs="Times New Roman" w:eastAsia="Times New Roman" w:hAnsi="Times New Roman"/>
                <w:sz w:val="17"/>
                <w:szCs w:val="17"/>
                <w:b w:val="1"/>
                <w:bCs w:val="1"/>
                <w:color w:val="1C1C00"/>
                <w:w w:val="99"/>
              </w:rPr>
              <w:t>Articles of Merger</w:t>
            </w:r>
          </w:p>
        </w:tc>
        <w:tc>
          <w:tcPr>
            <w:tcW w:w="3380" w:type="dxa"/>
            <w:vAlign w:val="bottom"/>
          </w:tcPr>
          <w:p>
            <w:pPr>
              <w:ind w:left="1840"/>
              <w:spacing w:after="0"/>
              <w:rPr>
                <w:sz w:val="20"/>
                <w:szCs w:val="20"/>
                <w:color w:val="auto"/>
              </w:rPr>
            </w:pPr>
            <w:r>
              <w:rPr>
                <w:rFonts w:ascii="Times New Roman" w:cs="Times New Roman" w:eastAsia="Times New Roman" w:hAnsi="Times New Roman"/>
                <w:sz w:val="14"/>
                <w:szCs w:val="14"/>
                <w:color w:val="1C1C00"/>
                <w:w w:val="99"/>
              </w:rPr>
              <w:t>FORM MUST BE TYPED</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5260" w:type="dxa"/>
            <w:vAlign w:val="bottom"/>
          </w:tcPr>
          <w:p>
            <w:pPr>
              <w:jc w:val="center"/>
              <w:ind w:left="443"/>
              <w:spacing w:after="0" w:line="192" w:lineRule="exact"/>
              <w:rPr>
                <w:sz w:val="20"/>
                <w:szCs w:val="20"/>
                <w:color w:val="auto"/>
              </w:rPr>
            </w:pPr>
            <w:r>
              <w:rPr>
                <w:rFonts w:ascii="Times New Roman" w:cs="Times New Roman" w:eastAsia="Times New Roman" w:hAnsi="Times New Roman"/>
                <w:sz w:val="17"/>
                <w:szCs w:val="17"/>
                <w:b w:val="1"/>
                <w:bCs w:val="1"/>
                <w:color w:val="1C1C00"/>
                <w:w w:val="99"/>
              </w:rPr>
              <w:t>Involving Domestic Corporations,</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5260" w:type="dxa"/>
            <w:vAlign w:val="bottom"/>
          </w:tcPr>
          <w:p>
            <w:pPr>
              <w:jc w:val="center"/>
              <w:ind w:left="463"/>
              <w:spacing w:after="0"/>
              <w:rPr>
                <w:sz w:val="20"/>
                <w:szCs w:val="20"/>
                <w:color w:val="auto"/>
              </w:rPr>
            </w:pPr>
            <w:r>
              <w:rPr>
                <w:rFonts w:ascii="Times New Roman" w:cs="Times New Roman" w:eastAsia="Times New Roman" w:hAnsi="Times New Roman"/>
                <w:sz w:val="17"/>
                <w:szCs w:val="17"/>
                <w:b w:val="1"/>
                <w:bCs w:val="1"/>
                <w:color w:val="1C1C00"/>
              </w:rPr>
              <w:t>Foreign Corporations or Foreign Other Entities</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tcPr>
          <w:p>
            <w:pPr>
              <w:spacing w:after="0"/>
              <w:rPr>
                <w:sz w:val="16"/>
                <w:szCs w:val="16"/>
                <w:color w:val="auto"/>
              </w:rPr>
            </w:pPr>
          </w:p>
        </w:tc>
        <w:tc>
          <w:tcPr>
            <w:tcW w:w="5260" w:type="dxa"/>
            <w:vAlign w:val="bottom"/>
          </w:tcPr>
          <w:p>
            <w:pPr>
              <w:jc w:val="center"/>
              <w:ind w:left="443"/>
              <w:spacing w:after="0"/>
              <w:rPr>
                <w:sz w:val="20"/>
                <w:szCs w:val="20"/>
                <w:color w:val="auto"/>
              </w:rPr>
            </w:pPr>
            <w:r>
              <w:rPr>
                <w:rFonts w:ascii="Times New Roman" w:cs="Times New Roman" w:eastAsia="Times New Roman" w:hAnsi="Times New Roman"/>
                <w:sz w:val="14"/>
                <w:szCs w:val="14"/>
                <w:color w:val="1C1C00"/>
              </w:rPr>
              <w:t>(General Laws Chapter 156D, Section 11.06; 950 CMR 113.37)</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1E1E00"/>
              </w:rPr>
              <w:t>Exact name, jurisdiction and date of organization of each party to the merger:</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171700"/>
              </w:rPr>
              <w:t>(1) EXACT NAME</w:t>
            </w:r>
          </w:p>
        </w:tc>
        <w:tc>
          <w:tcPr>
            <w:tcW w:w="5260" w:type="dxa"/>
            <w:vAlign w:val="bottom"/>
          </w:tcPr>
          <w:p>
            <w:pPr>
              <w:ind w:left="1880"/>
              <w:spacing w:after="0"/>
              <w:rPr>
                <w:sz w:val="20"/>
                <w:szCs w:val="20"/>
                <w:color w:val="auto"/>
              </w:rPr>
            </w:pPr>
            <w:r>
              <w:rPr>
                <w:rFonts w:ascii="Times New Roman" w:cs="Times New Roman" w:eastAsia="Times New Roman" w:hAnsi="Times New Roman"/>
                <w:sz w:val="14"/>
                <w:szCs w:val="14"/>
                <w:color w:val="1A1A00"/>
              </w:rPr>
              <w:t>(2) JURISDICTION</w:t>
            </w:r>
          </w:p>
        </w:tc>
        <w:tc>
          <w:tcPr>
            <w:tcW w:w="3380" w:type="dxa"/>
            <w:vAlign w:val="bottom"/>
          </w:tcPr>
          <w:p>
            <w:pPr>
              <w:ind w:left="560"/>
              <w:spacing w:after="0"/>
              <w:rPr>
                <w:sz w:val="20"/>
                <w:szCs w:val="20"/>
                <w:color w:val="auto"/>
              </w:rPr>
            </w:pPr>
            <w:r>
              <w:rPr>
                <w:rFonts w:ascii="Times New Roman" w:cs="Times New Roman" w:eastAsia="Times New Roman" w:hAnsi="Times New Roman"/>
                <w:sz w:val="14"/>
                <w:szCs w:val="14"/>
                <w:color w:val="191900"/>
              </w:rPr>
              <w:t>DATE OF ORGANIZATION</w:t>
            </w:r>
          </w:p>
        </w:tc>
        <w:tc>
          <w:tcPr>
            <w:tcW w:w="0" w:type="dxa"/>
            <w:vAlign w:val="bottom"/>
          </w:tcPr>
          <w:p>
            <w:pPr>
              <w:spacing w:after="0"/>
              <w:rPr>
                <w:sz w:val="1"/>
                <w:szCs w:val="1"/>
                <w:color w:val="auto"/>
              </w:rPr>
            </w:pPr>
          </w:p>
        </w:tc>
      </w:tr>
      <w:tr>
        <w:trPr>
          <w:trHeight w:val="341"/>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71700"/>
              </w:rPr>
              <w:t>Iomega. L.L.C.</w:t>
            </w:r>
          </w:p>
        </w:tc>
        <w:tc>
          <w:tcPr>
            <w:tcW w:w="52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4"/>
                <w:szCs w:val="14"/>
                <w:color w:val="121200"/>
              </w:rPr>
              <w:t>Delaware</w:t>
            </w:r>
          </w:p>
        </w:tc>
        <w:tc>
          <w:tcPr>
            <w:tcW w:w="3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222200"/>
              </w:rPr>
              <w:t>April 2, 1980</w:t>
            </w:r>
          </w:p>
        </w:tc>
        <w:tc>
          <w:tcPr>
            <w:tcW w:w="0" w:type="dxa"/>
            <w:vAlign w:val="bottom"/>
          </w:tcPr>
          <w:p>
            <w:pPr>
              <w:spacing w:after="0"/>
              <w:rPr>
                <w:sz w:val="1"/>
                <w:szCs w:val="1"/>
                <w:color w:val="auto"/>
              </w:rPr>
            </w:pPr>
          </w:p>
        </w:tc>
      </w:tr>
      <w:tr>
        <w:trPr>
          <w:trHeight w:val="331"/>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71700"/>
              </w:rPr>
              <w:t>EMC Corporation</w:t>
            </w:r>
          </w:p>
        </w:tc>
        <w:tc>
          <w:tcPr>
            <w:tcW w:w="52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4"/>
                <w:szCs w:val="14"/>
                <w:color w:val="121200"/>
              </w:rPr>
              <w:t>Massachusetts</w:t>
            </w:r>
          </w:p>
        </w:tc>
        <w:tc>
          <w:tcPr>
            <w:tcW w:w="3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222200"/>
              </w:rPr>
              <w:t>August 23, 1979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wp:posOffset>
            </wp:positionV>
            <wp:extent cx="716153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262600"/>
                <w:w w:val="97"/>
              </w:rPr>
              <w:t>(3)</w:t>
            </w:r>
          </w:p>
        </w:tc>
        <w:tc>
          <w:tcPr>
            <w:tcW w:w="11100" w:type="dxa"/>
            <w:vAlign w:val="bottom"/>
            <w:gridSpan w:val="4"/>
          </w:tcPr>
          <w:p>
            <w:pPr>
              <w:ind w:left="20"/>
              <w:spacing w:after="0" w:line="161" w:lineRule="exact"/>
              <w:rPr>
                <w:sz w:val="20"/>
                <w:szCs w:val="20"/>
                <w:color w:val="auto"/>
              </w:rPr>
            </w:pPr>
            <w:r>
              <w:rPr>
                <w:rFonts w:ascii="Times New Roman" w:cs="Times New Roman" w:eastAsia="Times New Roman" w:hAnsi="Times New Roman"/>
                <w:sz w:val="14"/>
                <w:szCs w:val="14"/>
                <w:color w:val="262600"/>
              </w:rPr>
              <w:t xml:space="preserve">The foreign corporation or other entity </w:t>
            </w:r>
            <w:r>
              <w:rPr>
                <w:rFonts w:ascii="MS PGothic" w:cs="MS PGothic" w:eastAsia="MS PGothic" w:hAnsi="MS PGothic"/>
                <w:sz w:val="14"/>
                <w:szCs w:val="14"/>
                <w:color w:val="262600"/>
              </w:rPr>
              <w:t>☐</w:t>
            </w:r>
            <w:r>
              <w:rPr>
                <w:rFonts w:ascii="Times New Roman" w:cs="Times New Roman" w:eastAsia="Times New Roman" w:hAnsi="Times New Roman"/>
                <w:sz w:val="14"/>
                <w:szCs w:val="14"/>
                <w:color w:val="262600"/>
              </w:rPr>
              <w:t xml:space="preserve"> is/</w:t>
            </w:r>
            <w:r>
              <w:rPr>
                <w:rFonts w:ascii="MS PGothic" w:cs="MS PGothic" w:eastAsia="MS PGothic" w:hAnsi="MS PGothic"/>
                <w:sz w:val="14"/>
                <w:szCs w:val="14"/>
                <w:color w:val="262600"/>
              </w:rPr>
              <w:t>☒</w:t>
            </w:r>
            <w:r>
              <w:rPr>
                <w:rFonts w:ascii="Times New Roman" w:cs="Times New Roman" w:eastAsia="Times New Roman" w:hAnsi="Times New Roman"/>
                <w:sz w:val="14"/>
                <w:szCs w:val="14"/>
                <w:color w:val="262600"/>
              </w:rPr>
              <w:t>is not* authorized to conduct business in the Commonwealth.</w:t>
            </w:r>
          </w:p>
        </w:tc>
      </w:tr>
      <w:tr>
        <w:trPr>
          <w:trHeight w:val="340"/>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1B1B00"/>
                <w:w w:val="97"/>
              </w:rPr>
              <w:t>(4)</w:t>
            </w:r>
          </w:p>
        </w:tc>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1B1B00"/>
              </w:rPr>
              <w:t>Exact name of the surviving entity:</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B1B00"/>
              </w:rPr>
              <w:t>EMC Corporation</w:t>
            </w:r>
          </w:p>
        </w:tc>
        <w:tc>
          <w:tcPr>
            <w:tcW w:w="20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131300"/>
                <w:w w:val="97"/>
              </w:rPr>
              <w:t>(5)</w:t>
            </w:r>
          </w:p>
        </w:tc>
        <w:tc>
          <w:tcPr>
            <w:tcW w:w="6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131300"/>
              </w:rPr>
              <w:t>Jurisdiction under the laws of which the surviving entity will be organized:</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31300"/>
              </w:rPr>
              <w:t>Massachusetts</w:t>
            </w: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1E1E00"/>
                <w:w w:val="97"/>
              </w:rPr>
              <w:t>(6)</w:t>
            </w:r>
          </w:p>
        </w:tc>
        <w:tc>
          <w:tcPr>
            <w:tcW w:w="11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1E1E00"/>
              </w:rPr>
              <w:t>The merger shall be effective at the time and on the date approved by the Division, unless a later effective date or more than</w:t>
            </w:r>
          </w:p>
        </w:tc>
      </w:tr>
      <w:tr>
        <w:trPr>
          <w:trHeight w:val="185"/>
        </w:trPr>
        <w:tc>
          <w:tcPr>
            <w:tcW w:w="18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191900"/>
              </w:rPr>
              <w:t>90 days from the date and time of filing is specified:</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E1E00"/>
              </w:rPr>
              <w:t>October 22, 2019</w:t>
            </w:r>
          </w:p>
        </w:tc>
        <w:tc>
          <w:tcPr>
            <w:tcW w:w="4960" w:type="dxa"/>
            <w:vAlign w:val="bottom"/>
            <w:tcBorders>
              <w:bottom w:val="single" w:sz="8" w:color="auto"/>
            </w:tcBorders>
          </w:tcPr>
          <w:p>
            <w:pPr>
              <w:spacing w:after="0"/>
              <w:rPr>
                <w:sz w:val="16"/>
                <w:szCs w:val="16"/>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234"/>
        </w:numPr>
        <w:rPr>
          <w:rFonts w:ascii="MS PGothic" w:cs="MS PGothic" w:eastAsia="MS PGothic" w:hAnsi="MS PGothic"/>
          <w:sz w:val="14"/>
          <w:szCs w:val="14"/>
          <w:color w:val="1A1F00"/>
        </w:rPr>
      </w:pPr>
      <w:r>
        <w:rPr>
          <w:rFonts w:ascii="Times New Roman" w:cs="Times New Roman" w:eastAsia="Times New Roman" w:hAnsi="Times New Roman"/>
          <w:sz w:val="14"/>
          <w:szCs w:val="14"/>
          <w:color w:val="1A1F00"/>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1A1F00"/>
        </w:rPr>
      </w:pPr>
    </w:p>
    <w:p>
      <w:pPr>
        <w:ind w:left="260"/>
        <w:spacing w:after="0"/>
        <w:rPr>
          <w:rFonts w:ascii="MS PGothic" w:cs="MS PGothic" w:eastAsia="MS PGothic" w:hAnsi="MS PGothic"/>
          <w:sz w:val="14"/>
          <w:szCs w:val="14"/>
          <w:color w:val="1A1F00"/>
        </w:rPr>
      </w:pPr>
      <w:r>
        <w:rPr>
          <w:rFonts w:ascii="Times New Roman" w:cs="Times New Roman" w:eastAsia="Times New Roman" w:hAnsi="Times New Roman"/>
          <w:sz w:val="14"/>
          <w:szCs w:val="14"/>
          <w:color w:val="121200"/>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242400"/>
        </w:rPr>
        <w:t>☒</w:t>
      </w:r>
      <w:r>
        <w:rPr>
          <w:rFonts w:ascii="Times New Roman" w:cs="Times New Roman" w:eastAsia="Times New Roman" w:hAnsi="Times New Roman"/>
          <w:sz w:val="14"/>
          <w:szCs w:val="14"/>
          <w:color w:val="242400"/>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235"/>
        </w:numPr>
        <w:rPr>
          <w:rFonts w:ascii="Times New Roman" w:cs="Times New Roman" w:eastAsia="Times New Roman" w:hAnsi="Times New Roman"/>
          <w:sz w:val="14"/>
          <w:szCs w:val="14"/>
          <w:color w:val="151600"/>
        </w:rPr>
      </w:pPr>
      <w:r>
        <w:rPr>
          <w:rFonts w:ascii="Times New Roman" w:cs="Times New Roman" w:eastAsia="Times New Roman" w:hAnsi="Times New Roman"/>
          <w:sz w:val="14"/>
          <w:szCs w:val="14"/>
          <w:color w:val="151600"/>
        </w:rPr>
        <w:t xml:space="preserve">Participation of each other domestic entity foreign corporation, or foreign other entity was duly authorized by the law under </w:t>
      </w:r>
      <w:r>
        <w:rPr>
          <w:rFonts w:ascii="Times New Roman" w:cs="Times New Roman" w:eastAsia="Times New Roman" w:hAnsi="Times New Roman"/>
          <w:sz w:val="14"/>
          <w:szCs w:val="14"/>
          <w:color w:val="1A1A00"/>
        </w:rPr>
        <w:t>which the other entity or foreign corporation is organized and by its</w:t>
      </w:r>
      <w:r>
        <w:rPr>
          <w:rFonts w:ascii="Times New Roman" w:cs="Times New Roman" w:eastAsia="Times New Roman" w:hAnsi="Times New Roman"/>
          <w:sz w:val="14"/>
          <w:szCs w:val="14"/>
          <w:color w:val="151600"/>
        </w:rPr>
        <w:t xml:space="preserve"> </w:t>
      </w:r>
      <w:r>
        <w:rPr>
          <w:rFonts w:ascii="Times New Roman" w:cs="Times New Roman" w:eastAsia="Times New Roman" w:hAnsi="Times New Roman"/>
          <w:sz w:val="14"/>
          <w:szCs w:val="14"/>
          <w:color w:val="1A1A00"/>
        </w:rPr>
        <w:t>organizational documents.</w:t>
      </w:r>
    </w:p>
    <w:p>
      <w:pPr>
        <w:spacing w:after="0" w:line="122" w:lineRule="exact"/>
        <w:rPr>
          <w:sz w:val="20"/>
          <w:szCs w:val="20"/>
          <w:color w:val="auto"/>
        </w:rPr>
      </w:pPr>
    </w:p>
    <w:p>
      <w:pPr>
        <w:ind w:left="260" w:hanging="255"/>
        <w:spacing w:after="0"/>
        <w:tabs>
          <w:tab w:leader="none" w:pos="260" w:val="left"/>
        </w:tabs>
        <w:numPr>
          <w:ilvl w:val="0"/>
          <w:numId w:val="236"/>
        </w:numPr>
        <w:rPr>
          <w:rFonts w:ascii="Times New Roman" w:cs="Times New Roman" w:eastAsia="Times New Roman" w:hAnsi="Times New Roman"/>
          <w:sz w:val="14"/>
          <w:szCs w:val="14"/>
          <w:i w:val="1"/>
          <w:iCs w:val="1"/>
          <w:color w:val="212100"/>
        </w:rPr>
      </w:pPr>
      <w:r>
        <w:rPr>
          <w:rFonts w:ascii="Times New Roman" w:cs="Times New Roman" w:eastAsia="Times New Roman" w:hAnsi="Times New Roman"/>
          <w:sz w:val="14"/>
          <w:szCs w:val="14"/>
          <w:i w:val="1"/>
          <w:iCs w:val="1"/>
          <w:color w:val="212100"/>
        </w:rPr>
        <w:t>Check appropriate box</w:t>
      </w:r>
    </w:p>
    <w:p>
      <w:pPr>
        <w:spacing w:after="0" w:line="2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i w:val="1"/>
          <w:iCs w:val="1"/>
          <w:color w:val="262600"/>
        </w:rPr>
        <w:t>**</w:t>
        <w:tab/>
        <w:t>Provide this information for each domestic corporation separately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A2A00"/>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9032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129032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4" w:name="page135"/>
    <w:bookmarkEnd w:id="134"/>
    <w:p>
      <w:pPr>
        <w:ind w:left="275" w:hanging="275"/>
        <w:spacing w:after="0"/>
        <w:tabs>
          <w:tab w:leader="none" w:pos="275" w:val="left"/>
        </w:tabs>
        <w:numPr>
          <w:ilvl w:val="0"/>
          <w:numId w:val="237"/>
        </w:numPr>
        <w:rPr>
          <w:rFonts w:ascii="Times New Roman" w:cs="Times New Roman" w:eastAsia="Times New Roman" w:hAnsi="Times New Roman"/>
          <w:sz w:val="14"/>
          <w:szCs w:val="14"/>
          <w:color w:val="1A1A00"/>
        </w:rPr>
      </w:pPr>
      <w:r>
        <w:rPr>
          <w:rFonts w:ascii="Times New Roman" w:cs="Times New Roman" w:eastAsia="Times New Roman" w:hAnsi="Times New Roman"/>
          <w:sz w:val="14"/>
          <w:szCs w:val="14"/>
          <w:color w:val="1A1A00"/>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w:t>
      </w:r>
      <w:r>
        <w:rPr>
          <w:rFonts w:ascii="Times New Roman" w:cs="Times New Roman" w:eastAsia="Times New Roman" w:hAnsi="Times New Roman"/>
          <w:sz w:val="14"/>
          <w:szCs w:val="14"/>
          <w:color w:val="131300"/>
        </w:rPr>
        <w:t>tion.</w:t>
      </w:r>
    </w:p>
    <w:p>
      <w:pPr>
        <w:spacing w:after="0" w:line="179" w:lineRule="exact"/>
        <w:rPr>
          <w:rFonts w:ascii="Times New Roman" w:cs="Times New Roman" w:eastAsia="Times New Roman" w:hAnsi="Times New Roman"/>
          <w:sz w:val="14"/>
          <w:szCs w:val="14"/>
          <w:color w:val="1A1A00"/>
        </w:rPr>
      </w:pPr>
    </w:p>
    <w:p>
      <w:pPr>
        <w:ind w:left="275" w:hanging="275"/>
        <w:spacing w:after="0"/>
        <w:tabs>
          <w:tab w:leader="none" w:pos="275" w:val="left"/>
        </w:tabs>
        <w:numPr>
          <w:ilvl w:val="0"/>
          <w:numId w:val="237"/>
        </w:numPr>
        <w:rPr>
          <w:rFonts w:ascii="Times New Roman" w:cs="Times New Roman" w:eastAsia="Times New Roman" w:hAnsi="Times New Roman"/>
          <w:sz w:val="14"/>
          <w:szCs w:val="14"/>
          <w:color w:val="161600"/>
        </w:rPr>
      </w:pPr>
      <w:r>
        <w:rPr>
          <w:rFonts w:ascii="Times New Roman" w:cs="Times New Roman" w:eastAsia="Times New Roman" w:hAnsi="Times New Roman"/>
          <w:sz w:val="14"/>
          <w:szCs w:val="14"/>
          <w:color w:val="161600"/>
        </w:rPr>
        <w:t xml:space="preserve">Attach the articles of organization of the surviving entity, where the survivor is a NEW domestic business corporation, including </w:t>
      </w:r>
      <w:r>
        <w:rPr>
          <w:rFonts w:ascii="Times New Roman" w:cs="Times New Roman" w:eastAsia="Times New Roman" w:hAnsi="Times New Roman"/>
          <w:sz w:val="14"/>
          <w:szCs w:val="14"/>
          <w:color w:val="1C1C00"/>
        </w:rPr>
        <w:t>all the supplemental information required by 950 CMR 113.16.</w:t>
      </w:r>
    </w:p>
    <w:p>
      <w:pPr>
        <w:spacing w:after="0" w:line="179" w:lineRule="exact"/>
        <w:rPr>
          <w:sz w:val="20"/>
          <w:szCs w:val="20"/>
          <w:color w:val="auto"/>
        </w:rPr>
      </w:pPr>
    </w:p>
    <w:p>
      <w:pPr>
        <w:ind w:left="335" w:right="3960" w:hanging="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1F1F00"/>
        </w:rPr>
        <w:t>12) State the executive office address of the surviving foreign other entity if such information is not on the public record 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F1F00"/>
        </w:rPr>
        <w:t>foreign jurisdiction:</w:t>
      </w:r>
    </w:p>
    <w:p>
      <w:pPr>
        <w:jc w:val="center"/>
        <w:ind w:right="-94"/>
        <w:spacing w:after="0"/>
        <w:rPr>
          <w:sz w:val="20"/>
          <w:szCs w:val="20"/>
          <w:color w:val="auto"/>
        </w:rPr>
      </w:pPr>
      <w:r>
        <w:rPr>
          <w:rFonts w:ascii="Times New Roman" w:cs="Times New Roman" w:eastAsia="Times New Roman" w:hAnsi="Times New Roman"/>
          <w:sz w:val="14"/>
          <w:szCs w:val="14"/>
          <w:i w:val="1"/>
          <w:iCs w:val="1"/>
          <w:color w:val="141400"/>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-100965</wp:posOffset>
            </wp:positionV>
            <wp:extent cx="587121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58712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7161530" cy="273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195"/>
          </w:cols>
          <w:pgMar w:left="305" w:top="497" w:right="39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10140" w:type="dxa"/>
            <w:vAlign w:val="bottom"/>
            <w:tcBorders>
              <w:bottom w:val="single" w:sz="8" w:color="auto"/>
            </w:tcBorders>
          </w:tcPr>
          <w:p>
            <w:pPr>
              <w:ind w:left="4820"/>
              <w:spacing w:after="0"/>
              <w:rPr>
                <w:sz w:val="20"/>
                <w:szCs w:val="20"/>
                <w:color w:val="auto"/>
              </w:rPr>
            </w:pPr>
            <w:r>
              <w:rPr>
                <w:rFonts w:ascii="Times New Roman" w:cs="Times New Roman" w:eastAsia="Times New Roman" w:hAnsi="Times New Roman"/>
                <w:sz w:val="14"/>
                <w:szCs w:val="14"/>
                <w:color w:val="auto"/>
              </w:rPr>
              <w:t>/s/ Robert Potts</w:t>
            </w:r>
          </w:p>
        </w:tc>
      </w:tr>
      <w:tr>
        <w:trPr>
          <w:trHeight w:val="136"/>
        </w:trPr>
        <w:tc>
          <w:tcPr>
            <w:tcW w:w="1040" w:type="dxa"/>
            <w:vAlign w:val="bottom"/>
          </w:tcPr>
          <w:p>
            <w:pPr>
              <w:spacing w:after="0"/>
              <w:rPr>
                <w:sz w:val="11"/>
                <w:szCs w:val="11"/>
                <w:color w:val="auto"/>
              </w:rPr>
            </w:pPr>
          </w:p>
        </w:tc>
        <w:tc>
          <w:tcPr>
            <w:tcW w:w="10140" w:type="dxa"/>
            <w:vAlign w:val="bottom"/>
          </w:tcPr>
          <w:p>
            <w:pPr>
              <w:jc w:val="center"/>
              <w:ind w:right="969"/>
              <w:spacing w:after="0" w:line="136"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r>
      <w:tr>
        <w:trPr>
          <w:trHeight w:val="184"/>
        </w:trPr>
        <w:tc>
          <w:tcPr>
            <w:tcW w:w="1040" w:type="dxa"/>
            <w:vAlign w:val="bottom"/>
          </w:tcPr>
          <w:p>
            <w:pPr>
              <w:spacing w:after="0"/>
              <w:rPr>
                <w:sz w:val="16"/>
                <w:szCs w:val="16"/>
                <w:color w:val="auto"/>
              </w:rPr>
            </w:pPr>
          </w:p>
        </w:tc>
        <w:tc>
          <w:tcPr>
            <w:tcW w:w="10140" w:type="dxa"/>
            <w:vAlign w:val="bottom"/>
          </w:tcPr>
          <w:p>
            <w:pPr>
              <w:jc w:val="center"/>
              <w:ind w:right="969"/>
              <w:spacing w:after="0"/>
              <w:rPr>
                <w:sz w:val="20"/>
                <w:szCs w:val="20"/>
                <w:color w:val="auto"/>
              </w:rPr>
            </w:pPr>
            <w:r>
              <w:rPr>
                <w:rFonts w:ascii="Times New Roman" w:cs="Times New Roman" w:eastAsia="Times New Roman" w:hAnsi="Times New Roman"/>
                <w:sz w:val="14"/>
                <w:szCs w:val="14"/>
                <w:color w:val="auto"/>
              </w:rPr>
              <w:t>Iomega LLC. Robert L. Potts</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580" w:hanging="341"/>
        <w:spacing w:after="0"/>
        <w:tabs>
          <w:tab w:leader="none" w:pos="580" w:val="left"/>
        </w:tabs>
        <w:numPr>
          <w:ilvl w:val="0"/>
          <w:numId w:val="23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80" w:hanging="341"/>
        <w:spacing w:after="0"/>
        <w:tabs>
          <w:tab w:leader="none" w:pos="580" w:val="left"/>
        </w:tabs>
        <w:numPr>
          <w:ilvl w:val="0"/>
          <w:numId w:val="23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80" w:hanging="341"/>
        <w:spacing w:after="0"/>
        <w:tabs>
          <w:tab w:leader="none" w:pos="580" w:val="left"/>
        </w:tabs>
        <w:numPr>
          <w:ilvl w:val="0"/>
          <w:numId w:val="23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80" w:hanging="341"/>
        <w:spacing w:after="0"/>
        <w:tabs>
          <w:tab w:leader="none" w:pos="580" w:val="left"/>
        </w:tabs>
        <w:numPr>
          <w:ilvl w:val="0"/>
          <w:numId w:val="24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460" w:type="dxa"/>
            <w:vAlign w:val="bottom"/>
          </w:tcPr>
          <w:p>
            <w:pPr>
              <w:spacing w:after="0"/>
              <w:rPr>
                <w:sz w:val="16"/>
                <w:szCs w:val="16"/>
                <w:color w:val="auto"/>
              </w:rPr>
            </w:pPr>
          </w:p>
        </w:tc>
        <w:tc>
          <w:tcPr>
            <w:tcW w:w="2940" w:type="dxa"/>
            <w:vAlign w:val="bottom"/>
          </w:tcPr>
          <w:p>
            <w:pPr>
              <w:jc w:val="right"/>
              <w:ind w:right="1569"/>
              <w:spacing w:after="0"/>
              <w:rPr>
                <w:sz w:val="20"/>
                <w:szCs w:val="20"/>
                <w:color w:val="auto"/>
              </w:rPr>
            </w:pPr>
            <w:r>
              <w:rPr>
                <w:rFonts w:ascii="Times New Roman" w:cs="Times New Roman" w:eastAsia="Times New Roman" w:hAnsi="Times New Roman"/>
                <w:sz w:val="14"/>
                <w:szCs w:val="14"/>
                <w:color w:val="auto"/>
              </w:rPr>
              <w:t>18</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 of</w:t>
            </w:r>
          </w:p>
        </w:tc>
        <w:tc>
          <w:tcPr>
            <w:tcW w:w="296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October</w:t>
            </w:r>
          </w:p>
        </w:tc>
        <w:tc>
          <w:tcPr>
            <w:tcW w:w="2400" w:type="dxa"/>
            <w:vAlign w:val="bottom"/>
            <w:gridSpan w:val="3"/>
          </w:tcPr>
          <w:p>
            <w:pPr>
              <w:jc w:val="right"/>
              <w:ind w:right="1260"/>
              <w:spacing w:after="0"/>
              <w:rPr>
                <w:sz w:val="20"/>
                <w:szCs w:val="20"/>
                <w:color w:val="auto"/>
              </w:rPr>
            </w:pPr>
            <w:r>
              <w:rPr>
                <w:rFonts w:ascii="Times New Roman" w:cs="Times New Roman" w:eastAsia="Times New Roman" w:hAnsi="Times New Roman"/>
                <w:sz w:val="14"/>
                <w:szCs w:val="14"/>
                <w:color w:val="auto"/>
              </w:rPr>
              <w:t>, 2019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2"/>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2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/s/ Robert Potts</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6"/>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960" w:type="dxa"/>
            <w:vAlign w:val="bottom"/>
          </w:tcPr>
          <w:p>
            <w:pPr>
              <w:jc w:val="center"/>
              <w:ind w:right="789"/>
              <w:spacing w:after="0" w:line="136"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4"/>
        </w:trPr>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60" w:type="dxa"/>
            <w:vAlign w:val="bottom"/>
          </w:tcPr>
          <w:p>
            <w:pPr>
              <w:jc w:val="center"/>
              <w:ind w:right="769"/>
              <w:spacing w:after="0"/>
              <w:rPr>
                <w:sz w:val="20"/>
                <w:szCs w:val="20"/>
                <w:color w:val="auto"/>
              </w:rPr>
            </w:pPr>
            <w:r>
              <w:rPr>
                <w:rFonts w:ascii="Times New Roman" w:cs="Times New Roman" w:eastAsia="Times New Roman" w:hAnsi="Times New Roman"/>
                <w:sz w:val="14"/>
                <w:szCs w:val="14"/>
                <w:color w:val="auto"/>
              </w:rPr>
              <w:t>EMC Corporation, Robert L. Potts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56" w:lineRule="exact"/>
        <w:rPr>
          <w:sz w:val="20"/>
          <w:szCs w:val="20"/>
          <w:color w:val="auto"/>
        </w:rPr>
      </w:pPr>
    </w:p>
    <w:p>
      <w:pPr>
        <w:ind w:left="580" w:hanging="341"/>
        <w:spacing w:after="0"/>
        <w:tabs>
          <w:tab w:leader="none" w:pos="580" w:val="left"/>
        </w:tabs>
        <w:numPr>
          <w:ilvl w:val="0"/>
          <w:numId w:val="24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80" w:hanging="341"/>
        <w:spacing w:after="0"/>
        <w:tabs>
          <w:tab w:leader="none" w:pos="580" w:val="left"/>
        </w:tabs>
        <w:numPr>
          <w:ilvl w:val="0"/>
          <w:numId w:val="24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80" w:hanging="341"/>
        <w:spacing w:after="0"/>
        <w:tabs>
          <w:tab w:leader="none" w:pos="580" w:val="left"/>
        </w:tabs>
        <w:numPr>
          <w:ilvl w:val="0"/>
          <w:numId w:val="24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80" w:hanging="341"/>
        <w:spacing w:after="0"/>
        <w:tabs>
          <w:tab w:leader="none" w:pos="580" w:val="left"/>
        </w:tabs>
        <w:numPr>
          <w:ilvl w:val="0"/>
          <w:numId w:val="24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p>
      <w:pPr>
        <w:spacing w:after="0"/>
        <w:tabs>
          <w:tab w:leader="none" w:pos="2180" w:val="left"/>
          <w:tab w:leader="none" w:pos="3980" w:val="left"/>
          <w:tab w:leader="none" w:pos="6140" w:val="left"/>
          <w:tab w:leader="none" w:pos="824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October</w:t>
      </w:r>
      <w:r>
        <w:rPr>
          <w:sz w:val="20"/>
          <w:szCs w:val="20"/>
          <w:color w:val="auto"/>
        </w:rPr>
        <w:tab/>
      </w:r>
      <w:r>
        <w:rPr>
          <w:rFonts w:ascii="Times New Roman" w:cs="Times New Roman" w:eastAsia="Times New Roman" w:hAnsi="Times New Roman"/>
          <w:sz w:val="14"/>
          <w:szCs w:val="14"/>
          <w:color w:val="auto"/>
        </w:rPr>
        <w:t>, 2019</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133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67290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454025</wp:posOffset>
            </wp:positionV>
            <wp:extent cx="7161530" cy="27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20"/>
          </w:cols>
          <w:pgMar w:left="300" w:top="518" w:right="37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color w:val="131300"/>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1C1C00"/>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A1A00"/>
        </w:rPr>
        <w:t>October 21, 2019 03:04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123190</wp:posOffset>
            </wp:positionV>
            <wp:extent cx="1351280" cy="3784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21200"/>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4"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34"/>
          <w:szCs w:val="34"/>
          <w:b w:val="1"/>
          <w:bCs w:val="1"/>
          <w:color w:val="242200"/>
        </w:rPr>
        <w:t>DF</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34"/>
          <w:szCs w:val="34"/>
          <w:b w:val="1"/>
          <w:bCs w:val="1"/>
          <w:color w:val="auto"/>
        </w:rPr>
        <w:t>PC</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B1B00"/>
        </w:rPr>
        <w:t>FORM MUST BE TYPED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20"/>
          <w:szCs w:val="20"/>
          <w:b w:val="1"/>
          <w:bCs w:val="1"/>
          <w:color w:val="242400"/>
        </w:rPr>
        <w:t>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-421640</wp:posOffset>
            </wp:positionV>
            <wp:extent cx="7200265" cy="330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32"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4"/>
          <w:szCs w:val="14"/>
          <w:b w:val="1"/>
          <w:bCs w:val="1"/>
          <w:color w:val="141400"/>
        </w:rPr>
        <w:t>William Francis Galvin</w:t>
      </w:r>
    </w:p>
    <w:p>
      <w:pPr>
        <w:spacing w:after="0" w:line="64"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4"/>
          <w:szCs w:val="14"/>
          <w:color w:val="161600"/>
        </w:rPr>
        <w:t>Secretary of the Commonwealth</w:t>
      </w:r>
    </w:p>
    <w:p>
      <w:pPr>
        <w:spacing w:after="0" w:line="62"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4"/>
          <w:szCs w:val="14"/>
          <w:color w:val="161600"/>
        </w:rPr>
        <w:t>One Ashburton Place, Boston, Massachusetts 02108-1512</w:t>
      </w:r>
    </w:p>
    <w:p>
      <w:pPr>
        <w:spacing w:after="0" w:line="199" w:lineRule="exact"/>
        <w:rPr>
          <w:sz w:val="20"/>
          <w:szCs w:val="20"/>
          <w:color w:val="auto"/>
        </w:rPr>
      </w:pPr>
    </w:p>
    <w:p>
      <w:pPr>
        <w:jc w:val="right"/>
        <w:spacing w:after="0"/>
        <w:tabs>
          <w:tab w:leader="none" w:pos="1520" w:val="left"/>
        </w:tabs>
        <w:rPr>
          <w:sz w:val="20"/>
          <w:szCs w:val="20"/>
          <w:color w:val="auto"/>
        </w:rPr>
      </w:pPr>
      <w:r>
        <w:rPr>
          <w:rFonts w:ascii="Times New Roman" w:cs="Times New Roman" w:eastAsia="Times New Roman" w:hAnsi="Times New Roman"/>
          <w:sz w:val="14"/>
          <w:szCs w:val="14"/>
          <w:b w:val="1"/>
          <w:bCs w:val="1"/>
          <w:color w:val="1C1C00"/>
        </w:rPr>
        <w:t>Articles of Merger</w:t>
      </w:r>
      <w:r>
        <w:rPr>
          <w:sz w:val="20"/>
          <w:szCs w:val="20"/>
          <w:color w:val="auto"/>
        </w:rPr>
        <w:tab/>
      </w:r>
      <w:r>
        <w:rPr>
          <w:rFonts w:ascii="Times New Roman" w:cs="Times New Roman" w:eastAsia="Times New Roman" w:hAnsi="Times New Roman"/>
          <w:sz w:val="14"/>
          <w:szCs w:val="14"/>
          <w:color w:val="1C1C00"/>
        </w:rPr>
        <w:t>FORM MUST BE TYPED</w:t>
      </w:r>
    </w:p>
    <w:p>
      <w:pPr>
        <w:spacing w:after="0" w:line="25"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b w:val="1"/>
          <w:bCs w:val="1"/>
          <w:color w:val="1C1C00"/>
        </w:rPr>
        <w:t>Involving Domestic Corporations,</w:t>
      </w:r>
    </w:p>
    <w:p>
      <w:pPr>
        <w:spacing w:after="0" w:line="9"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b w:val="1"/>
          <w:bCs w:val="1"/>
          <w:color w:val="1C1C00"/>
        </w:rPr>
        <w:t>Foreign Corporations or Foreign Other Entities.</w:t>
      </w:r>
    </w:p>
    <w:p>
      <w:pPr>
        <w:spacing w:after="0" w:line="9"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4"/>
          <w:szCs w:val="14"/>
          <w:b w:val="1"/>
          <w:bCs w:val="1"/>
          <w:color w:val="1C1C00"/>
        </w:rPr>
        <w:t>(General Laws Chapter 156D, Section 11.06; 950 CMR 113.37)</w:t>
      </w:r>
    </w:p>
    <w:p>
      <w:pPr>
        <w:spacing w:after="0" w:line="59" w:lineRule="exact"/>
        <w:rPr>
          <w:sz w:val="20"/>
          <w:szCs w:val="20"/>
          <w:color w:val="auto"/>
        </w:rPr>
      </w:pPr>
    </w:p>
    <w:p>
      <w:pPr>
        <w:sectPr>
          <w:pgSz w:w="11900" w:h="16838" w:orient="portrait"/>
          <w:cols w:equalWidth="0" w:num="2">
            <w:col w:w="2920" w:space="720"/>
            <w:col w:w="7640"/>
          </w:cols>
          <w:pgMar w:left="300" w:top="494" w:right="319" w:bottom="1440" w:gutter="0" w:footer="0" w:header="0"/>
        </w:sectPr>
      </w:pPr>
    </w:p>
    <w:tbl>
      <w:tblPr>
        <w:tblLayout w:type="fixed"/>
        <w:tblInd w:w="0" w:type="dxa"/>
        <w:tblCellMar>
          <w:top w:w="0" w:type="dxa"/>
          <w:left w:w="0" w:type="dxa"/>
          <w:bottom w:w="0" w:type="dxa"/>
          <w:right w:w="0" w:type="dxa"/>
        </w:tblCellMar>
      </w:tblPr>
      <w:tr>
        <w:trPr>
          <w:trHeight w:val="184"/>
        </w:trPr>
        <w:tc>
          <w:tcPr>
            <w:tcW w:w="4520" w:type="dxa"/>
            <w:vAlign w:val="bottom"/>
            <w:gridSpan w:val="3"/>
          </w:tcPr>
          <w:p>
            <w:pPr>
              <w:spacing w:after="0"/>
              <w:rPr>
                <w:sz w:val="20"/>
                <w:szCs w:val="20"/>
                <w:color w:val="auto"/>
              </w:rPr>
            </w:pPr>
            <w:r>
              <w:rPr>
                <w:rFonts w:ascii="Times New Roman" w:cs="Times New Roman" w:eastAsia="Times New Roman" w:hAnsi="Times New Roman"/>
                <w:sz w:val="14"/>
                <w:szCs w:val="14"/>
                <w:color w:val="1E1E00"/>
              </w:rPr>
              <w:t>Exact name, jurisdiction and date of organization of each party ro the merger:</w:t>
            </w:r>
          </w:p>
        </w:tc>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340"/>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171700"/>
              </w:rPr>
              <w:t>(1) EXACT NAME</w:t>
            </w:r>
          </w:p>
        </w:tc>
        <w:tc>
          <w:tcPr>
            <w:tcW w:w="136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1A1A00"/>
              </w:rPr>
              <w:t>(2) JURISDICTION</w:t>
            </w:r>
          </w:p>
        </w:tc>
        <w:tc>
          <w:tcPr>
            <w:tcW w:w="3420" w:type="dxa"/>
            <w:vAlign w:val="bottom"/>
          </w:tcPr>
          <w:p>
            <w:pPr>
              <w:ind w:left="600"/>
              <w:spacing w:after="0"/>
              <w:rPr>
                <w:sz w:val="20"/>
                <w:szCs w:val="20"/>
                <w:color w:val="auto"/>
              </w:rPr>
            </w:pPr>
            <w:r>
              <w:rPr>
                <w:rFonts w:ascii="Times New Roman" w:cs="Times New Roman" w:eastAsia="Times New Roman" w:hAnsi="Times New Roman"/>
                <w:sz w:val="14"/>
                <w:szCs w:val="14"/>
                <w:color w:val="191900"/>
              </w:rPr>
              <w:t>DATE OF ORGANIZATION</w:t>
            </w:r>
          </w:p>
        </w:tc>
      </w:tr>
      <w:tr>
        <w:trPr>
          <w:trHeight w:val="341"/>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171700"/>
              </w:rPr>
              <w:t>EMC Corporation</w:t>
            </w:r>
          </w:p>
        </w:tc>
        <w:tc>
          <w:tcPr>
            <w:tcW w:w="1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121200"/>
              </w:rPr>
              <w:t>Massachusetts</w:t>
            </w:r>
          </w:p>
        </w:tc>
        <w:tc>
          <w:tcPr>
            <w:tcW w:w="34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222200"/>
              </w:rPr>
              <w:t>August 23, 1979</w:t>
            </w:r>
          </w:p>
        </w:tc>
      </w:tr>
      <w:tr>
        <w:trPr>
          <w:trHeight w:val="331"/>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171700"/>
              </w:rPr>
              <w:t>900 West Park Drive LLC</w:t>
            </w:r>
          </w:p>
        </w:tc>
        <w:tc>
          <w:tcPr>
            <w:tcW w:w="1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121200"/>
              </w:rPr>
              <w:t>Delaware</w:t>
            </w:r>
          </w:p>
        </w:tc>
        <w:tc>
          <w:tcPr>
            <w:tcW w:w="34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222200"/>
              </w:rPr>
              <w:t>September 25, 2001</w:t>
            </w:r>
          </w:p>
        </w:tc>
      </w:tr>
      <w:tr>
        <w:trPr>
          <w:trHeight w:val="331"/>
        </w:trPr>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37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262600"/>
                <w:w w:val="97"/>
              </w:rPr>
              <w:t>(3)</w:t>
            </w:r>
          </w:p>
        </w:tc>
        <w:tc>
          <w:tcPr>
            <w:tcW w:w="7680" w:type="dxa"/>
            <w:vAlign w:val="bottom"/>
            <w:gridSpan w:val="4"/>
          </w:tcPr>
          <w:p>
            <w:pPr>
              <w:ind w:left="20"/>
              <w:spacing w:after="0" w:line="161" w:lineRule="exact"/>
              <w:rPr>
                <w:sz w:val="20"/>
                <w:szCs w:val="20"/>
                <w:color w:val="auto"/>
              </w:rPr>
            </w:pPr>
            <w:r>
              <w:rPr>
                <w:rFonts w:ascii="Times New Roman" w:cs="Times New Roman" w:eastAsia="Times New Roman" w:hAnsi="Times New Roman"/>
                <w:sz w:val="14"/>
                <w:szCs w:val="14"/>
                <w:color w:val="262600"/>
              </w:rPr>
              <w:t xml:space="preserve">The foreign corporation or other entity </w:t>
            </w:r>
            <w:r>
              <w:rPr>
                <w:rFonts w:ascii="MS PGothic" w:cs="MS PGothic" w:eastAsia="MS PGothic" w:hAnsi="MS PGothic"/>
                <w:sz w:val="14"/>
                <w:szCs w:val="14"/>
                <w:color w:val="262600"/>
              </w:rPr>
              <w:t>☐</w:t>
            </w:r>
            <w:r>
              <w:rPr>
                <w:rFonts w:ascii="Times New Roman" w:cs="Times New Roman" w:eastAsia="Times New Roman" w:hAnsi="Times New Roman"/>
                <w:sz w:val="14"/>
                <w:szCs w:val="14"/>
                <w:color w:val="262600"/>
              </w:rPr>
              <w:t xml:space="preserve"> is/</w:t>
            </w:r>
            <w:r>
              <w:rPr>
                <w:rFonts w:ascii="MS PGothic" w:cs="MS PGothic" w:eastAsia="MS PGothic" w:hAnsi="MS PGothic"/>
                <w:sz w:val="14"/>
                <w:szCs w:val="14"/>
                <w:color w:val="262600"/>
              </w:rPr>
              <w:t>☒</w:t>
            </w:r>
            <w:r>
              <w:rPr>
                <w:rFonts w:ascii="Times New Roman" w:cs="Times New Roman" w:eastAsia="Times New Roman" w:hAnsi="Times New Roman"/>
                <w:sz w:val="14"/>
                <w:szCs w:val="14"/>
                <w:color w:val="262600"/>
              </w:rPr>
              <w:t xml:space="preserve"> is not authorized to conduct business in the Commonwealth.</w:t>
            </w:r>
          </w:p>
        </w:tc>
        <w:tc>
          <w:tcPr>
            <w:tcW w:w="3420" w:type="dxa"/>
            <w:vAlign w:val="bottom"/>
          </w:tcPr>
          <w:p>
            <w:pPr>
              <w:spacing w:after="0"/>
              <w:rPr>
                <w:sz w:val="24"/>
                <w:szCs w:val="24"/>
                <w:color w:val="auto"/>
              </w:rPr>
            </w:pPr>
          </w:p>
        </w:tc>
      </w:tr>
      <w:tr>
        <w:trPr>
          <w:trHeight w:val="340"/>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1B1B00"/>
                <w:w w:val="97"/>
              </w:rPr>
              <w:t>(4)</w:t>
            </w:r>
          </w:p>
        </w:tc>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1B1B00"/>
              </w:rPr>
              <w:t>Exact name of the surviving entity:</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B1B00"/>
              </w:rPr>
              <w:t>EMC Corporation</w:t>
            </w:r>
          </w:p>
        </w:tc>
        <w:tc>
          <w:tcPr>
            <w:tcW w:w="18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35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131300"/>
                <w:w w:val="97"/>
              </w:rPr>
              <w:t>(5)</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131300"/>
              </w:rPr>
              <w:t>Jurisdiction under the laws of which the surviving entity will be organized:</w:t>
            </w:r>
          </w:p>
        </w:tc>
        <w:tc>
          <w:tcPr>
            <w:tcW w:w="1800" w:type="dxa"/>
            <w:vAlign w:val="bottom"/>
          </w:tcPr>
          <w:p>
            <w:pPr>
              <w:spacing w:after="0"/>
              <w:rPr>
                <w:sz w:val="24"/>
                <w:szCs w:val="24"/>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131300"/>
              </w:rPr>
              <w:t>Massachusetts</w:t>
            </w:r>
          </w:p>
        </w:tc>
        <w:tc>
          <w:tcPr>
            <w:tcW w:w="3420" w:type="dxa"/>
            <w:vAlign w:val="bottom"/>
            <w:tcBorders>
              <w:bottom w:val="single" w:sz="8" w:color="auto"/>
            </w:tcBorders>
          </w:tcPr>
          <w:p>
            <w:pPr>
              <w:spacing w:after="0"/>
              <w:rPr>
                <w:sz w:val="24"/>
                <w:szCs w:val="24"/>
                <w:color w:val="auto"/>
              </w:rPr>
            </w:pP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1E1E00"/>
                <w:w w:val="97"/>
              </w:rPr>
              <w:t>(6)</w:t>
            </w:r>
          </w:p>
        </w:tc>
        <w:tc>
          <w:tcPr>
            <w:tcW w:w="7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1E1E00"/>
              </w:rPr>
              <w:t>The merger shall be effective at the time and on the date approved by the Division, unless a later effective date or more than</w:t>
            </w:r>
          </w:p>
        </w:tc>
        <w:tc>
          <w:tcPr>
            <w:tcW w:w="3420" w:type="dxa"/>
            <w:vAlign w:val="bottom"/>
          </w:tcPr>
          <w:p>
            <w:pPr>
              <w:spacing w:after="0"/>
              <w:rPr>
                <w:sz w:val="24"/>
                <w:szCs w:val="24"/>
                <w:color w:val="auto"/>
              </w:rPr>
            </w:pPr>
          </w:p>
        </w:tc>
      </w:tr>
      <w:tr>
        <w:trPr>
          <w:trHeight w:val="185"/>
        </w:trPr>
        <w:tc>
          <w:tcPr>
            <w:tcW w:w="180" w:type="dxa"/>
            <w:vAlign w:val="bottom"/>
          </w:tcPr>
          <w:p>
            <w:pPr>
              <w:spacing w:after="0"/>
              <w:rPr>
                <w:sz w:val="16"/>
                <w:szCs w:val="16"/>
                <w:color w:val="auto"/>
              </w:rPr>
            </w:pPr>
          </w:p>
        </w:tc>
        <w:tc>
          <w:tcPr>
            <w:tcW w:w="4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191900"/>
              </w:rPr>
              <w:t>90 days from the date and time of filing is specified:</w:t>
            </w:r>
          </w:p>
        </w:tc>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1E1E00"/>
              </w:rPr>
              <w:t>November 11, 2019</w:t>
            </w:r>
          </w:p>
        </w:tc>
        <w:tc>
          <w:tcPr>
            <w:tcW w:w="3420" w:type="dxa"/>
            <w:vAlign w:val="bottom"/>
            <w:tcBorders>
              <w:bottom w:val="single" w:sz="8" w:color="auto"/>
            </w:tcBorders>
          </w:tcPr>
          <w:p>
            <w:pPr>
              <w:spacing w:after="0"/>
              <w:rPr>
                <w:sz w:val="16"/>
                <w:szCs w:val="16"/>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244"/>
        </w:numPr>
        <w:rPr>
          <w:rFonts w:ascii="MS PGothic" w:cs="MS PGothic" w:eastAsia="MS PGothic" w:hAnsi="MS PGothic"/>
          <w:sz w:val="14"/>
          <w:szCs w:val="14"/>
          <w:color w:val="1A1F00"/>
        </w:rPr>
      </w:pPr>
      <w:r>
        <w:rPr>
          <w:rFonts w:ascii="Times New Roman" w:cs="Times New Roman" w:eastAsia="Times New Roman" w:hAnsi="Times New Roman"/>
          <w:sz w:val="14"/>
          <w:szCs w:val="14"/>
          <w:color w:val="1A1F00"/>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1A1F00"/>
        </w:rPr>
      </w:pPr>
    </w:p>
    <w:p>
      <w:pPr>
        <w:ind w:left="260"/>
        <w:spacing w:after="0"/>
        <w:rPr>
          <w:rFonts w:ascii="MS PGothic" w:cs="MS PGothic" w:eastAsia="MS PGothic" w:hAnsi="MS PGothic"/>
          <w:sz w:val="14"/>
          <w:szCs w:val="14"/>
          <w:color w:val="1A1F00"/>
        </w:rPr>
      </w:pPr>
      <w:r>
        <w:rPr>
          <w:rFonts w:ascii="Times New Roman" w:cs="Times New Roman" w:eastAsia="Times New Roman" w:hAnsi="Times New Roman"/>
          <w:sz w:val="14"/>
          <w:szCs w:val="14"/>
          <w:color w:val="121200"/>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242400"/>
        </w:rPr>
        <w:t>☒</w:t>
      </w:r>
      <w:r>
        <w:rPr>
          <w:rFonts w:ascii="Times New Roman" w:cs="Times New Roman" w:eastAsia="Times New Roman" w:hAnsi="Times New Roman"/>
          <w:sz w:val="14"/>
          <w:szCs w:val="14"/>
          <w:color w:val="242400"/>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245"/>
        </w:numPr>
        <w:rPr>
          <w:rFonts w:ascii="Times New Roman" w:cs="Times New Roman" w:eastAsia="Times New Roman" w:hAnsi="Times New Roman"/>
          <w:sz w:val="14"/>
          <w:szCs w:val="14"/>
          <w:color w:val="151600"/>
        </w:rPr>
      </w:pPr>
      <w:r>
        <w:rPr>
          <w:rFonts w:ascii="Times New Roman" w:cs="Times New Roman" w:eastAsia="Times New Roman" w:hAnsi="Times New Roman"/>
          <w:sz w:val="14"/>
          <w:szCs w:val="14"/>
          <w:color w:val="151600"/>
        </w:rPr>
        <w:t xml:space="preserve">Participation of each other domestic entity, foreign corporation, or foreign other entity was duly authorized by the law under </w:t>
      </w:r>
      <w:r>
        <w:rPr>
          <w:rFonts w:ascii="Times New Roman" w:cs="Times New Roman" w:eastAsia="Times New Roman" w:hAnsi="Times New Roman"/>
          <w:sz w:val="14"/>
          <w:szCs w:val="14"/>
          <w:color w:val="1A1A00"/>
        </w:rPr>
        <w:t>which the other entity or foreign corporation is organized and by its</w:t>
      </w:r>
      <w:r>
        <w:rPr>
          <w:rFonts w:ascii="Times New Roman" w:cs="Times New Roman" w:eastAsia="Times New Roman" w:hAnsi="Times New Roman"/>
          <w:sz w:val="14"/>
          <w:szCs w:val="14"/>
          <w:color w:val="151600"/>
        </w:rPr>
        <w:t xml:space="preserve"> </w:t>
      </w:r>
      <w:r>
        <w:rPr>
          <w:rFonts w:ascii="Times New Roman" w:cs="Times New Roman" w:eastAsia="Times New Roman" w:hAnsi="Times New Roman"/>
          <w:sz w:val="14"/>
          <w:szCs w:val="14"/>
          <w:color w:val="1A1A00"/>
        </w:rPr>
        <w:t>organizational documents,</w:t>
      </w:r>
    </w:p>
    <w:p>
      <w:pPr>
        <w:spacing w:after="0" w:line="122" w:lineRule="exact"/>
        <w:rPr>
          <w:sz w:val="20"/>
          <w:szCs w:val="20"/>
          <w:color w:val="auto"/>
        </w:rPr>
      </w:pPr>
    </w:p>
    <w:p>
      <w:pPr>
        <w:ind w:left="260" w:hanging="255"/>
        <w:spacing w:after="0"/>
        <w:tabs>
          <w:tab w:leader="none" w:pos="260" w:val="left"/>
        </w:tabs>
        <w:numPr>
          <w:ilvl w:val="0"/>
          <w:numId w:val="246"/>
        </w:numPr>
        <w:rPr>
          <w:rFonts w:ascii="Times New Roman" w:cs="Times New Roman" w:eastAsia="Times New Roman" w:hAnsi="Times New Roman"/>
          <w:sz w:val="14"/>
          <w:szCs w:val="14"/>
          <w:i w:val="1"/>
          <w:iCs w:val="1"/>
          <w:color w:val="212100"/>
        </w:rPr>
      </w:pPr>
      <w:r>
        <w:rPr>
          <w:rFonts w:ascii="Times New Roman" w:cs="Times New Roman" w:eastAsia="Times New Roman" w:hAnsi="Times New Roman"/>
          <w:sz w:val="14"/>
          <w:szCs w:val="14"/>
          <w:i w:val="1"/>
          <w:iCs w:val="1"/>
          <w:color w:val="212100"/>
        </w:rPr>
        <w:t>Check appropriate box</w:t>
      </w:r>
    </w:p>
    <w:p>
      <w:pPr>
        <w:spacing w:after="0" w:line="2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i w:val="1"/>
          <w:iCs w:val="1"/>
          <w:color w:val="262600"/>
        </w:rPr>
        <w:t>**</w:t>
        <w:tab/>
        <w:t>Provide this information for each domestic corporation separately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A2A00"/>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122301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122301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type w:val="continuous"/>
        </w:sectPr>
      </w:pPr>
    </w:p>
    <w:bookmarkStart w:id="138" w:name="page139"/>
    <w:bookmarkEnd w:id="138"/>
    <w:p>
      <w:pPr>
        <w:ind w:left="335" w:hanging="335"/>
        <w:spacing w:after="0"/>
        <w:tabs>
          <w:tab w:leader="none" w:pos="335" w:val="left"/>
        </w:tabs>
        <w:numPr>
          <w:ilvl w:val="0"/>
          <w:numId w:val="247"/>
        </w:numPr>
        <w:rPr>
          <w:rFonts w:ascii="Times New Roman" w:cs="Times New Roman" w:eastAsia="Times New Roman" w:hAnsi="Times New Roman"/>
          <w:sz w:val="14"/>
          <w:szCs w:val="14"/>
          <w:color w:val="1A1A00"/>
        </w:rPr>
      </w:pPr>
      <w:r>
        <w:rPr>
          <w:rFonts w:ascii="Times New Roman" w:cs="Times New Roman" w:eastAsia="Times New Roman" w:hAnsi="Times New Roman"/>
          <w:sz w:val="14"/>
          <w:szCs w:val="14"/>
          <w:color w:val="1A1A00"/>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w:t>
      </w:r>
      <w:r>
        <w:rPr>
          <w:rFonts w:ascii="Times New Roman" w:cs="Times New Roman" w:eastAsia="Times New Roman" w:hAnsi="Times New Roman"/>
          <w:sz w:val="14"/>
          <w:szCs w:val="14"/>
          <w:color w:val="131300"/>
        </w:rPr>
        <w:t>tion.</w:t>
      </w:r>
    </w:p>
    <w:p>
      <w:pPr>
        <w:spacing w:after="0" w:line="179" w:lineRule="exact"/>
        <w:rPr>
          <w:rFonts w:ascii="Times New Roman" w:cs="Times New Roman" w:eastAsia="Times New Roman" w:hAnsi="Times New Roman"/>
          <w:sz w:val="14"/>
          <w:szCs w:val="14"/>
          <w:color w:val="1A1A00"/>
        </w:rPr>
      </w:pPr>
    </w:p>
    <w:p>
      <w:pPr>
        <w:ind w:left="335" w:hanging="335"/>
        <w:spacing w:after="0"/>
        <w:tabs>
          <w:tab w:leader="none" w:pos="335" w:val="left"/>
        </w:tabs>
        <w:numPr>
          <w:ilvl w:val="0"/>
          <w:numId w:val="247"/>
        </w:numPr>
        <w:rPr>
          <w:rFonts w:ascii="Times New Roman" w:cs="Times New Roman" w:eastAsia="Times New Roman" w:hAnsi="Times New Roman"/>
          <w:sz w:val="14"/>
          <w:szCs w:val="14"/>
          <w:color w:val="161600"/>
        </w:rPr>
      </w:pPr>
      <w:r>
        <w:rPr>
          <w:rFonts w:ascii="Times New Roman" w:cs="Times New Roman" w:eastAsia="Times New Roman" w:hAnsi="Times New Roman"/>
          <w:sz w:val="14"/>
          <w:szCs w:val="14"/>
          <w:color w:val="161600"/>
        </w:rPr>
        <w:t xml:space="preserve">Attach the articles of organization of the surviving entity, where the survivor is a NEW domestic business corporation, including </w:t>
      </w:r>
      <w:r>
        <w:rPr>
          <w:rFonts w:ascii="Times New Roman" w:cs="Times New Roman" w:eastAsia="Times New Roman" w:hAnsi="Times New Roman"/>
          <w:sz w:val="14"/>
          <w:szCs w:val="14"/>
          <w:color w:val="1C1C00"/>
        </w:rPr>
        <w:t>all the supplemental information required by 950 CMR 113.16.</w:t>
      </w:r>
    </w:p>
    <w:p>
      <w:pPr>
        <w:spacing w:after="0" w:line="179" w:lineRule="exact"/>
        <w:rPr>
          <w:rFonts w:ascii="Times New Roman" w:cs="Times New Roman" w:eastAsia="Times New Roman" w:hAnsi="Times New Roman"/>
          <w:sz w:val="14"/>
          <w:szCs w:val="14"/>
          <w:color w:val="161600"/>
        </w:rPr>
      </w:pPr>
    </w:p>
    <w:p>
      <w:pPr>
        <w:ind w:left="335" w:hanging="335"/>
        <w:spacing w:after="0"/>
        <w:tabs>
          <w:tab w:leader="none" w:pos="335" w:val="left"/>
        </w:tabs>
        <w:numPr>
          <w:ilvl w:val="0"/>
          <w:numId w:val="247"/>
        </w:numPr>
        <w:rPr>
          <w:rFonts w:ascii="Times New Roman" w:cs="Times New Roman" w:eastAsia="Times New Roman" w:hAnsi="Times New Roman"/>
          <w:sz w:val="14"/>
          <w:szCs w:val="14"/>
          <w:color w:val="1F1F00"/>
        </w:rPr>
      </w:pPr>
      <w:r>
        <w:rPr>
          <w:rFonts w:ascii="Times New Roman" w:cs="Times New Roman" w:eastAsia="Times New Roman" w:hAnsi="Times New Roman"/>
          <w:sz w:val="14"/>
          <w:szCs w:val="14"/>
          <w:color w:val="1F1F00"/>
        </w:rPr>
        <w:t>State the executive office address of the surviving foreign other entity if such information is nor on the public record in the</w:t>
      </w:r>
    </w:p>
    <w:p>
      <w:pPr>
        <w:spacing w:after="0" w:line="23" w:lineRule="exact"/>
        <w:rPr>
          <w:sz w:val="20"/>
          <w:szCs w:val="20"/>
          <w:color w:val="auto"/>
        </w:rPr>
      </w:pPr>
    </w:p>
    <w:p>
      <w:pPr>
        <w:ind w:left="335"/>
        <w:spacing w:after="0"/>
        <w:tabs>
          <w:tab w:leader="none" w:pos="2014" w:val="left"/>
        </w:tabs>
        <w:rPr>
          <w:sz w:val="20"/>
          <w:szCs w:val="20"/>
          <w:color w:val="auto"/>
        </w:rPr>
      </w:pPr>
      <w:r>
        <w:rPr>
          <w:rFonts w:ascii="Times New Roman" w:cs="Times New Roman" w:eastAsia="Times New Roman" w:hAnsi="Times New Roman"/>
          <w:sz w:val="14"/>
          <w:szCs w:val="14"/>
          <w:color w:val="1F1F00"/>
        </w:rPr>
        <w:t>foreign jurisdiction:</w:t>
      </w:r>
      <w:r>
        <w:rPr>
          <w:sz w:val="20"/>
          <w:szCs w:val="20"/>
          <w:color w:val="auto"/>
        </w:rPr>
        <w:tab/>
      </w:r>
      <w:r>
        <w:rPr>
          <w:rFonts w:ascii="Times New Roman" w:cs="Times New Roman" w:eastAsia="Times New Roman" w:hAnsi="Times New Roman"/>
          <w:sz w:val="13"/>
          <w:szCs w:val="13"/>
          <w:color w:val="1F1F00"/>
        </w:rPr>
        <w:t>N/A</w:t>
      </w:r>
    </w:p>
    <w:p>
      <w:pPr>
        <w:spacing w:after="0" w:line="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4"/>
          <w:szCs w:val="14"/>
          <w:i w:val="1"/>
          <w:iCs w:val="1"/>
          <w:color w:val="141400"/>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-100965</wp:posOffset>
            </wp:positionV>
            <wp:extent cx="587121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58712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7161530" cy="273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55"/>
          </w:cols>
          <w:pgMar w:left="305" w:top="497"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10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Potts</w:t>
            </w:r>
          </w:p>
        </w:tc>
      </w:tr>
      <w:tr>
        <w:trPr>
          <w:trHeight w:val="146"/>
        </w:trPr>
        <w:tc>
          <w:tcPr>
            <w:tcW w:w="1040" w:type="dxa"/>
            <w:vAlign w:val="bottom"/>
          </w:tcPr>
          <w:p>
            <w:pPr>
              <w:spacing w:after="0"/>
              <w:rPr>
                <w:sz w:val="12"/>
                <w:szCs w:val="12"/>
                <w:color w:val="auto"/>
              </w:rPr>
            </w:pPr>
          </w:p>
        </w:tc>
        <w:tc>
          <w:tcPr>
            <w:tcW w:w="101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r>
      <w:tr>
        <w:trPr>
          <w:trHeight w:val="184"/>
        </w:trPr>
        <w:tc>
          <w:tcPr>
            <w:tcW w:w="1040" w:type="dxa"/>
            <w:vAlign w:val="bottom"/>
          </w:tcPr>
          <w:p>
            <w:pPr>
              <w:spacing w:after="0"/>
              <w:rPr>
                <w:sz w:val="16"/>
                <w:szCs w:val="16"/>
                <w:color w:val="auto"/>
              </w:rPr>
            </w:pPr>
          </w:p>
        </w:tc>
        <w:tc>
          <w:tcPr>
            <w:tcW w:w="10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Robert Potts, Assistant Secretary, 900 West Park drive LLC</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580" w:hanging="341"/>
        <w:spacing w:after="0"/>
        <w:tabs>
          <w:tab w:leader="none" w:pos="580" w:val="left"/>
        </w:tabs>
        <w:numPr>
          <w:ilvl w:val="0"/>
          <w:numId w:val="24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80" w:hanging="341"/>
        <w:spacing w:after="0"/>
        <w:tabs>
          <w:tab w:leader="none" w:pos="580" w:val="left"/>
        </w:tabs>
        <w:numPr>
          <w:ilvl w:val="0"/>
          <w:numId w:val="24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80" w:hanging="341"/>
        <w:spacing w:after="0"/>
        <w:tabs>
          <w:tab w:leader="none" w:pos="580" w:val="left"/>
        </w:tabs>
        <w:numPr>
          <w:ilvl w:val="0"/>
          <w:numId w:val="24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80" w:hanging="341"/>
        <w:spacing w:after="0"/>
        <w:tabs>
          <w:tab w:leader="none" w:pos="580" w:val="left"/>
        </w:tabs>
        <w:numPr>
          <w:ilvl w:val="0"/>
          <w:numId w:val="25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820" w:type="dxa"/>
            <w:vAlign w:val="bottom"/>
          </w:tcPr>
          <w:p>
            <w:pPr>
              <w:spacing w:after="0"/>
              <w:rPr>
                <w:sz w:val="16"/>
                <w:szCs w:val="16"/>
                <w:color w:val="auto"/>
              </w:rPr>
            </w:pPr>
          </w:p>
        </w:tc>
        <w:tc>
          <w:tcPr>
            <w:tcW w:w="25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8th</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day of</w:t>
            </w:r>
          </w:p>
        </w:tc>
        <w:tc>
          <w:tcPr>
            <w:tcW w:w="29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November</w:t>
            </w:r>
          </w:p>
        </w:tc>
        <w:tc>
          <w:tcPr>
            <w:tcW w:w="2420" w:type="dxa"/>
            <w:vAlign w:val="bottom"/>
            <w:gridSpan w:val="3"/>
          </w:tcPr>
          <w:p>
            <w:pPr>
              <w:jc w:val="right"/>
              <w:ind w:right="1260"/>
              <w:spacing w:after="0"/>
              <w:rPr>
                <w:sz w:val="20"/>
                <w:szCs w:val="20"/>
                <w:color w:val="auto"/>
              </w:rPr>
            </w:pPr>
            <w:r>
              <w:rPr>
                <w:rFonts w:ascii="Times New Roman" w:cs="Times New Roman" w:eastAsia="Times New Roman" w:hAnsi="Times New Roman"/>
                <w:sz w:val="14"/>
                <w:szCs w:val="14"/>
                <w:color w:val="auto"/>
              </w:rPr>
              <w:t>, 2019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1"/>
        </w:trPr>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Signed by:</w:t>
            </w: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/s/ Robert Potts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jc w:val="center"/>
        <w:ind w:left="9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-100965</wp:posOffset>
            </wp:positionV>
            <wp:extent cx="643826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6438265" cy="6985"/>
                    </a:xfrm>
                    <a:prstGeom prst="rect">
                      <a:avLst/>
                    </a:prstGeom>
                    <a:noFill/>
                  </pic:spPr>
                </pic:pic>
              </a:graphicData>
            </a:graphic>
          </wp:anchor>
        </w:drawing>
      </w:r>
    </w:p>
    <w:p>
      <w:pPr>
        <w:jc w:val="center"/>
        <w:ind w:left="920"/>
        <w:spacing w:after="0"/>
        <w:rPr>
          <w:sz w:val="20"/>
          <w:szCs w:val="20"/>
          <w:color w:val="auto"/>
        </w:rPr>
      </w:pPr>
      <w:r>
        <w:rPr>
          <w:rFonts w:ascii="Times New Roman" w:cs="Times New Roman" w:eastAsia="Times New Roman" w:hAnsi="Times New Roman"/>
          <w:sz w:val="14"/>
          <w:szCs w:val="14"/>
          <w:color w:val="auto"/>
        </w:rPr>
        <w:t>Robert Potts, Assistant Secretary, EMC Corporation</w:t>
      </w:r>
    </w:p>
    <w:p>
      <w:pPr>
        <w:spacing w:after="0" w:line="165" w:lineRule="exact"/>
        <w:rPr>
          <w:sz w:val="20"/>
          <w:szCs w:val="20"/>
          <w:color w:val="auto"/>
        </w:rPr>
      </w:pPr>
    </w:p>
    <w:p>
      <w:pPr>
        <w:ind w:left="580" w:hanging="341"/>
        <w:spacing w:after="0"/>
        <w:tabs>
          <w:tab w:leader="none" w:pos="580" w:val="left"/>
        </w:tabs>
        <w:numPr>
          <w:ilvl w:val="0"/>
          <w:numId w:val="25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580" w:hanging="341"/>
        <w:spacing w:after="0"/>
        <w:tabs>
          <w:tab w:leader="none" w:pos="580" w:val="left"/>
        </w:tabs>
        <w:numPr>
          <w:ilvl w:val="0"/>
          <w:numId w:val="25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580" w:hanging="341"/>
        <w:spacing w:after="0"/>
        <w:tabs>
          <w:tab w:leader="none" w:pos="580" w:val="left"/>
        </w:tabs>
        <w:numPr>
          <w:ilvl w:val="0"/>
          <w:numId w:val="25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580" w:hanging="341"/>
        <w:spacing w:after="0"/>
        <w:tabs>
          <w:tab w:leader="none" w:pos="580" w:val="left"/>
        </w:tabs>
        <w:numPr>
          <w:ilvl w:val="0"/>
          <w:numId w:val="25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p>
      <w:pPr>
        <w:spacing w:after="0"/>
        <w:tabs>
          <w:tab w:leader="none" w:pos="2160" w:val="left"/>
          <w:tab w:leader="none" w:pos="3980" w:val="left"/>
          <w:tab w:leader="none" w:pos="6080" w:val="left"/>
          <w:tab w:leader="none" w:pos="8240" w:val="left"/>
          <w:tab w:leader="none" w:pos="1116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6th</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November</w:t>
      </w:r>
      <w:r>
        <w:rPr>
          <w:sz w:val="20"/>
          <w:szCs w:val="20"/>
          <w:color w:val="auto"/>
        </w:rPr>
        <w:tab/>
      </w:r>
      <w:r>
        <w:rPr>
          <w:rFonts w:ascii="Times New Roman" w:cs="Times New Roman" w:eastAsia="Times New Roman" w:hAnsi="Times New Roman"/>
          <w:sz w:val="14"/>
          <w:szCs w:val="14"/>
          <w:color w:val="auto"/>
        </w:rPr>
        <w:t>, 2019</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6729095" cy="133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67290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454025</wp:posOffset>
            </wp:positionV>
            <wp:extent cx="7161530" cy="273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20"/>
          </w:cols>
          <w:pgMar w:left="300" w:top="518" w:right="37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color w:val="131300"/>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1C1C00"/>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A1A00"/>
        </w:rPr>
        <w:t>November 07, 2019 11:27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123190</wp:posOffset>
            </wp:positionV>
            <wp:extent cx="1351280" cy="3784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21200"/>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4" w:right="47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99"/>
        </w:trPr>
        <w:tc>
          <w:tcPr>
            <w:tcW w:w="276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720" w:type="dxa"/>
            <w:vAlign w:val="bottom"/>
          </w:tcPr>
          <w:p>
            <w:pPr>
              <w:jc w:val="center"/>
              <w:ind w:left="981"/>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760" w:type="dxa"/>
            <w:vAlign w:val="bottom"/>
            <w:vMerge w:val="continue"/>
          </w:tcPr>
          <w:p>
            <w:pPr>
              <w:spacing w:after="0"/>
              <w:rPr>
                <w:sz w:val="12"/>
                <w:szCs w:val="12"/>
                <w:color w:val="auto"/>
              </w:rPr>
            </w:pPr>
          </w:p>
        </w:tc>
        <w:tc>
          <w:tcPr>
            <w:tcW w:w="4720" w:type="dxa"/>
            <w:vAlign w:val="bottom"/>
          </w:tcPr>
          <w:p>
            <w:pPr>
              <w:jc w:val="center"/>
              <w:ind w:left="981"/>
              <w:spacing w:after="0" w:line="145" w:lineRule="exact"/>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60" w:type="dxa"/>
            <w:vAlign w:val="bottom"/>
            <w:vMerge w:val="restart"/>
          </w:tcPr>
          <w:p>
            <w:pPr>
              <w:spacing w:after="0"/>
              <w:rPr>
                <w:sz w:val="20"/>
                <w:szCs w:val="20"/>
                <w:color w:val="auto"/>
              </w:rPr>
            </w:pPr>
            <w:r>
              <w:rPr>
                <w:rFonts w:ascii="Times New Roman" w:cs="Times New Roman" w:eastAsia="Times New Roman" w:hAnsi="Times New Roman"/>
                <w:sz w:val="34"/>
                <w:szCs w:val="34"/>
                <w:b w:val="1"/>
                <w:bCs w:val="1"/>
                <w:color w:val="auto"/>
              </w:rPr>
              <w:t>PC</w:t>
            </w:r>
          </w:p>
        </w:tc>
        <w:tc>
          <w:tcPr>
            <w:tcW w:w="4720" w:type="dxa"/>
            <w:vAlign w:val="bottom"/>
          </w:tcPr>
          <w:p>
            <w:pPr>
              <w:jc w:val="center"/>
              <w:ind w:left="961"/>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760" w:type="dxa"/>
            <w:vAlign w:val="bottom"/>
            <w:vMerge w:val="continue"/>
          </w:tcPr>
          <w:p>
            <w:pPr>
              <w:spacing w:after="0"/>
              <w:rPr>
                <w:sz w:val="22"/>
                <w:szCs w:val="22"/>
                <w:color w:val="auto"/>
              </w:rPr>
            </w:pPr>
          </w:p>
        </w:tc>
        <w:tc>
          <w:tcPr>
            <w:tcW w:w="4720" w:type="dxa"/>
            <w:vAlign w:val="bottom"/>
          </w:tcPr>
          <w:p>
            <w:pPr>
              <w:jc w:val="center"/>
              <w:ind w:left="981"/>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720" w:type="dxa"/>
            <w:vAlign w:val="bottom"/>
          </w:tcPr>
          <w:p>
            <w:pPr>
              <w:jc w:val="center"/>
              <w:ind w:left="981"/>
              <w:spacing w:after="0"/>
              <w:rPr>
                <w:sz w:val="20"/>
                <w:szCs w:val="20"/>
                <w:color w:val="auto"/>
              </w:rPr>
            </w:pPr>
            <w:r>
              <w:rPr>
                <w:rFonts w:ascii="Times New Roman" w:cs="Times New Roman" w:eastAsia="Times New Roman" w:hAnsi="Times New Roman"/>
                <w:sz w:val="17"/>
                <w:szCs w:val="17"/>
                <w:b w:val="1"/>
                <w:bCs w:val="1"/>
                <w:color w:val="auto"/>
                <w:w w:val="99"/>
              </w:rPr>
              <w:t>Articles of Merger</w:t>
            </w:r>
          </w:p>
        </w:tc>
        <w:tc>
          <w:tcPr>
            <w:tcW w:w="38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4720" w:type="dxa"/>
            <w:vAlign w:val="bottom"/>
          </w:tcPr>
          <w:p>
            <w:pPr>
              <w:jc w:val="center"/>
              <w:ind w:left="981"/>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4720" w:type="dxa"/>
            <w:vAlign w:val="bottom"/>
          </w:tcPr>
          <w:p>
            <w:pPr>
              <w:jc w:val="center"/>
              <w:ind w:left="961"/>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60" w:type="dxa"/>
            <w:vAlign w:val="bottom"/>
          </w:tcPr>
          <w:p>
            <w:pPr>
              <w:spacing w:after="0"/>
              <w:rPr>
                <w:sz w:val="19"/>
                <w:szCs w:val="19"/>
                <w:color w:val="auto"/>
              </w:rPr>
            </w:pPr>
          </w:p>
        </w:tc>
        <w:tc>
          <w:tcPr>
            <w:tcW w:w="8520" w:type="dxa"/>
            <w:vAlign w:val="bottom"/>
            <w:gridSpan w:val="2"/>
          </w:tcPr>
          <w:p>
            <w:pPr>
              <w:jc w:val="center"/>
              <w:ind w:right="2689"/>
              <w:spacing w:after="0"/>
              <w:rPr>
                <w:sz w:val="20"/>
                <w:szCs w:val="20"/>
                <w:color w:val="auto"/>
              </w:rPr>
            </w:pPr>
            <w:r>
              <w:rPr>
                <w:rFonts w:ascii="Times New Roman" w:cs="Times New Roman" w:eastAsia="Times New Roman" w:hAnsi="Times New Roman"/>
                <w:sz w:val="17"/>
                <w:szCs w:val="17"/>
                <w:color w:val="auto"/>
              </w:rPr>
              <w:t>(General Laws Chapter 156D, Section 11.06; 950 CMR 113.37)</w:t>
            </w:r>
          </w:p>
        </w:tc>
        <w:tc>
          <w:tcPr>
            <w:tcW w:w="0" w:type="dxa"/>
            <w:vAlign w:val="bottom"/>
          </w:tcPr>
          <w:p>
            <w:pPr>
              <w:spacing w:after="0"/>
              <w:rPr>
                <w:sz w:val="1"/>
                <w:szCs w:val="1"/>
                <w:color w:val="auto"/>
              </w:rPr>
            </w:pPr>
          </w:p>
        </w:tc>
      </w:tr>
      <w:tr>
        <w:trPr>
          <w:trHeight w:val="330"/>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72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(2) JURISDICTION</w:t>
            </w:r>
          </w:p>
        </w:tc>
        <w:tc>
          <w:tcPr>
            <w:tcW w:w="3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27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7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Massachusetts</w:t>
            </w:r>
          </w:p>
        </w:tc>
        <w:tc>
          <w:tcPr>
            <w:tcW w:w="3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26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South Street Investments LLC</w:t>
            </w:r>
          </w:p>
        </w:tc>
        <w:tc>
          <w:tcPr>
            <w:tcW w:w="47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Delaware</w:t>
            </w:r>
          </w:p>
        </w:tc>
        <w:tc>
          <w:tcPr>
            <w:tcW w:w="3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October 23, 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161530"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(3) The foreign corporation or ocher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is not authorized to conduct business in the Commonwealth.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EMC Corporation</w:t>
            </w:r>
          </w:p>
        </w:tc>
        <w:tc>
          <w:tcPr>
            <w:tcW w:w="1320" w:type="dxa"/>
            <w:vAlign w:val="bottom"/>
          </w:tcPr>
          <w:p>
            <w:pPr>
              <w:spacing w:after="0"/>
              <w:rPr>
                <w:sz w:val="16"/>
                <w:szCs w:val="16"/>
                <w:color w:val="auto"/>
              </w:rPr>
            </w:pPr>
          </w:p>
        </w:tc>
        <w:tc>
          <w:tcPr>
            <w:tcW w:w="540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r>
      <w:tr>
        <w:trPr>
          <w:trHeight w:val="352"/>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Jurisdiction under the laws of which the surviving entity will be organized:</w:t>
            </w:r>
          </w:p>
        </w:tc>
        <w:tc>
          <w:tcPr>
            <w:tcW w:w="13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111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dare not more than90</w:t>
            </w:r>
          </w:p>
        </w:tc>
      </w:tr>
      <w:tr>
        <w:trPr>
          <w:trHeight w:val="185"/>
        </w:trPr>
        <w:tc>
          <w:tcPr>
            <w:tcW w:w="180" w:type="dxa"/>
            <w:vAlign w:val="bottom"/>
          </w:tcPr>
          <w:p>
            <w:pPr>
              <w:spacing w:after="0"/>
              <w:rPr>
                <w:sz w:val="16"/>
                <w:szCs w:val="16"/>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days from the date and time of filing is specified:</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November11, 2019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char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25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280"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716280" cy="698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273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142" w:name="page143"/>
    <w:bookmarkEnd w:id="142"/>
    <w:p>
      <w:pPr>
        <w:ind w:left="255" w:hanging="255"/>
        <w:spacing w:after="0"/>
        <w:tabs>
          <w:tab w:leader="none" w:pos="255"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79" w:lineRule="exact"/>
        <w:rPr>
          <w:rFonts w:ascii="Times New Roman" w:cs="Times New Roman" w:eastAsia="Times New Roman" w:hAnsi="Times New Roman"/>
          <w:sz w:val="14"/>
          <w:szCs w:val="14"/>
          <w:color w:val="auto"/>
        </w:rPr>
      </w:pPr>
    </w:p>
    <w:p>
      <w:pPr>
        <w:ind w:left="255" w:hanging="255"/>
        <w:spacing w:after="0"/>
        <w:tabs>
          <w:tab w:leader="none" w:pos="255"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335" w:hanging="335"/>
        <w:spacing w:after="0"/>
        <w:tabs>
          <w:tab w:leader="none" w:pos="335"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Scare the executive office address of the surviving foreign other entity if such information is not on the public record in the</w:t>
      </w:r>
    </w:p>
    <w:p>
      <w:pPr>
        <w:spacing w:after="0" w:line="23" w:lineRule="exact"/>
        <w:rPr>
          <w:sz w:val="20"/>
          <w:szCs w:val="20"/>
          <w:color w:val="auto"/>
        </w:rPr>
      </w:pPr>
    </w:p>
    <w:p>
      <w:pPr>
        <w:ind w:left="335"/>
        <w:spacing w:after="0"/>
        <w:tabs>
          <w:tab w:leader="none" w:pos="2014" w:val="left"/>
        </w:tabs>
        <w:rPr>
          <w:sz w:val="20"/>
          <w:szCs w:val="20"/>
          <w:color w:val="auto"/>
        </w:rPr>
      </w:pPr>
      <w:r>
        <w:rPr>
          <w:rFonts w:ascii="Times New Roman" w:cs="Times New Roman" w:eastAsia="Times New Roman" w:hAnsi="Times New Roman"/>
          <w:sz w:val="14"/>
          <w:szCs w:val="14"/>
          <w:color w:val="auto"/>
        </w:rPr>
        <w:t>foreign jurisdicrion:</w:t>
      </w:r>
      <w:r>
        <w:rPr>
          <w:sz w:val="20"/>
          <w:szCs w:val="20"/>
          <w:color w:val="auto"/>
        </w:rPr>
        <w:tab/>
      </w:r>
      <w:r>
        <w:rPr>
          <w:rFonts w:ascii="Times New Roman" w:cs="Times New Roman" w:eastAsia="Times New Roman" w:hAnsi="Times New Roman"/>
          <w:sz w:val="13"/>
          <w:szCs w:val="13"/>
          <w:color w:val="auto"/>
        </w:rPr>
        <w:t>N/A</w:t>
      </w:r>
    </w:p>
    <w:p>
      <w:pPr>
        <w:spacing w:after="0" w:line="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-100965</wp:posOffset>
            </wp:positionV>
            <wp:extent cx="5871210"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58712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161530" cy="273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175"/>
          </w:cols>
          <w:pgMar w:left="305" w:top="497" w:right="41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10140" w:type="dxa"/>
            <w:vAlign w:val="bottom"/>
            <w:tcBorders>
              <w:bottom w:val="single" w:sz="8" w:color="auto"/>
            </w:tcBorders>
          </w:tcPr>
          <w:p>
            <w:pPr>
              <w:ind w:left="4620"/>
              <w:spacing w:after="0"/>
              <w:rPr>
                <w:sz w:val="20"/>
                <w:szCs w:val="20"/>
                <w:color w:val="auto"/>
              </w:rPr>
            </w:pPr>
            <w:r>
              <w:rPr>
                <w:rFonts w:ascii="Times New Roman" w:cs="Times New Roman" w:eastAsia="Times New Roman" w:hAnsi="Times New Roman"/>
                <w:sz w:val="14"/>
                <w:szCs w:val="14"/>
                <w:color w:val="auto"/>
              </w:rPr>
              <w:t>/s/ Robert Potts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1040" w:type="dxa"/>
            <w:vAlign w:val="bottom"/>
          </w:tcPr>
          <w:p>
            <w:pPr>
              <w:spacing w:after="0"/>
              <w:rPr>
                <w:sz w:val="12"/>
                <w:szCs w:val="12"/>
                <w:color w:val="auto"/>
              </w:rPr>
            </w:pPr>
          </w:p>
        </w:tc>
        <w:tc>
          <w:tcPr>
            <w:tcW w:w="101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2"/>
                <w:szCs w:val="12"/>
                <w:color w:val="auto"/>
              </w:rPr>
            </w:pPr>
          </w:p>
        </w:tc>
      </w:tr>
      <w:tr>
        <w:trPr>
          <w:trHeight w:val="184"/>
        </w:trPr>
        <w:tc>
          <w:tcPr>
            <w:tcW w:w="1040" w:type="dxa"/>
            <w:vAlign w:val="bottom"/>
          </w:tcPr>
          <w:p>
            <w:pPr>
              <w:spacing w:after="0"/>
              <w:rPr>
                <w:sz w:val="16"/>
                <w:szCs w:val="16"/>
                <w:color w:val="auto"/>
              </w:rPr>
            </w:pPr>
          </w:p>
        </w:tc>
        <w:tc>
          <w:tcPr>
            <w:tcW w:w="10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Robert Potts, Assistant Secretary, EMC South Street Investments LLC</w:t>
            </w:r>
          </w:p>
        </w:tc>
        <w:tc>
          <w:tcPr>
            <w:tcW w:w="100" w:type="dxa"/>
            <w:vAlign w:val="bottom"/>
          </w:tcPr>
          <w:p>
            <w:pPr>
              <w:spacing w:after="0"/>
              <w:rPr>
                <w:sz w:val="16"/>
                <w:szCs w:val="16"/>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700" w:hanging="237"/>
        <w:spacing w:after="0"/>
        <w:tabs>
          <w:tab w:leader="none" w:pos="700" w:val="left"/>
        </w:tabs>
        <w:numPr>
          <w:ilvl w:val="0"/>
          <w:numId w:val="25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25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25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25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6th</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day of</w:t>
            </w:r>
          </w:p>
        </w:tc>
        <w:tc>
          <w:tcPr>
            <w:tcW w:w="426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November</w:t>
            </w:r>
          </w:p>
        </w:tc>
        <w:tc>
          <w:tcPr>
            <w:tcW w:w="2480" w:type="dxa"/>
            <w:vAlign w:val="bottom"/>
            <w:gridSpan w:val="2"/>
          </w:tcPr>
          <w:p>
            <w:pPr>
              <w:jc w:val="right"/>
              <w:ind w:right="2080"/>
              <w:spacing w:after="0"/>
              <w:rPr>
                <w:sz w:val="20"/>
                <w:szCs w:val="20"/>
                <w:color w:val="auto"/>
              </w:rPr>
            </w:pPr>
            <w:r>
              <w:rPr>
                <w:rFonts w:ascii="Times New Roman" w:cs="Times New Roman" w:eastAsia="Times New Roman" w:hAnsi="Times New Roman"/>
                <w:sz w:val="14"/>
                <w:szCs w:val="14"/>
                <w:color w:val="auto"/>
              </w:rPr>
              <w:t>, 2019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20" w:type="dxa"/>
            <w:vAlign w:val="bottom"/>
            <w:tcBorders>
              <w:top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60" w:type="dxa"/>
            <w:vAlign w:val="bottom"/>
            <w:tcBorders>
              <w:top w:val="single" w:sz="8" w:color="auto"/>
              <w:bottom w:val="single" w:sz="8" w:color="auto"/>
            </w:tcBorders>
          </w:tcPr>
          <w:p>
            <w:pPr>
              <w:jc w:val="center"/>
              <w:ind w:right="889"/>
              <w:spacing w:after="0"/>
              <w:rPr>
                <w:sz w:val="20"/>
                <w:szCs w:val="20"/>
                <w:color w:val="auto"/>
              </w:rPr>
            </w:pPr>
            <w:r>
              <w:rPr>
                <w:rFonts w:ascii="Times New Roman" w:cs="Times New Roman" w:eastAsia="Times New Roman" w:hAnsi="Times New Roman"/>
                <w:sz w:val="14"/>
                <w:szCs w:val="14"/>
                <w:color w:val="auto"/>
                <w:w w:val="99"/>
              </w:rPr>
              <w:t>/s/ Robert Potts</w:t>
            </w:r>
          </w:p>
        </w:tc>
        <w:tc>
          <w:tcPr>
            <w:tcW w:w="120" w:type="dxa"/>
            <w:vAlign w:val="bottom"/>
            <w:tcBorders>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60" w:type="dxa"/>
            <w:vAlign w:val="bottom"/>
          </w:tcPr>
          <w:p>
            <w:pPr>
              <w:jc w:val="center"/>
              <w:ind w:right="849"/>
              <w:spacing w:after="0" w:line="147" w:lineRule="exact"/>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4"/>
        </w:trPr>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Robert Potts, Assistant Secretary, EMC Corporation</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56" w:lineRule="exact"/>
        <w:rPr>
          <w:sz w:val="20"/>
          <w:szCs w:val="20"/>
          <w:color w:val="auto"/>
        </w:rPr>
      </w:pPr>
    </w:p>
    <w:p>
      <w:pPr>
        <w:ind w:left="700" w:hanging="237"/>
        <w:spacing w:after="0"/>
        <w:tabs>
          <w:tab w:leader="none" w:pos="700" w:val="left"/>
        </w:tabs>
        <w:numPr>
          <w:ilvl w:val="0"/>
          <w:numId w:val="26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26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26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26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69" w:lineRule="exact"/>
        <w:rPr>
          <w:sz w:val="20"/>
          <w:szCs w:val="20"/>
          <w:color w:val="auto"/>
        </w:rPr>
      </w:pPr>
    </w:p>
    <w:p>
      <w:pPr>
        <w:spacing w:after="0"/>
        <w:tabs>
          <w:tab w:leader="none" w:pos="680" w:val="left"/>
          <w:tab w:leader="none" w:pos="3920" w:val="left"/>
          <w:tab w:leader="none" w:pos="6260" w:val="left"/>
          <w:tab w:leader="none" w:pos="8680" w:val="left"/>
          <w:tab w:leader="none" w:pos="1122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6th</w:t>
      </w:r>
      <w:r>
        <w:rPr>
          <w:sz w:val="20"/>
          <w:szCs w:val="20"/>
          <w:color w:val="auto"/>
        </w:rPr>
        <w:tab/>
      </w:r>
      <w:r>
        <w:rPr>
          <w:rFonts w:ascii="Times New Roman" w:cs="Times New Roman" w:eastAsia="Times New Roman" w:hAnsi="Times New Roman"/>
          <w:sz w:val="14"/>
          <w:szCs w:val="14"/>
          <w:color w:val="auto"/>
        </w:rPr>
        <w:t>day of</w:t>
      </w:r>
      <w:r>
        <w:rPr>
          <w:sz w:val="20"/>
          <w:szCs w:val="20"/>
          <w:color w:val="auto"/>
        </w:rPr>
        <w:tab/>
      </w:r>
      <w:r>
        <w:rPr>
          <w:rFonts w:ascii="Times New Roman" w:cs="Times New Roman" w:eastAsia="Times New Roman" w:hAnsi="Times New Roman"/>
          <w:sz w:val="14"/>
          <w:szCs w:val="14"/>
          <w:color w:val="auto"/>
        </w:rPr>
        <w:t>November</w:t>
      </w:r>
      <w:r>
        <w:rPr>
          <w:sz w:val="20"/>
          <w:szCs w:val="20"/>
          <w:color w:val="auto"/>
        </w:rPr>
        <w:tab/>
      </w:r>
      <w:r>
        <w:rPr>
          <w:rFonts w:ascii="Times New Roman" w:cs="Times New Roman" w:eastAsia="Times New Roman" w:hAnsi="Times New Roman"/>
          <w:sz w:val="14"/>
          <w:szCs w:val="14"/>
          <w:color w:val="auto"/>
        </w:rPr>
        <w:t>, 2019</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6654800" cy="133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wp:posOffset>
            </wp:positionV>
            <wp:extent cx="7161530" cy="27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Nov 7, 2019 03:53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123190</wp:posOffset>
            </wp:positionV>
            <wp:extent cx="1351280" cy="3784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4" w:right="47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394"/>
        </w:trPr>
        <w:tc>
          <w:tcPr>
            <w:tcW w:w="3040" w:type="dxa"/>
            <w:vAlign w:val="bottom"/>
          </w:tcPr>
          <w:p>
            <w:pPr>
              <w:spacing w:after="0"/>
              <w:rPr>
                <w:sz w:val="20"/>
                <w:szCs w:val="20"/>
                <w:color w:val="auto"/>
              </w:rPr>
            </w:pPr>
            <w:r>
              <w:rPr>
                <w:rFonts w:ascii="Times New Roman" w:cs="Times New Roman" w:eastAsia="Times New Roman" w:hAnsi="Times New Roman"/>
                <w:sz w:val="34"/>
                <w:szCs w:val="34"/>
                <w:b w:val="1"/>
                <w:bCs w:val="1"/>
                <w:color w:val="auto"/>
              </w:rPr>
              <w:t>DF</w:t>
            </w:r>
          </w:p>
        </w:tc>
        <w:tc>
          <w:tcPr>
            <w:tcW w:w="4520" w:type="dxa"/>
            <w:vAlign w:val="bottom"/>
          </w:tcPr>
          <w:p>
            <w:pPr>
              <w:jc w:val="center"/>
              <w:ind w:left="623"/>
              <w:spacing w:after="0"/>
              <w:rPr>
                <w:sz w:val="20"/>
                <w:szCs w:val="20"/>
                <w:color w:val="auto"/>
              </w:rPr>
            </w:pPr>
            <w:r>
              <w:rPr>
                <w:rFonts w:ascii="Times New Roman" w:cs="Times New Roman" w:eastAsia="Times New Roman" w:hAnsi="Times New Roman"/>
                <w:sz w:val="20"/>
                <w:szCs w:val="20"/>
                <w:b w:val="1"/>
                <w:bCs w:val="1"/>
                <w:color w:val="auto"/>
                <w:w w:val="99"/>
              </w:rPr>
              <w:t>The Commonwealth of Massachusetts</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40" w:type="dxa"/>
            <w:vAlign w:val="bottom"/>
            <w:vMerge w:val="restart"/>
          </w:tcPr>
          <w:p>
            <w:pPr>
              <w:spacing w:after="0" w:line="375" w:lineRule="exact"/>
              <w:rPr>
                <w:sz w:val="20"/>
                <w:szCs w:val="20"/>
                <w:color w:val="auto"/>
              </w:rPr>
            </w:pPr>
            <w:r>
              <w:rPr>
                <w:rFonts w:ascii="Times New Roman" w:cs="Times New Roman" w:eastAsia="Times New Roman" w:hAnsi="Times New Roman"/>
                <w:sz w:val="34"/>
                <w:szCs w:val="34"/>
                <w:b w:val="1"/>
                <w:bCs w:val="1"/>
                <w:color w:val="auto"/>
              </w:rPr>
              <w:t>PC</w:t>
            </w:r>
          </w:p>
        </w:tc>
        <w:tc>
          <w:tcPr>
            <w:tcW w:w="4520" w:type="dxa"/>
            <w:vAlign w:val="bottom"/>
          </w:tcPr>
          <w:p>
            <w:pPr>
              <w:jc w:val="center"/>
              <w:ind w:left="623"/>
              <w:spacing w:after="0"/>
              <w:rPr>
                <w:sz w:val="20"/>
                <w:szCs w:val="20"/>
                <w:color w:val="auto"/>
              </w:rPr>
            </w:pPr>
            <w:r>
              <w:rPr>
                <w:rFonts w:ascii="Times New Roman" w:cs="Times New Roman" w:eastAsia="Times New Roman" w:hAnsi="Times New Roman"/>
                <w:sz w:val="14"/>
                <w:szCs w:val="14"/>
                <w:b w:val="1"/>
                <w:bCs w:val="1"/>
                <w:color w:val="auto"/>
              </w:rPr>
              <w:t>William Francis Galvin</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040" w:type="dxa"/>
            <w:vAlign w:val="bottom"/>
            <w:vMerge w:val="continue"/>
          </w:tcPr>
          <w:p>
            <w:pPr>
              <w:spacing w:after="0"/>
              <w:rPr>
                <w:sz w:val="14"/>
                <w:szCs w:val="14"/>
                <w:color w:val="auto"/>
              </w:rPr>
            </w:pPr>
          </w:p>
        </w:tc>
        <w:tc>
          <w:tcPr>
            <w:tcW w:w="4520" w:type="dxa"/>
            <w:vAlign w:val="bottom"/>
          </w:tcPr>
          <w:p>
            <w:pPr>
              <w:jc w:val="center"/>
              <w:ind w:left="603"/>
              <w:spacing w:after="0"/>
              <w:rPr>
                <w:sz w:val="20"/>
                <w:szCs w:val="20"/>
                <w:color w:val="auto"/>
              </w:rPr>
            </w:pPr>
            <w:r>
              <w:rPr>
                <w:rFonts w:ascii="Times New Roman" w:cs="Times New Roman" w:eastAsia="Times New Roman" w:hAnsi="Times New Roman"/>
                <w:sz w:val="14"/>
                <w:szCs w:val="14"/>
                <w:color w:val="auto"/>
              </w:rPr>
              <w:t>Secretary of the Commonwealth</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4520" w:type="dxa"/>
            <w:vAlign w:val="bottom"/>
          </w:tcPr>
          <w:p>
            <w:pPr>
              <w:jc w:val="center"/>
              <w:ind w:left="623"/>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FORM MUST BE TYPED</w:t>
            </w:r>
          </w:p>
        </w:tc>
        <w:tc>
          <w:tcPr>
            <w:tcW w:w="4520" w:type="dxa"/>
            <w:vAlign w:val="bottom"/>
          </w:tcPr>
          <w:p>
            <w:pPr>
              <w:jc w:val="center"/>
              <w:ind w:left="623"/>
              <w:spacing w:after="0"/>
              <w:rPr>
                <w:sz w:val="20"/>
                <w:szCs w:val="20"/>
                <w:color w:val="auto"/>
              </w:rPr>
            </w:pPr>
            <w:r>
              <w:rPr>
                <w:rFonts w:ascii="Times New Roman" w:cs="Times New Roman" w:eastAsia="Times New Roman" w:hAnsi="Times New Roman"/>
                <w:sz w:val="17"/>
                <w:szCs w:val="17"/>
                <w:b w:val="1"/>
                <w:bCs w:val="1"/>
                <w:color w:val="auto"/>
                <w:w w:val="99"/>
              </w:rPr>
              <w:t>Articles of Merger</w:t>
            </w:r>
          </w:p>
        </w:tc>
        <w:tc>
          <w:tcPr>
            <w:tcW w:w="3720" w:type="dxa"/>
            <w:vAlign w:val="bottom"/>
          </w:tcPr>
          <w:p>
            <w:pPr>
              <w:ind w:left="2180"/>
              <w:spacing w:after="0"/>
              <w:rPr>
                <w:sz w:val="20"/>
                <w:szCs w:val="20"/>
                <w:color w:val="auto"/>
              </w:rPr>
            </w:pPr>
            <w:r>
              <w:rPr>
                <w:rFonts w:ascii="Times New Roman" w:cs="Times New Roman" w:eastAsia="Times New Roman" w:hAnsi="Times New Roman"/>
                <w:sz w:val="14"/>
                <w:szCs w:val="14"/>
                <w:color w:val="auto"/>
                <w:w w:val="99"/>
              </w:rPr>
              <w:t>FORM MUST BE TYPED</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4520" w:type="dxa"/>
            <w:vAlign w:val="bottom"/>
          </w:tcPr>
          <w:p>
            <w:pPr>
              <w:jc w:val="center"/>
              <w:ind w:left="623"/>
              <w:spacing w:after="0" w:line="192" w:lineRule="exact"/>
              <w:rPr>
                <w:sz w:val="20"/>
                <w:szCs w:val="20"/>
                <w:color w:val="auto"/>
              </w:rPr>
            </w:pPr>
            <w:r>
              <w:rPr>
                <w:rFonts w:ascii="Times New Roman" w:cs="Times New Roman" w:eastAsia="Times New Roman" w:hAnsi="Times New Roman"/>
                <w:sz w:val="17"/>
                <w:szCs w:val="17"/>
                <w:b w:val="1"/>
                <w:bCs w:val="1"/>
                <w:color w:val="auto"/>
                <w:w w:val="99"/>
              </w:rPr>
              <w:t>Involving Domestic Corporations,</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40" w:type="dxa"/>
            <w:vAlign w:val="bottom"/>
          </w:tcPr>
          <w:p>
            <w:pPr>
              <w:spacing w:after="0"/>
              <w:rPr>
                <w:sz w:val="17"/>
                <w:szCs w:val="17"/>
                <w:color w:val="auto"/>
              </w:rPr>
            </w:pPr>
          </w:p>
        </w:tc>
        <w:tc>
          <w:tcPr>
            <w:tcW w:w="4520" w:type="dxa"/>
            <w:vAlign w:val="bottom"/>
          </w:tcPr>
          <w:p>
            <w:pPr>
              <w:jc w:val="center"/>
              <w:ind w:left="603"/>
              <w:spacing w:after="0"/>
              <w:rPr>
                <w:sz w:val="20"/>
                <w:szCs w:val="20"/>
                <w:color w:val="auto"/>
              </w:rPr>
            </w:pPr>
            <w:r>
              <w:rPr>
                <w:rFonts w:ascii="Times New Roman" w:cs="Times New Roman" w:eastAsia="Times New Roman" w:hAnsi="Times New Roman"/>
                <w:sz w:val="17"/>
                <w:szCs w:val="17"/>
                <w:b w:val="1"/>
                <w:bCs w:val="1"/>
                <w:color w:val="auto"/>
              </w:rPr>
              <w:t>Foreign Corporations or Foreign Other Entities</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4520" w:type="dxa"/>
            <w:vAlign w:val="bottom"/>
          </w:tcPr>
          <w:p>
            <w:pPr>
              <w:jc w:val="center"/>
              <w:ind w:left="623"/>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45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(2) JURISDICTION</w:t>
            </w: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DATE OF ORGANIZATION</w:t>
            </w:r>
          </w:p>
        </w:tc>
        <w:tc>
          <w:tcPr>
            <w:tcW w:w="0" w:type="dxa"/>
            <w:vAlign w:val="bottom"/>
          </w:tcPr>
          <w:p>
            <w:pPr>
              <w:spacing w:after="0"/>
              <w:rPr>
                <w:sz w:val="1"/>
                <w:szCs w:val="1"/>
                <w:color w:val="auto"/>
              </w:rPr>
            </w:pPr>
          </w:p>
        </w:tc>
      </w:tr>
      <w:tr>
        <w:trPr>
          <w:trHeight w:val="277"/>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45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Massachusetts</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August 23, 1979</w:t>
            </w:r>
          </w:p>
        </w:tc>
        <w:tc>
          <w:tcPr>
            <w:tcW w:w="0" w:type="dxa"/>
            <w:vAlign w:val="bottom"/>
          </w:tcPr>
          <w:p>
            <w:pPr>
              <w:spacing w:after="0"/>
              <w:rPr>
                <w:sz w:val="1"/>
                <w:szCs w:val="1"/>
                <w:color w:val="auto"/>
              </w:rPr>
            </w:pPr>
          </w:p>
        </w:tc>
      </w:tr>
      <w:tr>
        <w:trPr>
          <w:trHeight w:val="267"/>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International U.S. Holdings L.L.C.</w:t>
            </w:r>
          </w:p>
        </w:tc>
        <w:tc>
          <w:tcPr>
            <w:tcW w:w="45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Delaware</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November 19, 2009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16153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line="161" w:lineRule="exact"/>
        <w:tabs>
          <w:tab w:leader="none" w:pos="280" w:val="left"/>
        </w:tabs>
        <w:rPr>
          <w:sz w:val="20"/>
          <w:szCs w:val="20"/>
          <w:color w:val="auto"/>
        </w:rPr>
      </w:pPr>
      <w:r>
        <w:rPr>
          <w:rFonts w:ascii="Times New Roman" w:cs="Times New Roman" w:eastAsia="Times New Roman" w:hAnsi="Times New Roman"/>
          <w:sz w:val="14"/>
          <w:szCs w:val="14"/>
          <w:color w:val="auto"/>
        </w:rPr>
        <w:t>(3)</w:t>
        <w:tab/>
        <w:t xml:space="preserve">The foreign corporation or ocher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is not authorized to conduct business in the Commonwealth.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2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Exact name of the surviving entity:</w:t>
            </w: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1580" w:type="dxa"/>
            <w:vAlign w:val="bottom"/>
            <w:tcBorders>
              <w:bottom w:val="single" w:sz="8" w:color="auto"/>
            </w:tcBorders>
          </w:tcPr>
          <w:p>
            <w:pPr>
              <w:spacing w:after="0"/>
              <w:rPr>
                <w:sz w:val="16"/>
                <w:szCs w:val="16"/>
                <w:color w:val="auto"/>
              </w:rPr>
            </w:pPr>
          </w:p>
        </w:tc>
        <w:tc>
          <w:tcPr>
            <w:tcW w:w="5400" w:type="dxa"/>
            <w:vAlign w:val="bottom"/>
            <w:tcBorders>
              <w:bottom w:val="single" w:sz="8" w:color="auto"/>
            </w:tcBorders>
          </w:tcPr>
          <w:p>
            <w:pPr>
              <w:spacing w:after="0"/>
              <w:rPr>
                <w:sz w:val="16"/>
                <w:szCs w:val="16"/>
                <w:color w:val="auto"/>
              </w:rPr>
            </w:pPr>
          </w:p>
        </w:tc>
      </w:tr>
      <w:tr>
        <w:trPr>
          <w:trHeight w:val="352"/>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56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Jurisdiction under each laws of which the surviving entity will be organized:</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Massachusetts</w:t>
            </w:r>
          </w:p>
        </w:tc>
      </w:tr>
      <w:tr>
        <w:trPr>
          <w:trHeight w:val="338"/>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w:t>
            </w:r>
          </w:p>
        </w:tc>
        <w:tc>
          <w:tcPr>
            <w:tcW w:w="110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dare not more than 90</w:t>
            </w:r>
          </w:p>
        </w:tc>
      </w:tr>
      <w:tr>
        <w:trPr>
          <w:trHeight w:val="185"/>
        </w:trPr>
        <w:tc>
          <w:tcPr>
            <w:tcW w:w="220" w:type="dxa"/>
            <w:vAlign w:val="bottom"/>
          </w:tcPr>
          <w:p>
            <w:pPr>
              <w:spacing w:after="0"/>
              <w:rPr>
                <w:sz w:val="16"/>
                <w:szCs w:val="16"/>
                <w:color w:val="auto"/>
              </w:rPr>
            </w:pPr>
          </w:p>
        </w:tc>
        <w:tc>
          <w:tcPr>
            <w:tcW w:w="4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days from the date and time of filing is specified:</w:t>
            </w:r>
          </w:p>
        </w:tc>
        <w:tc>
          <w:tcPr>
            <w:tcW w:w="69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color w:val="auto"/>
              </w:rPr>
              <w:t>December 26, 2020 12:02 am Eastern Standard Time</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 For each domestic corporation char is a party to the merger:**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81" w:lineRule="exact"/>
        <w:rPr>
          <w:sz w:val="20"/>
          <w:szCs w:val="20"/>
          <w:color w:val="auto"/>
        </w:rPr>
      </w:pPr>
    </w:p>
    <w:p>
      <w:pPr>
        <w:ind w:left="520" w:hanging="260"/>
        <w:spacing w:after="0"/>
        <w:tabs>
          <w:tab w:leader="none" w:pos="520" w:val="left"/>
        </w:tabs>
        <w:numPr>
          <w:ilvl w:val="0"/>
          <w:numId w:val="26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79" w:lineRule="exact"/>
        <w:rPr>
          <w:rFonts w:ascii="MS PGothic" w:cs="MS PGothic" w:eastAsia="MS PGothic" w:hAnsi="MS PGothic"/>
          <w:sz w:val="14"/>
          <w:szCs w:val="14"/>
          <w:color w:val="auto"/>
        </w:rPr>
      </w:pPr>
    </w:p>
    <w:p>
      <w:pPr>
        <w:ind w:left="2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148" w:lineRule="exact"/>
        <w:rPr>
          <w:sz w:val="20"/>
          <w:szCs w:val="20"/>
          <w:color w:val="auto"/>
        </w:rPr>
      </w:pPr>
    </w:p>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plan of merger did not require the approval of the shareholders.</w:t>
      </w:r>
    </w:p>
    <w:p>
      <w:pPr>
        <w:spacing w:after="0" w:line="210" w:lineRule="exact"/>
        <w:rPr>
          <w:sz w:val="20"/>
          <w:szCs w:val="20"/>
          <w:color w:val="auto"/>
        </w:rPr>
      </w:pPr>
    </w:p>
    <w:p>
      <w:pPr>
        <w:ind w:left="260" w:hanging="255"/>
        <w:spacing w:after="0" w:line="288" w:lineRule="auto"/>
        <w:tabs>
          <w:tab w:leader="none" w:pos="260"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Check appropriate box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Provide this information for each domestic corporation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864870"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864870" cy="698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273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146" w:name="page147"/>
    <w:bookmarkEnd w:id="146"/>
    <w:p>
      <w:pPr>
        <w:ind w:left="275" w:hanging="275"/>
        <w:spacing w:after="0"/>
        <w:tabs>
          <w:tab w:leader="none" w:pos="275"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79" w:lineRule="exact"/>
        <w:rPr>
          <w:rFonts w:ascii="Times New Roman" w:cs="Times New Roman" w:eastAsia="Times New Roman" w:hAnsi="Times New Roman"/>
          <w:sz w:val="14"/>
          <w:szCs w:val="14"/>
          <w:color w:val="auto"/>
        </w:rPr>
      </w:pPr>
    </w:p>
    <w:p>
      <w:pPr>
        <w:ind w:left="275" w:hanging="275"/>
        <w:spacing w:after="0"/>
        <w:tabs>
          <w:tab w:leader="none" w:pos="275"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79" w:lineRule="exact"/>
        <w:rPr>
          <w:rFonts w:ascii="Times New Roman" w:cs="Times New Roman" w:eastAsia="Times New Roman" w:hAnsi="Times New Roman"/>
          <w:sz w:val="14"/>
          <w:szCs w:val="14"/>
          <w:color w:val="auto"/>
        </w:rPr>
      </w:pPr>
    </w:p>
    <w:p>
      <w:pPr>
        <w:ind w:left="315" w:hanging="315"/>
        <w:spacing w:after="0"/>
        <w:tabs>
          <w:tab w:leader="none" w:pos="315"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Scare the executive office address of the surviving foreign other entity if such information is not on the public record in the</w:t>
      </w:r>
    </w:p>
    <w:p>
      <w:pPr>
        <w:spacing w:after="0" w:line="23" w:lineRule="exact"/>
        <w:rPr>
          <w:sz w:val="20"/>
          <w:szCs w:val="20"/>
          <w:color w:val="auto"/>
        </w:rPr>
      </w:pPr>
    </w:p>
    <w:p>
      <w:pPr>
        <w:ind w:left="315"/>
        <w:spacing w:after="0"/>
        <w:tabs>
          <w:tab w:leader="none" w:pos="2134" w:val="left"/>
        </w:tabs>
        <w:rPr>
          <w:sz w:val="20"/>
          <w:szCs w:val="20"/>
          <w:color w:val="auto"/>
        </w:rPr>
      </w:pPr>
      <w:r>
        <w:rPr>
          <w:rFonts w:ascii="Times New Roman" w:cs="Times New Roman" w:eastAsia="Times New Roman" w:hAnsi="Times New Roman"/>
          <w:sz w:val="14"/>
          <w:szCs w:val="14"/>
          <w:color w:val="auto"/>
        </w:rPr>
        <w:t>foreign jurisdiction:</w:t>
      </w:r>
      <w:r>
        <w:rPr>
          <w:sz w:val="20"/>
          <w:szCs w:val="20"/>
          <w:color w:val="auto"/>
        </w:rPr>
        <w:tab/>
      </w:r>
      <w:r>
        <w:rPr>
          <w:rFonts w:ascii="Times New Roman" w:cs="Times New Roman" w:eastAsia="Times New Roman" w:hAnsi="Times New Roman"/>
          <w:sz w:val="13"/>
          <w:szCs w:val="13"/>
          <w:color w:val="auto"/>
        </w:rPr>
        <w:t>N/A</w:t>
      </w:r>
    </w:p>
    <w:p>
      <w:pPr>
        <w:spacing w:after="0" w:line="9"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-100965</wp:posOffset>
            </wp:positionV>
            <wp:extent cx="5796915"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57969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161530" cy="27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195"/>
          </w:cols>
          <w:pgMar w:left="305" w:top="497" w:right="39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10140" w:type="dxa"/>
            <w:vAlign w:val="bottom"/>
            <w:tcBorders>
              <w:bottom w:val="single" w:sz="8" w:color="auto"/>
            </w:tcBorders>
          </w:tcPr>
          <w:p>
            <w:pPr>
              <w:ind w:left="4620"/>
              <w:spacing w:after="0"/>
              <w:rPr>
                <w:sz w:val="20"/>
                <w:szCs w:val="20"/>
                <w:color w:val="auto"/>
              </w:rPr>
            </w:pPr>
            <w:r>
              <w:rPr>
                <w:rFonts w:ascii="Times New Roman" w:cs="Times New Roman" w:eastAsia="Times New Roman" w:hAnsi="Times New Roman"/>
                <w:sz w:val="14"/>
                <w:szCs w:val="14"/>
                <w:color w:val="auto"/>
              </w:rPr>
              <w:t>/s/ Robert Potts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1040" w:type="dxa"/>
            <w:vAlign w:val="bottom"/>
          </w:tcPr>
          <w:p>
            <w:pPr>
              <w:spacing w:after="0"/>
              <w:rPr>
                <w:sz w:val="15"/>
                <w:szCs w:val="15"/>
                <w:color w:val="auto"/>
              </w:rPr>
            </w:pPr>
          </w:p>
        </w:tc>
        <w:tc>
          <w:tcPr>
            <w:tcW w:w="10140" w:type="dxa"/>
            <w:vAlign w:val="bottom"/>
          </w:tcPr>
          <w:p>
            <w:pPr>
              <w:ind w:left="406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00" w:type="dxa"/>
            <w:vAlign w:val="bottom"/>
          </w:tcPr>
          <w:p>
            <w:pPr>
              <w:spacing w:after="0"/>
              <w:rPr>
                <w:sz w:val="15"/>
                <w:szCs w:val="15"/>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460" w:right="8580" w:firstLine="3"/>
        <w:spacing w:after="0" w:line="178" w:lineRule="exact"/>
        <w:tabs>
          <w:tab w:leader="none" w:pos="694" w:val="left"/>
        </w:tabs>
        <w:numPr>
          <w:ilvl w:val="0"/>
          <w:numId w:val="26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Chairman of the board of directors,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President,</w:t>
      </w:r>
    </w:p>
    <w:p>
      <w:pPr>
        <w:ind w:left="4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Other officer,</w:t>
      </w:r>
    </w:p>
    <w:p>
      <w:pPr>
        <w:spacing w:after="0" w:line="9" w:lineRule="exact"/>
        <w:rPr>
          <w:rFonts w:ascii="MS PGothic" w:cs="MS PGothic" w:eastAsia="MS PGothic" w:hAnsi="MS PGothic"/>
          <w:sz w:val="14"/>
          <w:szCs w:val="14"/>
          <w:color w:val="auto"/>
        </w:rPr>
      </w:pPr>
    </w:p>
    <w:p>
      <w:pPr>
        <w:ind w:left="700" w:hanging="237"/>
        <w:spacing w:after="0"/>
        <w:tabs>
          <w:tab w:leader="none" w:pos="700" w:val="left"/>
        </w:tabs>
        <w:numPr>
          <w:ilvl w:val="0"/>
          <w:numId w:val="26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on this</w:t>
            </w:r>
          </w:p>
        </w:tc>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18th</w:t>
            </w:r>
          </w:p>
        </w:tc>
        <w:tc>
          <w:tcPr>
            <w:tcW w:w="4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day of   December</w:t>
            </w:r>
          </w:p>
        </w:tc>
        <w:tc>
          <w:tcPr>
            <w:tcW w:w="2480" w:type="dxa"/>
            <w:vAlign w:val="bottom"/>
            <w:gridSpan w:val="2"/>
          </w:tcPr>
          <w:p>
            <w:pPr>
              <w:jc w:val="right"/>
              <w:ind w:right="2080"/>
              <w:spacing w:after="0"/>
              <w:rPr>
                <w:sz w:val="20"/>
                <w:szCs w:val="20"/>
                <w:color w:val="auto"/>
              </w:rPr>
            </w:pPr>
            <w:r>
              <w:rPr>
                <w:rFonts w:ascii="Times New Roman" w:cs="Times New Roman" w:eastAsia="Times New Roman" w:hAnsi="Times New Roman"/>
                <w:sz w:val="14"/>
                <w:szCs w:val="14"/>
                <w:color w:val="auto"/>
              </w:rPr>
              <w:t>, 2020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Signed by:</w:t>
            </w: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20" w:type="dxa"/>
            <w:vAlign w:val="bottom"/>
            <w:tcBorders>
              <w:top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60" w:type="dxa"/>
            <w:vAlign w:val="bottom"/>
            <w:tcBorders>
              <w:top w:val="single" w:sz="8" w:color="auto"/>
              <w:bottom w:val="single" w:sz="8" w:color="auto"/>
            </w:tcBorders>
          </w:tcPr>
          <w:p>
            <w:pPr>
              <w:jc w:val="center"/>
              <w:ind w:right="889"/>
              <w:spacing w:after="0"/>
              <w:rPr>
                <w:sz w:val="20"/>
                <w:szCs w:val="20"/>
                <w:color w:val="auto"/>
              </w:rPr>
            </w:pPr>
            <w:r>
              <w:rPr>
                <w:rFonts w:ascii="Times New Roman" w:cs="Times New Roman" w:eastAsia="Times New Roman" w:hAnsi="Times New Roman"/>
                <w:sz w:val="14"/>
                <w:szCs w:val="14"/>
                <w:color w:val="auto"/>
                <w:w w:val="99"/>
              </w:rPr>
              <w:t>/s/ Robert Potts</w:t>
            </w:r>
          </w:p>
        </w:tc>
        <w:tc>
          <w:tcPr>
            <w:tcW w:w="120" w:type="dxa"/>
            <w:vAlign w:val="bottom"/>
            <w:tcBorders>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60" w:type="dxa"/>
            <w:vAlign w:val="bottom"/>
          </w:tcPr>
          <w:p>
            <w:pPr>
              <w:jc w:val="center"/>
              <w:ind w:right="849"/>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39" w:lineRule="exact"/>
        <w:rPr>
          <w:sz w:val="20"/>
          <w:szCs w:val="20"/>
          <w:color w:val="auto"/>
        </w:rPr>
      </w:pPr>
    </w:p>
    <w:p>
      <w:pPr>
        <w:ind w:left="700" w:hanging="237"/>
        <w:spacing w:after="0"/>
        <w:tabs>
          <w:tab w:leader="none" w:pos="700" w:val="left"/>
        </w:tabs>
        <w:numPr>
          <w:ilvl w:val="0"/>
          <w:numId w:val="26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25" w:lineRule="exact"/>
        <w:rPr>
          <w:rFonts w:ascii="MS PGothic" w:cs="MS PGothic" w:eastAsia="MS PGothic" w:hAnsi="MS PGothic"/>
          <w:sz w:val="14"/>
          <w:szCs w:val="14"/>
          <w:color w:val="auto"/>
        </w:rPr>
      </w:pPr>
    </w:p>
    <w:p>
      <w:pPr>
        <w:ind w:left="700" w:hanging="237"/>
        <w:spacing w:after="0"/>
        <w:tabs>
          <w:tab w:leader="none" w:pos="700" w:val="left"/>
        </w:tabs>
        <w:numPr>
          <w:ilvl w:val="0"/>
          <w:numId w:val="26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4" w:lineRule="exact"/>
        <w:rPr>
          <w:sz w:val="20"/>
          <w:szCs w:val="20"/>
          <w:color w:val="auto"/>
        </w:rPr>
      </w:pPr>
    </w:p>
    <w:p>
      <w:pPr>
        <w:ind w:left="700" w:hanging="237"/>
        <w:spacing w:after="0"/>
        <w:tabs>
          <w:tab w:leader="none" w:pos="700" w:val="left"/>
        </w:tabs>
        <w:numPr>
          <w:ilvl w:val="0"/>
          <w:numId w:val="26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9" w:lineRule="exact"/>
        <w:rPr>
          <w:sz w:val="20"/>
          <w:szCs w:val="20"/>
          <w:color w:val="auto"/>
        </w:rPr>
      </w:pPr>
    </w:p>
    <w:p>
      <w:pPr>
        <w:ind w:left="700" w:hanging="237"/>
        <w:spacing w:after="0"/>
        <w:tabs>
          <w:tab w:leader="none" w:pos="700" w:val="left"/>
        </w:tabs>
        <w:numPr>
          <w:ilvl w:val="0"/>
          <w:numId w:val="26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4" w:lineRule="exact"/>
        <w:rPr>
          <w:sz w:val="20"/>
          <w:szCs w:val="20"/>
          <w:color w:val="auto"/>
        </w:rPr>
      </w:pPr>
    </w:p>
    <w:p>
      <w:pPr>
        <w:spacing w:after="0"/>
        <w:tabs>
          <w:tab w:leader="none" w:pos="680" w:val="left"/>
          <w:tab w:leader="none" w:pos="3880" w:val="left"/>
          <w:tab w:leader="none" w:pos="4420" w:val="left"/>
          <w:tab w:leader="none" w:pos="8680" w:val="left"/>
          <w:tab w:leader="none" w:pos="11220" w:val="left"/>
        </w:tabs>
        <w:rPr>
          <w:sz w:val="20"/>
          <w:szCs w:val="20"/>
          <w:color w:val="auto"/>
        </w:rPr>
      </w:pPr>
      <w:r>
        <w:rPr>
          <w:rFonts w:ascii="Times New Roman" w:cs="Times New Roman" w:eastAsia="Times New Roman" w:hAnsi="Times New Roman"/>
          <w:sz w:val="14"/>
          <w:szCs w:val="14"/>
          <w:color w:val="auto"/>
        </w:rPr>
        <w:t>on this</w:t>
      </w:r>
      <w:r>
        <w:rPr>
          <w:sz w:val="20"/>
          <w:szCs w:val="20"/>
          <w:color w:val="auto"/>
        </w:rPr>
        <w:tab/>
      </w:r>
      <w:r>
        <w:rPr>
          <w:rFonts w:ascii="Times New Roman" w:cs="Times New Roman" w:eastAsia="Times New Roman" w:hAnsi="Times New Roman"/>
          <w:sz w:val="14"/>
          <w:szCs w:val="14"/>
          <w:color w:val="auto"/>
        </w:rPr>
        <w:t>18th</w:t>
      </w:r>
      <w:r>
        <w:rPr>
          <w:sz w:val="20"/>
          <w:szCs w:val="20"/>
          <w:color w:val="auto"/>
        </w:rPr>
        <w:tab/>
      </w:r>
      <w:r>
        <w:rPr>
          <w:rFonts w:ascii="Times New Roman" w:cs="Times New Roman" w:eastAsia="Times New Roman" w:hAnsi="Times New Roman"/>
          <w:sz w:val="14"/>
          <w:szCs w:val="14"/>
          <w:color w:val="auto"/>
        </w:rPr>
        <w:t>day of</w:t>
        <w:tab/>
        <w:t>December</w:t>
      </w:r>
      <w:r>
        <w:rPr>
          <w:sz w:val="20"/>
          <w:szCs w:val="20"/>
          <w:color w:val="auto"/>
        </w:rPr>
        <w:tab/>
      </w:r>
      <w:r>
        <w:rPr>
          <w:rFonts w:ascii="Times New Roman" w:cs="Times New Roman" w:eastAsia="Times New Roman" w:hAnsi="Times New Roman"/>
          <w:sz w:val="14"/>
          <w:szCs w:val="14"/>
          <w:color w:val="auto"/>
        </w:rPr>
        <w:t>, 2020</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5080</wp:posOffset>
            </wp:positionV>
            <wp:extent cx="6654800" cy="133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273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December 22, 2020 03:32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123190</wp:posOffset>
            </wp:positionV>
            <wp:extent cx="1351280" cy="3784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1351280"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556895</wp:posOffset>
            </wp:positionV>
            <wp:extent cx="7161530" cy="273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7161530" cy="27305"/>
                    </a:xfrm>
                    <a:prstGeom prst="rect">
                      <a:avLst/>
                    </a:prstGeom>
                    <a:noFill/>
                  </pic:spPr>
                </pic:pic>
              </a:graphicData>
            </a:graphic>
          </wp:anchor>
        </w:drawing>
      </w:r>
    </w:p>
    <w:p>
      <w:pPr>
        <w:sectPr>
          <w:pgSz w:w="11900" w:h="16838" w:orient="portrait"/>
          <w:cols w:equalWidth="0" w:num="1">
            <w:col w:w="10960"/>
          </w:cols>
          <w:pgMar w:left="460" w:top="494" w:right="479" w:bottom="1440" w:gutter="0" w:footer="0" w:header="0"/>
        </w:sectPr>
      </w:pPr>
    </w:p>
    <w:bookmarkStart w:id="149" w:name="page150"/>
    <w:bookmarkEnd w:id="149"/>
    <w:p>
      <w:pPr>
        <w:ind w:left="160"/>
        <w:spacing w:after="0"/>
        <w:rPr>
          <w:sz w:val="20"/>
          <w:szCs w:val="20"/>
          <w:color w:val="auto"/>
        </w:rPr>
      </w:pPr>
      <w:r>
        <w:rPr>
          <w:rFonts w:ascii="Times New Roman" w:cs="Times New Roman" w:eastAsia="Times New Roman" w:hAnsi="Times New Roman"/>
          <w:sz w:val="14"/>
          <w:szCs w:val="14"/>
          <w:b w:val="1"/>
          <w:bCs w:val="1"/>
          <w:color w:val="auto"/>
        </w:rPr>
        <w:t>DF</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PC</w:t>
      </w:r>
    </w:p>
    <w:p>
      <w:pPr>
        <w:spacing w:after="0" w:line="20" w:lineRule="exact"/>
        <w:rPr>
          <w:sz w:val="20"/>
          <w:szCs w:val="20"/>
          <w:color w:val="auto"/>
        </w:rPr>
      </w:pPr>
      <w:r>
        <w:rPr>
          <w:sz w:val="20"/>
          <w:szCs w:val="20"/>
          <w:color w:val="auto"/>
        </w:rPr>
        <w:br w:type="column"/>
      </w: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-165100</wp:posOffset>
            </wp:positionV>
            <wp:extent cx="7200265" cy="330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5"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95" w:lineRule="exact"/>
        <w:rPr>
          <w:sz w:val="20"/>
          <w:szCs w:val="20"/>
          <w:color w:val="auto"/>
        </w:rPr>
      </w:pPr>
    </w:p>
    <w:p>
      <w:pPr>
        <w:sectPr>
          <w:pgSz w:w="11900" w:h="16838" w:orient="portrait"/>
          <w:cols w:equalWidth="0" w:num="2">
            <w:col w:w="2140" w:space="720"/>
            <w:col w:w="6159"/>
          </w:cols>
          <w:pgMar w:left="1440" w:top="240" w:right="1440" w:bottom="1440" w:gutter="0" w:footer="0" w:header="0"/>
        </w:sectPr>
      </w:pPr>
    </w:p>
    <w:p>
      <w:pPr>
        <w:ind w:left="160"/>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Times New Roman" w:cs="Times New Roman" w:eastAsia="Times New Roman" w:hAnsi="Times New Roman"/>
          <w:sz w:val="14"/>
          <w:szCs w:val="14"/>
          <w:b w:val="1"/>
          <w:bCs w:val="1"/>
          <w:color w:val="auto"/>
        </w:rPr>
        <w:t>Articles of Merger</w:t>
      </w:r>
    </w:p>
    <w:p>
      <w:pPr>
        <w:spacing w:after="0" w:line="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Involving Domestic Corporations,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691" w:lineRule="exact"/>
        <w:rPr>
          <w:sz w:val="20"/>
          <w:szCs w:val="20"/>
          <w:color w:val="auto"/>
        </w:rPr>
      </w:pPr>
    </w:p>
    <w:p>
      <w:pPr>
        <w:sectPr>
          <w:pgSz w:w="11900" w:h="16838" w:orient="portrait"/>
          <w:cols w:equalWidth="0" w:num="3">
            <w:col w:w="1900" w:space="720"/>
            <w:col w:w="3880" w:space="720"/>
            <w:col w:w="1799"/>
          </w:cols>
          <w:pgMar w:left="1440" w:top="240"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30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(2) JURISDICTION</w:t>
            </w:r>
          </w:p>
        </w:tc>
        <w:tc>
          <w:tcPr>
            <w:tcW w:w="3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DATE OF ORGANIZATION</w:t>
            </w:r>
          </w:p>
        </w:tc>
      </w:tr>
      <w:tr>
        <w:trPr>
          <w:trHeight w:val="341"/>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VMW Holdco LLC</w:t>
            </w:r>
          </w:p>
        </w:tc>
        <w:tc>
          <w:tcPr>
            <w:tcW w:w="30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Delaware</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February 23, 2017</w:t>
            </w:r>
          </w:p>
        </w:tc>
      </w:tr>
      <w:tr>
        <w:trPr>
          <w:trHeight w:val="320"/>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30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Massachusetts</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August 23, 1979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209550</wp:posOffset>
            </wp:positionV>
            <wp:extent cx="551307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00" w:hanging="337"/>
        <w:spacing w:after="0" w:line="161" w:lineRule="exact"/>
        <w:tabs>
          <w:tab w:leader="none" w:pos="50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 not* authorized to conduct business in the Commonwealth.</w:t>
      </w:r>
    </w:p>
    <w:p>
      <w:pPr>
        <w:spacing w:after="0" w:line="232"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Exact name of the surviving entity: EMC Corporation</w:t>
      </w:r>
    </w:p>
    <w:p>
      <w:pPr>
        <w:spacing w:after="0" w:line="200"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Jurisdiction under the laws of which the surviving entity will be organized: Massachusetts</w:t>
      </w:r>
    </w:p>
    <w:p>
      <w:pPr>
        <w:spacing w:after="0" w:line="200" w:lineRule="exact"/>
        <w:rPr>
          <w:rFonts w:ascii="Times New Roman" w:cs="Times New Roman" w:eastAsia="Times New Roman" w:hAnsi="Times New Roman"/>
          <w:sz w:val="14"/>
          <w:szCs w:val="14"/>
          <w:color w:val="auto"/>
        </w:rPr>
      </w:pPr>
    </w:p>
    <w:p>
      <w:pPr>
        <w:ind w:left="500" w:right="419" w:hanging="337"/>
        <w:spacing w:after="0" w:line="288" w:lineRule="auto"/>
        <w:tabs>
          <w:tab w:leader="none" w:pos="50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 and time of filing is specified: January 26, 2022 at 11:59 p.m. EST</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203" w:lineRule="exact"/>
        <w:rPr>
          <w:sz w:val="20"/>
          <w:szCs w:val="20"/>
          <w:color w:val="auto"/>
        </w:rPr>
      </w:pPr>
    </w:p>
    <w:p>
      <w:pPr>
        <w:ind w:left="920" w:right="659" w:hanging="416"/>
        <w:spacing w:after="0" w:line="288" w:lineRule="auto"/>
        <w:tabs>
          <w:tab w:leader="none" w:pos="920" w:val="left"/>
        </w:tabs>
        <w:numPr>
          <w:ilvl w:val="0"/>
          <w:numId w:val="27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OR</w:t>
      </w:r>
    </w:p>
    <w:p>
      <w:pPr>
        <w:spacing w:after="0" w:line="170" w:lineRule="exact"/>
        <w:rPr>
          <w:sz w:val="20"/>
          <w:szCs w:val="20"/>
          <w:color w:val="auto"/>
        </w:rPr>
      </w:pPr>
    </w:p>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The plan of merger did not require the approval of the shareholders.</w:t>
      </w:r>
    </w:p>
    <w:p>
      <w:pPr>
        <w:spacing w:after="0" w:line="232" w:lineRule="exact"/>
        <w:rPr>
          <w:sz w:val="20"/>
          <w:szCs w:val="20"/>
          <w:color w:val="auto"/>
        </w:rPr>
      </w:pPr>
    </w:p>
    <w:p>
      <w:pPr>
        <w:ind w:left="500" w:right="199" w:hanging="337"/>
        <w:spacing w:after="0" w:line="288" w:lineRule="auto"/>
        <w:tabs>
          <w:tab w:leader="none" w:pos="50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44" w:lineRule="exact"/>
        <w:rPr>
          <w:sz w:val="20"/>
          <w:szCs w:val="20"/>
          <w:color w:val="auto"/>
        </w:rPr>
      </w:pPr>
    </w:p>
    <w:p>
      <w:pPr>
        <w:ind w:left="500" w:hanging="337"/>
        <w:spacing w:after="0"/>
        <w:tabs>
          <w:tab w:leader="none" w:pos="500" w:val="left"/>
        </w:tabs>
        <w:numPr>
          <w:ilvl w:val="0"/>
          <w:numId w:val="2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ind w:left="500" w:hanging="337"/>
        <w:spacing w:after="0"/>
        <w:tabs>
          <w:tab w:leader="none" w:pos="500" w:val="left"/>
        </w:tabs>
        <w:numPr>
          <w:ilvl w:val="0"/>
          <w:numId w:val="27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Provide this information for each domestic corporation separately</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-4445</wp:posOffset>
            </wp:positionV>
            <wp:extent cx="45021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450215" cy="6985"/>
                    </a:xfrm>
                    <a:prstGeom prst="rect">
                      <a:avLst/>
                    </a:prstGeom>
                    <a:noFill/>
                  </pic:spPr>
                </pic:pic>
              </a:graphicData>
            </a:graphic>
          </wp:anchor>
        </w:drawing>
        <w:drawing>
          <wp:anchor simplePos="0" relativeHeight="251657728" behindDoc="1" locked="0" layoutInCell="0" allowOverlap="1">
            <wp:simplePos x="0" y="0"/>
            <wp:positionH relativeFrom="column">
              <wp:posOffset>4940935</wp:posOffset>
            </wp:positionH>
            <wp:positionV relativeFrom="paragraph">
              <wp:posOffset>1905</wp:posOffset>
            </wp:positionV>
            <wp:extent cx="675640" cy="1282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675640" cy="12827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P.C.</w:t>
      </w:r>
    </w:p>
    <w:p>
      <w:pPr>
        <w:sectPr>
          <w:pgSz w:w="11900" w:h="16838" w:orient="portrait"/>
          <w:cols w:equalWidth="0" w:num="1">
            <w:col w:w="9019"/>
          </w:cols>
          <w:pgMar w:left="1440" w:top="240" w:right="1440" w:bottom="1440" w:gutter="0" w:footer="0" w:header="0"/>
          <w:type w:val="continuous"/>
        </w:sectPr>
      </w:pPr>
    </w:p>
    <w:bookmarkStart w:id="150" w:name="page151"/>
    <w:bookmarkEnd w:id="150"/>
    <w:p>
      <w:pPr>
        <w:ind w:left="500" w:hanging="337"/>
        <w:spacing w:after="0"/>
        <w:tabs>
          <w:tab w:leader="none" w:pos="50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105" w:lineRule="exact"/>
        <w:rPr>
          <w:rFonts w:ascii="Times New Roman" w:cs="Times New Roman" w:eastAsia="Times New Roman" w:hAnsi="Times New Roman"/>
          <w:sz w:val="14"/>
          <w:szCs w:val="14"/>
          <w:color w:val="auto"/>
        </w:rPr>
      </w:pPr>
    </w:p>
    <w:p>
      <w:pPr>
        <w:ind w:left="500" w:right="839" w:hanging="337"/>
        <w:spacing w:after="0" w:line="288" w:lineRule="auto"/>
        <w:tabs>
          <w:tab w:leader="none" w:pos="50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49"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foreign jurisdiction: N/A - survivor is MA entity 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-13335</wp:posOffset>
            </wp:positionV>
            <wp:extent cx="408241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4082415" cy="698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ectPr>
          <w:pgSz w:w="11900" w:h="16838" w:orient="portrait"/>
          <w:cols w:equalWidth="0" w:num="1">
            <w:col w:w="9019"/>
          </w:cols>
          <w:pgMar w:left="1440" w:top="242" w:right="1440" w:bottom="1440" w:gutter="0" w:footer="0" w:header="0"/>
        </w:sectPr>
      </w:pPr>
    </w:p>
    <w:bookmarkStart w:id="151" w:name="page152"/>
    <w:bookmarkEnd w:id="151"/>
    <w:p>
      <w:pPr>
        <w:ind w:left="160"/>
        <w:spacing w:after="0"/>
        <w:tabs>
          <w:tab w:leader="none" w:pos="878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Signed by:</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-92075</wp:posOffset>
            </wp:positionV>
            <wp:extent cx="898525" cy="2901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898525" cy="290195"/>
                    </a:xfrm>
                    <a:prstGeom prst="rect">
                      <a:avLst/>
                    </a:prstGeom>
                    <a:noFill/>
                  </pic:spPr>
                </pic:pic>
              </a:graphicData>
            </a:graphic>
          </wp:anchor>
        </w:drawing>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 xml:space="preserv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15240</wp:posOffset>
            </wp:positionV>
            <wp:extent cx="4945380"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4945380" cy="6985"/>
                    </a:xfrm>
                    <a:prstGeom prst="rect">
                      <a:avLst/>
                    </a:prstGeom>
                    <a:noFill/>
                  </pic:spPr>
                </pic:pic>
              </a:graphicData>
            </a:graphic>
          </wp:anchor>
        </w:drawing>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3" w:lineRule="exact"/>
        <w:rPr>
          <w:sz w:val="20"/>
          <w:szCs w:val="20"/>
          <w:color w:val="auto"/>
        </w:rPr>
      </w:pPr>
    </w:p>
    <w:p>
      <w:pPr>
        <w:ind w:left="920" w:hanging="416"/>
        <w:spacing w:after="0"/>
        <w:tabs>
          <w:tab w:leader="none" w:pos="920" w:val="left"/>
        </w:tabs>
        <w:numPr>
          <w:ilvl w:val="0"/>
          <w:numId w:val="27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920" w:hanging="416"/>
        <w:spacing w:after="0"/>
        <w:tabs>
          <w:tab w:leader="none" w:pos="920" w:val="left"/>
        </w:tabs>
        <w:numPr>
          <w:ilvl w:val="0"/>
          <w:numId w:val="27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920" w:hanging="416"/>
        <w:spacing w:after="0"/>
        <w:tabs>
          <w:tab w:leader="none" w:pos="920" w:val="left"/>
        </w:tabs>
        <w:numPr>
          <w:ilvl w:val="0"/>
          <w:numId w:val="27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ind w:left="920" w:hanging="416"/>
        <w:spacing w:after="0"/>
        <w:tabs>
          <w:tab w:leader="none" w:pos="920" w:val="left"/>
        </w:tabs>
        <w:numPr>
          <w:ilvl w:val="0"/>
          <w:numId w:val="27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79" w:lineRule="exact"/>
        <w:rPr>
          <w:rFonts w:ascii="MS PGothic" w:cs="MS PGothic" w:eastAsia="MS PGothic" w:hAnsi="MS PGothic"/>
          <w:sz w:val="14"/>
          <w:szCs w:val="14"/>
          <w:color w:val="auto"/>
        </w:rPr>
      </w:pPr>
    </w:p>
    <w:p>
      <w:pPr>
        <w:ind w:left="1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on this 24th day of January, 2022.</w:t>
      </w:r>
    </w:p>
    <w:p>
      <w:pPr>
        <w:spacing w:after="0" w:line="201" w:lineRule="exact"/>
        <w:rPr>
          <w:sz w:val="20"/>
          <w:szCs w:val="20"/>
          <w:color w:val="auto"/>
        </w:rPr>
      </w:pPr>
    </w:p>
    <w:p>
      <w:pPr>
        <w:ind w:left="160"/>
        <w:spacing w:after="0"/>
        <w:tabs>
          <w:tab w:leader="none" w:pos="8780" w:val="left"/>
        </w:tabs>
        <w:rPr>
          <w:sz w:val="20"/>
          <w:szCs w:val="20"/>
          <w:color w:val="auto"/>
        </w:rPr>
      </w:pPr>
      <w:r>
        <w:rPr>
          <w:rFonts w:ascii="Times New Roman" w:cs="Times New Roman" w:eastAsia="Times New Roman" w:hAnsi="Times New Roman"/>
          <w:sz w:val="14"/>
          <w:szCs w:val="14"/>
          <w:color w:val="auto"/>
        </w:rPr>
        <w:t>Signed by:</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-92075</wp:posOffset>
            </wp:positionV>
            <wp:extent cx="898525" cy="2901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898525" cy="290195"/>
                    </a:xfrm>
                    <a:prstGeom prst="rect">
                      <a:avLst/>
                    </a:prstGeom>
                    <a:noFill/>
                  </pic:spPr>
                </pic:pic>
              </a:graphicData>
            </a:graphic>
          </wp:anchor>
        </w:drawing>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 xml:space="preserv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15240</wp:posOffset>
            </wp:positionV>
            <wp:extent cx="4945380"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4945380" cy="6985"/>
                    </a:xfrm>
                    <a:prstGeom prst="rect">
                      <a:avLst/>
                    </a:prstGeom>
                    <a:noFill/>
                  </pic:spPr>
                </pic:pic>
              </a:graphicData>
            </a:graphic>
          </wp:anchor>
        </w:drawing>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3" w:lineRule="exact"/>
        <w:rPr>
          <w:sz w:val="20"/>
          <w:szCs w:val="20"/>
          <w:color w:val="auto"/>
        </w:rPr>
      </w:pPr>
    </w:p>
    <w:p>
      <w:pPr>
        <w:ind w:left="920" w:hanging="416"/>
        <w:spacing w:after="0"/>
        <w:tabs>
          <w:tab w:leader="none" w:pos="920" w:val="left"/>
        </w:tabs>
        <w:numPr>
          <w:ilvl w:val="0"/>
          <w:numId w:val="27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920" w:hanging="416"/>
        <w:spacing w:after="0"/>
        <w:tabs>
          <w:tab w:leader="none" w:pos="920" w:val="left"/>
        </w:tabs>
        <w:numPr>
          <w:ilvl w:val="0"/>
          <w:numId w:val="27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920" w:hanging="416"/>
        <w:spacing w:after="0"/>
        <w:tabs>
          <w:tab w:leader="none" w:pos="920" w:val="left"/>
        </w:tabs>
        <w:numPr>
          <w:ilvl w:val="0"/>
          <w:numId w:val="28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ind w:left="920" w:hanging="416"/>
        <w:spacing w:after="0"/>
        <w:tabs>
          <w:tab w:leader="none" w:pos="920" w:val="left"/>
        </w:tabs>
        <w:numPr>
          <w:ilvl w:val="0"/>
          <w:numId w:val="28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79" w:lineRule="exact"/>
        <w:rPr>
          <w:rFonts w:ascii="MS PGothic" w:cs="MS PGothic" w:eastAsia="MS PGothic" w:hAnsi="MS PGothic"/>
          <w:sz w:val="14"/>
          <w:szCs w:val="14"/>
          <w:color w:val="auto"/>
        </w:rPr>
      </w:pPr>
    </w:p>
    <w:p>
      <w:pPr>
        <w:ind w:left="1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on this 24th day of January, 2022.</w:t>
      </w:r>
    </w:p>
    <w:p>
      <w:pPr>
        <w:sectPr>
          <w:pgSz w:w="11900" w:h="16838" w:orient="portrait"/>
          <w:cols w:equalWidth="0" w:num="1">
            <w:col w:w="9019"/>
          </w:cols>
          <w:pgMar w:left="1440" w:top="242" w:right="1440"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9" w:lineRule="exact"/>
        <w:rPr>
          <w:sz w:val="20"/>
          <w:szCs w:val="20"/>
          <w:color w:val="auto"/>
        </w:rPr>
      </w:pPr>
    </w:p>
    <w:p>
      <w:pPr>
        <w:jc w:val="center"/>
        <w:ind w:left="180" w:right="179"/>
        <w:spacing w:after="0" w:line="281"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January 25, 2022 11:28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136525</wp:posOffset>
            </wp:positionV>
            <wp:extent cx="2283460" cy="641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2283460" cy="64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137795</wp:posOffset>
            </wp:positionV>
            <wp:extent cx="1337945" cy="9594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1337945" cy="95948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53" w:name="page154"/>
    <w:bookmarkEnd w:id="153"/>
    <w:p>
      <w:pPr>
        <w:ind w:left="160"/>
        <w:spacing w:after="0"/>
        <w:rPr>
          <w:sz w:val="20"/>
          <w:szCs w:val="20"/>
          <w:color w:val="auto"/>
        </w:rPr>
      </w:pPr>
      <w:r>
        <w:rPr>
          <w:rFonts w:ascii="Times New Roman" w:cs="Times New Roman" w:eastAsia="Times New Roman" w:hAnsi="Times New Roman"/>
          <w:sz w:val="14"/>
          <w:szCs w:val="14"/>
          <w:b w:val="1"/>
          <w:bCs w:val="1"/>
          <w:color w:val="auto"/>
        </w:rPr>
        <w:t>DF</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PC</w:t>
      </w:r>
    </w:p>
    <w:p>
      <w:pPr>
        <w:spacing w:after="0" w:line="20" w:lineRule="exact"/>
        <w:rPr>
          <w:sz w:val="20"/>
          <w:szCs w:val="20"/>
          <w:color w:val="auto"/>
        </w:rPr>
      </w:pPr>
      <w:r>
        <w:rPr>
          <w:sz w:val="20"/>
          <w:szCs w:val="20"/>
          <w:color w:val="auto"/>
        </w:rPr>
        <w:br w:type="column"/>
      </w: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-165100</wp:posOffset>
            </wp:positionV>
            <wp:extent cx="7200265" cy="330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5"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95" w:lineRule="exact"/>
        <w:rPr>
          <w:sz w:val="20"/>
          <w:szCs w:val="20"/>
          <w:color w:val="auto"/>
        </w:rPr>
      </w:pPr>
    </w:p>
    <w:p>
      <w:pPr>
        <w:sectPr>
          <w:pgSz w:w="11900" w:h="16838" w:orient="portrait"/>
          <w:cols w:equalWidth="0" w:num="2">
            <w:col w:w="2160" w:space="720"/>
            <w:col w:w="6139"/>
          </w:cols>
          <w:pgMar w:left="1440" w:top="240" w:right="1440" w:bottom="1440" w:gutter="0" w:footer="0" w:header="0"/>
        </w:sectPr>
      </w:pPr>
    </w:p>
    <w:p>
      <w:pPr>
        <w:ind w:left="160"/>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Times New Roman" w:cs="Times New Roman" w:eastAsia="Times New Roman" w:hAnsi="Times New Roman"/>
          <w:sz w:val="14"/>
          <w:szCs w:val="14"/>
          <w:b w:val="1"/>
          <w:bCs w:val="1"/>
          <w:color w:val="auto"/>
        </w:rPr>
        <w:t>Articles of Merger</w:t>
      </w:r>
    </w:p>
    <w:p>
      <w:pPr>
        <w:spacing w:after="0" w:line="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Involving Domestic Corporations,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702" w:lineRule="exact"/>
        <w:rPr>
          <w:sz w:val="20"/>
          <w:szCs w:val="20"/>
          <w:color w:val="auto"/>
        </w:rPr>
      </w:pPr>
    </w:p>
    <w:p>
      <w:pPr>
        <w:sectPr>
          <w:pgSz w:w="11900" w:h="16838" w:orient="portrait"/>
          <w:cols w:equalWidth="0" w:num="3">
            <w:col w:w="1900" w:space="720"/>
            <w:col w:w="3880" w:space="720"/>
            <w:col w:w="1799"/>
          </w:cols>
          <w:pgMar w:left="1440" w:top="240"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30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(2) JURISDICTION</w:t>
            </w:r>
          </w:p>
        </w:tc>
        <w:tc>
          <w:tcPr>
            <w:tcW w:w="3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DATE OF ORGANIZATION</w:t>
            </w:r>
          </w:p>
        </w:tc>
      </w:tr>
      <w:tr>
        <w:trPr>
          <w:trHeight w:val="341"/>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30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Massachusetts</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August 23, 1979</w:t>
            </w:r>
          </w:p>
        </w:tc>
      </w:tr>
      <w:tr>
        <w:trPr>
          <w:trHeight w:val="320"/>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Moogsoft Inc.</w:t>
            </w:r>
          </w:p>
        </w:tc>
        <w:tc>
          <w:tcPr>
            <w:tcW w:w="30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Delaware</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December 27,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209550</wp:posOffset>
            </wp:positionV>
            <wp:extent cx="5513070"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00" w:hanging="337"/>
        <w:spacing w:after="0" w:line="161" w:lineRule="exact"/>
        <w:tabs>
          <w:tab w:leader="none" w:pos="50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is not* authorized to conduct business in the Commonwealth.</w:t>
      </w:r>
    </w:p>
    <w:p>
      <w:pPr>
        <w:spacing w:after="0" w:line="232" w:lineRule="exact"/>
        <w:rPr>
          <w:sz w:val="20"/>
          <w:szCs w:val="20"/>
          <w:color w:val="auto"/>
        </w:rPr>
      </w:pPr>
    </w:p>
    <w:p>
      <w:pPr>
        <w:ind w:left="160"/>
        <w:spacing w:after="0"/>
        <w:tabs>
          <w:tab w:leader="none" w:pos="480" w:val="left"/>
        </w:tabs>
        <w:rPr>
          <w:sz w:val="20"/>
          <w:szCs w:val="20"/>
          <w:color w:val="auto"/>
        </w:rPr>
      </w:pPr>
      <w:r>
        <w:rPr>
          <w:rFonts w:ascii="Times New Roman" w:cs="Times New Roman" w:eastAsia="Times New Roman" w:hAnsi="Times New Roman"/>
          <w:sz w:val="14"/>
          <w:szCs w:val="14"/>
          <w:color w:val="auto"/>
        </w:rPr>
        <w:t>(4)</w:t>
        <w:tab/>
        <w:t xml:space="preserve">Exact name of the surviving entity: EMC Corporation                                           </w:t>
      </w:r>
    </w:p>
    <w:p>
      <w:pPr>
        <w:spacing w:after="0" w:line="201" w:lineRule="exact"/>
        <w:rPr>
          <w:sz w:val="20"/>
          <w:szCs w:val="20"/>
          <w:color w:val="auto"/>
        </w:rPr>
      </w:pPr>
    </w:p>
    <w:p>
      <w:pPr>
        <w:ind w:left="160"/>
        <w:spacing w:after="0"/>
        <w:tabs>
          <w:tab w:leader="none" w:pos="480" w:val="left"/>
        </w:tabs>
        <w:rPr>
          <w:sz w:val="20"/>
          <w:szCs w:val="20"/>
          <w:color w:val="auto"/>
        </w:rPr>
      </w:pPr>
      <w:r>
        <w:rPr>
          <w:rFonts w:ascii="Times New Roman" w:cs="Times New Roman" w:eastAsia="Times New Roman" w:hAnsi="Times New Roman"/>
          <w:sz w:val="14"/>
          <w:szCs w:val="14"/>
          <w:color w:val="auto"/>
        </w:rPr>
        <w:t>(5)</w:t>
        <w:tab/>
        <w:t xml:space="preserve">Jurisdiction under the laws of which the surviving entity will be organized: Massachusetts                            </w:t>
      </w:r>
    </w:p>
    <w:p>
      <w:pPr>
        <w:spacing w:after="0" w:line="201" w:lineRule="exact"/>
        <w:rPr>
          <w:sz w:val="20"/>
          <w:szCs w:val="20"/>
          <w:color w:val="auto"/>
        </w:rPr>
      </w:pPr>
    </w:p>
    <w:p>
      <w:pPr>
        <w:ind w:left="500" w:hanging="337"/>
        <w:spacing w:after="0"/>
        <w:tabs>
          <w:tab w:leader="none" w:pos="50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date and time of filing is specified: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-13335</wp:posOffset>
            </wp:positionV>
            <wp:extent cx="3962400"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3962400" cy="6985"/>
                    </a:xfrm>
                    <a:prstGeom prst="rect">
                      <a:avLst/>
                    </a:prstGeom>
                    <a:noFill/>
                  </pic:spPr>
                </pic:pic>
              </a:graphicData>
            </a:graphic>
          </wp:anchor>
        </w:drawing>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203" w:lineRule="exact"/>
        <w:rPr>
          <w:sz w:val="20"/>
          <w:szCs w:val="20"/>
          <w:color w:val="auto"/>
        </w:rPr>
      </w:pPr>
    </w:p>
    <w:p>
      <w:pPr>
        <w:ind w:left="920" w:right="659" w:hanging="416"/>
        <w:spacing w:after="0" w:line="288" w:lineRule="auto"/>
        <w:tabs>
          <w:tab w:leader="none" w:pos="920" w:val="left"/>
        </w:tabs>
        <w:numPr>
          <w:ilvl w:val="0"/>
          <w:numId w:val="28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OR</w:t>
      </w:r>
    </w:p>
    <w:p>
      <w:pPr>
        <w:spacing w:after="0" w:line="170" w:lineRule="exact"/>
        <w:rPr>
          <w:sz w:val="20"/>
          <w:szCs w:val="20"/>
          <w:color w:val="auto"/>
        </w:rPr>
      </w:pPr>
    </w:p>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The plan of merger did not require the approval of the shareholders.</w:t>
      </w:r>
    </w:p>
    <w:p>
      <w:pPr>
        <w:spacing w:after="0" w:line="232" w:lineRule="exact"/>
        <w:rPr>
          <w:sz w:val="20"/>
          <w:szCs w:val="20"/>
          <w:color w:val="auto"/>
        </w:rPr>
      </w:pPr>
    </w:p>
    <w:p>
      <w:pPr>
        <w:ind w:left="500" w:right="199" w:hanging="337"/>
        <w:spacing w:after="0" w:line="288" w:lineRule="auto"/>
        <w:tabs>
          <w:tab w:leader="none" w:pos="50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44" w:lineRule="exact"/>
        <w:rPr>
          <w:sz w:val="20"/>
          <w:szCs w:val="20"/>
          <w:color w:val="auto"/>
        </w:rPr>
      </w:pPr>
    </w:p>
    <w:p>
      <w:pPr>
        <w:ind w:left="500" w:hanging="337"/>
        <w:spacing w:after="0"/>
        <w:tabs>
          <w:tab w:leader="none" w:pos="500" w:val="left"/>
        </w:tabs>
        <w:numPr>
          <w:ilvl w:val="0"/>
          <w:numId w:val="28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ind w:left="500" w:hanging="337"/>
        <w:spacing w:after="0"/>
        <w:tabs>
          <w:tab w:leader="none" w:pos="500" w:val="left"/>
        </w:tabs>
        <w:numPr>
          <w:ilvl w:val="0"/>
          <w:numId w:val="28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Provide this information for each domestic corporation separately</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-4445</wp:posOffset>
            </wp:positionV>
            <wp:extent cx="269875"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269875" cy="698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-94615</wp:posOffset>
            </wp:positionV>
            <wp:extent cx="588010" cy="1079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588010" cy="10795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type w:val="continuous"/>
        </w:sectPr>
      </w:pPr>
    </w:p>
    <w:bookmarkStart w:id="154" w:name="page155"/>
    <w:bookmarkEnd w:id="154"/>
    <w:p>
      <w:pPr>
        <w:ind w:left="500" w:hanging="337"/>
        <w:spacing w:after="0"/>
        <w:tabs>
          <w:tab w:leader="none" w:pos="50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500" w:right="839" w:hanging="337"/>
        <w:spacing w:after="0" w:line="288" w:lineRule="auto"/>
        <w:tabs>
          <w:tab w:leader="none" w:pos="50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4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w:t>
      </w:r>
    </w:p>
    <w:p>
      <w:pPr>
        <w:spacing w:after="0" w:line="23" w:lineRule="exact"/>
        <w:rPr>
          <w:sz w:val="20"/>
          <w:szCs w:val="20"/>
          <w:color w:val="auto"/>
        </w:rPr>
      </w:pPr>
    </w:p>
    <w:p>
      <w:pPr>
        <w:ind w:left="3380" w:right="1159" w:hanging="2871"/>
        <w:spacing w:after="0" w:line="253" w:lineRule="auto"/>
        <w:rPr>
          <w:sz w:val="20"/>
          <w:szCs w:val="20"/>
          <w:color w:val="auto"/>
        </w:rPr>
      </w:pPr>
      <w:r>
        <w:rPr>
          <w:rFonts w:ascii="Times New Roman" w:cs="Times New Roman" w:eastAsia="Times New Roman" w:hAnsi="Times New Roman"/>
          <w:sz w:val="14"/>
          <w:szCs w:val="14"/>
          <w:color w:val="auto"/>
        </w:rPr>
        <w:t xml:space="preserve">jurisdiction:                                                                                                 </w:t>
      </w: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4074795"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4074795" cy="698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55" w:name="page156"/>
    <w:bookmarkEnd w:id="155"/>
    <w:p>
      <w:pPr>
        <w:ind w:left="160"/>
        <w:spacing w:after="0"/>
        <w:tabs>
          <w:tab w:leader="none" w:pos="900" w:val="left"/>
          <w:tab w:leader="none" w:pos="878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Signed by:</w:t>
        <w:tab/>
        <w:t>/s/ Christopher Garcia</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15240</wp:posOffset>
            </wp:positionV>
            <wp:extent cx="4945380"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4945380" cy="6985"/>
                    </a:xfrm>
                    <a:prstGeom prst="rect">
                      <a:avLst/>
                    </a:prstGeom>
                    <a:noFill/>
                  </pic:spPr>
                </pic:pic>
              </a:graphicData>
            </a:graphic>
          </wp:anchor>
        </w:drawing>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3" w:lineRule="exact"/>
        <w:rPr>
          <w:sz w:val="20"/>
          <w:szCs w:val="20"/>
          <w:color w:val="auto"/>
        </w:rPr>
      </w:pPr>
    </w:p>
    <w:p>
      <w:pPr>
        <w:ind w:left="760" w:hanging="256"/>
        <w:spacing w:after="0"/>
        <w:tabs>
          <w:tab w:leader="none" w:pos="760" w:val="left"/>
        </w:tabs>
        <w:numPr>
          <w:ilvl w:val="0"/>
          <w:numId w:val="28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760" w:hanging="256"/>
        <w:spacing w:after="0"/>
        <w:tabs>
          <w:tab w:leader="none" w:pos="760" w:val="left"/>
        </w:tabs>
        <w:numPr>
          <w:ilvl w:val="0"/>
          <w:numId w:val="28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760" w:hanging="256"/>
        <w:spacing w:after="0"/>
        <w:tabs>
          <w:tab w:leader="none" w:pos="760" w:val="left"/>
        </w:tabs>
        <w:numPr>
          <w:ilvl w:val="0"/>
          <w:numId w:val="29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ind w:left="160" w:right="6759" w:firstLine="344"/>
        <w:spacing w:after="0" w:line="523" w:lineRule="auto"/>
        <w:tabs>
          <w:tab w:leader="none" w:pos="756" w:val="left"/>
        </w:tabs>
        <w:numPr>
          <w:ilvl w:val="0"/>
          <w:numId w:val="29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 on this 11th day of August, 2023.</w:t>
      </w:r>
    </w:p>
    <w:p>
      <w:pPr>
        <w:spacing w:after="0" w:line="1" w:lineRule="exact"/>
        <w:rPr>
          <w:sz w:val="20"/>
          <w:szCs w:val="20"/>
          <w:color w:val="auto"/>
        </w:rPr>
      </w:pPr>
    </w:p>
    <w:p>
      <w:pPr>
        <w:ind w:left="160"/>
        <w:spacing w:after="0"/>
        <w:tabs>
          <w:tab w:leader="none" w:pos="900" w:val="left"/>
          <w:tab w:leader="none" w:pos="8780" w:val="left"/>
        </w:tabs>
        <w:rPr>
          <w:sz w:val="20"/>
          <w:szCs w:val="20"/>
          <w:color w:val="auto"/>
        </w:rPr>
      </w:pPr>
      <w:r>
        <w:rPr>
          <w:rFonts w:ascii="Times New Roman" w:cs="Times New Roman" w:eastAsia="Times New Roman" w:hAnsi="Times New Roman"/>
          <w:sz w:val="14"/>
          <w:szCs w:val="14"/>
          <w:color w:val="auto"/>
        </w:rPr>
        <w:t>Signed by:</w:t>
        <w:tab/>
        <w:t>/s/ Christopher Garcia</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15240</wp:posOffset>
            </wp:positionV>
            <wp:extent cx="4945380"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4945380" cy="6985"/>
                    </a:xfrm>
                    <a:prstGeom prst="rect">
                      <a:avLst/>
                    </a:prstGeom>
                    <a:noFill/>
                  </pic:spPr>
                </pic:pic>
              </a:graphicData>
            </a:graphic>
          </wp:anchor>
        </w:drawing>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3" w:lineRule="exact"/>
        <w:rPr>
          <w:sz w:val="20"/>
          <w:szCs w:val="20"/>
          <w:color w:val="auto"/>
        </w:rPr>
      </w:pPr>
    </w:p>
    <w:p>
      <w:pPr>
        <w:ind w:left="760" w:hanging="256"/>
        <w:spacing w:after="0"/>
        <w:tabs>
          <w:tab w:leader="none" w:pos="760" w:val="left"/>
        </w:tabs>
        <w:numPr>
          <w:ilvl w:val="0"/>
          <w:numId w:val="29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760" w:hanging="256"/>
        <w:spacing w:after="0"/>
        <w:tabs>
          <w:tab w:leader="none" w:pos="760" w:val="left"/>
        </w:tabs>
        <w:numPr>
          <w:ilvl w:val="0"/>
          <w:numId w:val="29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760" w:hanging="256"/>
        <w:spacing w:after="0"/>
        <w:tabs>
          <w:tab w:leader="none" w:pos="760" w:val="left"/>
        </w:tabs>
        <w:numPr>
          <w:ilvl w:val="0"/>
          <w:numId w:val="29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ind w:left="160" w:right="6759" w:firstLine="344"/>
        <w:spacing w:after="0" w:line="542" w:lineRule="auto"/>
        <w:tabs>
          <w:tab w:leader="none" w:pos="756" w:val="left"/>
        </w:tabs>
        <w:numPr>
          <w:ilvl w:val="0"/>
          <w:numId w:val="29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 on this 11th day of August, 2023.</w:t>
      </w:r>
    </w:p>
    <w:p>
      <w:pPr>
        <w:sectPr>
          <w:pgSz w:w="11900" w:h="16838" w:orient="portrait"/>
          <w:cols w:equalWidth="0" w:num="1">
            <w:col w:w="9019"/>
          </w:cols>
          <w:pgMar w:left="1440" w:top="242" w:right="1440"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9" w:lineRule="exact"/>
        <w:rPr>
          <w:sz w:val="20"/>
          <w:szCs w:val="20"/>
          <w:color w:val="auto"/>
        </w:rPr>
      </w:pPr>
    </w:p>
    <w:p>
      <w:pPr>
        <w:jc w:val="center"/>
        <w:ind w:left="180" w:right="179"/>
        <w:spacing w:after="0" w:line="281"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August 11, 2023 10:49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136525</wp:posOffset>
            </wp:positionV>
            <wp:extent cx="2283460" cy="641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2283460" cy="64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137795</wp:posOffset>
            </wp:positionV>
            <wp:extent cx="1337945" cy="9594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1337945" cy="95948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57" w:name="page158"/>
    <w:bookmarkEnd w:id="157"/>
    <w:p>
      <w:pPr>
        <w:ind w:left="160"/>
        <w:spacing w:after="0"/>
        <w:rPr>
          <w:sz w:val="20"/>
          <w:szCs w:val="20"/>
          <w:color w:val="auto"/>
        </w:rPr>
      </w:pPr>
      <w:r>
        <w:rPr>
          <w:rFonts w:ascii="Times New Roman" w:cs="Times New Roman" w:eastAsia="Times New Roman" w:hAnsi="Times New Roman"/>
          <w:sz w:val="14"/>
          <w:szCs w:val="14"/>
          <w:b w:val="1"/>
          <w:bCs w:val="1"/>
          <w:color w:val="auto"/>
        </w:rPr>
        <w:t>DF</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PC</w:t>
      </w:r>
    </w:p>
    <w:p>
      <w:pPr>
        <w:spacing w:after="0" w:line="20" w:lineRule="exact"/>
        <w:rPr>
          <w:sz w:val="20"/>
          <w:szCs w:val="20"/>
          <w:color w:val="auto"/>
        </w:rPr>
      </w:pPr>
      <w:r>
        <w:rPr>
          <w:sz w:val="20"/>
          <w:szCs w:val="20"/>
          <w:color w:val="auto"/>
        </w:rPr>
        <w:br w:type="column"/>
      </w: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-226060</wp:posOffset>
            </wp:positionV>
            <wp:extent cx="7200265" cy="330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5"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95" w:lineRule="exact"/>
        <w:rPr>
          <w:sz w:val="20"/>
          <w:szCs w:val="20"/>
          <w:color w:val="auto"/>
        </w:rPr>
      </w:pPr>
    </w:p>
    <w:p>
      <w:pPr>
        <w:sectPr>
          <w:pgSz w:w="11900" w:h="16838" w:orient="portrait"/>
          <w:cols w:equalWidth="0" w:num="2">
            <w:col w:w="2160" w:space="720"/>
            <w:col w:w="6139"/>
          </w:cols>
          <w:pgMar w:left="1440" w:top="336" w:right="1440" w:bottom="1440" w:gutter="0" w:footer="0" w:header="0"/>
        </w:sectPr>
      </w:pPr>
    </w:p>
    <w:p>
      <w:pPr>
        <w:ind w:left="160"/>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Times New Roman" w:cs="Times New Roman" w:eastAsia="Times New Roman" w:hAnsi="Times New Roman"/>
          <w:sz w:val="14"/>
          <w:szCs w:val="14"/>
          <w:b w:val="1"/>
          <w:bCs w:val="1"/>
          <w:color w:val="auto"/>
        </w:rPr>
        <w:t>Articles of Merger</w:t>
      </w:r>
    </w:p>
    <w:p>
      <w:pPr>
        <w:spacing w:after="0" w:line="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Involving Domestic Corporations,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702" w:lineRule="exact"/>
        <w:rPr>
          <w:sz w:val="20"/>
          <w:szCs w:val="20"/>
          <w:color w:val="auto"/>
        </w:rPr>
      </w:pPr>
    </w:p>
    <w:p>
      <w:pPr>
        <w:sectPr>
          <w:pgSz w:w="11900" w:h="16838" w:orient="portrait"/>
          <w:cols w:equalWidth="0" w:num="3">
            <w:col w:w="1900" w:space="720"/>
            <w:col w:w="3880" w:space="720"/>
            <w:col w:w="1799"/>
          </w:cols>
          <w:pgMar w:left="1440" w:top="336"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27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(2) JURISDICTION</w:t>
            </w:r>
          </w:p>
        </w:tc>
        <w:tc>
          <w:tcPr>
            <w:tcW w:w="3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DATE OF ORGANIZATION</w:t>
            </w:r>
          </w:p>
        </w:tc>
      </w:tr>
      <w:tr>
        <w:trPr>
          <w:trHeight w:val="341"/>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Flanders Road Holdings LLC</w:t>
            </w:r>
          </w:p>
        </w:tc>
        <w:tc>
          <w:tcPr>
            <w:tcW w:w="2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Delaware</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October 30, 2001</w:t>
            </w:r>
          </w:p>
        </w:tc>
      </w:tr>
      <w:tr>
        <w:trPr>
          <w:trHeight w:val="320"/>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2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Massachusetts</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August 23, 1979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209550</wp:posOffset>
            </wp:positionV>
            <wp:extent cx="551307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00" w:hanging="337"/>
        <w:spacing w:after="0" w:line="161" w:lineRule="exact"/>
        <w:tabs>
          <w:tab w:leader="none" w:pos="500"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is not* authorized to conduct business in the Commonwealth.</w:t>
      </w:r>
    </w:p>
    <w:p>
      <w:pPr>
        <w:spacing w:after="0" w:line="232" w:lineRule="exact"/>
        <w:rPr>
          <w:sz w:val="20"/>
          <w:szCs w:val="20"/>
          <w:color w:val="auto"/>
        </w:rPr>
      </w:pPr>
    </w:p>
    <w:p>
      <w:pPr>
        <w:ind w:left="160"/>
        <w:spacing w:after="0"/>
        <w:tabs>
          <w:tab w:leader="none" w:pos="480" w:val="left"/>
        </w:tabs>
        <w:rPr>
          <w:sz w:val="20"/>
          <w:szCs w:val="20"/>
          <w:color w:val="auto"/>
        </w:rPr>
      </w:pPr>
      <w:r>
        <w:rPr>
          <w:rFonts w:ascii="Times New Roman" w:cs="Times New Roman" w:eastAsia="Times New Roman" w:hAnsi="Times New Roman"/>
          <w:sz w:val="14"/>
          <w:szCs w:val="14"/>
          <w:color w:val="auto"/>
        </w:rPr>
        <w:t>(4)</w:t>
        <w:tab/>
        <w:t xml:space="preserve">Exact name of the surviving entity: EMC Corporation                                           </w:t>
      </w:r>
    </w:p>
    <w:p>
      <w:pPr>
        <w:spacing w:after="0" w:line="201" w:lineRule="exact"/>
        <w:rPr>
          <w:sz w:val="20"/>
          <w:szCs w:val="20"/>
          <w:color w:val="auto"/>
        </w:rPr>
      </w:pPr>
    </w:p>
    <w:p>
      <w:pPr>
        <w:ind w:left="160"/>
        <w:spacing w:after="0"/>
        <w:tabs>
          <w:tab w:leader="none" w:pos="480" w:val="left"/>
        </w:tabs>
        <w:rPr>
          <w:sz w:val="20"/>
          <w:szCs w:val="20"/>
          <w:color w:val="auto"/>
        </w:rPr>
      </w:pPr>
      <w:r>
        <w:rPr>
          <w:rFonts w:ascii="Times New Roman" w:cs="Times New Roman" w:eastAsia="Times New Roman" w:hAnsi="Times New Roman"/>
          <w:sz w:val="14"/>
          <w:szCs w:val="14"/>
          <w:color w:val="auto"/>
        </w:rPr>
        <w:t>(5)</w:t>
        <w:tab/>
        <w:t xml:space="preserve">Jurisdiction under the laws of which the surviving entity will be organized: Massachusetts                            </w:t>
      </w:r>
    </w:p>
    <w:p>
      <w:pPr>
        <w:spacing w:after="0" w:line="201" w:lineRule="exact"/>
        <w:rPr>
          <w:sz w:val="20"/>
          <w:szCs w:val="20"/>
          <w:color w:val="auto"/>
        </w:rPr>
      </w:pPr>
    </w:p>
    <w:p>
      <w:pPr>
        <w:ind w:left="500" w:hanging="337"/>
        <w:spacing w:after="0"/>
        <w:tabs>
          <w:tab w:leader="none" w:pos="50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date and time of filing is specified: September 27, 2024 at 11:59 PM ET                                  </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203" w:lineRule="exact"/>
        <w:rPr>
          <w:sz w:val="20"/>
          <w:szCs w:val="20"/>
          <w:color w:val="auto"/>
        </w:rPr>
      </w:pPr>
    </w:p>
    <w:p>
      <w:pPr>
        <w:ind w:left="920" w:right="659" w:hanging="416"/>
        <w:spacing w:after="0" w:line="288" w:lineRule="auto"/>
        <w:tabs>
          <w:tab w:leader="none" w:pos="920" w:val="left"/>
        </w:tabs>
        <w:numPr>
          <w:ilvl w:val="0"/>
          <w:numId w:val="29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OR</w:t>
      </w:r>
    </w:p>
    <w:p>
      <w:pPr>
        <w:spacing w:after="0" w:line="170" w:lineRule="exact"/>
        <w:rPr>
          <w:sz w:val="20"/>
          <w:szCs w:val="20"/>
          <w:color w:val="auto"/>
        </w:rPr>
      </w:pPr>
    </w:p>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The plan of merger did not require the approval of the shareholders.</w:t>
      </w:r>
    </w:p>
    <w:p>
      <w:pPr>
        <w:spacing w:after="0" w:line="232" w:lineRule="exact"/>
        <w:rPr>
          <w:sz w:val="20"/>
          <w:szCs w:val="20"/>
          <w:color w:val="auto"/>
        </w:rPr>
      </w:pPr>
    </w:p>
    <w:p>
      <w:pPr>
        <w:ind w:left="500" w:right="199" w:hanging="337"/>
        <w:spacing w:after="0" w:line="288" w:lineRule="auto"/>
        <w:tabs>
          <w:tab w:leader="none" w:pos="500"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44" w:lineRule="exact"/>
        <w:rPr>
          <w:sz w:val="20"/>
          <w:szCs w:val="20"/>
          <w:color w:val="auto"/>
        </w:rPr>
      </w:pPr>
    </w:p>
    <w:p>
      <w:pPr>
        <w:ind w:left="500" w:hanging="337"/>
        <w:spacing w:after="0"/>
        <w:tabs>
          <w:tab w:leader="none" w:pos="500" w:val="left"/>
        </w:tabs>
        <w:numPr>
          <w:ilvl w:val="0"/>
          <w:numId w:val="29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ind w:left="500" w:hanging="337"/>
        <w:spacing w:after="0"/>
        <w:tabs>
          <w:tab w:leader="none" w:pos="500" w:val="left"/>
        </w:tabs>
        <w:numPr>
          <w:ilvl w:val="0"/>
          <w:numId w:val="30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Provide this information for each domestic corporation separately</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-4445</wp:posOffset>
            </wp:positionV>
            <wp:extent cx="269875"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269875" cy="698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4967605</wp:posOffset>
            </wp:positionH>
            <wp:positionV relativeFrom="paragraph">
              <wp:posOffset>-81280</wp:posOffset>
            </wp:positionV>
            <wp:extent cx="648335" cy="946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648335" cy="94615"/>
                    </a:xfrm>
                    <a:prstGeom prst="rect">
                      <a:avLst/>
                    </a:prstGeom>
                    <a:noFill/>
                  </pic:spPr>
                </pic:pic>
              </a:graphicData>
            </a:graphic>
          </wp:anchor>
        </w:drawing>
      </w:r>
    </w:p>
    <w:p>
      <w:pPr>
        <w:sectPr>
          <w:pgSz w:w="11900" w:h="16838" w:orient="portrait"/>
          <w:cols w:equalWidth="0" w:num="1">
            <w:col w:w="9019"/>
          </w:cols>
          <w:pgMar w:left="1440" w:top="336" w:right="1440" w:bottom="1440" w:gutter="0" w:footer="0" w:header="0"/>
          <w:type w:val="continuous"/>
        </w:sectPr>
      </w:pPr>
    </w:p>
    <w:bookmarkStart w:id="158" w:name="page159"/>
    <w:bookmarkEnd w:id="158"/>
    <w:p>
      <w:pPr>
        <w:ind w:left="500" w:hanging="337"/>
        <w:spacing w:after="0"/>
        <w:tabs>
          <w:tab w:leader="none" w:pos="500"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500" w:right="839" w:hanging="337"/>
        <w:spacing w:after="0" w:line="288" w:lineRule="auto"/>
        <w:tabs>
          <w:tab w:leader="none" w:pos="500"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4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N/A – survivor is MA entity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-13335</wp:posOffset>
            </wp:positionV>
            <wp:extent cx="3882390"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3882390" cy="698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ectPr>
          <w:pgSz w:w="11900" w:h="16838" w:orient="portrait"/>
          <w:cols w:equalWidth="0" w:num="1">
            <w:col w:w="9019"/>
          </w:cols>
          <w:pgMar w:left="1440" w:top="338" w:right="1440" w:bottom="1440" w:gutter="0" w:footer="0" w:header="0"/>
        </w:sectPr>
      </w:pPr>
    </w:p>
    <w:bookmarkStart w:id="159" w:name="page160"/>
    <w:bookmarkEnd w:id="159"/>
    <w:p>
      <w:pPr>
        <w:ind w:left="160"/>
        <w:spacing w:after="0"/>
        <w:tabs>
          <w:tab w:leader="none" w:pos="900" w:val="left"/>
          <w:tab w:leader="none" w:pos="878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Signed by:</w:t>
        <w:tab/>
        <w:t>/s/ Christopher Garcia</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15240</wp:posOffset>
            </wp:positionV>
            <wp:extent cx="494538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4945380" cy="6985"/>
                    </a:xfrm>
                    <a:prstGeom prst="rect">
                      <a:avLst/>
                    </a:prstGeom>
                    <a:noFill/>
                  </pic:spPr>
                </pic:pic>
              </a:graphicData>
            </a:graphic>
          </wp:anchor>
        </w:drawing>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3" w:lineRule="exact"/>
        <w:rPr>
          <w:sz w:val="20"/>
          <w:szCs w:val="20"/>
          <w:color w:val="auto"/>
        </w:rPr>
      </w:pPr>
    </w:p>
    <w:p>
      <w:pPr>
        <w:ind w:left="760" w:hanging="256"/>
        <w:spacing w:after="0"/>
        <w:tabs>
          <w:tab w:leader="none" w:pos="760" w:val="left"/>
        </w:tabs>
        <w:numPr>
          <w:ilvl w:val="0"/>
          <w:numId w:val="30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760" w:hanging="256"/>
        <w:spacing w:after="0"/>
        <w:tabs>
          <w:tab w:leader="none" w:pos="760" w:val="left"/>
        </w:tabs>
        <w:numPr>
          <w:ilvl w:val="0"/>
          <w:numId w:val="30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760" w:hanging="256"/>
        <w:spacing w:after="0"/>
        <w:tabs>
          <w:tab w:leader="none" w:pos="760" w:val="left"/>
        </w:tabs>
        <w:numPr>
          <w:ilvl w:val="0"/>
          <w:numId w:val="30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ind w:left="760" w:hanging="256"/>
        <w:spacing w:after="0"/>
        <w:tabs>
          <w:tab w:leader="none" w:pos="760" w:val="left"/>
        </w:tabs>
        <w:numPr>
          <w:ilvl w:val="0"/>
          <w:numId w:val="30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79" w:lineRule="exact"/>
        <w:rPr>
          <w:rFonts w:ascii="MS PGothic" w:cs="MS PGothic" w:eastAsia="MS PGothic" w:hAnsi="MS PGothic"/>
          <w:sz w:val="14"/>
          <w:szCs w:val="14"/>
          <w:color w:val="auto"/>
        </w:rPr>
      </w:pPr>
    </w:p>
    <w:p>
      <w:pPr>
        <w:ind w:left="1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on this 27th September, 2024.</w:t>
      </w:r>
    </w:p>
    <w:p>
      <w:pPr>
        <w:spacing w:after="0" w:line="201" w:lineRule="exact"/>
        <w:rPr>
          <w:sz w:val="20"/>
          <w:szCs w:val="20"/>
          <w:color w:val="auto"/>
        </w:rPr>
      </w:pPr>
    </w:p>
    <w:p>
      <w:pPr>
        <w:ind w:left="160"/>
        <w:spacing w:after="0"/>
        <w:tabs>
          <w:tab w:leader="none" w:pos="900" w:val="left"/>
          <w:tab w:leader="none" w:pos="8780" w:val="left"/>
        </w:tabs>
        <w:rPr>
          <w:sz w:val="20"/>
          <w:szCs w:val="20"/>
          <w:color w:val="auto"/>
        </w:rPr>
      </w:pPr>
      <w:r>
        <w:rPr>
          <w:rFonts w:ascii="Times New Roman" w:cs="Times New Roman" w:eastAsia="Times New Roman" w:hAnsi="Times New Roman"/>
          <w:sz w:val="14"/>
          <w:szCs w:val="14"/>
          <w:color w:val="auto"/>
        </w:rPr>
        <w:t>Signed by:</w:t>
        <w:tab/>
        <w:t>/s/ Christopher Garcia</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15240</wp:posOffset>
            </wp:positionV>
            <wp:extent cx="494538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4945380" cy="6985"/>
                    </a:xfrm>
                    <a:prstGeom prst="rect">
                      <a:avLst/>
                    </a:prstGeom>
                    <a:noFill/>
                  </pic:spPr>
                </pic:pic>
              </a:graphicData>
            </a:graphic>
          </wp:anchor>
        </w:drawing>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3" w:lineRule="exact"/>
        <w:rPr>
          <w:sz w:val="20"/>
          <w:szCs w:val="20"/>
          <w:color w:val="auto"/>
        </w:rPr>
      </w:pPr>
    </w:p>
    <w:p>
      <w:pPr>
        <w:ind w:left="760" w:hanging="256"/>
        <w:spacing w:after="0"/>
        <w:tabs>
          <w:tab w:leader="none" w:pos="760" w:val="left"/>
        </w:tabs>
        <w:numPr>
          <w:ilvl w:val="0"/>
          <w:numId w:val="30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760" w:hanging="256"/>
        <w:spacing w:after="0"/>
        <w:tabs>
          <w:tab w:leader="none" w:pos="760" w:val="left"/>
        </w:tabs>
        <w:numPr>
          <w:ilvl w:val="0"/>
          <w:numId w:val="30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760" w:hanging="256"/>
        <w:spacing w:after="0"/>
        <w:tabs>
          <w:tab w:leader="none" w:pos="760" w:val="left"/>
        </w:tabs>
        <w:numPr>
          <w:ilvl w:val="0"/>
          <w:numId w:val="30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jc w:val="both"/>
        <w:ind w:left="160" w:right="6759" w:firstLine="344"/>
        <w:spacing w:after="0" w:line="542" w:lineRule="auto"/>
        <w:tabs>
          <w:tab w:leader="none" w:pos="756" w:val="left"/>
        </w:tabs>
        <w:numPr>
          <w:ilvl w:val="0"/>
          <w:numId w:val="30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 on this 27th day of September, 2024.</w:t>
      </w:r>
    </w:p>
    <w:p>
      <w:pPr>
        <w:sectPr>
          <w:pgSz w:w="11900" w:h="16838" w:orient="portrait"/>
          <w:cols w:equalWidth="0" w:num="1">
            <w:col w:w="9019"/>
          </w:cols>
          <w:pgMar w:left="1440" w:top="242" w:right="1440"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9" w:lineRule="exact"/>
        <w:rPr>
          <w:sz w:val="20"/>
          <w:szCs w:val="20"/>
          <w:color w:val="auto"/>
        </w:rPr>
      </w:pPr>
    </w:p>
    <w:p>
      <w:pPr>
        <w:jc w:val="center"/>
        <w:ind w:left="180" w:right="179"/>
        <w:spacing w:after="0" w:line="281"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September 24, 2024 03:54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1590040</wp:posOffset>
            </wp:positionH>
            <wp:positionV relativeFrom="paragraph">
              <wp:posOffset>136525</wp:posOffset>
            </wp:positionV>
            <wp:extent cx="2540000" cy="7162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2540000" cy="71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137795</wp:posOffset>
            </wp:positionV>
            <wp:extent cx="1540510" cy="10807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1540510" cy="1080770"/>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61" w:name="page162"/>
    <w:bookmarkEnd w:id="161"/>
    <w:p>
      <w:pPr>
        <w:ind w:left="160"/>
        <w:spacing w:after="0"/>
        <w:rPr>
          <w:sz w:val="20"/>
          <w:szCs w:val="20"/>
          <w:color w:val="auto"/>
        </w:rPr>
      </w:pPr>
      <w:r>
        <w:rPr>
          <w:rFonts w:ascii="Times New Roman" w:cs="Times New Roman" w:eastAsia="Times New Roman" w:hAnsi="Times New Roman"/>
          <w:sz w:val="14"/>
          <w:szCs w:val="14"/>
          <w:b w:val="1"/>
          <w:bCs w:val="1"/>
          <w:color w:val="auto"/>
        </w:rPr>
        <w:t>DF</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PC</w:t>
      </w:r>
    </w:p>
    <w:p>
      <w:pPr>
        <w:spacing w:after="0" w:line="20" w:lineRule="exact"/>
        <w:rPr>
          <w:sz w:val="20"/>
          <w:szCs w:val="20"/>
          <w:color w:val="auto"/>
        </w:rPr>
      </w:pPr>
      <w:r>
        <w:rPr>
          <w:sz w:val="20"/>
          <w:szCs w:val="20"/>
          <w:color w:val="auto"/>
        </w:rPr>
        <w:br w:type="column"/>
      </w: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-165100</wp:posOffset>
            </wp:positionV>
            <wp:extent cx="7200265" cy="330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5"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95" w:lineRule="exact"/>
        <w:rPr>
          <w:sz w:val="20"/>
          <w:szCs w:val="20"/>
          <w:color w:val="auto"/>
        </w:rPr>
      </w:pPr>
    </w:p>
    <w:p>
      <w:pPr>
        <w:sectPr>
          <w:pgSz w:w="11900" w:h="16838" w:orient="portrait"/>
          <w:cols w:equalWidth="0" w:num="2">
            <w:col w:w="2160" w:space="720"/>
            <w:col w:w="6139"/>
          </w:cols>
          <w:pgMar w:left="1440" w:top="240" w:right="1440" w:bottom="1440" w:gutter="0" w:footer="0" w:header="0"/>
        </w:sectPr>
      </w:pPr>
    </w:p>
    <w:p>
      <w:pPr>
        <w:ind w:left="160"/>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Times New Roman" w:cs="Times New Roman" w:eastAsia="Times New Roman" w:hAnsi="Times New Roman"/>
          <w:sz w:val="14"/>
          <w:szCs w:val="14"/>
          <w:b w:val="1"/>
          <w:bCs w:val="1"/>
          <w:color w:val="auto"/>
        </w:rPr>
        <w:t>Articles of Merger</w:t>
      </w:r>
    </w:p>
    <w:p>
      <w:pPr>
        <w:spacing w:after="0" w:line="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Involving Domestic Corporations,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702" w:lineRule="exact"/>
        <w:rPr>
          <w:sz w:val="20"/>
          <w:szCs w:val="20"/>
          <w:color w:val="auto"/>
        </w:rPr>
      </w:pPr>
    </w:p>
    <w:p>
      <w:pPr>
        <w:sectPr>
          <w:pgSz w:w="11900" w:h="16838" w:orient="portrait"/>
          <w:cols w:equalWidth="0" w:num="3">
            <w:col w:w="1900" w:space="720"/>
            <w:col w:w="3880" w:space="720"/>
            <w:col w:w="1799"/>
          </w:cols>
          <w:pgMar w:left="1440" w:top="240"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26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(2) JURISDICTION</w:t>
            </w:r>
          </w:p>
        </w:tc>
        <w:tc>
          <w:tcPr>
            <w:tcW w:w="3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DATE OF ORGANIZATION</w:t>
            </w:r>
          </w:p>
        </w:tc>
      </w:tr>
      <w:tr>
        <w:trPr>
          <w:trHeight w:val="341"/>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Virtustream Group Holdings LLC</w:t>
            </w:r>
          </w:p>
        </w:tc>
        <w:tc>
          <w:tcPr>
            <w:tcW w:w="26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Delaware</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January 30, 2014</w:t>
            </w:r>
          </w:p>
        </w:tc>
      </w:tr>
      <w:tr>
        <w:trPr>
          <w:trHeight w:val="320"/>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26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Massachusetts</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August 23, 1979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209550</wp:posOffset>
            </wp:positionV>
            <wp:extent cx="5513070"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00" w:hanging="337"/>
        <w:spacing w:after="0" w:line="161" w:lineRule="exact"/>
        <w:tabs>
          <w:tab w:leader="none" w:pos="50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is not* authorized to conduct business in the Commonwealth.</w:t>
      </w:r>
    </w:p>
    <w:p>
      <w:pPr>
        <w:spacing w:after="0" w:line="232"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Exact name of the surviving entity: EMC Corporation</w:t>
      </w:r>
    </w:p>
    <w:p>
      <w:pPr>
        <w:spacing w:after="0" w:line="200"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Jurisdiction under the laws of which the surviving entity will be organized: Massachusetts</w:t>
      </w:r>
    </w:p>
    <w:p>
      <w:pPr>
        <w:spacing w:after="0" w:line="200" w:lineRule="exact"/>
        <w:rPr>
          <w:rFonts w:ascii="Times New Roman" w:cs="Times New Roman" w:eastAsia="Times New Roman" w:hAnsi="Times New Roman"/>
          <w:sz w:val="14"/>
          <w:szCs w:val="14"/>
          <w:color w:val="auto"/>
        </w:rPr>
      </w:pPr>
    </w:p>
    <w:p>
      <w:pPr>
        <w:ind w:left="500" w:right="419" w:hanging="337"/>
        <w:spacing w:after="0" w:line="288" w:lineRule="auto"/>
        <w:tabs>
          <w:tab w:leader="none" w:pos="50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 and time of filing is specified: 11:59 pm Eastern Standard Time, November 1, 2024</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203" w:lineRule="exact"/>
        <w:rPr>
          <w:sz w:val="20"/>
          <w:szCs w:val="20"/>
          <w:color w:val="auto"/>
        </w:rPr>
      </w:pPr>
    </w:p>
    <w:p>
      <w:pPr>
        <w:ind w:left="920" w:right="659" w:hanging="416"/>
        <w:spacing w:after="0" w:line="288" w:lineRule="auto"/>
        <w:tabs>
          <w:tab w:leader="none" w:pos="920" w:val="left"/>
        </w:tabs>
        <w:numPr>
          <w:ilvl w:val="0"/>
          <w:numId w:val="30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OR</w:t>
      </w:r>
    </w:p>
    <w:p>
      <w:pPr>
        <w:spacing w:after="0" w:line="170" w:lineRule="exact"/>
        <w:rPr>
          <w:sz w:val="20"/>
          <w:szCs w:val="20"/>
          <w:color w:val="auto"/>
        </w:rPr>
      </w:pPr>
    </w:p>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The plan of merger did not require the approval of the shareholders.</w:t>
      </w:r>
    </w:p>
    <w:p>
      <w:pPr>
        <w:spacing w:after="0" w:line="232" w:lineRule="exact"/>
        <w:rPr>
          <w:sz w:val="20"/>
          <w:szCs w:val="20"/>
          <w:color w:val="auto"/>
        </w:rPr>
      </w:pPr>
    </w:p>
    <w:p>
      <w:pPr>
        <w:ind w:left="500" w:right="199" w:hanging="337"/>
        <w:spacing w:after="0" w:line="288" w:lineRule="auto"/>
        <w:tabs>
          <w:tab w:leader="none" w:pos="500"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44" w:lineRule="exact"/>
        <w:rPr>
          <w:sz w:val="20"/>
          <w:szCs w:val="20"/>
          <w:color w:val="auto"/>
        </w:rPr>
      </w:pPr>
    </w:p>
    <w:p>
      <w:pPr>
        <w:ind w:left="500" w:hanging="337"/>
        <w:spacing w:after="0"/>
        <w:tabs>
          <w:tab w:leader="none" w:pos="500" w:val="left"/>
        </w:tabs>
        <w:numPr>
          <w:ilvl w:val="0"/>
          <w:numId w:val="3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ind w:left="500" w:hanging="337"/>
        <w:spacing w:after="0"/>
        <w:tabs>
          <w:tab w:leader="none" w:pos="500" w:val="left"/>
        </w:tabs>
        <w:numPr>
          <w:ilvl w:val="0"/>
          <w:numId w:val="3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Provide this information for each domestic corporation separately</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-4445</wp:posOffset>
            </wp:positionV>
            <wp:extent cx="269875"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269875" cy="698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-4445</wp:posOffset>
            </wp:positionV>
            <wp:extent cx="641985" cy="135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641985" cy="13525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P.C.</w:t>
      </w:r>
    </w:p>
    <w:p>
      <w:pPr>
        <w:sectPr>
          <w:pgSz w:w="11900" w:h="16838" w:orient="portrait"/>
          <w:cols w:equalWidth="0" w:num="1">
            <w:col w:w="9019"/>
          </w:cols>
          <w:pgMar w:left="1440" w:top="240" w:right="1440" w:bottom="1440" w:gutter="0" w:footer="0" w:header="0"/>
          <w:type w:val="continuous"/>
        </w:sectPr>
      </w:pPr>
    </w:p>
    <w:bookmarkStart w:id="162" w:name="page163"/>
    <w:bookmarkEnd w:id="162"/>
    <w:p>
      <w:pPr>
        <w:ind w:left="500" w:hanging="337"/>
        <w:spacing w:after="0"/>
        <w:tabs>
          <w:tab w:leader="none" w:pos="50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500" w:right="839" w:hanging="337"/>
        <w:spacing w:after="0" w:line="288" w:lineRule="auto"/>
        <w:tabs>
          <w:tab w:leader="none" w:pos="50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4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jurisdiction: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-13335</wp:posOffset>
            </wp:positionV>
            <wp:extent cx="4502785"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4502785" cy="698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ectPr>
          <w:pgSz w:w="11900" w:h="16838" w:orient="portrait"/>
          <w:cols w:equalWidth="0" w:num="1">
            <w:col w:w="9019"/>
          </w:cols>
          <w:pgMar w:left="1440" w:top="242" w:right="1440" w:bottom="1440" w:gutter="0" w:footer="0" w:header="0"/>
        </w:sectPr>
      </w:pPr>
    </w:p>
    <w:bookmarkStart w:id="163" w:name="page164"/>
    <w:bookmarkEnd w:id="163"/>
    <w:p>
      <w:pPr>
        <w:ind w:left="160"/>
        <w:spacing w:after="0"/>
        <w:tabs>
          <w:tab w:leader="none" w:pos="900" w:val="left"/>
          <w:tab w:leader="none" w:pos="878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Signed by:</w:t>
        <w:tab/>
        <w:t>/s/ Christopher Garcia</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15240</wp:posOffset>
            </wp:positionV>
            <wp:extent cx="494538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4945380" cy="6985"/>
                    </a:xfrm>
                    <a:prstGeom prst="rect">
                      <a:avLst/>
                    </a:prstGeom>
                    <a:noFill/>
                  </pic:spPr>
                </pic:pic>
              </a:graphicData>
            </a:graphic>
          </wp:anchor>
        </w:drawing>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3" w:lineRule="exact"/>
        <w:rPr>
          <w:sz w:val="20"/>
          <w:szCs w:val="20"/>
          <w:color w:val="auto"/>
        </w:rPr>
      </w:pPr>
    </w:p>
    <w:p>
      <w:pPr>
        <w:ind w:left="920" w:hanging="416"/>
        <w:spacing w:after="0"/>
        <w:tabs>
          <w:tab w:leader="none" w:pos="920" w:val="left"/>
        </w:tabs>
        <w:numPr>
          <w:ilvl w:val="0"/>
          <w:numId w:val="31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920" w:hanging="416"/>
        <w:spacing w:after="0"/>
        <w:tabs>
          <w:tab w:leader="none" w:pos="920" w:val="left"/>
        </w:tabs>
        <w:numPr>
          <w:ilvl w:val="0"/>
          <w:numId w:val="31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920" w:hanging="416"/>
        <w:spacing w:after="0"/>
        <w:tabs>
          <w:tab w:leader="none" w:pos="920" w:val="left"/>
        </w:tabs>
        <w:numPr>
          <w:ilvl w:val="0"/>
          <w:numId w:val="31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ind w:left="920" w:hanging="416"/>
        <w:spacing w:after="0"/>
        <w:tabs>
          <w:tab w:leader="none" w:pos="920" w:val="left"/>
        </w:tabs>
        <w:numPr>
          <w:ilvl w:val="0"/>
          <w:numId w:val="31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79" w:lineRule="exact"/>
        <w:rPr>
          <w:rFonts w:ascii="MS PGothic" w:cs="MS PGothic" w:eastAsia="MS PGothic" w:hAnsi="MS PGothic"/>
          <w:sz w:val="14"/>
          <w:szCs w:val="14"/>
          <w:color w:val="auto"/>
        </w:rPr>
      </w:pPr>
    </w:p>
    <w:p>
      <w:pPr>
        <w:ind w:left="1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on this 25th day of October, 2024.</w:t>
      </w:r>
    </w:p>
    <w:p>
      <w:pPr>
        <w:spacing w:after="0" w:line="201" w:lineRule="exact"/>
        <w:rPr>
          <w:sz w:val="20"/>
          <w:szCs w:val="20"/>
          <w:color w:val="auto"/>
        </w:rPr>
      </w:pPr>
    </w:p>
    <w:p>
      <w:pPr>
        <w:ind w:left="160"/>
        <w:spacing w:after="0"/>
        <w:tabs>
          <w:tab w:leader="none" w:pos="900" w:val="left"/>
          <w:tab w:leader="none" w:pos="8780" w:val="left"/>
        </w:tabs>
        <w:rPr>
          <w:sz w:val="20"/>
          <w:szCs w:val="20"/>
          <w:color w:val="auto"/>
        </w:rPr>
      </w:pPr>
      <w:r>
        <w:rPr>
          <w:rFonts w:ascii="Times New Roman" w:cs="Times New Roman" w:eastAsia="Times New Roman" w:hAnsi="Times New Roman"/>
          <w:sz w:val="14"/>
          <w:szCs w:val="14"/>
          <w:color w:val="auto"/>
        </w:rPr>
        <w:t>Signed by:</w:t>
        <w:tab/>
        <w:t>/s/ Christopher Garcia</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15240</wp:posOffset>
            </wp:positionV>
            <wp:extent cx="4945380"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4945380" cy="6985"/>
                    </a:xfrm>
                    <a:prstGeom prst="rect">
                      <a:avLst/>
                    </a:prstGeom>
                    <a:noFill/>
                  </pic:spPr>
                </pic:pic>
              </a:graphicData>
            </a:graphic>
          </wp:anchor>
        </w:drawing>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203" w:lineRule="exact"/>
        <w:rPr>
          <w:sz w:val="20"/>
          <w:szCs w:val="20"/>
          <w:color w:val="auto"/>
        </w:rPr>
      </w:pPr>
    </w:p>
    <w:p>
      <w:pPr>
        <w:ind w:left="920" w:hanging="416"/>
        <w:spacing w:after="0"/>
        <w:tabs>
          <w:tab w:leader="none" w:pos="920" w:val="left"/>
        </w:tabs>
        <w:numPr>
          <w:ilvl w:val="0"/>
          <w:numId w:val="31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920" w:hanging="416"/>
        <w:spacing w:after="0"/>
        <w:tabs>
          <w:tab w:leader="none" w:pos="920" w:val="left"/>
        </w:tabs>
        <w:numPr>
          <w:ilvl w:val="0"/>
          <w:numId w:val="31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920" w:hanging="416"/>
        <w:spacing w:after="0"/>
        <w:tabs>
          <w:tab w:leader="none" w:pos="920" w:val="left"/>
        </w:tabs>
        <w:numPr>
          <w:ilvl w:val="0"/>
          <w:numId w:val="31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ind w:left="920" w:hanging="416"/>
        <w:spacing w:after="0"/>
        <w:tabs>
          <w:tab w:leader="none" w:pos="920" w:val="left"/>
        </w:tabs>
        <w:numPr>
          <w:ilvl w:val="0"/>
          <w:numId w:val="31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w:t>
      </w:r>
    </w:p>
    <w:p>
      <w:pPr>
        <w:spacing w:after="0" w:line="179" w:lineRule="exact"/>
        <w:rPr>
          <w:rFonts w:ascii="MS PGothic" w:cs="MS PGothic" w:eastAsia="MS PGothic" w:hAnsi="MS PGothic"/>
          <w:sz w:val="14"/>
          <w:szCs w:val="14"/>
          <w:color w:val="auto"/>
        </w:rPr>
      </w:pPr>
    </w:p>
    <w:p>
      <w:pPr>
        <w:ind w:left="1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on this 25th day of October, 2024.</w:t>
      </w:r>
    </w:p>
    <w:p>
      <w:pPr>
        <w:sectPr>
          <w:pgSz w:w="11900" w:h="16838" w:orient="portrait"/>
          <w:cols w:equalWidth="0" w:num="1">
            <w:col w:w="9019"/>
          </w:cols>
          <w:pgMar w:left="1440" w:top="242"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9" w:lineRule="exact"/>
        <w:rPr>
          <w:sz w:val="20"/>
          <w:szCs w:val="20"/>
          <w:color w:val="auto"/>
        </w:rPr>
      </w:pPr>
    </w:p>
    <w:p>
      <w:pPr>
        <w:jc w:val="center"/>
        <w:ind w:left="180" w:right="179"/>
        <w:spacing w:after="0" w:line="281"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28, 2024 10:27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136525</wp:posOffset>
            </wp:positionV>
            <wp:extent cx="2283460" cy="641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2283460" cy="64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137795</wp:posOffset>
            </wp:positionV>
            <wp:extent cx="1148715" cy="8515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1148715" cy="85153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65" w:name="page166"/>
    <w:bookmarkEnd w:id="165"/>
    <w:p>
      <w:pPr>
        <w:ind w:left="160"/>
        <w:spacing w:after="0"/>
        <w:rPr>
          <w:sz w:val="20"/>
          <w:szCs w:val="20"/>
          <w:color w:val="auto"/>
        </w:rPr>
      </w:pPr>
      <w:r>
        <w:rPr>
          <w:rFonts w:ascii="Times New Roman" w:cs="Times New Roman" w:eastAsia="Times New Roman" w:hAnsi="Times New Roman"/>
          <w:sz w:val="14"/>
          <w:szCs w:val="14"/>
          <w:b w:val="1"/>
          <w:bCs w:val="1"/>
          <w:color w:val="auto"/>
        </w:rPr>
        <w:t>DF</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PC</w:t>
      </w:r>
    </w:p>
    <w:p>
      <w:pPr>
        <w:spacing w:after="0" w:line="20" w:lineRule="exact"/>
        <w:rPr>
          <w:sz w:val="20"/>
          <w:szCs w:val="20"/>
          <w:color w:val="auto"/>
        </w:rPr>
      </w:pPr>
      <w:r>
        <w:rPr>
          <w:sz w:val="20"/>
          <w:szCs w:val="20"/>
          <w:color w:val="auto"/>
        </w:rPr>
        <w:br w:type="column"/>
      </w: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-165100</wp:posOffset>
            </wp:positionV>
            <wp:extent cx="7200265" cy="330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6">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5"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95" w:lineRule="exact"/>
        <w:rPr>
          <w:sz w:val="20"/>
          <w:szCs w:val="20"/>
          <w:color w:val="auto"/>
        </w:rPr>
      </w:pPr>
    </w:p>
    <w:p>
      <w:pPr>
        <w:sectPr>
          <w:pgSz w:w="11900" w:h="16838" w:orient="portrait"/>
          <w:cols w:equalWidth="0" w:num="2">
            <w:col w:w="2160" w:space="720"/>
            <w:col w:w="6139"/>
          </w:cols>
          <w:pgMar w:left="1440" w:top="240" w:right="1440" w:bottom="1440" w:gutter="0" w:footer="0" w:header="0"/>
        </w:sectPr>
      </w:pPr>
    </w:p>
    <w:p>
      <w:pPr>
        <w:ind w:left="160"/>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Times New Roman" w:cs="Times New Roman" w:eastAsia="Times New Roman" w:hAnsi="Times New Roman"/>
          <w:sz w:val="14"/>
          <w:szCs w:val="14"/>
          <w:b w:val="1"/>
          <w:bCs w:val="1"/>
          <w:color w:val="auto"/>
        </w:rPr>
        <w:t>Articles of Merger</w:t>
      </w:r>
    </w:p>
    <w:p>
      <w:pPr>
        <w:spacing w:after="0" w:line="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Involving Domestic Corporations,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702" w:lineRule="exact"/>
        <w:rPr>
          <w:sz w:val="20"/>
          <w:szCs w:val="20"/>
          <w:color w:val="auto"/>
        </w:rPr>
      </w:pPr>
    </w:p>
    <w:p>
      <w:pPr>
        <w:sectPr>
          <w:pgSz w:w="11900" w:h="16838" w:orient="portrait"/>
          <w:cols w:equalWidth="0" w:num="3">
            <w:col w:w="1900" w:space="720"/>
            <w:col w:w="3880" w:space="720"/>
            <w:col w:w="1799"/>
          </w:cols>
          <w:pgMar w:left="1440" w:top="240"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30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(2) JURISDICTION</w:t>
            </w:r>
          </w:p>
        </w:tc>
        <w:tc>
          <w:tcPr>
            <w:tcW w:w="3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DATE OF ORGANIZATION</w:t>
            </w:r>
          </w:p>
        </w:tc>
      </w:tr>
      <w:tr>
        <w:trPr>
          <w:trHeight w:val="341"/>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Virtustream LLC</w:t>
            </w:r>
          </w:p>
        </w:tc>
        <w:tc>
          <w:tcPr>
            <w:tcW w:w="30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Delaware</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December 4, 2008</w:t>
            </w:r>
          </w:p>
        </w:tc>
      </w:tr>
      <w:tr>
        <w:trPr>
          <w:trHeight w:val="320"/>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30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Massachusetts</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August 23, 1979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209550</wp:posOffset>
            </wp:positionV>
            <wp:extent cx="5513070"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7">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00" w:hanging="337"/>
        <w:spacing w:after="0" w:line="161" w:lineRule="exact"/>
        <w:tabs>
          <w:tab w:leader="none" w:pos="50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is/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is not* authorized to conduct business in the Commonwealth.</w:t>
      </w:r>
    </w:p>
    <w:p>
      <w:pPr>
        <w:spacing w:after="0" w:line="232"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Exact name of the surviving entity: EMC Corporation</w:t>
      </w:r>
    </w:p>
    <w:p>
      <w:pPr>
        <w:spacing w:after="0" w:line="200"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Jurisdiction under the laws of which the surviving entity will be organized: Massachusetts</w:t>
      </w:r>
    </w:p>
    <w:p>
      <w:pPr>
        <w:spacing w:after="0" w:line="200" w:lineRule="exact"/>
        <w:rPr>
          <w:rFonts w:ascii="Times New Roman" w:cs="Times New Roman" w:eastAsia="Times New Roman" w:hAnsi="Times New Roman"/>
          <w:sz w:val="14"/>
          <w:szCs w:val="14"/>
          <w:color w:val="auto"/>
        </w:rPr>
      </w:pPr>
    </w:p>
    <w:p>
      <w:pPr>
        <w:ind w:left="500" w:right="419" w:hanging="337"/>
        <w:spacing w:after="0" w:line="288" w:lineRule="auto"/>
        <w:tabs>
          <w:tab w:leader="none" w:pos="50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 date and time of filing is specified: 11:59 pm Eastern Standard Time, November 1, 2024</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203" w:lineRule="exact"/>
        <w:rPr>
          <w:sz w:val="20"/>
          <w:szCs w:val="20"/>
          <w:color w:val="auto"/>
        </w:rPr>
      </w:pPr>
    </w:p>
    <w:p>
      <w:pPr>
        <w:ind w:left="920" w:right="659" w:hanging="416"/>
        <w:spacing w:after="0" w:line="288" w:lineRule="auto"/>
        <w:tabs>
          <w:tab w:leader="none" w:pos="920" w:val="left"/>
        </w:tabs>
        <w:numPr>
          <w:ilvl w:val="0"/>
          <w:numId w:val="32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OR</w:t>
      </w:r>
    </w:p>
    <w:p>
      <w:pPr>
        <w:spacing w:after="0" w:line="170" w:lineRule="exact"/>
        <w:rPr>
          <w:sz w:val="20"/>
          <w:szCs w:val="20"/>
          <w:color w:val="auto"/>
        </w:rPr>
      </w:pPr>
    </w:p>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The plan of merger did not require the approval of the shareholders.</w:t>
      </w:r>
    </w:p>
    <w:p>
      <w:pPr>
        <w:spacing w:after="0" w:line="232" w:lineRule="exact"/>
        <w:rPr>
          <w:sz w:val="20"/>
          <w:szCs w:val="20"/>
          <w:color w:val="auto"/>
        </w:rPr>
      </w:pPr>
    </w:p>
    <w:p>
      <w:pPr>
        <w:ind w:left="500" w:right="199" w:hanging="337"/>
        <w:spacing w:after="0" w:line="288" w:lineRule="auto"/>
        <w:tabs>
          <w:tab w:leader="none" w:pos="50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44" w:lineRule="exact"/>
        <w:rPr>
          <w:sz w:val="20"/>
          <w:szCs w:val="20"/>
          <w:color w:val="auto"/>
        </w:rPr>
      </w:pPr>
    </w:p>
    <w:p>
      <w:pPr>
        <w:ind w:left="500" w:hanging="337"/>
        <w:spacing w:after="0"/>
        <w:tabs>
          <w:tab w:leader="none" w:pos="500" w:val="left"/>
        </w:tabs>
        <w:numPr>
          <w:ilvl w:val="0"/>
          <w:numId w:val="3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ind w:left="500" w:hanging="337"/>
        <w:spacing w:after="0"/>
        <w:tabs>
          <w:tab w:leader="none" w:pos="500" w:val="left"/>
        </w:tabs>
        <w:numPr>
          <w:ilvl w:val="0"/>
          <w:numId w:val="3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Provide this information for each domestic corporation separately</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-4445</wp:posOffset>
            </wp:positionV>
            <wp:extent cx="224790"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8">
                      <a:extLst>
                        <a:ext uri="{28A0092B-C50C-407E-A947-70E740481C1C}"/>
                      </a:extLst>
                    </a:blip>
                    <a:srcRect/>
                    <a:stretch>
                      <a:fillRect/>
                    </a:stretch>
                  </pic:blipFill>
                  <pic:spPr bwMode="auto">
                    <a:xfrm>
                      <a:off x="0" y="0"/>
                      <a:ext cx="224790" cy="698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-67310</wp:posOffset>
            </wp:positionV>
            <wp:extent cx="513715" cy="8128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9">
                      <a:extLst>
                        <a:ext uri="{28A0092B-C50C-407E-A947-70E740481C1C}"/>
                      </a:extLst>
                    </a:blip>
                    <a:srcRect/>
                    <a:stretch>
                      <a:fillRect/>
                    </a:stretch>
                  </pic:blipFill>
                  <pic:spPr bwMode="auto">
                    <a:xfrm>
                      <a:off x="0" y="0"/>
                      <a:ext cx="513715" cy="8128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type w:val="continuous"/>
        </w:sectPr>
      </w:pPr>
    </w:p>
    <w:bookmarkStart w:id="166" w:name="page167"/>
    <w:bookmarkEnd w:id="166"/>
    <w:p>
      <w:pPr>
        <w:ind w:left="500" w:hanging="337"/>
        <w:spacing w:after="0"/>
        <w:tabs>
          <w:tab w:leader="none" w:pos="50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500" w:right="839" w:hanging="337"/>
        <w:spacing w:after="0" w:line="288" w:lineRule="auto"/>
        <w:tabs>
          <w:tab w:leader="none" w:pos="50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4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w:t>
      </w:r>
    </w:p>
    <w:p>
      <w:pPr>
        <w:spacing w:after="0" w:line="23" w:lineRule="exact"/>
        <w:rPr>
          <w:sz w:val="20"/>
          <w:szCs w:val="20"/>
          <w:color w:val="auto"/>
        </w:rPr>
      </w:pPr>
    </w:p>
    <w:p>
      <w:pPr>
        <w:ind w:left="3380" w:right="739" w:hanging="2871"/>
        <w:spacing w:after="0" w:line="253" w:lineRule="auto"/>
        <w:rPr>
          <w:sz w:val="20"/>
          <w:szCs w:val="20"/>
          <w:color w:val="auto"/>
        </w:rPr>
      </w:pPr>
      <w:r>
        <w:rPr>
          <w:rFonts w:ascii="Times New Roman" w:cs="Times New Roman" w:eastAsia="Times New Roman" w:hAnsi="Times New Roman"/>
          <w:sz w:val="14"/>
          <w:szCs w:val="14"/>
          <w:color w:val="auto"/>
        </w:rPr>
        <w:t xml:space="preserve">jurisdiction:                                                                                                       </w:t>
      </w:r>
      <w:r>
        <w:rPr>
          <w:rFonts w:ascii="Times New Roman" w:cs="Times New Roman" w:eastAsia="Times New Roman" w:hAnsi="Times New Roman"/>
          <w:sz w:val="14"/>
          <w:szCs w:val="14"/>
          <w:i w:val="1"/>
          <w:iCs w:val="1"/>
          <w:color w:val="auto"/>
        </w:rPr>
        <w:t>(number, street, city or town,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434530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1">
                      <a:extLst>
                        <a:ext uri="{28A0092B-C50C-407E-A947-70E740481C1C}"/>
                      </a:extLst>
                    </a:blip>
                    <a:srcRect/>
                    <a:stretch>
                      <a:fillRect/>
                    </a:stretch>
                  </pic:blipFill>
                  <pic:spPr bwMode="auto">
                    <a:xfrm>
                      <a:off x="0" y="0"/>
                      <a:ext cx="4345305" cy="698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67" w:name="page168"/>
    <w:bookmarkEnd w:id="167"/>
    <w:p>
      <w:pPr>
        <w:ind w:left="960" w:right="939" w:hanging="3722"/>
        <w:spacing w:after="0" w:line="264" w:lineRule="auto"/>
        <w:tabs>
          <w:tab w:leader="none" w:pos="94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Signed by:</w:t>
        <w:tab/>
        <w:t xml:space="preserve">/s/ Christopher Garcia                                                                                  , </w:t>
      </w:r>
      <w:r>
        <w:rPr>
          <w:rFonts w:ascii="Times New Roman" w:cs="Times New Roman" w:eastAsia="Times New Roman" w:hAnsi="Times New Roman"/>
          <w:sz w:val="14"/>
          <w:szCs w:val="14"/>
          <w:i w:val="1"/>
          <w:iCs w:val="1"/>
          <w:color w:val="auto"/>
        </w:rPr>
        <w:t>(signature of authorized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-19050</wp:posOffset>
            </wp:positionV>
            <wp:extent cx="4532630"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3">
                      <a:extLst>
                        <a:ext uri="{28A0092B-C50C-407E-A947-70E740481C1C}"/>
                      </a:extLst>
                    </a:blip>
                    <a:srcRect/>
                    <a:stretch>
                      <a:fillRect/>
                    </a:stretch>
                  </pic:blipFill>
                  <pic:spPr bwMode="auto">
                    <a:xfrm>
                      <a:off x="0" y="0"/>
                      <a:ext cx="4532630" cy="6985"/>
                    </a:xfrm>
                    <a:prstGeom prst="rect">
                      <a:avLst/>
                    </a:prstGeom>
                    <a:noFill/>
                  </pic:spPr>
                </pic:pic>
              </a:graphicData>
            </a:graphic>
          </wp:anchor>
        </w:drawing>
      </w:r>
    </w:p>
    <w:p>
      <w:pPr>
        <w:spacing w:after="0" w:line="328" w:lineRule="exact"/>
        <w:rPr>
          <w:sz w:val="20"/>
          <w:szCs w:val="20"/>
          <w:color w:val="auto"/>
        </w:rPr>
      </w:pPr>
    </w:p>
    <w:p>
      <w:pPr>
        <w:ind w:left="760" w:hanging="256"/>
        <w:spacing w:after="0"/>
        <w:tabs>
          <w:tab w:leader="none" w:pos="760" w:val="left"/>
        </w:tabs>
        <w:numPr>
          <w:ilvl w:val="0"/>
          <w:numId w:val="32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760" w:hanging="256"/>
        <w:spacing w:after="0"/>
        <w:tabs>
          <w:tab w:leader="none" w:pos="760" w:val="left"/>
        </w:tabs>
        <w:numPr>
          <w:ilvl w:val="0"/>
          <w:numId w:val="32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760" w:hanging="256"/>
        <w:spacing w:after="0"/>
        <w:tabs>
          <w:tab w:leader="none" w:pos="760" w:val="left"/>
        </w:tabs>
        <w:numPr>
          <w:ilvl w:val="0"/>
          <w:numId w:val="32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ind w:left="160" w:right="6759" w:firstLine="344"/>
        <w:spacing w:after="0" w:line="523" w:lineRule="auto"/>
        <w:tabs>
          <w:tab w:leader="none" w:pos="756" w:val="left"/>
        </w:tabs>
        <w:numPr>
          <w:ilvl w:val="0"/>
          <w:numId w:val="32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 on this 25th day of October, 2024.</w:t>
      </w:r>
    </w:p>
    <w:p>
      <w:pPr>
        <w:spacing w:after="0" w:line="1" w:lineRule="exact"/>
        <w:rPr>
          <w:sz w:val="20"/>
          <w:szCs w:val="20"/>
          <w:color w:val="auto"/>
        </w:rPr>
      </w:pPr>
    </w:p>
    <w:p>
      <w:pPr>
        <w:ind w:left="960" w:right="779" w:hanging="3722"/>
        <w:spacing w:after="0" w:line="264" w:lineRule="auto"/>
        <w:tabs>
          <w:tab w:leader="none" w:pos="940" w:val="left"/>
        </w:tabs>
        <w:rPr>
          <w:sz w:val="20"/>
          <w:szCs w:val="20"/>
          <w:color w:val="auto"/>
        </w:rPr>
      </w:pPr>
      <w:r>
        <w:rPr>
          <w:rFonts w:ascii="Times New Roman" w:cs="Times New Roman" w:eastAsia="Times New Roman" w:hAnsi="Times New Roman"/>
          <w:sz w:val="14"/>
          <w:szCs w:val="14"/>
          <w:color w:val="auto"/>
        </w:rPr>
        <w:t>Signed by:</w:t>
        <w:tab/>
        <w:t xml:space="preserve">/s/ Christopher Garcia                                                                                    , </w:t>
      </w:r>
      <w:r>
        <w:rPr>
          <w:rFonts w:ascii="Times New Roman" w:cs="Times New Roman" w:eastAsia="Times New Roman" w:hAnsi="Times New Roman"/>
          <w:sz w:val="14"/>
          <w:szCs w:val="14"/>
          <w:i w:val="1"/>
          <w:iCs w:val="1"/>
          <w:color w:val="auto"/>
        </w:rPr>
        <w:t>(signature of authorized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-19050</wp:posOffset>
            </wp:positionV>
            <wp:extent cx="4622800"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4">
                      <a:extLst>
                        <a:ext uri="{28A0092B-C50C-407E-A947-70E740481C1C}"/>
                      </a:extLst>
                    </a:blip>
                    <a:srcRect/>
                    <a:stretch>
                      <a:fillRect/>
                    </a:stretch>
                  </pic:blipFill>
                  <pic:spPr bwMode="auto">
                    <a:xfrm>
                      <a:off x="0" y="0"/>
                      <a:ext cx="4622800" cy="6985"/>
                    </a:xfrm>
                    <a:prstGeom prst="rect">
                      <a:avLst/>
                    </a:prstGeom>
                    <a:noFill/>
                  </pic:spPr>
                </pic:pic>
              </a:graphicData>
            </a:graphic>
          </wp:anchor>
        </w:drawing>
      </w:r>
    </w:p>
    <w:p>
      <w:pPr>
        <w:spacing w:after="0" w:line="232" w:lineRule="exact"/>
        <w:rPr>
          <w:sz w:val="20"/>
          <w:szCs w:val="20"/>
          <w:color w:val="auto"/>
        </w:rPr>
      </w:pPr>
    </w:p>
    <w:p>
      <w:pPr>
        <w:ind w:left="760" w:hanging="256"/>
        <w:spacing w:after="0"/>
        <w:tabs>
          <w:tab w:leader="none" w:pos="760" w:val="left"/>
        </w:tabs>
        <w:numPr>
          <w:ilvl w:val="0"/>
          <w:numId w:val="32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760" w:hanging="256"/>
        <w:spacing w:after="0"/>
        <w:tabs>
          <w:tab w:leader="none" w:pos="760" w:val="left"/>
        </w:tabs>
        <w:numPr>
          <w:ilvl w:val="0"/>
          <w:numId w:val="32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760" w:hanging="256"/>
        <w:spacing w:after="0"/>
        <w:tabs>
          <w:tab w:leader="none" w:pos="760" w:val="left"/>
        </w:tabs>
        <w:numPr>
          <w:ilvl w:val="0"/>
          <w:numId w:val="33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ind w:left="160" w:right="6759" w:firstLine="344"/>
        <w:spacing w:after="0" w:line="542" w:lineRule="auto"/>
        <w:tabs>
          <w:tab w:leader="none" w:pos="756" w:val="left"/>
        </w:tabs>
        <w:numPr>
          <w:ilvl w:val="0"/>
          <w:numId w:val="33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 on this 25th day of October, 2024.</w:t>
      </w:r>
    </w:p>
    <w:p>
      <w:pPr>
        <w:sectPr>
          <w:pgSz w:w="11900" w:h="16838" w:orient="portrait"/>
          <w:cols w:equalWidth="0" w:num="1">
            <w:col w:w="9019"/>
          </w:cols>
          <w:pgMar w:left="1440" w:top="242" w:right="1440"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9" w:lineRule="exact"/>
        <w:rPr>
          <w:sz w:val="20"/>
          <w:szCs w:val="20"/>
          <w:color w:val="auto"/>
        </w:rPr>
      </w:pPr>
    </w:p>
    <w:p>
      <w:pPr>
        <w:jc w:val="center"/>
        <w:ind w:left="180" w:right="179"/>
        <w:spacing w:after="0" w:line="281"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28, 2024 10:25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137160</wp:posOffset>
            </wp:positionV>
            <wp:extent cx="2283460" cy="641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6">
                      <a:extLst>
                        <a:ext uri="{28A0092B-C50C-407E-A947-70E740481C1C}"/>
                      </a:extLst>
                    </a:blip>
                    <a:srcRect/>
                    <a:stretch>
                      <a:fillRect/>
                    </a:stretch>
                  </pic:blipFill>
                  <pic:spPr bwMode="auto">
                    <a:xfrm>
                      <a:off x="0" y="0"/>
                      <a:ext cx="2283460" cy="64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137795</wp:posOffset>
            </wp:positionV>
            <wp:extent cx="1155065" cy="8515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1155065" cy="85153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69" w:name="page170"/>
    <w:bookmarkEnd w:id="169"/>
    <w:p>
      <w:pPr>
        <w:ind w:left="160"/>
        <w:spacing w:after="0"/>
        <w:rPr>
          <w:sz w:val="20"/>
          <w:szCs w:val="20"/>
          <w:color w:val="auto"/>
        </w:rPr>
      </w:pPr>
      <w:r>
        <w:rPr>
          <w:rFonts w:ascii="Times New Roman" w:cs="Times New Roman" w:eastAsia="Times New Roman" w:hAnsi="Times New Roman"/>
          <w:sz w:val="14"/>
          <w:szCs w:val="14"/>
          <w:b w:val="1"/>
          <w:bCs w:val="1"/>
          <w:color w:val="auto"/>
        </w:rPr>
        <w:t>DF</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PC</w:t>
      </w:r>
    </w:p>
    <w:p>
      <w:pPr>
        <w:spacing w:after="0" w:line="20" w:lineRule="exact"/>
        <w:rPr>
          <w:sz w:val="20"/>
          <w:szCs w:val="20"/>
          <w:color w:val="auto"/>
        </w:rPr>
      </w:pPr>
      <w:r>
        <w:rPr>
          <w:sz w:val="20"/>
          <w:szCs w:val="20"/>
          <w:color w:val="auto"/>
        </w:rPr>
        <w:br w:type="column"/>
      </w: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-165100</wp:posOffset>
            </wp:positionV>
            <wp:extent cx="7200265" cy="330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spacing w:after="0" w:line="5"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b w:val="1"/>
          <w:bCs w:val="1"/>
          <w:color w:val="auto"/>
        </w:rPr>
        <w:t>William Francis Galvin</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Secretary of the Commonwealth</w:t>
      </w:r>
    </w:p>
    <w:p>
      <w:pPr>
        <w:spacing w:after="0" w:line="9"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4"/>
          <w:szCs w:val="14"/>
          <w:color w:val="auto"/>
        </w:rPr>
        <w:t>One Ashburton Place, Boston, Massachusetts 02108-1512</w:t>
      </w:r>
    </w:p>
    <w:p>
      <w:pPr>
        <w:spacing w:after="0" w:line="195" w:lineRule="exact"/>
        <w:rPr>
          <w:sz w:val="20"/>
          <w:szCs w:val="20"/>
          <w:color w:val="auto"/>
        </w:rPr>
      </w:pPr>
    </w:p>
    <w:p>
      <w:pPr>
        <w:sectPr>
          <w:pgSz w:w="11900" w:h="16838" w:orient="portrait"/>
          <w:cols w:equalWidth="0" w:num="2">
            <w:col w:w="2160" w:space="720"/>
            <w:col w:w="6139"/>
          </w:cols>
          <w:pgMar w:left="1440" w:top="240" w:right="1440" w:bottom="1440" w:gutter="0" w:footer="0" w:header="0"/>
        </w:sectPr>
      </w:pPr>
    </w:p>
    <w:p>
      <w:pPr>
        <w:ind w:left="160"/>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Times New Roman" w:cs="Times New Roman" w:eastAsia="Times New Roman" w:hAnsi="Times New Roman"/>
          <w:sz w:val="14"/>
          <w:szCs w:val="14"/>
          <w:b w:val="1"/>
          <w:bCs w:val="1"/>
          <w:color w:val="auto"/>
        </w:rPr>
        <w:t>Articles of Merger</w:t>
      </w:r>
    </w:p>
    <w:p>
      <w:pPr>
        <w:spacing w:after="0" w:line="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Involving Domestic Corporations,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Foreign Corporations or Foreign Other Entities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Laws Chapter 156D, Section 11.06; 950 CMR 113.37)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FORM MUST BE TYPED</w:t>
      </w:r>
    </w:p>
    <w:p>
      <w:pPr>
        <w:spacing w:after="0" w:line="702" w:lineRule="exact"/>
        <w:rPr>
          <w:sz w:val="20"/>
          <w:szCs w:val="20"/>
          <w:color w:val="auto"/>
        </w:rPr>
      </w:pPr>
    </w:p>
    <w:p>
      <w:pPr>
        <w:sectPr>
          <w:pgSz w:w="11900" w:h="16838" w:orient="portrait"/>
          <w:cols w:equalWidth="0" w:num="3">
            <w:col w:w="1900" w:space="720"/>
            <w:col w:w="3880" w:space="720"/>
            <w:col w:w="1799"/>
          </w:cols>
          <w:pgMar w:left="1440" w:top="240"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Exact name, jurisdiction and date of organization of each party to the merger:</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(1) EXACT NAME</w:t>
            </w:r>
          </w:p>
        </w:tc>
        <w:tc>
          <w:tcPr>
            <w:tcW w:w="30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(2) JURISDICTION</w:t>
            </w:r>
          </w:p>
        </w:tc>
        <w:tc>
          <w:tcPr>
            <w:tcW w:w="3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DATE OF ORGANIZATION</w:t>
            </w:r>
          </w:p>
        </w:tc>
      </w:tr>
      <w:tr>
        <w:trPr>
          <w:trHeight w:val="341"/>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30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Massachusetts</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August 23, 1979</w:t>
            </w:r>
          </w:p>
        </w:tc>
      </w:tr>
      <w:tr>
        <w:trPr>
          <w:trHeight w:val="320"/>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Dataloop US Inc.</w:t>
            </w:r>
          </w:p>
        </w:tc>
        <w:tc>
          <w:tcPr>
            <w:tcW w:w="30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Delaware</w:t>
            </w:r>
          </w:p>
        </w:tc>
        <w:tc>
          <w:tcPr>
            <w:tcW w:w="3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January 4,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209550</wp:posOffset>
            </wp:positionV>
            <wp:extent cx="5513070"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9">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00" w:hanging="337"/>
        <w:spacing w:after="0" w:line="161" w:lineRule="exact"/>
        <w:tabs>
          <w:tab w:leader="none" w:pos="50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foreign corporation or other entity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is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is not* authorized to conduct business in the Commonwealth.</w:t>
      </w:r>
    </w:p>
    <w:p>
      <w:pPr>
        <w:spacing w:after="0" w:line="232" w:lineRule="exact"/>
        <w:rPr>
          <w:sz w:val="20"/>
          <w:szCs w:val="20"/>
          <w:color w:val="auto"/>
        </w:rPr>
      </w:pPr>
    </w:p>
    <w:p>
      <w:pPr>
        <w:ind w:left="160"/>
        <w:spacing w:after="0"/>
        <w:tabs>
          <w:tab w:leader="none" w:pos="480" w:val="left"/>
        </w:tabs>
        <w:rPr>
          <w:sz w:val="20"/>
          <w:szCs w:val="20"/>
          <w:color w:val="auto"/>
        </w:rPr>
      </w:pPr>
      <w:r>
        <w:rPr>
          <w:rFonts w:ascii="Times New Roman" w:cs="Times New Roman" w:eastAsia="Times New Roman" w:hAnsi="Times New Roman"/>
          <w:sz w:val="14"/>
          <w:szCs w:val="14"/>
          <w:color w:val="auto"/>
        </w:rPr>
        <w:t>(4)</w:t>
        <w:tab/>
        <w:t xml:space="preserve">Exact name of the surviving entity: EMC Corporation 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1610360</wp:posOffset>
            </wp:positionH>
            <wp:positionV relativeFrom="paragraph">
              <wp:posOffset>-4445</wp:posOffset>
            </wp:positionV>
            <wp:extent cx="355727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0">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81" w:lineRule="exact"/>
        <w:rPr>
          <w:sz w:val="20"/>
          <w:szCs w:val="20"/>
          <w:color w:val="auto"/>
        </w:rPr>
      </w:pPr>
    </w:p>
    <w:p>
      <w:pPr>
        <w:ind w:left="160"/>
        <w:spacing w:after="0"/>
        <w:tabs>
          <w:tab w:leader="none" w:pos="480" w:val="left"/>
        </w:tabs>
        <w:rPr>
          <w:sz w:val="20"/>
          <w:szCs w:val="20"/>
          <w:color w:val="auto"/>
        </w:rPr>
      </w:pPr>
      <w:r>
        <w:rPr>
          <w:rFonts w:ascii="Times New Roman" w:cs="Times New Roman" w:eastAsia="Times New Roman" w:hAnsi="Times New Roman"/>
          <w:sz w:val="14"/>
          <w:szCs w:val="14"/>
          <w:color w:val="auto"/>
        </w:rPr>
        <w:t>(5)</w:t>
        <w:tab/>
        <w:t xml:space="preserve">Jurisdiction under the laws of which the surviving entity will be organized: Massachusetts 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-4445</wp:posOffset>
            </wp:positionV>
            <wp:extent cx="205105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1">
                      <a:extLst>
                        <a:ext uri="{28A0092B-C50C-407E-A947-70E740481C1C}"/>
                      </a:extLst>
                    </a:blip>
                    <a:srcRect/>
                    <a:stretch>
                      <a:fillRect/>
                    </a:stretch>
                  </pic:blipFill>
                  <pic:spPr bwMode="auto">
                    <a:xfrm>
                      <a:off x="0" y="0"/>
                      <a:ext cx="2051050" cy="6985"/>
                    </a:xfrm>
                    <a:prstGeom prst="rect">
                      <a:avLst/>
                    </a:prstGeom>
                    <a:noFill/>
                  </pic:spPr>
                </pic:pic>
              </a:graphicData>
            </a:graphic>
          </wp:anchor>
        </w:drawing>
      </w:r>
    </w:p>
    <w:p>
      <w:pPr>
        <w:spacing w:after="0" w:line="181" w:lineRule="exact"/>
        <w:rPr>
          <w:sz w:val="20"/>
          <w:szCs w:val="20"/>
          <w:color w:val="auto"/>
        </w:rPr>
      </w:pPr>
    </w:p>
    <w:p>
      <w:pPr>
        <w:ind w:left="500" w:hanging="337"/>
        <w:spacing w:after="0"/>
        <w:tabs>
          <w:tab w:leader="none" w:pos="50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shall be effective at the time and on the date approved by the Division, unless a later effective date not more than 90 days from the</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date and time of filing is specified: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-13335</wp:posOffset>
            </wp:positionV>
            <wp:extent cx="378269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2">
                      <a:extLst>
                        <a:ext uri="{28A0092B-C50C-407E-A947-70E740481C1C}"/>
                      </a:extLst>
                    </a:blip>
                    <a:srcRect/>
                    <a:stretch>
                      <a:fillRect/>
                    </a:stretch>
                  </pic:blipFill>
                  <pic:spPr bwMode="auto">
                    <a:xfrm>
                      <a:off x="0" y="0"/>
                      <a:ext cx="3782695" cy="6985"/>
                    </a:xfrm>
                    <a:prstGeom prst="rect">
                      <a:avLst/>
                    </a:prstGeom>
                    <a:noFill/>
                  </pic:spPr>
                </pic:pic>
              </a:graphicData>
            </a:graphic>
          </wp:anchor>
        </w:drawing>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(7-8) For each domestic corporation that is a party to the merger:**</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(check appropriate box)</w:t>
      </w:r>
    </w:p>
    <w:p>
      <w:pPr>
        <w:spacing w:after="0" w:line="107" w:lineRule="exact"/>
        <w:rPr>
          <w:sz w:val="20"/>
          <w:szCs w:val="20"/>
          <w:color w:val="auto"/>
        </w:rPr>
      </w:pPr>
    </w:p>
    <w:p>
      <w:pPr>
        <w:ind w:left="920" w:right="659" w:hanging="416"/>
        <w:spacing w:after="0" w:line="288" w:lineRule="auto"/>
        <w:tabs>
          <w:tab w:leader="none" w:pos="920" w:val="left"/>
        </w:tabs>
        <w:numPr>
          <w:ilvl w:val="0"/>
          <w:numId w:val="33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The plan of merger was duly approved by the shareholders, and where required, by each separate voting group as provided by G.L. Chapter 156D and the articles of organization.</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OR</w:t>
      </w:r>
    </w:p>
    <w:p>
      <w:pPr>
        <w:spacing w:after="0" w:line="170" w:lineRule="exact"/>
        <w:rPr>
          <w:sz w:val="20"/>
          <w:szCs w:val="20"/>
          <w:color w:val="auto"/>
        </w:rPr>
      </w:pPr>
    </w:p>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The plan of merger did not require the approval of the shareholders.</w:t>
      </w:r>
    </w:p>
    <w:p>
      <w:pPr>
        <w:spacing w:after="0" w:line="232" w:lineRule="exact"/>
        <w:rPr>
          <w:sz w:val="20"/>
          <w:szCs w:val="20"/>
          <w:color w:val="auto"/>
        </w:rPr>
      </w:pPr>
    </w:p>
    <w:p>
      <w:pPr>
        <w:ind w:left="500" w:right="199" w:hanging="337"/>
        <w:spacing w:after="0" w:line="288" w:lineRule="auto"/>
        <w:tabs>
          <w:tab w:leader="none" w:pos="50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of each other domestic entity, foreign corporation, or foreign other entity was duly authorized by the law under which the other entity or foreign corporation is organized and by its organizational documents.</w:t>
      </w:r>
    </w:p>
    <w:p>
      <w:pPr>
        <w:spacing w:after="0" w:line="144" w:lineRule="exact"/>
        <w:rPr>
          <w:sz w:val="20"/>
          <w:szCs w:val="20"/>
          <w:color w:val="auto"/>
        </w:rPr>
      </w:pPr>
    </w:p>
    <w:p>
      <w:pPr>
        <w:ind w:left="500" w:hanging="337"/>
        <w:spacing w:after="0"/>
        <w:tabs>
          <w:tab w:leader="none" w:pos="500" w:val="left"/>
        </w:tabs>
        <w:numPr>
          <w:ilvl w:val="0"/>
          <w:numId w:val="3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Check appropriate box</w:t>
      </w:r>
    </w:p>
    <w:p>
      <w:pPr>
        <w:spacing w:after="0" w:line="25" w:lineRule="exact"/>
        <w:rPr>
          <w:sz w:val="20"/>
          <w:szCs w:val="20"/>
          <w:color w:val="auto"/>
        </w:rPr>
      </w:pPr>
    </w:p>
    <w:p>
      <w:pPr>
        <w:ind w:left="500" w:hanging="337"/>
        <w:spacing w:after="0"/>
        <w:tabs>
          <w:tab w:leader="none" w:pos="500" w:val="left"/>
        </w:tabs>
        <w:numPr>
          <w:ilvl w:val="0"/>
          <w:numId w:val="3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Provide this information for each domestic corporation separately</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-4445</wp:posOffset>
            </wp:positionV>
            <wp:extent cx="540385"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3">
                      <a:extLst>
                        <a:ext uri="{28A0092B-C50C-407E-A947-70E740481C1C}"/>
                      </a:extLst>
                    </a:blip>
                    <a:srcRect/>
                    <a:stretch>
                      <a:fillRect/>
                    </a:stretch>
                  </pic:blipFill>
                  <pic:spPr bwMode="auto">
                    <a:xfrm>
                      <a:off x="0" y="0"/>
                      <a:ext cx="540385" cy="698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4940935</wp:posOffset>
            </wp:positionH>
            <wp:positionV relativeFrom="paragraph">
              <wp:posOffset>127635</wp:posOffset>
            </wp:positionV>
            <wp:extent cx="675640" cy="12827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4">
                      <a:extLst>
                        <a:ext uri="{28A0092B-C50C-407E-A947-70E740481C1C}"/>
                      </a:extLst>
                    </a:blip>
                    <a:srcRect/>
                    <a:stretch>
                      <a:fillRect/>
                    </a:stretch>
                  </pic:blipFill>
                  <pic:spPr bwMode="auto">
                    <a:xfrm>
                      <a:off x="0" y="0"/>
                      <a:ext cx="675640" cy="12827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type w:val="continuous"/>
        </w:sectPr>
      </w:pPr>
    </w:p>
    <w:bookmarkStart w:id="170" w:name="page171"/>
    <w:bookmarkEnd w:id="170"/>
    <w:p>
      <w:pPr>
        <w:ind w:left="500" w:hanging="337"/>
        <w:spacing w:after="0"/>
        <w:tabs>
          <w:tab w:leader="none" w:pos="50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Attach any amendment to articles of organization of the surviving entity, where the survivor is a domestic business corporation.</w:t>
      </w:r>
    </w:p>
    <w:p>
      <w:pPr>
        <w:spacing w:after="0" w:line="200" w:lineRule="exact"/>
        <w:rPr>
          <w:rFonts w:ascii="Times New Roman" w:cs="Times New Roman" w:eastAsia="Times New Roman" w:hAnsi="Times New Roman"/>
          <w:sz w:val="14"/>
          <w:szCs w:val="14"/>
          <w:color w:val="auto"/>
        </w:rPr>
      </w:pPr>
    </w:p>
    <w:p>
      <w:pPr>
        <w:ind w:left="500" w:right="839" w:hanging="337"/>
        <w:spacing w:after="0" w:line="288" w:lineRule="auto"/>
        <w:tabs>
          <w:tab w:leader="none" w:pos="50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 the articles of organization of the surviving entity, where the survivor is a NEW domestic business corporation, including all the supplemental information required by 950 CMR 113.16.</w:t>
      </w:r>
    </w:p>
    <w:p>
      <w:pPr>
        <w:spacing w:after="0" w:line="145" w:lineRule="exact"/>
        <w:rPr>
          <w:rFonts w:ascii="Times New Roman" w:cs="Times New Roman" w:eastAsia="Times New Roman" w:hAnsi="Times New Roman"/>
          <w:sz w:val="14"/>
          <w:szCs w:val="14"/>
          <w:color w:val="auto"/>
        </w:rPr>
      </w:pPr>
    </w:p>
    <w:p>
      <w:pPr>
        <w:ind w:left="500" w:hanging="337"/>
        <w:spacing w:after="0"/>
        <w:tabs>
          <w:tab w:leader="none" w:pos="50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executive office address of the surviving foreign other entity if such information is not on the public record in the foreign jurisdiction:</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-13335</wp:posOffset>
            </wp:positionV>
            <wp:extent cx="369252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6">
                      <a:extLst>
                        <a:ext uri="{28A0092B-C50C-407E-A947-70E740481C1C}"/>
                      </a:extLst>
                    </a:blip>
                    <a:srcRect/>
                    <a:stretch>
                      <a:fillRect/>
                    </a:stretch>
                  </pic:blipFill>
                  <pic:spPr bwMode="auto">
                    <a:xfrm>
                      <a:off x="0" y="0"/>
                      <a:ext cx="3692525" cy="698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14"/>
          <w:szCs w:val="14"/>
          <w:i w:val="1"/>
          <w:iCs w:val="1"/>
          <w:color w:val="auto"/>
        </w:rPr>
        <w:t>(number, street, city or town, state, zip code)</w:t>
      </w:r>
    </w:p>
    <w:p>
      <w:pPr>
        <w:sectPr>
          <w:pgSz w:w="11900" w:h="16838" w:orient="portrait"/>
          <w:cols w:equalWidth="0" w:num="1">
            <w:col w:w="9019"/>
          </w:cols>
          <w:pgMar w:left="1440" w:top="242" w:right="1440" w:bottom="1440" w:gutter="0" w:footer="0" w:header="0"/>
        </w:sectPr>
      </w:pPr>
    </w:p>
    <w:bookmarkStart w:id="171" w:name="page172"/>
    <w:bookmarkEnd w:id="171"/>
    <w:p>
      <w:pPr>
        <w:ind w:left="160"/>
        <w:spacing w:after="0"/>
        <w:tabs>
          <w:tab w:leader="none" w:pos="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Signed by:</w:t>
        <w:tab/>
        <w:t>/s/ Christopher Garcia</w:t>
      </w:r>
    </w:p>
    <w:p>
      <w:pPr>
        <w:spacing w:after="0" w:line="23"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187" w:lineRule="exact"/>
        <w:rPr>
          <w:sz w:val="20"/>
          <w:szCs w:val="20"/>
          <w:color w:val="auto"/>
        </w:rPr>
      </w:pPr>
    </w:p>
    <w:p>
      <w:pPr>
        <w:ind w:left="760" w:hanging="256"/>
        <w:spacing w:after="0"/>
        <w:tabs>
          <w:tab w:leader="none" w:pos="760" w:val="left"/>
        </w:tabs>
        <w:numPr>
          <w:ilvl w:val="0"/>
          <w:numId w:val="33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760" w:hanging="256"/>
        <w:spacing w:after="0"/>
        <w:tabs>
          <w:tab w:leader="none" w:pos="760" w:val="left"/>
        </w:tabs>
        <w:numPr>
          <w:ilvl w:val="0"/>
          <w:numId w:val="33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760" w:hanging="256"/>
        <w:spacing w:after="0"/>
        <w:tabs>
          <w:tab w:leader="none" w:pos="760" w:val="left"/>
        </w:tabs>
        <w:numPr>
          <w:ilvl w:val="0"/>
          <w:numId w:val="34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jc w:val="both"/>
        <w:ind w:left="160" w:right="6759" w:firstLine="344"/>
        <w:spacing w:after="0" w:line="440" w:lineRule="auto"/>
        <w:tabs>
          <w:tab w:leader="none" w:pos="756" w:val="left"/>
        </w:tabs>
        <w:numPr>
          <w:ilvl w:val="0"/>
          <w:numId w:val="34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 on this 17th day of December, 2025. Signed by: /s/ Christopher Garcia</w:t>
      </w:r>
    </w:p>
    <w:p>
      <w:pPr>
        <w:spacing w:after="0" w:line="1"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4"/>
          <w:szCs w:val="14"/>
          <w:i w:val="1"/>
          <w:iCs w:val="1"/>
          <w:color w:val="auto"/>
        </w:rPr>
        <w:t>(signature of authorized individual)</w:t>
      </w:r>
    </w:p>
    <w:p>
      <w:pPr>
        <w:spacing w:after="0" w:line="91" w:lineRule="exact"/>
        <w:rPr>
          <w:sz w:val="20"/>
          <w:szCs w:val="20"/>
          <w:color w:val="auto"/>
        </w:rPr>
      </w:pPr>
    </w:p>
    <w:p>
      <w:pPr>
        <w:ind w:left="760" w:hanging="256"/>
        <w:spacing w:after="0"/>
        <w:tabs>
          <w:tab w:leader="none" w:pos="760" w:val="left"/>
        </w:tabs>
        <w:numPr>
          <w:ilvl w:val="0"/>
          <w:numId w:val="34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Chairman of the board of directors,</w:t>
      </w:r>
    </w:p>
    <w:p>
      <w:pPr>
        <w:spacing w:after="0" w:line="105" w:lineRule="exact"/>
        <w:rPr>
          <w:rFonts w:ascii="MS PGothic" w:cs="MS PGothic" w:eastAsia="MS PGothic" w:hAnsi="MS PGothic"/>
          <w:sz w:val="14"/>
          <w:szCs w:val="14"/>
          <w:color w:val="auto"/>
        </w:rPr>
      </w:pPr>
    </w:p>
    <w:p>
      <w:pPr>
        <w:ind w:left="760" w:hanging="256"/>
        <w:spacing w:after="0"/>
        <w:tabs>
          <w:tab w:leader="none" w:pos="760" w:val="left"/>
        </w:tabs>
        <w:numPr>
          <w:ilvl w:val="0"/>
          <w:numId w:val="34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President,</w:t>
      </w:r>
    </w:p>
    <w:p>
      <w:pPr>
        <w:spacing w:after="0" w:line="105" w:lineRule="exact"/>
        <w:rPr>
          <w:sz w:val="20"/>
          <w:szCs w:val="20"/>
          <w:color w:val="auto"/>
        </w:rPr>
      </w:pPr>
    </w:p>
    <w:p>
      <w:pPr>
        <w:ind w:left="760" w:hanging="256"/>
        <w:spacing w:after="0"/>
        <w:tabs>
          <w:tab w:leader="none" w:pos="760" w:val="left"/>
        </w:tabs>
        <w:numPr>
          <w:ilvl w:val="0"/>
          <w:numId w:val="34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Other officer,</w:t>
      </w:r>
    </w:p>
    <w:p>
      <w:pPr>
        <w:spacing w:after="0" w:line="105" w:lineRule="exact"/>
        <w:rPr>
          <w:sz w:val="20"/>
          <w:szCs w:val="20"/>
          <w:color w:val="auto"/>
        </w:rPr>
      </w:pPr>
    </w:p>
    <w:p>
      <w:pPr>
        <w:jc w:val="both"/>
        <w:ind w:left="160" w:right="6759" w:firstLine="344"/>
        <w:spacing w:after="0" w:line="542" w:lineRule="auto"/>
        <w:tabs>
          <w:tab w:leader="none" w:pos="756" w:val="left"/>
        </w:tabs>
        <w:numPr>
          <w:ilvl w:val="0"/>
          <w:numId w:val="34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Court-appointed fiduciary, on this 17th day of December, 2025.</w:t>
      </w:r>
    </w:p>
    <w:p>
      <w:pPr>
        <w:sectPr>
          <w:pgSz w:w="11900" w:h="16838" w:orient="portrait"/>
          <w:cols w:equalWidth="0" w:num="1">
            <w:col w:w="9019"/>
          </w:cols>
          <w:pgMar w:left="1440" w:top="242" w:right="1440"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THE COMMONWEALTH OF MASSACHUSETTS</w:t>
      </w:r>
    </w:p>
    <w:p>
      <w:pPr>
        <w:spacing w:after="0" w:line="179" w:lineRule="exact"/>
        <w:rPr>
          <w:sz w:val="20"/>
          <w:szCs w:val="20"/>
          <w:color w:val="auto"/>
        </w:rPr>
      </w:pPr>
    </w:p>
    <w:p>
      <w:pPr>
        <w:jc w:val="center"/>
        <w:ind w:left="180" w:right="179"/>
        <w:spacing w:after="0" w:line="281" w:lineRule="auto"/>
        <w:rPr>
          <w:sz w:val="20"/>
          <w:szCs w:val="20"/>
          <w:color w:val="auto"/>
        </w:rPr>
      </w:pPr>
      <w:r>
        <w:rPr>
          <w:rFonts w:ascii="Times New Roman" w:cs="Times New Roman" w:eastAsia="Times New Roman" w:hAnsi="Times New Roman"/>
          <w:sz w:val="14"/>
          <w:szCs w:val="14"/>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December 18, 2025 12:23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137160</wp:posOffset>
            </wp:positionV>
            <wp:extent cx="2283460" cy="641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9">
                      <a:extLst>
                        <a:ext uri="{28A0092B-C50C-407E-A947-70E740481C1C}"/>
                      </a:extLst>
                    </a:blip>
                    <a:srcRect/>
                    <a:stretch>
                      <a:fillRect/>
                    </a:stretch>
                  </pic:blipFill>
                  <pic:spPr bwMode="auto">
                    <a:xfrm>
                      <a:off x="0" y="0"/>
                      <a:ext cx="2283460" cy="64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WILLIAM FRANCIS GALVIN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Secretary of the Commonwealth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137795</wp:posOffset>
            </wp:positionV>
            <wp:extent cx="1141730" cy="8375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0">
                      <a:extLst>
                        <a:ext uri="{28A0092B-C50C-407E-A947-70E740481C1C}"/>
                      </a:extLst>
                    </a:blip>
                    <a:srcRect/>
                    <a:stretch>
                      <a:fillRect/>
                    </a:stretch>
                  </pic:blipFill>
                  <pic:spPr bwMode="auto">
                    <a:xfrm>
                      <a:off x="0" y="0"/>
                      <a:ext cx="1141730" cy="83756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73" w:name="page174"/>
    <w:bookmarkEnd w:id="173"/>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13106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1">
                      <a:extLst>
                        <a:ext uri="{28A0092B-C50C-407E-A947-70E740481C1C}"/>
                      </a:extLst>
                    </a:blip>
                    <a:srcRect/>
                    <a:stretch>
                      <a:fillRect/>
                    </a:stretch>
                  </pic:blipFill>
                  <pic:spPr bwMode="auto">
                    <a:xfrm>
                      <a:off x="0" y="0"/>
                      <a:ext cx="7200265" cy="1310640"/>
                    </a:xfrm>
                    <a:prstGeom prst="rect">
                      <a:avLst/>
                    </a:prstGeom>
                    <a:noFill/>
                  </pic:spPr>
                </pic:pic>
              </a:graphicData>
            </a:graphic>
          </wp:anchor>
        </w:drawing>
        <w:t>The Commonwealth of Massachusetts, William Francis Galvin</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Corporations Division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One Ashburton Place - Floor 17, Boston MA 02108-1512  |  Phone: 617-727-9640</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Annual Report</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(General Laws, Chapter 156D, Section 16.22; 950 CMR 113.57)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Identification Number: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042680009</w:t>
            </w:r>
          </w:p>
        </w:tc>
      </w:tr>
    </w:tbl>
    <w:p>
      <w:pPr>
        <w:spacing w:after="0" w:line="156" w:lineRule="exact"/>
        <w:rPr>
          <w:sz w:val="20"/>
          <w:szCs w:val="20"/>
          <w:color w:val="auto"/>
        </w:rPr>
      </w:pPr>
    </w:p>
    <w:p>
      <w:pPr>
        <w:ind w:left="300" w:hanging="137"/>
        <w:spacing w:after="0"/>
        <w:tabs>
          <w:tab w:leader="none" w:pos="300"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Exact name of the corporation:</w:t>
      </w:r>
    </w:p>
    <w:p>
      <w:pPr>
        <w:spacing w:after="0" w:line="179" w:lineRule="exact"/>
        <w:rPr>
          <w:rFonts w:ascii="Times New Roman" w:cs="Times New Roman" w:eastAsia="Times New Roman" w:hAnsi="Times New Roman"/>
          <w:sz w:val="14"/>
          <w:szCs w:val="14"/>
          <w:color w:val="auto"/>
        </w:rPr>
      </w:pPr>
    </w:p>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EMC CORPORATION</w:t>
      </w:r>
    </w:p>
    <w:p>
      <w:pPr>
        <w:spacing w:after="0" w:line="179" w:lineRule="exact"/>
        <w:rPr>
          <w:rFonts w:ascii="Times New Roman" w:cs="Times New Roman" w:eastAsia="Times New Roman" w:hAnsi="Times New Roman"/>
          <w:sz w:val="14"/>
          <w:szCs w:val="14"/>
          <w:color w:val="auto"/>
        </w:rPr>
      </w:pPr>
    </w:p>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 Street address of the corporation registered office in the commonwealth and the name of the registered agent at that office:</w:t>
      </w:r>
    </w:p>
    <w:p>
      <w:pPr>
        <w:sectPr>
          <w:pgSz w:w="11900" w:h="16838" w:orient="portrait"/>
          <w:cols w:equalWidth="0" w:num="1">
            <w:col w:w="9019"/>
          </w:cols>
          <w:pgMar w:left="1440" w:top="634" w:right="1440" w:bottom="1440" w:gutter="0" w:footer="0" w:header="0"/>
        </w:sectPr>
      </w:pP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Agent name:</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Number and street: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CORPORATION SERVICE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84 STATE STREET</w:t>
      </w:r>
    </w:p>
    <w:p>
      <w:pPr>
        <w:spacing w:after="0" w:line="200" w:lineRule="exact"/>
        <w:rPr>
          <w:sz w:val="20"/>
          <w:szCs w:val="20"/>
          <w:color w:val="auto"/>
        </w:rPr>
      </w:pPr>
    </w:p>
    <w:p>
      <w:pPr>
        <w:sectPr>
          <w:pgSz w:w="11900" w:h="16838" w:orient="portrait"/>
          <w:cols w:equalWidth="0" w:num="2">
            <w:col w:w="1260" w:space="120"/>
            <w:col w:w="7639"/>
          </w:cols>
          <w:pgMar w:left="1440" w:top="634" w:right="1440" w:bottom="1440" w:gutter="0" w:footer="0" w:header="0"/>
          <w:type w:val="continuous"/>
        </w:sectPr>
      </w:pP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Address 2:</w:t>
      </w:r>
    </w:p>
    <w:p>
      <w:pPr>
        <w:sectPr>
          <w:pgSz w:w="11900" w:h="16838" w:orient="portrait"/>
          <w:cols w:equalWidth="0" w:num="1">
            <w:col w:w="9019"/>
          </w:cols>
          <w:pgMar w:left="1440" w:top="634" w:right="1440" w:bottom="1440" w:gutter="0" w:footer="0" w:header="0"/>
          <w:type w:val="continuous"/>
        </w:sectPr>
      </w:pP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City or town: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  MA</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02109</w:t>
      </w:r>
    </w:p>
    <w:p>
      <w:pPr>
        <w:spacing w:after="0" w:line="179" w:lineRule="exact"/>
        <w:rPr>
          <w:sz w:val="20"/>
          <w:szCs w:val="20"/>
          <w:color w:val="auto"/>
        </w:rPr>
      </w:pPr>
    </w:p>
    <w:p>
      <w:pPr>
        <w:sectPr>
          <w:pgSz w:w="11900" w:h="16838" w:orient="portrait"/>
          <w:cols w:equalWidth="0" w:num="5">
            <w:col w:w="920" w:space="480"/>
            <w:col w:w="3360" w:space="720"/>
            <w:col w:w="1520" w:space="720"/>
            <w:col w:w="540" w:space="160"/>
            <w:col w:w="599"/>
          </w:cols>
          <w:pgMar w:left="1440" w:top="634"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4. Street address of the corporation’s principal office:</w:t>
      </w:r>
    </w:p>
    <w:p>
      <w:pPr>
        <w:sectPr>
          <w:pgSz w:w="11900" w:h="16838" w:orient="portrait"/>
          <w:cols w:equalWidth="0" w:num="1">
            <w:col w:w="9019"/>
          </w:cols>
          <w:pgMar w:left="1440" w:top="634" w:right="1440" w:bottom="1440" w:gutter="0" w:footer="0" w:header="0"/>
          <w:type w:val="continuous"/>
        </w:sectPr>
      </w:pPr>
    </w:p>
    <w:p>
      <w:pPr>
        <w:spacing w:after="0" w:line="20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color w:val="auto"/>
        </w:rPr>
        <w:t>Number and street: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176 SOUTH ST.</w:t>
      </w:r>
    </w:p>
    <w:p>
      <w:pPr>
        <w:spacing w:after="0" w:line="105" w:lineRule="exact"/>
        <w:rPr>
          <w:sz w:val="20"/>
          <w:szCs w:val="20"/>
          <w:color w:val="auto"/>
        </w:rPr>
      </w:pPr>
    </w:p>
    <w:p>
      <w:pPr>
        <w:sectPr>
          <w:pgSz w:w="11900" w:h="16838" w:orient="portrait"/>
          <w:cols w:equalWidth="0" w:num="2">
            <w:col w:w="1260" w:space="140"/>
            <w:col w:w="7619"/>
          </w:cols>
          <w:pgMar w:left="1440" w:top="634"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Address 2:</w:t>
      </w:r>
    </w:p>
    <w:p>
      <w:pPr>
        <w:sectPr>
          <w:pgSz w:w="11900" w:h="16838" w:orient="portrait"/>
          <w:cols w:equalWidth="0" w:num="1">
            <w:col w:w="9019"/>
          </w:cols>
          <w:pgMar w:left="1440" w:top="634" w:right="1440" w:bottom="1440" w:gutter="0" w:footer="0" w:header="0"/>
          <w:type w:val="continuous"/>
        </w:sectPr>
      </w:pP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City or town: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HOPKINTON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  MA</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01748</w:t>
      </w:r>
    </w:p>
    <w:p>
      <w:pPr>
        <w:spacing w:after="0" w:line="94" w:lineRule="exact"/>
        <w:rPr>
          <w:sz w:val="20"/>
          <w:szCs w:val="20"/>
          <w:color w:val="auto"/>
        </w:rPr>
      </w:pPr>
    </w:p>
    <w:p>
      <w:pPr>
        <w:sectPr>
          <w:pgSz w:w="11900" w:h="16838" w:orient="portrait"/>
          <w:cols w:equalWidth="0" w:num="5">
            <w:col w:w="920" w:space="480"/>
            <w:col w:w="3360" w:space="720"/>
            <w:col w:w="1520" w:space="720"/>
            <w:col w:w="540" w:space="160"/>
            <w:col w:w="599"/>
          </w:cols>
          <w:pgMar w:left="1440" w:top="634"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Country: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UNITED STATES</w:t>
      </w:r>
    </w:p>
    <w:p>
      <w:pPr>
        <w:spacing w:after="0" w:line="190" w:lineRule="exact"/>
        <w:rPr>
          <w:sz w:val="20"/>
          <w:szCs w:val="20"/>
          <w:color w:val="auto"/>
        </w:rPr>
      </w:pPr>
    </w:p>
    <w:p>
      <w:pPr>
        <w:sectPr>
          <w:pgSz w:w="11900" w:h="16838" w:orient="portrait"/>
          <w:cols w:equalWidth="0" w:num="2">
            <w:col w:w="680" w:space="720"/>
            <w:col w:w="7619"/>
          </w:cols>
          <w:pgMar w:left="1440" w:top="634" w:right="1440" w:bottom="1440" w:gutter="0" w:footer="0" w:header="0"/>
          <w:type w:val="continuous"/>
        </w:sectPr>
      </w:pPr>
    </w:p>
    <w:p>
      <w:pPr>
        <w:ind w:left="160" w:right="179" w:firstLine="3"/>
        <w:spacing w:after="0" w:line="288" w:lineRule="auto"/>
        <w:tabs>
          <w:tab w:leader="none" w:pos="302"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the name and addresses of the corporation’s board of directors and its president, treasurer, secretary, and if different, its chief executive officer and chief financial officer.</w:t>
      </w:r>
    </w:p>
    <w:p>
      <w:pPr>
        <w:spacing w:after="0" w:line="141"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1"/>
                <w:szCs w:val="11"/>
                <w:color w:val="auto"/>
              </w:rPr>
            </w:pPr>
          </w:p>
        </w:tc>
        <w:tc>
          <w:tcPr>
            <w:tcW w:w="26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1"/>
                <w:szCs w:val="11"/>
                <w:b w:val="1"/>
                <w:bCs w:val="1"/>
                <w:color w:val="auto"/>
              </w:rPr>
              <w:t>Individual Name</w:t>
            </w:r>
          </w:p>
        </w:tc>
        <w:tc>
          <w:tcPr>
            <w:tcW w:w="80" w:type="dxa"/>
            <w:vAlign w:val="bottom"/>
          </w:tcPr>
          <w:p>
            <w:pPr>
              <w:spacing w:after="0"/>
              <w:rPr>
                <w:sz w:val="11"/>
                <w:szCs w:val="11"/>
                <w:color w:val="auto"/>
              </w:rPr>
            </w:pPr>
          </w:p>
        </w:tc>
        <w:tc>
          <w:tcPr>
            <w:tcW w:w="41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1"/>
                <w:szCs w:val="11"/>
                <w:b w:val="1"/>
                <w:bCs w:val="1"/>
                <w:color w:val="auto"/>
              </w:rPr>
              <w:t>Address</w:t>
            </w:r>
          </w:p>
        </w:tc>
      </w:tr>
      <w:tr>
        <w:trPr>
          <w:trHeight w:val="244"/>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WILLIAM SCANNELL</w:t>
            </w:r>
          </w:p>
        </w:tc>
        <w:tc>
          <w:tcPr>
            <w:tcW w:w="4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176 SOUTH STREET HOPKINTON, MA 01748 USA</w:t>
            </w:r>
          </w:p>
        </w:tc>
      </w:tr>
      <w:tr>
        <w:trPr>
          <w:trHeight w:val="255"/>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TREASURER</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TYLER WISE JOHNSON II</w:t>
            </w:r>
          </w:p>
        </w:tc>
        <w:tc>
          <w:tcPr>
            <w:tcW w:w="4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176 SOUTH STREET HOPKINTON, MA 01748 USA</w:t>
            </w:r>
          </w:p>
        </w:tc>
      </w:tr>
      <w:tr>
        <w:trPr>
          <w:trHeight w:val="255"/>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SECRETARY</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RICHARD JAY ROTHBERG</w:t>
            </w:r>
          </w:p>
        </w:tc>
        <w:tc>
          <w:tcPr>
            <w:tcW w:w="4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176 SOUTH STREET HOPKINTON, MA 01748 USA</w:t>
            </w:r>
          </w:p>
        </w:tc>
      </w:tr>
      <w:tr>
        <w:trPr>
          <w:trHeight w:val="255"/>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ASSISTANT SECRETARY</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CHRISTOPHER ALAN GARCIA</w:t>
            </w:r>
          </w:p>
        </w:tc>
        <w:tc>
          <w:tcPr>
            <w:tcW w:w="4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176 SOUTH STREET HOPKINTON, MA 01748 USA</w:t>
            </w:r>
          </w:p>
        </w:tc>
      </w:tr>
      <w:tr>
        <w:trPr>
          <w:trHeight w:val="255"/>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CHRISTOPHER ALAN GARCIA</w:t>
            </w:r>
          </w:p>
        </w:tc>
        <w:tc>
          <w:tcPr>
            <w:tcW w:w="4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176 SOUTH STREET HOPKINTON, MA 01748 USA</w:t>
            </w:r>
          </w:p>
        </w:tc>
      </w:tr>
    </w:tbl>
    <w:p>
      <w:pPr>
        <w:sectPr>
          <w:pgSz w:w="11900" w:h="16838" w:orient="portrait"/>
          <w:cols w:equalWidth="0" w:num="1">
            <w:col w:w="9019"/>
          </w:cols>
          <w:pgMar w:left="1440" w:top="634" w:right="1440" w:bottom="1440" w:gutter="0" w:footer="0" w:header="0"/>
          <w:type w:val="continuous"/>
        </w:sectPr>
      </w:pPr>
    </w:p>
    <w:bookmarkStart w:id="174" w:name="page175"/>
    <w:bookmarkEnd w:id="174"/>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6. Briefly describe the business of the corporation:</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TO DEVELOP, MANUFACTURE &amp; SELL COMPUTER PERIPHERAL</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7. Capital stock of each class and series:</w:t>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26"/>
        </w:trPr>
        <w:tc>
          <w:tcPr>
            <w:tcW w:w="6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Par value per</w:t>
            </w:r>
          </w:p>
        </w:tc>
        <w:tc>
          <w:tcPr>
            <w:tcW w:w="14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Total authorized</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authorized</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Total issued</w:t>
            </w:r>
          </w:p>
        </w:tc>
        <w:tc>
          <w:tcPr>
            <w:tcW w:w="0" w:type="dxa"/>
            <w:vAlign w:val="bottom"/>
          </w:tcPr>
          <w:p>
            <w:pPr>
              <w:spacing w:after="0"/>
              <w:rPr>
                <w:sz w:val="1"/>
                <w:szCs w:val="1"/>
                <w:color w:val="auto"/>
              </w:rPr>
            </w:pPr>
          </w:p>
        </w:tc>
      </w:tr>
      <w:tr>
        <w:trPr>
          <w:trHeight w:val="117"/>
        </w:trPr>
        <w:tc>
          <w:tcPr>
            <w:tcW w:w="6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Class of Stock</w:t>
            </w:r>
          </w:p>
        </w:tc>
        <w:tc>
          <w:tcPr>
            <w:tcW w:w="2920" w:type="dxa"/>
            <w:vAlign w:val="bottom"/>
          </w:tcPr>
          <w:p>
            <w:pPr>
              <w:spacing w:after="0"/>
              <w:rPr>
                <w:sz w:val="10"/>
                <w:szCs w:val="10"/>
                <w:color w:val="auto"/>
              </w:rPr>
            </w:pPr>
          </w:p>
        </w:tc>
        <w:tc>
          <w:tcPr>
            <w:tcW w:w="144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1"/>
                <w:szCs w:val="11"/>
                <w:b w:val="1"/>
                <w:bCs w:val="1"/>
                <w:color w:val="auto"/>
              </w:rPr>
              <w:t>share</w:t>
            </w:r>
          </w:p>
        </w:tc>
        <w:tc>
          <w:tcPr>
            <w:tcW w:w="1400" w:type="dxa"/>
            <w:vAlign w:val="bottom"/>
            <w:gridSpan w:val="2"/>
            <w:vMerge w:val="continue"/>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88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1"/>
                <w:szCs w:val="11"/>
                <w:b w:val="1"/>
                <w:bCs w:val="1"/>
                <w:color w:val="auto"/>
              </w:rPr>
              <w:t>and outstanding</w:t>
            </w:r>
          </w:p>
        </w:tc>
        <w:tc>
          <w:tcPr>
            <w:tcW w:w="0" w:type="dxa"/>
            <w:vAlign w:val="bottom"/>
          </w:tcPr>
          <w:p>
            <w:pPr>
              <w:spacing w:after="0"/>
              <w:rPr>
                <w:sz w:val="1"/>
                <w:szCs w:val="1"/>
                <w:color w:val="auto"/>
              </w:rPr>
            </w:pPr>
          </w:p>
        </w:tc>
      </w:tr>
      <w:tr>
        <w:trPr>
          <w:trHeight w:val="146"/>
        </w:trPr>
        <w:tc>
          <w:tcPr>
            <w:tcW w:w="680" w:type="dxa"/>
            <w:vAlign w:val="bottom"/>
            <w:tcBorders>
              <w:bottom w:val="single" w:sz="8" w:color="auto"/>
            </w:tcBorders>
            <w:vMerge w:val="continue"/>
          </w:tcPr>
          <w:p>
            <w:pPr>
              <w:spacing w:after="0"/>
              <w:rPr>
                <w:sz w:val="12"/>
                <w:szCs w:val="12"/>
                <w:color w:val="auto"/>
              </w:rPr>
            </w:pPr>
          </w:p>
        </w:tc>
        <w:tc>
          <w:tcPr>
            <w:tcW w:w="2920" w:type="dxa"/>
            <w:vAlign w:val="bottom"/>
          </w:tcPr>
          <w:p>
            <w:pPr>
              <w:spacing w:after="0"/>
              <w:rPr>
                <w:sz w:val="12"/>
                <w:szCs w:val="12"/>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(Enter 0 if no Par)</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2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0" w:type="dxa"/>
            <w:vAlign w:val="bottom"/>
          </w:tcPr>
          <w:p>
            <w:pPr>
              <w:spacing w:after="0"/>
              <w:rPr>
                <w:sz w:val="1"/>
                <w:szCs w:val="1"/>
                <w:color w:val="auto"/>
              </w:rPr>
            </w:pPr>
          </w:p>
        </w:tc>
      </w:tr>
      <w:tr>
        <w:trPr>
          <w:trHeight w:val="152"/>
        </w:trPr>
        <w:tc>
          <w:tcPr>
            <w:tcW w:w="68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CWP</w:t>
            </w:r>
          </w:p>
        </w:tc>
        <w:tc>
          <w:tcPr>
            <w:tcW w:w="29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0.01</w:t>
            </w:r>
          </w:p>
        </w:tc>
        <w:tc>
          <w:tcPr>
            <w:tcW w:w="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1,000</w:t>
            </w:r>
          </w:p>
        </w:tc>
        <w:tc>
          <w:tcPr>
            <w:tcW w:w="5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10</w:t>
            </w:r>
          </w:p>
        </w:tc>
        <w:tc>
          <w:tcPr>
            <w:tcW w:w="5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00" w:hanging="137"/>
        <w:spacing w:after="0"/>
        <w:tabs>
          <w:tab w:leader="none" w:pos="300"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here if the stock of the corporation is publicly traded:</w:t>
      </w:r>
    </w:p>
    <w:p>
      <w:pPr>
        <w:spacing w:after="0" w:line="179" w:lineRule="exact"/>
        <w:rPr>
          <w:rFonts w:ascii="Times New Roman" w:cs="Times New Roman" w:eastAsia="Times New Roman" w:hAnsi="Times New Roman"/>
          <w:sz w:val="14"/>
          <w:szCs w:val="14"/>
          <w:color w:val="auto"/>
        </w:rPr>
      </w:pPr>
    </w:p>
    <w:p>
      <w:pPr>
        <w:ind w:left="300" w:hanging="137"/>
        <w:spacing w:after="0"/>
        <w:tabs>
          <w:tab w:leader="none" w:pos="300"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is filed for fiscal year ending: 12/31/2025</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Signed by CHIRSTOPHER ALAN GARCIA, its OTHER OFFICER</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on this 18 Day of February, 2026</w:t>
      </w:r>
    </w:p>
    <w:p>
      <w:pPr>
        <w:sectPr>
          <w:pgSz w:w="11900" w:h="16838" w:orient="portrait"/>
          <w:cols w:equalWidth="0" w:num="1">
            <w:col w:w="9019"/>
          </w:cols>
          <w:pgMar w:left="1440" w:top="242" w:right="1440" w:bottom="1440" w:gutter="0" w:footer="0" w:header="0"/>
        </w:sectPr>
      </w:pPr>
    </w:p>
    <w:bookmarkStart w:id="175" w:name="page176"/>
    <w:bookmarkEnd w:id="175"/>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3.7</w:t>
      </w:r>
    </w:p>
    <w:p>
      <w:pPr>
        <w:sectPr>
          <w:pgSz w:w="11900" w:h="16838" w:orient="portrait"/>
          <w:cols w:equalWidth="0" w:num="1">
            <w:col w:w="9019"/>
          </w:cols>
          <w:pgMar w:left="1440" w:top="123" w:right="1440" w:bottom="1440" w:gutter="0" w:footer="0" w:header="0"/>
        </w:sectPr>
      </w:pPr>
    </w:p>
    <w:p>
      <w:pPr>
        <w:spacing w:after="0" w:line="201"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State of Delaware</w:t>
      </w:r>
    </w:p>
    <w:p>
      <w:pPr>
        <w:spacing w:after="0" w:line="25"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Secretary of State</w:t>
      </w:r>
    </w:p>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Division of Corporations</w:t>
      </w:r>
    </w:p>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Delivered 05:01 PM 09/11/2023</w:t>
      </w:r>
    </w:p>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FILED 05:01 PM 09/11/2023</w:t>
      </w:r>
    </w:p>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SR 20233463904 - File Number 2141541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39"/>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25" w:lineRule="exact"/>
        <w:rPr>
          <w:sz w:val="20"/>
          <w:szCs w:val="20"/>
          <w:color w:val="auto"/>
        </w:rPr>
      </w:pPr>
    </w:p>
    <w:p>
      <w:pPr>
        <w:jc w:val="center"/>
        <w:ind w:right="3139"/>
        <w:spacing w:after="0"/>
        <w:rPr>
          <w:sz w:val="20"/>
          <w:szCs w:val="20"/>
          <w:color w:val="auto"/>
        </w:rPr>
      </w:pPr>
      <w:r>
        <w:rPr>
          <w:rFonts w:ascii="Times New Roman" w:cs="Times New Roman" w:eastAsia="Times New Roman" w:hAnsi="Times New Roman"/>
          <w:sz w:val="14"/>
          <w:szCs w:val="14"/>
          <w:b w:val="1"/>
          <w:bCs w:val="1"/>
          <w:color w:val="auto"/>
        </w:rPr>
        <w:t>CERTIFICATE OF INCORPORATION</w:t>
      </w:r>
    </w:p>
    <w:p>
      <w:pPr>
        <w:spacing w:after="0" w:line="174" w:lineRule="exact"/>
        <w:rPr>
          <w:sz w:val="20"/>
          <w:szCs w:val="20"/>
          <w:color w:val="auto"/>
        </w:rPr>
      </w:pPr>
    </w:p>
    <w:p>
      <w:pPr>
        <w:sectPr>
          <w:pgSz w:w="11900" w:h="16838" w:orient="portrait"/>
          <w:cols w:equalWidth="0" w:num="2">
            <w:col w:w="2700" w:space="720"/>
            <w:col w:w="5599"/>
          </w:cols>
          <w:pgMar w:left="1440" w:top="123"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DELL INC.</w:t>
      </w:r>
    </w:p>
    <w:p>
      <w:pPr>
        <w:sectPr>
          <w:pgSz w:w="11900" w:h="16838" w:orient="portrait"/>
          <w:cols w:equalWidth="0" w:num="1">
            <w:col w:w="9019"/>
          </w:cols>
          <w:pgMar w:left="1440" w:top="123" w:right="1440" w:bottom="1440" w:gutter="0" w:footer="0" w:header="0"/>
          <w:type w:val="continuous"/>
        </w:sectPr>
      </w:pPr>
    </w:p>
    <w:p>
      <w:pPr>
        <w:spacing w:after="0" w:line="181" w:lineRule="exact"/>
        <w:rPr>
          <w:sz w:val="20"/>
          <w:szCs w:val="20"/>
          <w:color w:val="auto"/>
        </w:rPr>
      </w:pPr>
    </w:p>
    <w:p>
      <w:pPr>
        <w:ind w:left="160" w:right="179" w:firstLine="347"/>
        <w:spacing w:after="0" w:line="262" w:lineRule="auto"/>
        <w:rPr>
          <w:sz w:val="20"/>
          <w:szCs w:val="20"/>
          <w:color w:val="auto"/>
        </w:rPr>
      </w:pPr>
      <w:r>
        <w:rPr>
          <w:rFonts w:ascii="Times New Roman" w:cs="Times New Roman" w:eastAsia="Times New Roman" w:hAnsi="Times New Roman"/>
          <w:sz w:val="14"/>
          <w:szCs w:val="14"/>
          <w:color w:val="auto"/>
        </w:rPr>
        <w:t>Pursuant to Section 242 and Section 245 of the General Corporation Law of the State of Delaware, Dell Inc. has adopted this amended and restated Certificate of Incorporation, which has been duly proposed by the directors and adopted by the sole stockholder of the corporation by written consent pursuant to Section 228 of said General Corporation Law in accordance with the provisions of said Section 242 and Section 245. The corporation’s original Certificate of Incorporation was filed on October 22, 1987, under the name Dell Computer Corporation, and was last amended and restated on September 7, 2016.</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Amended and Restated Certificate of Incorporation restates, integrates and amends the prior Amended and Restated Certificate of</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Incorporation in its entirety to read as set forth herein:</w:t>
      </w:r>
    </w:p>
    <w:p>
      <w:pPr>
        <w:spacing w:after="0" w:line="1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Article 1. NAME</w:t>
      </w:r>
    </w:p>
    <w:p>
      <w:pPr>
        <w:spacing w:after="0" w:line="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name of this corporation is Dell Inc. (the “</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Article 2. REGISTERED OFFICE AND AGENT</w:t>
      </w:r>
    </w:p>
    <w:p>
      <w:pPr>
        <w:spacing w:after="0" w:line="96" w:lineRule="exact"/>
        <w:rPr>
          <w:sz w:val="20"/>
          <w:szCs w:val="20"/>
          <w:color w:val="auto"/>
        </w:rPr>
      </w:pPr>
    </w:p>
    <w:p>
      <w:pPr>
        <w:ind w:left="160" w:right="279" w:firstLine="781"/>
        <w:spacing w:after="0" w:line="288" w:lineRule="auto"/>
        <w:rPr>
          <w:sz w:val="20"/>
          <w:szCs w:val="20"/>
          <w:color w:val="auto"/>
        </w:rPr>
      </w:pPr>
      <w:r>
        <w:rPr>
          <w:rFonts w:ascii="Times New Roman" w:cs="Times New Roman" w:eastAsia="Times New Roman" w:hAnsi="Times New Roman"/>
          <w:sz w:val="14"/>
          <w:szCs w:val="14"/>
          <w:color w:val="auto"/>
        </w:rPr>
        <w:t>The registered office of the Corporation shall be located at 251 Little Falls Drive, Wilmington, New Castle County, Delaware 19808. The registered agent of the Corporation at such address shall be Corporation Service Company.</w:t>
      </w:r>
    </w:p>
    <w:p>
      <w:pPr>
        <w:spacing w:after="0" w:line="1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Article 3. PURPOSE AND POWERS</w:t>
      </w:r>
    </w:p>
    <w:p>
      <w:pPr>
        <w:spacing w:after="0" w:line="96" w:lineRule="exact"/>
        <w:rPr>
          <w:sz w:val="20"/>
          <w:szCs w:val="20"/>
          <w:color w:val="auto"/>
        </w:rPr>
      </w:pPr>
    </w:p>
    <w:p>
      <w:pPr>
        <w:ind w:left="160" w:right="239" w:firstLine="781"/>
        <w:spacing w:after="0" w:line="271" w:lineRule="auto"/>
        <w:rPr>
          <w:sz w:val="20"/>
          <w:szCs w:val="20"/>
          <w:color w:val="auto"/>
        </w:rPr>
      </w:pPr>
      <w:r>
        <w:rPr>
          <w:rFonts w:ascii="Times New Roman" w:cs="Times New Roman" w:eastAsia="Times New Roman" w:hAnsi="Times New Roman"/>
          <w:sz w:val="14"/>
          <w:szCs w:val="14"/>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4"/>
          <w:szCs w:val="14"/>
          <w:u w:val="single" w:color="auto"/>
          <w:color w:val="auto"/>
        </w:rPr>
        <w:t>Delaware General Corporation Law</w:t>
      </w:r>
      <w:r>
        <w:rPr>
          <w:rFonts w:ascii="Times New Roman" w:cs="Times New Roman" w:eastAsia="Times New Roman" w:hAnsi="Times New Roman"/>
          <w:sz w:val="14"/>
          <w:szCs w:val="14"/>
          <w:color w:val="auto"/>
        </w:rPr>
        <w:t>”). The Corporation shall have all power necessary or convenient to the conduct, promotion or attainment of such acts and activities.</w:t>
      </w:r>
    </w:p>
    <w:p>
      <w:pPr>
        <w:spacing w:after="0" w:line="134" w:lineRule="exact"/>
        <w:rPr>
          <w:sz w:val="20"/>
          <w:szCs w:val="20"/>
          <w:color w:val="auto"/>
        </w:rPr>
      </w:pPr>
    </w:p>
    <w:p>
      <w:pPr>
        <w:jc w:val="right"/>
        <w:ind w:right="7099"/>
        <w:spacing w:after="0"/>
        <w:rPr>
          <w:sz w:val="20"/>
          <w:szCs w:val="20"/>
          <w:color w:val="auto"/>
        </w:rPr>
      </w:pPr>
      <w:r>
        <w:rPr>
          <w:rFonts w:ascii="Times New Roman" w:cs="Times New Roman" w:eastAsia="Times New Roman" w:hAnsi="Times New Roman"/>
          <w:sz w:val="14"/>
          <w:szCs w:val="14"/>
          <w:b w:val="1"/>
          <w:bCs w:val="1"/>
          <w:color w:val="auto"/>
        </w:rPr>
        <w:t>Article 4. CAPITAL STOCK</w:t>
      </w:r>
    </w:p>
    <w:p>
      <w:pPr>
        <w:spacing w:after="0" w:line="94"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14"/>
          <w:szCs w:val="14"/>
          <w:b w:val="1"/>
          <w:bCs w:val="1"/>
          <w:color w:val="auto"/>
        </w:rPr>
        <w:t>4.1. Authorized Shares</w:t>
      </w:r>
    </w:p>
    <w:p>
      <w:pPr>
        <w:spacing w:after="0" w:line="96" w:lineRule="exact"/>
        <w:rPr>
          <w:sz w:val="20"/>
          <w:szCs w:val="20"/>
          <w:color w:val="auto"/>
        </w:rPr>
      </w:pPr>
    </w:p>
    <w:p>
      <w:pPr>
        <w:ind w:left="160" w:right="259" w:firstLine="781"/>
        <w:spacing w:after="0" w:line="288" w:lineRule="auto"/>
        <w:rPr>
          <w:sz w:val="20"/>
          <w:szCs w:val="20"/>
          <w:color w:val="auto"/>
        </w:rPr>
      </w:pPr>
      <w:r>
        <w:rPr>
          <w:rFonts w:ascii="Times New Roman" w:cs="Times New Roman" w:eastAsia="Times New Roman" w:hAnsi="Times New Roman"/>
          <w:sz w:val="14"/>
          <w:szCs w:val="14"/>
          <w:color w:val="auto"/>
        </w:rPr>
        <w:t>The total number of shares of all classes of stock that the Corporation shall have the authority to issue is ten thousand (10,000) shares and all such shares shall be Common Stock having a par value of $0.01 per share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Internal Use - Confidential</w:t>
      </w:r>
    </w:p>
    <w:p>
      <w:pPr>
        <w:sectPr>
          <w:pgSz w:w="11900" w:h="16838" w:orient="portrait"/>
          <w:cols w:equalWidth="0" w:num="1">
            <w:col w:w="9019"/>
          </w:cols>
          <w:pgMar w:left="1440" w:top="123" w:right="1440" w:bottom="1440" w:gutter="0" w:footer="0" w:header="0"/>
          <w:type w:val="continuous"/>
        </w:sectPr>
      </w:pPr>
    </w:p>
    <w:bookmarkStart w:id="176" w:name="page177"/>
    <w:bookmarkEnd w:id="176"/>
    <w:p>
      <w:pPr>
        <w:ind w:left="5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4.2. Common Stock</w:t>
      </w:r>
    </w:p>
    <w:p>
      <w:pPr>
        <w:spacing w:after="0" w:line="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4.2.1. Relative Rights</w:t>
      </w:r>
    </w:p>
    <w:p>
      <w:pPr>
        <w:spacing w:after="0" w:line="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Each share of Common Stock shall have the same relative rights as, and be identical in all respects to, all the other shares of Common</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Stock.</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4.2.2. Dividends</w:t>
      </w:r>
    </w:p>
    <w:p>
      <w:pPr>
        <w:spacing w:after="0" w:line="96" w:lineRule="exact"/>
        <w:rPr>
          <w:sz w:val="20"/>
          <w:szCs w:val="20"/>
          <w:color w:val="auto"/>
        </w:rPr>
      </w:pPr>
    </w:p>
    <w:p>
      <w:pPr>
        <w:ind w:left="160" w:right="259" w:firstLine="781"/>
        <w:spacing w:after="0" w:line="262" w:lineRule="auto"/>
        <w:rPr>
          <w:sz w:val="20"/>
          <w:szCs w:val="20"/>
          <w:color w:val="auto"/>
        </w:rPr>
      </w:pPr>
      <w:r>
        <w:rPr>
          <w:rFonts w:ascii="Times New Roman" w:cs="Times New Roman" w:eastAsia="Times New Roman" w:hAnsi="Times New Roman"/>
          <w:sz w:val="14"/>
          <w:szCs w:val="14"/>
          <w:color w:val="auto"/>
        </w:rPr>
        <w:t>Whenever there shall have been paid, or declared and set aside for payment, to the holders of shares of any class of stock having preference over the Common Stock as to the payment of dividends, the full amount of dividends and of sinking fund or retirement payments, if any, to which such holders are respectively entitled in preference to the Common Stock, then dividends may be paid on the Common Stock and on any class or series of stock entitled to participate therewith as to dividends, out of any assets legally available for the payment of dividends thereon, but only when and as declared by the Board of Directors of the Corporation.</w:t>
      </w:r>
    </w:p>
    <w:p>
      <w:pPr>
        <w:spacing w:after="0" w:line="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4.2.3. Dissolution, Liquidation, Winding Up</w:t>
      </w:r>
    </w:p>
    <w:p>
      <w:pPr>
        <w:spacing w:after="0" w:line="96" w:lineRule="exact"/>
        <w:rPr>
          <w:sz w:val="20"/>
          <w:szCs w:val="20"/>
          <w:color w:val="auto"/>
        </w:rPr>
      </w:pPr>
    </w:p>
    <w:p>
      <w:pPr>
        <w:ind w:left="160" w:right="259" w:firstLine="781"/>
        <w:spacing w:after="0" w:line="260" w:lineRule="auto"/>
        <w:rPr>
          <w:sz w:val="20"/>
          <w:szCs w:val="20"/>
          <w:color w:val="auto"/>
        </w:rPr>
      </w:pPr>
      <w:r>
        <w:rPr>
          <w:rFonts w:ascii="Times New Roman" w:cs="Times New Roman" w:eastAsia="Times New Roman" w:hAnsi="Times New Roman"/>
          <w:sz w:val="14"/>
          <w:szCs w:val="14"/>
          <w:color w:val="auto"/>
        </w:rPr>
        <w:t>In the event of any dissolution, liquidation, or winding up of the Corporation, whether voluntary or involuntary, the holders of the Common Stock, and holders of any class or series of stock entitled to participate therewith, in whole or in part, as to the distribution of assets in such event, shall become entitled to participate in the distribution of any assets of the Corporation remaining after the Corporation shall have paid, or provided for payment of, all debts and liabilities of the Corporation and after the Corporation shall have paid, or set aside for payment, to the holders of any class of stock having preference over the Common Stock in the event of dissolution, liquidation or winding up the full preferential amounts (if any) to which they are entitled.</w:t>
      </w:r>
    </w:p>
    <w:p>
      <w:pPr>
        <w:spacing w:after="0" w:line="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4.2.4. Voting Rights</w:t>
      </w:r>
    </w:p>
    <w:p>
      <w:pPr>
        <w:spacing w:after="0" w:line="96" w:lineRule="exact"/>
        <w:rPr>
          <w:sz w:val="20"/>
          <w:szCs w:val="20"/>
          <w:color w:val="auto"/>
        </w:rPr>
      </w:pPr>
    </w:p>
    <w:p>
      <w:pPr>
        <w:ind w:left="160" w:right="279" w:firstLine="781"/>
        <w:spacing w:after="0" w:line="265" w:lineRule="auto"/>
        <w:rPr>
          <w:sz w:val="20"/>
          <w:szCs w:val="20"/>
          <w:color w:val="auto"/>
        </w:rPr>
      </w:pPr>
      <w:r>
        <w:rPr>
          <w:rFonts w:ascii="Times New Roman" w:cs="Times New Roman" w:eastAsia="Times New Roman" w:hAnsi="Times New Roman"/>
          <w:sz w:val="14"/>
          <w:szCs w:val="14"/>
          <w:color w:val="auto"/>
        </w:rPr>
        <w:t>Each holder of shares of Common Stock shall be entitled to attend all special and annual meetings of the stockholders of the Corporation and, share for share and without regard to class, together with the holders of all other classes of stock entitled to attend such meetings and to vote (except any class or series of stock having special voting rights), to cast one vote for each outstanding share of Common Stock so held upon any matter or thing (including, without limitation, the election of one or more directors) properly considered and acted upon by the stockholders.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Internal Use - Confidential</w:t>
      </w:r>
    </w:p>
    <w:p>
      <w:pPr>
        <w:sectPr>
          <w:pgSz w:w="11900" w:h="16838" w:orient="portrait"/>
          <w:cols w:equalWidth="0" w:num="1">
            <w:col w:w="9019"/>
          </w:cols>
          <w:pgMar w:left="1440" w:top="240" w:right="1440" w:bottom="1440" w:gutter="0" w:footer="0" w:header="0"/>
        </w:sectPr>
      </w:pPr>
    </w:p>
    <w:bookmarkStart w:id="177" w:name="page178"/>
    <w:bookmarkEnd w:id="177"/>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5. BOARD OF DIRECTORS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5.1. Number; Election</w:t>
      </w:r>
    </w:p>
    <w:p>
      <w:pPr>
        <w:spacing w:after="0" w:line="96" w:lineRule="exact"/>
        <w:rPr>
          <w:sz w:val="20"/>
          <w:szCs w:val="20"/>
          <w:color w:val="auto"/>
        </w:rPr>
      </w:pPr>
    </w:p>
    <w:p>
      <w:pPr>
        <w:ind w:left="160" w:right="299" w:firstLine="781"/>
        <w:spacing w:after="0" w:line="265" w:lineRule="auto"/>
        <w:rPr>
          <w:sz w:val="20"/>
          <w:szCs w:val="20"/>
          <w:color w:val="auto"/>
        </w:rPr>
      </w:pPr>
      <w:r>
        <w:rPr>
          <w:rFonts w:ascii="Times New Roman" w:cs="Times New Roman" w:eastAsia="Times New Roman" w:hAnsi="Times New Roman"/>
          <w:sz w:val="14"/>
          <w:szCs w:val="14"/>
          <w:color w:val="auto"/>
        </w:rPr>
        <w:t>The number of directors of the Corporation shall be such number as from time to time shall be fixed by, or in the manner provided in, the bylaws of the Corporation. Unless and except to the extent that the bylaws of the Corporation shall otherwise require, the election of directors of the Corporation need not be by written ballot. Each director of the Corporation shall be entitled to one vote per director on all matters voted or acted upon by the Board of Directors.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5.2. Management of Business and Affairs of the Corporation</w:t>
      </w:r>
    </w:p>
    <w:p>
      <w:pPr>
        <w:spacing w:after="0" w:line="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business and affairs of the Corporation shall be managed by or under the direction of the Board of Directors.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5.3. Limitation of Liability</w:t>
      </w:r>
    </w:p>
    <w:p>
      <w:pPr>
        <w:spacing w:after="0" w:line="96" w:lineRule="exact"/>
        <w:rPr>
          <w:sz w:val="20"/>
          <w:szCs w:val="20"/>
          <w:color w:val="auto"/>
        </w:rPr>
      </w:pPr>
    </w:p>
    <w:p>
      <w:pPr>
        <w:ind w:left="160" w:right="199" w:firstLine="781"/>
        <w:spacing w:after="0" w:line="259" w:lineRule="auto"/>
        <w:rPr>
          <w:sz w:val="20"/>
          <w:szCs w:val="20"/>
          <w:color w:val="auto"/>
        </w:rPr>
      </w:pPr>
      <w:r>
        <w:rPr>
          <w:rFonts w:ascii="Times New Roman" w:cs="Times New Roman" w:eastAsia="Times New Roman" w:hAnsi="Times New Roman"/>
          <w:sz w:val="14"/>
          <w:szCs w:val="14"/>
          <w:color w:val="auto"/>
        </w:rPr>
        <w:t>The liability of the directors of the Corporation for monetary damages shall be eliminated to the fullest extent under applicable law. No director of the Corporation shall be liable to the Corporation or its stockholders for monetary damages for breach of fiduciary duty as a director, provided that this provision shall not eliminate or limit the liability of a director (a) for any breach of the director’s duty of loyalty to the Corporation or its stockholders; (b) for acts or omissions not in good faith or which involve intentional misconduct or a knowing violation of law; (c) under Section 174 of the Delaware General Corporation Law; or (d) for any transaction from which the director derived an improper personal benefit. Any repeal or modification of this Article 5.3 shall be prospective only and shall not adversely affect any right or protection of, or any limitation of the liability of, a director of the Corporation existing at, or arising out of facts or incidents occurring prior to, the effective date of such repeal or modification.</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Article 6. AMENDMENT OF BYLAWS</w:t>
      </w:r>
    </w:p>
    <w:p>
      <w:pPr>
        <w:spacing w:after="0" w:line="96" w:lineRule="exact"/>
        <w:rPr>
          <w:sz w:val="20"/>
          <w:szCs w:val="20"/>
          <w:color w:val="auto"/>
        </w:rPr>
      </w:pPr>
    </w:p>
    <w:p>
      <w:pPr>
        <w:ind w:left="160" w:right="539" w:firstLine="781"/>
        <w:spacing w:after="0" w:line="288" w:lineRule="auto"/>
        <w:rPr>
          <w:sz w:val="20"/>
          <w:szCs w:val="20"/>
          <w:color w:val="auto"/>
        </w:rPr>
      </w:pPr>
      <w:r>
        <w:rPr>
          <w:rFonts w:ascii="Times New Roman" w:cs="Times New Roman" w:eastAsia="Times New Roman" w:hAnsi="Times New Roman"/>
          <w:sz w:val="14"/>
          <w:szCs w:val="14"/>
          <w:color w:val="auto"/>
        </w:rPr>
        <w:t>In furtherance and not in limitation of the powers conferred by the Delaware General Corporation Law, the Board of Directors of the Corporation is expressly authorized and empowered to adopt, amend and repeal the bylaws of the Corporation.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Article 7. RESERVATION OF RIGHT TO AMEND CERTIFICATE OF INCORPORATION</w:t>
      </w:r>
    </w:p>
    <w:p>
      <w:pPr>
        <w:spacing w:after="0" w:line="96" w:lineRule="exact"/>
        <w:rPr>
          <w:sz w:val="20"/>
          <w:szCs w:val="20"/>
          <w:color w:val="auto"/>
        </w:rPr>
      </w:pPr>
    </w:p>
    <w:p>
      <w:pPr>
        <w:ind w:left="160" w:right="299" w:firstLine="781"/>
        <w:spacing w:after="0" w:line="262" w:lineRule="auto"/>
        <w:rPr>
          <w:sz w:val="20"/>
          <w:szCs w:val="20"/>
          <w:color w:val="auto"/>
        </w:rPr>
      </w:pPr>
      <w:r>
        <w:rPr>
          <w:rFonts w:ascii="Times New Roman" w:cs="Times New Roman" w:eastAsia="Times New Roman" w:hAnsi="Times New Roman"/>
          <w:sz w:val="14"/>
          <w:szCs w:val="14"/>
          <w:color w:val="auto"/>
        </w:rPr>
        <w:t>The Corporation reserves the right at any time, and from time to time, to amend, alter, change, or repeal any provision contained in, or amend and restate, this Certificate of Incorporation, and other provisions authorized by the laws of the State of Delaware at the time in force may be added or inserted, in the manner now or hereafter prescribed by law; and all rights, preferences, and privileges of any nature conferred upon stockholders, directors, or any other persons by and pursuant to this Certificate of Incorporation in its present form or as hereafter amended are granted subject to the rights reserved in this Article 7.</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Internal Use - Confidential</w:t>
      </w:r>
    </w:p>
    <w:p>
      <w:pPr>
        <w:sectPr>
          <w:pgSz w:w="11900" w:h="16838" w:orient="portrait"/>
          <w:cols w:equalWidth="0" w:num="1">
            <w:col w:w="9019"/>
          </w:cols>
          <w:pgMar w:left="1440" w:top="240" w:right="1440" w:bottom="1440" w:gutter="0" w:footer="0" w:header="0"/>
        </w:sectPr>
      </w:pPr>
    </w:p>
    <w:bookmarkStart w:id="178" w:name="page179"/>
    <w:bookmarkEnd w:id="178"/>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Article 8. EXECUTION AUTHORITY</w:t>
      </w:r>
    </w:p>
    <w:p>
      <w:pPr>
        <w:spacing w:after="0" w:line="96" w:lineRule="exact"/>
        <w:rPr>
          <w:sz w:val="20"/>
          <w:szCs w:val="20"/>
          <w:color w:val="auto"/>
        </w:rPr>
      </w:pPr>
    </w:p>
    <w:p>
      <w:pPr>
        <w:ind w:left="160" w:right="199" w:firstLine="781"/>
        <w:spacing w:after="0" w:line="271" w:lineRule="auto"/>
        <w:rPr>
          <w:sz w:val="20"/>
          <w:szCs w:val="20"/>
          <w:color w:val="auto"/>
        </w:rPr>
      </w:pPr>
      <w:r>
        <w:rPr>
          <w:rFonts w:ascii="Times New Roman" w:cs="Times New Roman" w:eastAsia="Times New Roman" w:hAnsi="Times New Roman"/>
          <w:sz w:val="14"/>
          <w:szCs w:val="14"/>
          <w:color w:val="auto"/>
        </w:rPr>
        <w:t>A Vice President or Senior Vice President, among other officers or other duly authorized individuals, may execute and deliver, in the name of the Corporation, documents, contracts and other obligations and instruments pertaining to the regular course of the duties of said office, and shall have such authority as from time to time may be assigned by the Board of Directors.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- 5 -</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Internal Use - Confidential</w:t>
      </w:r>
    </w:p>
    <w:p>
      <w:pPr>
        <w:sectPr>
          <w:pgSz w:w="11900" w:h="16838" w:orient="portrait"/>
          <w:cols w:equalWidth="0" w:num="1">
            <w:col w:w="9019"/>
          </w:cols>
          <w:pgMar w:left="1440" w:top="240" w:right="1440" w:bottom="1440" w:gutter="0" w:footer="0" w:header="0"/>
        </w:sectPr>
      </w:pPr>
    </w:p>
    <w:bookmarkStart w:id="179" w:name="page180"/>
    <w:bookmarkEnd w:id="179"/>
    <w:p>
      <w:pPr>
        <w:ind w:left="160" w:right="859" w:firstLine="781"/>
        <w:spacing w:after="0" w:line="291"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 xml:space="preserve">IN WITNESS WHEREOF, </w:t>
      </w:r>
      <w:r>
        <w:rPr>
          <w:rFonts w:ascii="Times New Roman" w:cs="Times New Roman" w:eastAsia="Times New Roman" w:hAnsi="Times New Roman"/>
          <w:sz w:val="14"/>
          <w:szCs w:val="14"/>
          <w:color w:val="auto"/>
        </w:rPr>
        <w:t>this Amended and Restated Certificate of Incorporation of the Corporation has been executed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acknowledged by its duly authorized officer on September 11, 2023.</w:t>
      </w:r>
    </w:p>
    <w:p>
      <w:pPr>
        <w:spacing w:after="0" w:line="14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DELL INC.</w:t>
      </w:r>
    </w:p>
    <w:p>
      <w:pPr>
        <w:spacing w:after="0" w:line="18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15240</wp:posOffset>
            </wp:positionV>
            <wp:extent cx="201993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7">
                      <a:extLst>
                        <a:ext uri="{28A0092B-C50C-407E-A947-70E740481C1C}"/>
                      </a:extLst>
                    </a:blip>
                    <a:srcRect/>
                    <a:stretch>
                      <a:fillRect/>
                    </a:stretch>
                  </pic:blipFill>
                  <pic:spPr bwMode="auto">
                    <a:xfrm>
                      <a:off x="0" y="0"/>
                      <a:ext cx="2019935" cy="6985"/>
                    </a:xfrm>
                    <a:prstGeom prst="rect">
                      <a:avLst/>
                    </a:prstGeom>
                    <a:noFill/>
                  </pic:spPr>
                </pic:pic>
              </a:graphicData>
            </a:graphic>
          </wp:anchor>
        </w:drawing>
      </w:r>
    </w:p>
    <w:p>
      <w:pPr>
        <w:spacing w:after="0" w:line="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 Christopher Garcia</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Title: Senior Vice President and Secretary</w:t>
      </w: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Internal Use - Confidential</w:t>
      </w:r>
    </w:p>
    <w:p>
      <w:pPr>
        <w:sectPr>
          <w:pgSz w:w="11900" w:h="16838" w:orient="portrait"/>
          <w:cols w:equalWidth="0" w:num="1">
            <w:col w:w="9019"/>
          </w:cols>
          <w:pgMar w:left="1440" w:top="240" w:right="1440" w:bottom="1440" w:gutter="0" w:footer="0" w:header="0"/>
        </w:sectPr>
      </w:pPr>
    </w:p>
    <w:bookmarkStart w:id="180" w:name="page181"/>
    <w:bookmarkEnd w:id="180"/>
    <w:tbl>
      <w:tblPr>
        <w:tblLayout w:type="fixed"/>
        <w:tblInd w:w="16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tc>
      </w:tr>
      <w:tr>
        <w:trPr>
          <w:trHeight w:val="362"/>
        </w:trPr>
        <w:tc>
          <w:tcPr>
            <w:tcW w:w="2640" w:type="dxa"/>
            <w:vAlign w:val="bottom"/>
          </w:tcPr>
          <w:p>
            <w:pPr>
              <w:spacing w:after="0"/>
              <w:rPr>
                <w:sz w:val="24"/>
                <w:szCs w:val="24"/>
                <w:color w:val="auto"/>
              </w:rPr>
            </w:pPr>
          </w:p>
        </w:tc>
        <w:tc>
          <w:tcPr>
            <w:tcW w:w="6040" w:type="dxa"/>
            <w:vAlign w:val="bottom"/>
            <w:gridSpan w:val="3"/>
          </w:tcPr>
          <w:p>
            <w:pPr>
              <w:jc w:val="center"/>
              <w:ind w:right="2569"/>
              <w:spacing w:after="0"/>
              <w:rPr>
                <w:sz w:val="20"/>
                <w:szCs w:val="20"/>
                <w:color w:val="auto"/>
              </w:rPr>
            </w:pPr>
            <w:r>
              <w:rPr>
                <w:rFonts w:ascii="Times New Roman" w:cs="Times New Roman" w:eastAsia="Times New Roman" w:hAnsi="Times New Roman"/>
                <w:sz w:val="14"/>
                <w:szCs w:val="14"/>
                <w:color w:val="auto"/>
              </w:rPr>
              <w:t xml:space="preserve">Simpson Thacher &amp; Bartlett </w:t>
            </w:r>
            <w:r>
              <w:rPr>
                <w:rFonts w:ascii="Times New Roman" w:cs="Times New Roman" w:eastAsia="Times New Roman" w:hAnsi="Times New Roman"/>
                <w:sz w:val="11"/>
                <w:szCs w:val="11"/>
                <w:color w:val="auto"/>
              </w:rPr>
              <w:t>LLP</w:t>
            </w:r>
          </w:p>
        </w:tc>
      </w:tr>
      <w:tr>
        <w:trPr>
          <w:trHeight w:val="326"/>
        </w:trPr>
        <w:tc>
          <w:tcPr>
            <w:tcW w:w="2640" w:type="dxa"/>
            <w:vAlign w:val="bottom"/>
          </w:tcPr>
          <w:p>
            <w:pPr>
              <w:spacing w:after="0"/>
              <w:rPr>
                <w:sz w:val="24"/>
                <w:szCs w:val="24"/>
                <w:color w:val="auto"/>
              </w:rPr>
            </w:pPr>
          </w:p>
        </w:tc>
        <w:tc>
          <w:tcPr>
            <w:tcW w:w="6040" w:type="dxa"/>
            <w:vAlign w:val="bottom"/>
            <w:gridSpan w:val="3"/>
          </w:tcPr>
          <w:p>
            <w:pPr>
              <w:jc w:val="center"/>
              <w:ind w:right="2549"/>
              <w:spacing w:after="0"/>
              <w:rPr>
                <w:sz w:val="20"/>
                <w:szCs w:val="20"/>
                <w:color w:val="auto"/>
              </w:rPr>
            </w:pPr>
            <w:r>
              <w:rPr>
                <w:rFonts w:ascii="Times New Roman" w:cs="Times New Roman" w:eastAsia="Times New Roman" w:hAnsi="Times New Roman"/>
                <w:sz w:val="14"/>
                <w:szCs w:val="14"/>
                <w:color w:val="auto"/>
                <w:w w:val="99"/>
              </w:rPr>
              <w:t>425 LEXINGTON AVENUE</w:t>
            </w:r>
          </w:p>
        </w:tc>
      </w:tr>
      <w:tr>
        <w:trPr>
          <w:trHeight w:val="184"/>
        </w:trPr>
        <w:tc>
          <w:tcPr>
            <w:tcW w:w="2640" w:type="dxa"/>
            <w:vAlign w:val="bottom"/>
          </w:tcPr>
          <w:p>
            <w:pPr>
              <w:spacing w:after="0"/>
              <w:rPr>
                <w:sz w:val="16"/>
                <w:szCs w:val="16"/>
                <w:color w:val="auto"/>
              </w:rPr>
            </w:pPr>
          </w:p>
        </w:tc>
        <w:tc>
          <w:tcPr>
            <w:tcW w:w="6040" w:type="dxa"/>
            <w:vAlign w:val="bottom"/>
            <w:gridSpan w:val="3"/>
          </w:tcPr>
          <w:p>
            <w:pPr>
              <w:jc w:val="center"/>
              <w:ind w:right="2569"/>
              <w:spacing w:after="0"/>
              <w:rPr>
                <w:sz w:val="20"/>
                <w:szCs w:val="20"/>
                <w:color w:val="auto"/>
              </w:rPr>
            </w:pPr>
            <w:r>
              <w:rPr>
                <w:rFonts w:ascii="Times New Roman" w:cs="Times New Roman" w:eastAsia="Times New Roman" w:hAnsi="Times New Roman"/>
                <w:sz w:val="14"/>
                <w:szCs w:val="14"/>
                <w:color w:val="auto"/>
              </w:rPr>
              <w:t>NEW YORK, NY 10017-3954</w:t>
            </w:r>
          </w:p>
        </w:tc>
      </w:tr>
      <w:tr>
        <w:trPr>
          <w:trHeight w:val="235"/>
        </w:trPr>
        <w:tc>
          <w:tcPr>
            <w:tcW w:w="2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3980" w:type="dxa"/>
            <w:vAlign w:val="bottom"/>
          </w:tcPr>
          <w:p>
            <w:pPr>
              <w:spacing w:after="0"/>
              <w:rPr>
                <w:sz w:val="20"/>
                <w:szCs w:val="20"/>
                <w:color w:val="auto"/>
              </w:rPr>
            </w:pPr>
          </w:p>
        </w:tc>
      </w:tr>
      <w:tr>
        <w:trPr>
          <w:trHeight w:val="274"/>
        </w:trPr>
        <w:tc>
          <w:tcPr>
            <w:tcW w:w="2640" w:type="dxa"/>
            <w:vAlign w:val="bottom"/>
          </w:tcPr>
          <w:p>
            <w:pPr>
              <w:spacing w:after="0"/>
              <w:rPr>
                <w:sz w:val="23"/>
                <w:szCs w:val="23"/>
                <w:color w:val="auto"/>
              </w:rPr>
            </w:pPr>
          </w:p>
        </w:tc>
        <w:tc>
          <w:tcPr>
            <w:tcW w:w="6040" w:type="dxa"/>
            <w:vAlign w:val="bottom"/>
            <w:gridSpan w:val="3"/>
          </w:tcPr>
          <w:p>
            <w:pPr>
              <w:jc w:val="center"/>
              <w:ind w:right="2549"/>
              <w:spacing w:after="0"/>
              <w:rPr>
                <w:sz w:val="20"/>
                <w:szCs w:val="20"/>
                <w:color w:val="auto"/>
              </w:rPr>
            </w:pPr>
            <w:r>
              <w:rPr>
                <w:rFonts w:ascii="Times New Roman" w:cs="Times New Roman" w:eastAsia="Times New Roman" w:hAnsi="Times New Roman"/>
                <w:sz w:val="14"/>
                <w:szCs w:val="14"/>
                <w:color w:val="auto"/>
              </w:rPr>
              <w:t>TELEPHONE: +1-212-455-2000</w:t>
            </w:r>
          </w:p>
        </w:tc>
      </w:tr>
      <w:tr>
        <w:trPr>
          <w:trHeight w:val="181"/>
        </w:trPr>
        <w:tc>
          <w:tcPr>
            <w:tcW w:w="2640" w:type="dxa"/>
            <w:vAlign w:val="bottom"/>
          </w:tcPr>
          <w:p>
            <w:pPr>
              <w:spacing w:after="0"/>
              <w:rPr>
                <w:sz w:val="15"/>
                <w:szCs w:val="15"/>
                <w:color w:val="auto"/>
              </w:rPr>
            </w:pPr>
          </w:p>
        </w:tc>
        <w:tc>
          <w:tcPr>
            <w:tcW w:w="6040" w:type="dxa"/>
            <w:vAlign w:val="bottom"/>
            <w:gridSpan w:val="3"/>
          </w:tcPr>
          <w:p>
            <w:pPr>
              <w:jc w:val="center"/>
              <w:ind w:right="2549"/>
              <w:spacing w:after="0"/>
              <w:rPr>
                <w:sz w:val="20"/>
                <w:szCs w:val="20"/>
                <w:color w:val="auto"/>
              </w:rPr>
            </w:pPr>
            <w:r>
              <w:rPr>
                <w:rFonts w:ascii="Times New Roman" w:cs="Times New Roman" w:eastAsia="Times New Roman" w:hAnsi="Times New Roman"/>
                <w:sz w:val="14"/>
                <w:szCs w:val="14"/>
                <w:color w:val="auto"/>
              </w:rPr>
              <w:t>FACSIMILE: +1-212-455-2502</w:t>
            </w:r>
          </w:p>
        </w:tc>
      </w:tr>
      <w:tr>
        <w:trPr>
          <w:trHeight w:val="184"/>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Direct Dial Number</w:t>
            </w: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E-mail Address</w:t>
            </w:r>
          </w:p>
        </w:tc>
      </w:tr>
      <w:tr>
        <w:trPr>
          <w:trHeight w:val="340"/>
        </w:trPr>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11, 2026</w:t>
            </w:r>
          </w:p>
        </w:tc>
      </w:tr>
      <w:tr>
        <w:trPr>
          <w:trHeight w:val="326"/>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Dell Technologies Inc.</w:t>
            </w: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7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Dell International L.L.C.</w:t>
            </w: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7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Dell Inc.</w:t>
            </w: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7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Denali Intermediate Inc.</w:t>
            </w: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7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One Dell Way</w:t>
            </w: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84"/>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Round Rock, Texas 78682</w:t>
            </w: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326"/>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7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176 South Street</w:t>
            </w: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84"/>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Hopkinton, Massachusetts 01748</w:t>
            </w: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80" w:type="dxa"/>
            <w:vAlign w:val="bottom"/>
          </w:tcPr>
          <w:p>
            <w:pPr>
              <w:spacing w:after="0"/>
              <w:rPr>
                <w:sz w:val="16"/>
                <w:szCs w:val="16"/>
                <w:color w:val="auto"/>
              </w:rPr>
            </w:pPr>
          </w:p>
        </w:tc>
      </w:tr>
    </w:tbl>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To the Addressees Stated Above:</w:t>
      </w:r>
    </w:p>
    <w:p>
      <w:pPr>
        <w:spacing w:after="0" w:line="94" w:lineRule="exact"/>
        <w:rPr>
          <w:sz w:val="20"/>
          <w:szCs w:val="20"/>
          <w:color w:val="auto"/>
        </w:rPr>
      </w:pPr>
    </w:p>
    <w:p>
      <w:pPr>
        <w:ind w:left="160" w:right="380" w:firstLine="347"/>
        <w:spacing w:after="0" w:line="259" w:lineRule="auto"/>
        <w:rPr>
          <w:sz w:val="20"/>
          <w:szCs w:val="20"/>
          <w:color w:val="auto"/>
        </w:rPr>
      </w:pPr>
      <w:r>
        <w:rPr>
          <w:rFonts w:ascii="Times New Roman" w:cs="Times New Roman" w:eastAsia="Times New Roman" w:hAnsi="Times New Roman"/>
          <w:sz w:val="14"/>
          <w:szCs w:val="14"/>
          <w:color w:val="auto"/>
        </w:rPr>
        <w:t>We have acted as counsel to Dell International L.L.C., a Delaware limited liability company (“Dell International”), EMC Corporation, a Massachusetts corporation (“EMC” and, together with Dell International, the “Issuers”), and the guarantors listed in Schedule I to this opinion letter (collectively, the “Guarantors”) in connection with the Registration Statement on Form S-3 (the “Registration Statement”) filed by the Issuers and the Guarantors with the Securities and Exchange Commission (the “Commission”) under the Securities Act of 1933, as amended, relating to the issuance by the Issuers from time to time for an indeterminate initial offering price of debt securities (the “Securities”) and the issuance by the Guarantors of guarantees (the “Guarantees”) with respect to the Securities. The Securities and the Guarantees will be issued under an indenture, dated as of January 24, 2023, among the Issuers, the Guarantors and The Bank of New York Mellon Trust Company, N.A., as trustee (the “Indenture”).</w:t>
      </w:r>
    </w:p>
    <w:p>
      <w:pPr>
        <w:spacing w:after="0" w:line="146" w:lineRule="exact"/>
        <w:rPr>
          <w:sz w:val="20"/>
          <w:szCs w:val="20"/>
          <w:color w:val="auto"/>
        </w:rPr>
      </w:pPr>
    </w:p>
    <w:p>
      <w:pPr>
        <w:ind w:left="160" w:right="460" w:firstLine="347"/>
        <w:spacing w:after="0" w:line="262" w:lineRule="auto"/>
        <w:rPr>
          <w:sz w:val="20"/>
          <w:szCs w:val="20"/>
          <w:color w:val="auto"/>
        </w:rPr>
      </w:pPr>
      <w:r>
        <w:rPr>
          <w:rFonts w:ascii="Times New Roman" w:cs="Times New Roman" w:eastAsia="Times New Roman" w:hAnsi="Times New Roman"/>
          <w:sz w:val="14"/>
          <w:szCs w:val="14"/>
          <w:color w:val="auto"/>
        </w:rPr>
        <w:t>We have examined the Registration Statement and the Indenture (including the form of the Guarantee set forth therein), which is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Issuers and the Guarantors and have made such other investigations as we have deemed relevant and necessary in connection with the opinions hereinafter set forth.</w:t>
      </w:r>
    </w:p>
    <w:p>
      <w:pPr>
        <w:spacing w:after="0" w:line="1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BEIJING BOSTON BRUSSELS HONG KONG HOUSTON LONDON LOS ANGELES LUXEMBOURG PALO ALTO SAN FRANCISCO SÃO PAULO TOKYO WASHINGTON, D.C.</w:t>
      </w:r>
    </w:p>
    <w:p>
      <w:pPr>
        <w:sectPr>
          <w:pgSz w:w="11900" w:h="16838" w:orient="portrait"/>
          <w:cols w:equalWidth="0" w:num="1">
            <w:col w:w="9220"/>
          </w:cols>
          <w:pgMar w:left="1440" w:top="123" w:right="1239" w:bottom="1440" w:gutter="0" w:footer="0" w:header="0"/>
        </w:sectPr>
      </w:pPr>
    </w:p>
    <w:bookmarkStart w:id="181" w:name="page182"/>
    <w:bookmarkEnd w:id="181"/>
    <w:tbl>
      <w:tblPr>
        <w:tblLayout w:type="fixed"/>
        <w:tblInd w:w="16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Dell Technologies Inc.</w:t>
            </w:r>
          </w:p>
        </w:tc>
        <w:tc>
          <w:tcPr>
            <w:tcW w:w="33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Dell International L.L.C.</w:t>
            </w:r>
          </w:p>
        </w:tc>
        <w:tc>
          <w:tcPr>
            <w:tcW w:w="33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84"/>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EMC Corporation, et al.</w:t>
            </w:r>
          </w:p>
        </w:tc>
        <w:tc>
          <w:tcPr>
            <w:tcW w:w="3320" w:type="dxa"/>
            <w:vAlign w:val="bottom"/>
          </w:tcPr>
          <w:p>
            <w:pPr>
              <w:jc w:val="right"/>
              <w:ind w:right="1569"/>
              <w:spacing w:after="0"/>
              <w:rPr>
                <w:sz w:val="20"/>
                <w:szCs w:val="20"/>
                <w:color w:val="auto"/>
              </w:rPr>
            </w:pPr>
            <w:r>
              <w:rPr>
                <w:rFonts w:ascii="Times New Roman" w:cs="Times New Roman" w:eastAsia="Times New Roman" w:hAnsi="Times New Roman"/>
                <w:sz w:val="14"/>
                <w:szCs w:val="14"/>
                <w:color w:val="auto"/>
              </w:rPr>
              <w:t>-2-</w:t>
            </w:r>
          </w:p>
        </w:tc>
        <w:tc>
          <w:tcPr>
            <w:tcW w:w="2420" w:type="dxa"/>
            <w:vAlign w:val="bottom"/>
          </w:tcPr>
          <w:p>
            <w:pPr>
              <w:ind w:left="1640"/>
              <w:spacing w:after="0"/>
              <w:rPr>
                <w:sz w:val="20"/>
                <w:szCs w:val="20"/>
                <w:color w:val="auto"/>
              </w:rPr>
            </w:pPr>
            <w:r>
              <w:rPr>
                <w:rFonts w:ascii="Times New Roman" w:cs="Times New Roman" w:eastAsia="Times New Roman" w:hAnsi="Times New Roman"/>
                <w:sz w:val="14"/>
                <w:szCs w:val="14"/>
                <w:color w:val="auto"/>
                <w:w w:val="97"/>
              </w:rPr>
              <w:t>June 11, 2026</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jc w:val="both"/>
        <w:ind w:left="160" w:right="219" w:firstLine="347"/>
        <w:spacing w:after="0" w:line="265" w:lineRule="auto"/>
        <w:rPr>
          <w:sz w:val="20"/>
          <w:szCs w:val="20"/>
          <w:color w:val="auto"/>
        </w:rPr>
      </w:pPr>
      <w:r>
        <w:rPr>
          <w:rFonts w:ascii="Times New Roman" w:cs="Times New Roman" w:eastAsia="Times New Roman" w:hAnsi="Times New Roman"/>
          <w:sz w:val="14"/>
          <w:szCs w:val="14"/>
          <w:color w:val="auto"/>
        </w:rPr>
        <w:t>In rendering the opinions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pacing w:after="0" w:line="140" w:lineRule="exact"/>
        <w:rPr>
          <w:sz w:val="20"/>
          <w:szCs w:val="20"/>
          <w:color w:val="auto"/>
        </w:rPr>
      </w:pPr>
    </w:p>
    <w:p>
      <w:pPr>
        <w:ind w:left="160" w:right="259" w:firstLine="347"/>
        <w:spacing w:after="0" w:line="271" w:lineRule="auto"/>
        <w:rPr>
          <w:sz w:val="20"/>
          <w:szCs w:val="20"/>
          <w:color w:val="auto"/>
        </w:rPr>
      </w:pPr>
      <w:r>
        <w:rPr>
          <w:rFonts w:ascii="Times New Roman" w:cs="Times New Roman" w:eastAsia="Times New Roman" w:hAnsi="Times New Roman"/>
          <w:sz w:val="14"/>
          <w:szCs w:val="14"/>
          <w:color w:val="auto"/>
        </w:rPr>
        <w:t>In rendering the opinions set forth below, we have assumed further that the execution, issuance, delivery and performance by each of the Issuers and the Guarantors of the Indenture do not constitute a breach or default under any agreement or instrument which is binding upon any of the Issuers or Guarantors.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Based upon the foregoing, and subject to the qualifications, assumptions and limitations stated herein, we are of the opinion that:</w:t>
      </w:r>
    </w:p>
    <w:p>
      <w:pPr>
        <w:spacing w:after="0" w:line="94" w:lineRule="exact"/>
        <w:rPr>
          <w:sz w:val="20"/>
          <w:szCs w:val="20"/>
          <w:color w:val="auto"/>
        </w:rPr>
      </w:pPr>
    </w:p>
    <w:p>
      <w:pPr>
        <w:ind w:left="520" w:right="199" w:firstLine="324"/>
        <w:spacing w:after="0" w:line="258" w:lineRule="auto"/>
        <w:tabs>
          <w:tab w:leader="none" w:pos="995"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(a) the taking of all necessary corporate or limited liability company action by the Sole Member or Sole Director, as applicable, of each Issuer, a duly constituted and acting committee of such Sole Member, Sole Director, committee or duly authorized officers of each Issuer (such Sole Member, Sole Director, committee or authorized officers being hereinafter referred to as such “Issuer Authorizing Party”) to authorize and approve the issuance and terms of any Securities and the terms of the offering thereof so as not to violate any applicable law or agreement or instrument then binding on the Issuers, and (b) the due execution, authentication, issuance and delivery of the Securities, upon payment therefor in accordance with the applicable definitive underwriting, purchase or similar agreement approved by such Issuer Authorizing Party and otherwise in accordance with the provisions of such agreement and the Indenture, such Securities will constitute valid and legally binding obligations of the Issuers enforceable against the Issuers in accordance with their terms.</w:t>
      </w:r>
    </w:p>
    <w:p>
      <w:pPr>
        <w:spacing w:after="0" w:line="62" w:lineRule="exact"/>
        <w:rPr>
          <w:rFonts w:ascii="Times New Roman" w:cs="Times New Roman" w:eastAsia="Times New Roman" w:hAnsi="Times New Roman"/>
          <w:sz w:val="14"/>
          <w:szCs w:val="14"/>
          <w:color w:val="auto"/>
        </w:rPr>
      </w:pPr>
    </w:p>
    <w:p>
      <w:pPr>
        <w:ind w:left="520" w:right="199" w:firstLine="324"/>
        <w:spacing w:after="0" w:line="258" w:lineRule="auto"/>
        <w:tabs>
          <w:tab w:leader="none" w:pos="995"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(a) the taking of all necessary corporate action by the Board of Directors or Sole Director, as applicable, of each Guarantor, a duly constituted and acting committee of such Board of Directors or Sole Director or duly authorized officers of each Guarantor (such Board of Directors, Sole Director, committee or authorized officers being hereinafter referred to as the “Guarantor Authorizing Party”) to approve the issuance and terms of the Guarantees and the terms of the offering thereof so as not to violate any applicable law or agreement or instrument then binding on the Guarantors, (b) the due execution, authentication, issuance and delivery of the Securities underlying such Guarantees, upon payment therefor in accordance with the applicable definitive underwriting, purchase or similar agreement approved by the Guarantor Authorizing Party and otherwise in accordance with the provisions of such agreement and the Indenture, and (c) the due issuance of the Guarantees, the Guarantees will constitute valid and legally binding obligations of the Guarantors enforceable against the Guarantors in accordance with their terms.</w:t>
      </w:r>
    </w:p>
    <w:p>
      <w:pPr>
        <w:sectPr>
          <w:pgSz w:w="11900" w:h="16838" w:orient="portrait"/>
          <w:cols w:equalWidth="0" w:num="1">
            <w:col w:w="9019"/>
          </w:cols>
          <w:pgMar w:left="1440" w:top="242" w:right="1440" w:bottom="1440" w:gutter="0" w:footer="0" w:header="0"/>
        </w:sectPr>
      </w:pPr>
    </w:p>
    <w:bookmarkStart w:id="182" w:name="page183"/>
    <w:bookmarkEnd w:id="182"/>
    <w:tbl>
      <w:tblPr>
        <w:tblLayout w:type="fixed"/>
        <w:tblInd w:w="16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Dell Technologies Inc.</w:t>
            </w:r>
          </w:p>
        </w:tc>
        <w:tc>
          <w:tcPr>
            <w:tcW w:w="33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Dell International L.L.C.</w:t>
            </w:r>
          </w:p>
        </w:tc>
        <w:tc>
          <w:tcPr>
            <w:tcW w:w="33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84"/>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EMC Corporation, et al.</w:t>
            </w:r>
          </w:p>
        </w:tc>
        <w:tc>
          <w:tcPr>
            <w:tcW w:w="3320" w:type="dxa"/>
            <w:vAlign w:val="bottom"/>
          </w:tcPr>
          <w:p>
            <w:pPr>
              <w:jc w:val="right"/>
              <w:ind w:right="1569"/>
              <w:spacing w:after="0"/>
              <w:rPr>
                <w:sz w:val="20"/>
                <w:szCs w:val="20"/>
                <w:color w:val="auto"/>
              </w:rPr>
            </w:pPr>
            <w:r>
              <w:rPr>
                <w:rFonts w:ascii="Times New Roman" w:cs="Times New Roman" w:eastAsia="Times New Roman" w:hAnsi="Times New Roman"/>
                <w:sz w:val="14"/>
                <w:szCs w:val="14"/>
                <w:color w:val="auto"/>
              </w:rPr>
              <w:t>-3-</w:t>
            </w:r>
          </w:p>
        </w:tc>
        <w:tc>
          <w:tcPr>
            <w:tcW w:w="2420" w:type="dxa"/>
            <w:vAlign w:val="bottom"/>
          </w:tcPr>
          <w:p>
            <w:pPr>
              <w:ind w:left="1640"/>
              <w:spacing w:after="0"/>
              <w:rPr>
                <w:sz w:val="20"/>
                <w:szCs w:val="20"/>
                <w:color w:val="auto"/>
              </w:rPr>
            </w:pPr>
            <w:r>
              <w:rPr>
                <w:rFonts w:ascii="Times New Roman" w:cs="Times New Roman" w:eastAsia="Times New Roman" w:hAnsi="Times New Roman"/>
                <w:sz w:val="14"/>
                <w:szCs w:val="14"/>
                <w:color w:val="auto"/>
                <w:w w:val="97"/>
              </w:rPr>
              <w:t>June 11, 2026</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jc w:val="both"/>
        <w:ind w:left="160" w:right="259" w:firstLine="347"/>
        <w:spacing w:after="0" w:line="265" w:lineRule="auto"/>
        <w:rPr>
          <w:sz w:val="20"/>
          <w:szCs w:val="20"/>
          <w:color w:val="auto"/>
        </w:rPr>
      </w:pPr>
      <w:r>
        <w:rPr>
          <w:rFonts w:ascii="Times New Roman" w:cs="Times New Roman" w:eastAsia="Times New Roman" w:hAnsi="Times New Roman"/>
          <w:sz w:val="14"/>
          <w:szCs w:val="14"/>
          <w:color w:val="auto"/>
        </w:rPr>
        <w:t>Our opinions set forth above are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Section 13.15 of the Indenture relating to the severability of provisions of the Indenture.</w:t>
      </w:r>
    </w:p>
    <w:p>
      <w:pPr>
        <w:spacing w:after="0" w:line="140" w:lineRule="exact"/>
        <w:rPr>
          <w:sz w:val="20"/>
          <w:szCs w:val="20"/>
          <w:color w:val="auto"/>
        </w:rPr>
      </w:pPr>
    </w:p>
    <w:p>
      <w:pPr>
        <w:ind w:left="160" w:right="299" w:firstLine="347"/>
        <w:spacing w:after="0" w:line="288" w:lineRule="auto"/>
        <w:rPr>
          <w:sz w:val="20"/>
          <w:szCs w:val="20"/>
          <w:color w:val="auto"/>
        </w:rPr>
      </w:pPr>
      <w:r>
        <w:rPr>
          <w:rFonts w:ascii="Times New Roman" w:cs="Times New Roman" w:eastAsia="Times New Roman" w:hAnsi="Times New Roman"/>
          <w:sz w:val="14"/>
          <w:szCs w:val="14"/>
          <w:color w:val="auto"/>
        </w:rPr>
        <w:t>In connection with Section 13.08 of the Indenture whereby the parties submit to the jurisdiction of the courts of the United States of America located in The City of New York, we note the limitations of 28 U.S.C. Sections 1331 and 1332 on subject matter jurisdiction of the U.S. federal courts.</w:t>
      </w:r>
    </w:p>
    <w:p>
      <w:pPr>
        <w:spacing w:after="0" w:line="124" w:lineRule="exact"/>
        <w:rPr>
          <w:sz w:val="20"/>
          <w:szCs w:val="20"/>
          <w:color w:val="auto"/>
        </w:rPr>
      </w:pPr>
    </w:p>
    <w:p>
      <w:pPr>
        <w:ind w:left="160" w:right="279" w:firstLine="347"/>
        <w:spacing w:after="0" w:line="265" w:lineRule="auto"/>
        <w:rPr>
          <w:sz w:val="20"/>
          <w:szCs w:val="20"/>
          <w:color w:val="auto"/>
        </w:rPr>
      </w:pPr>
      <w:r>
        <w:rPr>
          <w:rFonts w:ascii="Times New Roman" w:cs="Times New Roman" w:eastAsia="Times New Roman" w:hAnsi="Times New Roman"/>
          <w:sz w:val="14"/>
          <w:szCs w:val="14"/>
          <w:color w:val="auto"/>
        </w:rPr>
        <w:t>We do not express any opinion herein concerning any law other than the law of the State of New York, the Delaware General Corporation Law, the Delaware Limited Liability Company Act and the Massachusetts Business Corporation Act. We expressly disclaim coverage of any other Delaware or Massachusetts law, except judicial interpretations interpreting the Delaware General Corporation Law, the Delaware Limited Liability Company Act and the Massachusetts Business Corporation Act, as applicable.</w:t>
      </w:r>
    </w:p>
    <w:p>
      <w:pPr>
        <w:spacing w:after="0" w:line="140" w:lineRule="exact"/>
        <w:rPr>
          <w:sz w:val="20"/>
          <w:szCs w:val="20"/>
          <w:color w:val="auto"/>
        </w:rPr>
      </w:pPr>
    </w:p>
    <w:p>
      <w:pPr>
        <w:ind w:left="160" w:right="579" w:firstLine="347"/>
        <w:spacing w:after="0" w:line="288"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5 to the Registration Statement and to the use of our name under the caption “Validity of Securities” in the prospectus included in the Registration Statement.</w:t>
      </w:r>
    </w:p>
    <w:p>
      <w:pPr>
        <w:spacing w:after="0" w:line="14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15240</wp:posOffset>
            </wp:positionV>
            <wp:extent cx="2202180"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2202180" cy="6985"/>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SIMPSON THACHER &amp; BARTLETT LLP</w:t>
      </w:r>
    </w:p>
    <w:p>
      <w:pPr>
        <w:sectPr>
          <w:pgSz w:w="11900" w:h="16838" w:orient="portrait"/>
          <w:cols w:equalWidth="0" w:num="1">
            <w:col w:w="9019"/>
          </w:cols>
          <w:pgMar w:left="1440" w:top="242" w:right="1440" w:bottom="1440" w:gutter="0" w:footer="0" w:header="0"/>
        </w:sectPr>
      </w:pPr>
    </w:p>
    <w:bookmarkStart w:id="183" w:name="page184"/>
    <w:bookmarkEnd w:id="183"/>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Dell Technologies Inc.</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Dell International L.L.C.</w:t>
      </w:r>
    </w:p>
    <w:p>
      <w:pPr>
        <w:sectPr>
          <w:pgSz w:w="11900" w:h="16838" w:orient="portrait"/>
          <w:cols w:equalWidth="0" w:num="1">
            <w:col w:w="9019"/>
          </w:cols>
          <w:pgMar w:left="1440" w:top="242" w:right="1440" w:bottom="1440" w:gutter="0" w:footer="0" w:header="0"/>
        </w:sectPr>
      </w:pP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EMC Corporation, et al.</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June 11, 2026</w:t>
      </w:r>
    </w:p>
    <w:p>
      <w:pPr>
        <w:spacing w:after="0" w:line="121" w:lineRule="exact"/>
        <w:rPr>
          <w:sz w:val="20"/>
          <w:szCs w:val="20"/>
          <w:color w:val="auto"/>
        </w:rPr>
      </w:pPr>
    </w:p>
    <w:p>
      <w:pPr>
        <w:sectPr>
          <w:pgSz w:w="11900" w:h="16838" w:orient="portrait"/>
          <w:cols w:equalWidth="0" w:num="3">
            <w:col w:w="3880" w:space="720"/>
            <w:col w:w="2740" w:space="720"/>
            <w:col w:w="959"/>
          </w:cols>
          <w:pgMar w:left="1440" w:top="242"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Schedule I</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DELAWARE GUARANTORS</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Dell Inc.</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Dell Technologies Inc.</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Denali Intermediate Inc.</w:t>
      </w:r>
    </w:p>
    <w:p>
      <w:pPr>
        <w:sectPr>
          <w:pgSz w:w="11900" w:h="16838" w:orient="portrait"/>
          <w:cols w:equalWidth="0" w:num="1">
            <w:col w:w="9019"/>
          </w:cols>
          <w:pgMar w:left="1440" w:top="242" w:right="1440" w:bottom="1440" w:gutter="0" w:footer="0" w:header="0"/>
          <w:type w:val="continuous"/>
        </w:sectPr>
      </w:pPr>
    </w:p>
    <w:bookmarkStart w:id="184" w:name="page185"/>
    <w:bookmarkEnd w:id="184"/>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22.1</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Subsidiary Guarantors and Issuers of Guaranteed Securities</w:t>
      </w:r>
    </w:p>
    <w:p>
      <w:pPr>
        <w:spacing w:after="0" w:line="181" w:lineRule="exact"/>
        <w:rPr>
          <w:sz w:val="20"/>
          <w:szCs w:val="20"/>
          <w:color w:val="auto"/>
        </w:rPr>
      </w:pPr>
    </w:p>
    <w:p>
      <w:pPr>
        <w:ind w:left="160" w:right="219"/>
        <w:spacing w:after="0" w:line="262" w:lineRule="auto"/>
        <w:rPr>
          <w:sz w:val="20"/>
          <w:szCs w:val="20"/>
          <w:color w:val="auto"/>
        </w:rPr>
      </w:pPr>
      <w:r>
        <w:rPr>
          <w:rFonts w:ascii="Times New Roman" w:cs="Times New Roman" w:eastAsia="Times New Roman" w:hAnsi="Times New Roman"/>
          <w:sz w:val="14"/>
          <w:szCs w:val="14"/>
          <w:color w:val="auto"/>
        </w:rPr>
        <w:t>The debt securities offered by the prospectus contained in the registration statement of which this Exhibit 22.1 is a part and any applicable prospectus supplement, which may be issued or co-issued in one or more series by Dell International L.L.C., a Delaware limited liability company and wholly-owned subsidiary of Dell Technologies Inc. (“Dell Technologies”), and/or EMC Corporation, a Massachusetts corporation and wholly-owned subsidiary of Dell Technologies, and may be jointly and severally and unconditionally guaranteed by Dell Technologies and each of its subsidiaries identified as a guarantor in the table below (each a “Guarantor”).</w:t>
      </w:r>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126"/>
        </w:trPr>
        <w:tc>
          <w:tcPr>
            <w:tcW w:w="3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Jurisdiction of</w:t>
            </w: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Entity</w:t>
            </w:r>
          </w:p>
        </w:tc>
        <w:tc>
          <w:tcPr>
            <w:tcW w:w="28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Incorporation or</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Role</w:t>
            </w:r>
          </w:p>
        </w:tc>
        <w:tc>
          <w:tcPr>
            <w:tcW w:w="0" w:type="dxa"/>
            <w:vAlign w:val="bottom"/>
          </w:tcPr>
          <w:p>
            <w:pPr>
              <w:spacing w:after="0"/>
              <w:rPr>
                <w:sz w:val="1"/>
                <w:szCs w:val="1"/>
                <w:color w:val="auto"/>
              </w:rPr>
            </w:pPr>
          </w:p>
        </w:tc>
      </w:tr>
      <w:tr>
        <w:trPr>
          <w:trHeight w:val="156"/>
        </w:trPr>
        <w:tc>
          <w:tcPr>
            <w:tcW w:w="3140" w:type="dxa"/>
            <w:vAlign w:val="bottom"/>
            <w:gridSpan w:val="2"/>
            <w:vMerge w:val="continue"/>
          </w:tcPr>
          <w:p>
            <w:pPr>
              <w:spacing w:after="0"/>
              <w:rPr>
                <w:sz w:val="13"/>
                <w:szCs w:val="13"/>
                <w:color w:val="auto"/>
              </w:rPr>
            </w:pPr>
          </w:p>
        </w:tc>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Organization</w:t>
            </w:r>
          </w:p>
        </w:tc>
        <w:tc>
          <w:tcPr>
            <w:tcW w:w="2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4"/>
                <w:szCs w:val="14"/>
                <w:color w:val="auto"/>
              </w:rPr>
              <w:t>Dell</w:t>
            </w:r>
          </w:p>
        </w:tc>
        <w:tc>
          <w:tcPr>
            <w:tcW w:w="282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International L.L.C.</w:t>
            </w:r>
          </w:p>
        </w:tc>
        <w:tc>
          <w:tcPr>
            <w:tcW w:w="278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Delaware</w:t>
            </w:r>
          </w:p>
        </w:tc>
        <w:tc>
          <w:tcPr>
            <w:tcW w:w="80" w:type="dxa"/>
            <w:vAlign w:val="bottom"/>
          </w:tcPr>
          <w:p>
            <w:pPr>
              <w:spacing w:after="0"/>
              <w:rPr>
                <w:sz w:val="11"/>
                <w:szCs w:val="11"/>
                <w:color w:val="auto"/>
              </w:rPr>
            </w:pPr>
          </w:p>
        </w:tc>
        <w:tc>
          <w:tcPr>
            <w:tcW w:w="268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Co-Issuer</w:t>
            </w:r>
          </w:p>
        </w:tc>
        <w:tc>
          <w:tcPr>
            <w:tcW w:w="0" w:type="dxa"/>
            <w:vAlign w:val="bottom"/>
          </w:tcPr>
          <w:p>
            <w:pPr>
              <w:spacing w:after="0"/>
              <w:rPr>
                <w:sz w:val="1"/>
                <w:szCs w:val="1"/>
                <w:color w:val="auto"/>
              </w:rPr>
            </w:pPr>
          </w:p>
        </w:tc>
      </w:tr>
      <w:tr>
        <w:trPr>
          <w:trHeight w:val="17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EMC Corporation</w:t>
            </w:r>
          </w:p>
        </w:tc>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Massachusetts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Co-Issuer</w:t>
            </w:r>
          </w:p>
        </w:tc>
        <w:tc>
          <w:tcPr>
            <w:tcW w:w="0" w:type="dxa"/>
            <w:vAlign w:val="bottom"/>
          </w:tcPr>
          <w:p>
            <w:pPr>
              <w:spacing w:after="0"/>
              <w:rPr>
                <w:sz w:val="1"/>
                <w:szCs w:val="1"/>
                <w:color w:val="auto"/>
              </w:rPr>
            </w:pPr>
          </w:p>
        </w:tc>
      </w:tr>
      <w:tr>
        <w:trPr>
          <w:trHeight w:val="17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Dell Inc.</w:t>
            </w:r>
          </w:p>
        </w:tc>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Delaware</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Guarantor</w:t>
            </w:r>
          </w:p>
        </w:tc>
        <w:tc>
          <w:tcPr>
            <w:tcW w:w="0" w:type="dxa"/>
            <w:vAlign w:val="bottom"/>
          </w:tcPr>
          <w:p>
            <w:pPr>
              <w:spacing w:after="0"/>
              <w:rPr>
                <w:sz w:val="1"/>
                <w:szCs w:val="1"/>
                <w:color w:val="auto"/>
              </w:rPr>
            </w:pPr>
          </w:p>
        </w:tc>
      </w:tr>
      <w:tr>
        <w:trPr>
          <w:trHeight w:val="184"/>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Denali Intermediate Inc.</w:t>
            </w:r>
          </w:p>
        </w:tc>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Delaware</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Guarantor</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00" w:right="179" w:hanging="337"/>
        <w:spacing w:after="0" w:line="260" w:lineRule="auto"/>
        <w:tabs>
          <w:tab w:leader="none" w:pos="500"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above-listed entities also serve as co-issuers and as guarantors, as applicable, of the Co-Issuers’ 4.900% Senior Notes due 2026, 6.100% Senior Notes due 2027, 4.750% Senior Notes due 2028, 5.250% Senior Notes due 2028, 4.150% Senior Notes due 2029, 5.300% Senior Notes due 2029, 4.350% Senior Notes due 2030, 5.000% Senior Notes due 2030, 6.200% Senior Notes due 2030, 4.500% Senior Notes due 2031, 4.750% Senior Notes due 2032, 5.300% Senior Notes due 2032, 5.750% Senior Notes due 2033, 5.400% Senior Notes due 2034, 4.850% Senior Notes due 2035, 5.500% Senior Notes due 2035, 5.100% Senior Notes due 2036, 8.100% Senior Notes due 2036, 3.375% Senior Notes due 2041, 8.350% Senior Notes due 2046 and 3.450% Senior Notes due 2051 (collectively, the “Senior Notes”). Dell Technologies is also a guarantor under the Senior Notes.</w:t>
      </w:r>
    </w:p>
    <w:p>
      <w:pPr>
        <w:sectPr>
          <w:pgSz w:w="11900" w:h="16838" w:orient="portrait"/>
          <w:cols w:equalWidth="0" w:num="1">
            <w:col w:w="9019"/>
          </w:cols>
          <w:pgMar w:left="1440" w:top="123" w:right="1440" w:bottom="1440" w:gutter="0" w:footer="0" w:header="0"/>
        </w:sectPr>
      </w:pPr>
    </w:p>
    <w:bookmarkStart w:id="185" w:name="page186"/>
    <w:bookmarkEnd w:id="185"/>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9" w:lineRule="exact"/>
        <w:rPr>
          <w:sz w:val="20"/>
          <w:szCs w:val="20"/>
          <w:color w:val="auto"/>
        </w:rPr>
      </w:pPr>
    </w:p>
    <w:p>
      <w:pPr>
        <w:ind w:left="160" w:right="239"/>
        <w:spacing w:after="0" w:line="265"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Dell Technologies Inc. of our report dated March 16, 2026 relating to the financial statements and the effectiveness of internal control over financial reporting, which appears in Dell Technologies Inc.’s Annual Report on Form 10-K for the year ended January 30, 2026. We also consent to the reference to us under the heading “Experts” in such Registration Statement.</w:t>
      </w:r>
    </w:p>
    <w:p>
      <w:pPr>
        <w:spacing w:after="0" w:line="1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Austin, Texas</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June 11, 2026</w:t>
      </w:r>
    </w:p>
    <w:p>
      <w:pPr>
        <w:sectPr>
          <w:pgSz w:w="11900" w:h="16838" w:orient="portrait"/>
          <w:cols w:equalWidth="0" w:num="1">
            <w:col w:w="9019"/>
          </w:cols>
          <w:pgMar w:left="1440" w:top="123" w:right="1440" w:bottom="1440" w:gutter="0" w:footer="0" w:header="0"/>
        </w:sectPr>
      </w:pPr>
    </w:p>
    <w:bookmarkStart w:id="186" w:name="page187"/>
    <w:bookmarkEnd w:id="186"/>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144780</wp:posOffset>
            </wp:positionV>
            <wp:extent cx="5513070"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2">
                      <a:extLst>
                        <a:ext uri="{28A0092B-C50C-407E-A947-70E740481C1C}"/>
                      </a:extLst>
                    </a:blip>
                    <a:srcRect/>
                    <a:stretch>
                      <a:fillRect/>
                    </a:stretch>
                  </pic:blipFill>
                  <pic:spPr bwMode="auto">
                    <a:xfrm>
                      <a:off x="0" y="0"/>
                      <a:ext cx="5513070" cy="698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178435</wp:posOffset>
            </wp:positionV>
            <wp:extent cx="551307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3">
                      <a:extLst>
                        <a:ext uri="{28A0092B-C50C-407E-A947-70E740481C1C}"/>
                      </a:extLst>
                    </a:blip>
                    <a:srcRect/>
                    <a:stretch>
                      <a:fillRect/>
                    </a:stretch>
                  </pic:blipFill>
                  <pic:spPr bwMode="auto">
                    <a:xfrm>
                      <a:off x="0" y="0"/>
                      <a:ext cx="5513070" cy="6985"/>
                    </a:xfrm>
                    <a:prstGeom prst="rect">
                      <a:avLst/>
                    </a:prstGeom>
                    <a:noFill/>
                  </pic:spPr>
                </pic:pic>
              </a:graphicData>
            </a:graphic>
          </wp:anchor>
        </w:drawing>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174625</wp:posOffset>
            </wp:positionV>
            <wp:extent cx="1162050"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4">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192405</wp:posOffset>
            </wp:positionV>
            <wp:extent cx="1162050"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5">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left="1620" w:right="2000"/>
        <w:spacing w:after="0" w:line="253" w:lineRule="auto"/>
        <w:rPr>
          <w:sz w:val="20"/>
          <w:szCs w:val="20"/>
          <w:color w:val="auto"/>
        </w:rPr>
      </w:pPr>
      <w:r>
        <w:rPr>
          <w:rFonts w:ascii="Times New Roman" w:cs="Times New Roman" w:eastAsia="Times New Roman" w:hAnsi="Times New Roman"/>
          <w:sz w:val="17"/>
          <w:szCs w:val="17"/>
          <w:b w:val="1"/>
          <w:bCs w:val="1"/>
          <w:color w:val="auto"/>
        </w:rPr>
        <w:t>STATEMENT OF ELIGIBILITY UNDER THE TRUST INDENTURE ACT OF 1939 OF A CORPORATION DESIGNATED TO ACT AS TRUSTEE</w:t>
      </w:r>
    </w:p>
    <w:p>
      <w:pPr>
        <w:spacing w:after="0" w:line="148" w:lineRule="exact"/>
        <w:rPr>
          <w:sz w:val="20"/>
          <w:szCs w:val="20"/>
          <w:color w:val="auto"/>
        </w:rPr>
      </w:pPr>
    </w:p>
    <w:p>
      <w:pPr>
        <w:ind w:left="500" w:right="1119" w:hanging="337"/>
        <w:spacing w:after="0" w:line="272" w:lineRule="auto"/>
        <w:tabs>
          <w:tab w:leader="none" w:pos="500" w:val="left"/>
        </w:tabs>
        <w:numPr>
          <w:ilvl w:val="0"/>
          <w:numId w:val="350"/>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160020</wp:posOffset>
            </wp:positionV>
            <wp:extent cx="116205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6">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THE BANK OF NEW YORK MELLON</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TRUST COMPANY, N.A.</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180975</wp:posOffset>
            </wp:positionV>
            <wp:extent cx="116205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7">
                      <a:extLst>
                        <a:ext uri="{28A0092B-C50C-407E-A947-70E740481C1C}"/>
                      </a:extLst>
                    </a:blip>
                    <a:srcRect/>
                    <a:stretch>
                      <a:fillRect/>
                    </a:stretch>
                  </pic:blipFill>
                  <pic:spPr bwMode="auto">
                    <a:xfrm>
                      <a:off x="0" y="0"/>
                      <a:ext cx="1162050" cy="69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1420" w:type="dxa"/>
        <w:tblCellMar>
          <w:top w:w="0" w:type="dxa"/>
          <w:left w:w="0" w:type="dxa"/>
          <w:bottom w:w="0" w:type="dxa"/>
          <w:right w:w="0" w:type="dxa"/>
        </w:tblCellMar>
      </w:tblPr>
      <w:tr>
        <w:trPr>
          <w:trHeight w:val="168"/>
        </w:trPr>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95-3571558</w:t>
            </w:r>
          </w:p>
        </w:tc>
      </w:tr>
      <w:tr>
        <w:trPr>
          <w:trHeight w:val="117"/>
        </w:trPr>
        <w:tc>
          <w:tcPr>
            <w:tcW w:w="4620" w:type="dxa"/>
            <w:vAlign w:val="bottom"/>
            <w:gridSpan w:val="3"/>
          </w:tcPr>
          <w:p>
            <w:pPr>
              <w:jc w:val="center"/>
              <w:ind w:right="2740"/>
              <w:spacing w:after="0" w:line="118" w:lineRule="exact"/>
              <w:rPr>
                <w:sz w:val="20"/>
                <w:szCs w:val="20"/>
                <w:color w:val="auto"/>
              </w:rPr>
            </w:pPr>
            <w:r>
              <w:rPr>
                <w:rFonts w:ascii="Times New Roman" w:cs="Times New Roman" w:eastAsia="Times New Roman" w:hAnsi="Times New Roman"/>
                <w:sz w:val="11"/>
                <w:szCs w:val="11"/>
                <w:b w:val="1"/>
                <w:bCs w:val="1"/>
                <w:color w:val="auto"/>
              </w:rPr>
              <w:t>(Jurisdiction of incorporation</w:t>
            </w:r>
          </w:p>
        </w:tc>
        <w:tc>
          <w:tcPr>
            <w:tcW w:w="1120" w:type="dxa"/>
            <w:vAlign w:val="bottom"/>
          </w:tcPr>
          <w:p>
            <w:pPr>
              <w:jc w:val="center"/>
              <w:ind w:left="21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620" w:type="dxa"/>
            <w:vAlign w:val="bottom"/>
            <w:gridSpan w:val="3"/>
          </w:tcPr>
          <w:p>
            <w:pPr>
              <w:jc w:val="center"/>
              <w:ind w:right="2760"/>
              <w:spacing w:after="0"/>
              <w:rPr>
                <w:sz w:val="20"/>
                <w:szCs w:val="20"/>
                <w:color w:val="auto"/>
              </w:rPr>
            </w:pPr>
            <w:r>
              <w:rPr>
                <w:rFonts w:ascii="Times New Roman" w:cs="Times New Roman" w:eastAsia="Times New Roman" w:hAnsi="Times New Roman"/>
                <w:sz w:val="11"/>
                <w:szCs w:val="11"/>
                <w:b w:val="1"/>
                <w:bCs w:val="1"/>
                <w:color w:val="auto"/>
              </w:rPr>
              <w:t>if not a U.S. national bank)</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2"/>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333 South Hope Street</w:t>
            </w:r>
          </w:p>
        </w:tc>
        <w:tc>
          <w:tcPr>
            <w:tcW w:w="1120" w:type="dxa"/>
            <w:vAlign w:val="bottom"/>
          </w:tcPr>
          <w:p>
            <w:pPr>
              <w:spacing w:after="0"/>
              <w:rPr>
                <w:sz w:val="24"/>
                <w:szCs w:val="24"/>
                <w:color w:val="auto"/>
              </w:rPr>
            </w:pPr>
          </w:p>
        </w:tc>
      </w:tr>
      <w:tr>
        <w:trPr>
          <w:trHeight w:val="170"/>
        </w:trPr>
        <w:tc>
          <w:tcPr>
            <w:tcW w:w="4620" w:type="dxa"/>
            <w:vAlign w:val="bottom"/>
            <w:gridSpan w:val="3"/>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Suite 2525</w:t>
            </w:r>
          </w:p>
        </w:tc>
        <w:tc>
          <w:tcPr>
            <w:tcW w:w="1120" w:type="dxa"/>
            <w:vAlign w:val="bottom"/>
          </w:tcPr>
          <w:p>
            <w:pPr>
              <w:spacing w:after="0"/>
              <w:rPr>
                <w:sz w:val="14"/>
                <w:szCs w:val="14"/>
                <w:color w:val="auto"/>
              </w:rPr>
            </w:pPr>
          </w:p>
        </w:tc>
      </w:tr>
      <w:tr>
        <w:trPr>
          <w:trHeight w:val="178"/>
        </w:trPr>
        <w:tc>
          <w:tcPr>
            <w:tcW w:w="4620" w:type="dxa"/>
            <w:vAlign w:val="bottom"/>
            <w:gridSpan w:val="3"/>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Los Angeles, California</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90071</w:t>
            </w:r>
          </w:p>
        </w:tc>
      </w:tr>
      <w:tr>
        <w:trPr>
          <w:trHeight w:val="149"/>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264"/>
        </w:trPr>
        <w:tc>
          <w:tcPr>
            <w:tcW w:w="216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12"/>
        </w:trPr>
        <w:tc>
          <w:tcPr>
            <w:tcW w:w="4620" w:type="dxa"/>
            <w:vAlign w:val="bottom"/>
            <w:gridSpan w:val="3"/>
          </w:tcPr>
          <w:p>
            <w:pPr>
              <w:jc w:val="center"/>
              <w:ind w:left="1497"/>
              <w:spacing w:after="0"/>
              <w:rPr>
                <w:sz w:val="20"/>
                <w:szCs w:val="20"/>
                <w:color w:val="auto"/>
              </w:rPr>
            </w:pPr>
            <w:r>
              <w:rPr>
                <w:rFonts w:ascii="Times New Roman" w:cs="Times New Roman" w:eastAsia="Times New Roman" w:hAnsi="Times New Roman"/>
                <w:sz w:val="14"/>
                <w:szCs w:val="14"/>
                <w:b w:val="1"/>
                <w:bCs w:val="1"/>
                <w:color w:val="auto"/>
              </w:rPr>
              <w:t>DELL INTERNATIONAL L.L.C.</w:t>
            </w:r>
          </w:p>
        </w:tc>
        <w:tc>
          <w:tcPr>
            <w:tcW w:w="1120" w:type="dxa"/>
            <w:vAlign w:val="bottom"/>
          </w:tcPr>
          <w:p>
            <w:pPr>
              <w:spacing w:after="0"/>
              <w:rPr>
                <w:sz w:val="24"/>
                <w:szCs w:val="24"/>
                <w:color w:val="auto"/>
              </w:rPr>
            </w:pPr>
          </w:p>
        </w:tc>
      </w:tr>
      <w:tr>
        <w:trPr>
          <w:trHeight w:val="149"/>
        </w:trPr>
        <w:tc>
          <w:tcPr>
            <w:tcW w:w="4620" w:type="dxa"/>
            <w:vAlign w:val="bottom"/>
            <w:gridSpan w:val="3"/>
          </w:tcPr>
          <w:p>
            <w:pPr>
              <w:jc w:val="center"/>
              <w:ind w:left="1497"/>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1120" w:type="dxa"/>
            <w:vAlign w:val="bottom"/>
          </w:tcPr>
          <w:p>
            <w:pPr>
              <w:spacing w:after="0"/>
              <w:rPr>
                <w:sz w:val="12"/>
                <w:szCs w:val="12"/>
                <w:color w:val="auto"/>
              </w:rPr>
            </w:pPr>
          </w:p>
        </w:tc>
      </w:tr>
      <w:tr>
        <w:trPr>
          <w:trHeight w:val="264"/>
        </w:trPr>
        <w:tc>
          <w:tcPr>
            <w:tcW w:w="216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65"/>
        </w:trPr>
        <w:tc>
          <w:tcPr>
            <w:tcW w:w="4620" w:type="dxa"/>
            <w:vAlign w:val="bottom"/>
            <w:gridSpan w:val="3"/>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81-3562797</w:t>
            </w:r>
          </w:p>
        </w:tc>
      </w:tr>
      <w:tr>
        <w:trPr>
          <w:trHeight w:val="117"/>
        </w:trPr>
        <w:tc>
          <w:tcPr>
            <w:tcW w:w="4620" w:type="dxa"/>
            <w:vAlign w:val="bottom"/>
            <w:gridSpan w:val="3"/>
          </w:tcPr>
          <w:p>
            <w:pPr>
              <w:jc w:val="center"/>
              <w:ind w:right="276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120" w:type="dxa"/>
            <w:vAlign w:val="bottom"/>
          </w:tcPr>
          <w:p>
            <w:pPr>
              <w:jc w:val="center"/>
              <w:ind w:left="21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2"/>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w w:val="99"/>
              </w:rPr>
              <w:t>One Dell Way</w:t>
            </w:r>
          </w:p>
        </w:tc>
        <w:tc>
          <w:tcPr>
            <w:tcW w:w="1120" w:type="dxa"/>
            <w:vAlign w:val="bottom"/>
          </w:tcPr>
          <w:p>
            <w:pPr>
              <w:spacing w:after="0"/>
              <w:rPr>
                <w:sz w:val="24"/>
                <w:szCs w:val="24"/>
                <w:color w:val="auto"/>
              </w:rPr>
            </w:pPr>
          </w:p>
        </w:tc>
      </w:tr>
      <w:tr>
        <w:trPr>
          <w:trHeight w:val="178"/>
        </w:trPr>
        <w:tc>
          <w:tcPr>
            <w:tcW w:w="4620" w:type="dxa"/>
            <w:vAlign w:val="bottom"/>
            <w:gridSpan w:val="3"/>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Round Rock, Texas</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78682</w:t>
            </w:r>
          </w:p>
        </w:tc>
      </w:tr>
      <w:tr>
        <w:trPr>
          <w:trHeight w:val="149"/>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264"/>
        </w:trPr>
        <w:tc>
          <w:tcPr>
            <w:tcW w:w="216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12"/>
        </w:trPr>
        <w:tc>
          <w:tcPr>
            <w:tcW w:w="2160" w:type="dxa"/>
            <w:vAlign w:val="bottom"/>
          </w:tcPr>
          <w:p>
            <w:pPr>
              <w:spacing w:after="0"/>
              <w:rPr>
                <w:sz w:val="24"/>
                <w:szCs w:val="24"/>
                <w:color w:val="auto"/>
              </w:rPr>
            </w:pPr>
          </w:p>
        </w:tc>
        <w:tc>
          <w:tcPr>
            <w:tcW w:w="24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EMC CORPORATION</w:t>
            </w:r>
          </w:p>
        </w:tc>
        <w:tc>
          <w:tcPr>
            <w:tcW w:w="1120" w:type="dxa"/>
            <w:vAlign w:val="bottom"/>
          </w:tcPr>
          <w:p>
            <w:pPr>
              <w:spacing w:after="0"/>
              <w:rPr>
                <w:sz w:val="24"/>
                <w:szCs w:val="24"/>
                <w:color w:val="auto"/>
              </w:rPr>
            </w:pPr>
          </w:p>
        </w:tc>
      </w:tr>
      <w:tr>
        <w:trPr>
          <w:trHeight w:val="149"/>
        </w:trPr>
        <w:tc>
          <w:tcPr>
            <w:tcW w:w="4620" w:type="dxa"/>
            <w:vAlign w:val="bottom"/>
            <w:gridSpan w:val="3"/>
          </w:tcPr>
          <w:p>
            <w:pPr>
              <w:jc w:val="center"/>
              <w:ind w:left="1497"/>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tc>
        <w:tc>
          <w:tcPr>
            <w:tcW w:w="1120" w:type="dxa"/>
            <w:vAlign w:val="bottom"/>
          </w:tcPr>
          <w:p>
            <w:pPr>
              <w:spacing w:after="0"/>
              <w:rPr>
                <w:sz w:val="12"/>
                <w:szCs w:val="12"/>
                <w:color w:val="auto"/>
              </w:rPr>
            </w:pPr>
          </w:p>
        </w:tc>
      </w:tr>
      <w:tr>
        <w:trPr>
          <w:trHeight w:val="275"/>
        </w:trPr>
        <w:tc>
          <w:tcPr>
            <w:tcW w:w="2160" w:type="dxa"/>
            <w:vAlign w:val="bottom"/>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54"/>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Massachusetts</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04-2680009</w:t>
            </w:r>
          </w:p>
        </w:tc>
      </w:tr>
      <w:tr>
        <w:trPr>
          <w:trHeight w:val="117"/>
        </w:trPr>
        <w:tc>
          <w:tcPr>
            <w:tcW w:w="4620" w:type="dxa"/>
            <w:vAlign w:val="bottom"/>
            <w:gridSpan w:val="3"/>
          </w:tcPr>
          <w:p>
            <w:pPr>
              <w:jc w:val="center"/>
              <w:ind w:right="276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120" w:type="dxa"/>
            <w:vAlign w:val="bottom"/>
          </w:tcPr>
          <w:p>
            <w:pPr>
              <w:jc w:val="center"/>
              <w:ind w:left="21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2"/>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176 South Street</w:t>
            </w:r>
          </w:p>
        </w:tc>
        <w:tc>
          <w:tcPr>
            <w:tcW w:w="1120" w:type="dxa"/>
            <w:vAlign w:val="bottom"/>
          </w:tcPr>
          <w:p>
            <w:pPr>
              <w:spacing w:after="0"/>
              <w:rPr>
                <w:sz w:val="24"/>
                <w:szCs w:val="24"/>
                <w:color w:val="auto"/>
              </w:rPr>
            </w:pPr>
          </w:p>
        </w:tc>
      </w:tr>
      <w:tr>
        <w:trPr>
          <w:trHeight w:val="178"/>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Hopkinton, Massachusetts</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01748</w:t>
            </w:r>
          </w:p>
        </w:tc>
      </w:tr>
      <w:tr>
        <w:trPr>
          <w:trHeight w:val="149"/>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275"/>
        </w:trPr>
        <w:tc>
          <w:tcPr>
            <w:tcW w:w="2160" w:type="dxa"/>
            <w:vAlign w:val="bottom"/>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12"/>
        </w:trPr>
        <w:tc>
          <w:tcPr>
            <w:tcW w:w="4620" w:type="dxa"/>
            <w:vAlign w:val="bottom"/>
            <w:gridSpan w:val="3"/>
          </w:tcPr>
          <w:p>
            <w:pPr>
              <w:jc w:val="center"/>
              <w:ind w:left="1477"/>
              <w:spacing w:after="0"/>
              <w:rPr>
                <w:sz w:val="20"/>
                <w:szCs w:val="20"/>
                <w:color w:val="auto"/>
              </w:rPr>
            </w:pPr>
            <w:r>
              <w:rPr>
                <w:rFonts w:ascii="Times New Roman" w:cs="Times New Roman" w:eastAsia="Times New Roman" w:hAnsi="Times New Roman"/>
                <w:sz w:val="14"/>
                <w:szCs w:val="14"/>
                <w:b w:val="1"/>
                <w:bCs w:val="1"/>
                <w:color w:val="auto"/>
              </w:rPr>
              <w:t>DELL TECHNOLOGIES INC.</w:t>
            </w:r>
          </w:p>
        </w:tc>
        <w:tc>
          <w:tcPr>
            <w:tcW w:w="1120" w:type="dxa"/>
            <w:vAlign w:val="bottom"/>
          </w:tcPr>
          <w:p>
            <w:pPr>
              <w:spacing w:after="0"/>
              <w:rPr>
                <w:sz w:val="24"/>
                <w:szCs w:val="24"/>
                <w:color w:val="auto"/>
              </w:rPr>
            </w:pPr>
          </w:p>
        </w:tc>
      </w:tr>
      <w:tr>
        <w:trPr>
          <w:trHeight w:val="149"/>
        </w:trPr>
        <w:tc>
          <w:tcPr>
            <w:tcW w:w="4620" w:type="dxa"/>
            <w:vAlign w:val="bottom"/>
            <w:gridSpan w:val="3"/>
          </w:tcPr>
          <w:p>
            <w:pPr>
              <w:jc w:val="center"/>
              <w:ind w:left="1497"/>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1120" w:type="dxa"/>
            <w:vAlign w:val="bottom"/>
          </w:tcPr>
          <w:p>
            <w:pPr>
              <w:spacing w:after="0"/>
              <w:rPr>
                <w:sz w:val="12"/>
                <w:szCs w:val="12"/>
                <w:color w:val="auto"/>
              </w:rPr>
            </w:pPr>
          </w:p>
        </w:tc>
      </w:tr>
      <w:tr>
        <w:trPr>
          <w:trHeight w:val="264"/>
        </w:trPr>
        <w:tc>
          <w:tcPr>
            <w:tcW w:w="216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65"/>
        </w:trPr>
        <w:tc>
          <w:tcPr>
            <w:tcW w:w="4620" w:type="dxa"/>
            <w:vAlign w:val="bottom"/>
            <w:gridSpan w:val="3"/>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80-0890963</w:t>
            </w:r>
          </w:p>
        </w:tc>
      </w:tr>
      <w:tr>
        <w:trPr>
          <w:trHeight w:val="117"/>
        </w:trPr>
        <w:tc>
          <w:tcPr>
            <w:tcW w:w="4620" w:type="dxa"/>
            <w:vAlign w:val="bottom"/>
            <w:gridSpan w:val="3"/>
          </w:tcPr>
          <w:p>
            <w:pPr>
              <w:jc w:val="center"/>
              <w:ind w:right="276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120" w:type="dxa"/>
            <w:vAlign w:val="bottom"/>
          </w:tcPr>
          <w:p>
            <w:pPr>
              <w:jc w:val="center"/>
              <w:ind w:left="21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2"/>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w w:val="99"/>
              </w:rPr>
              <w:t>One Dell Way</w:t>
            </w:r>
          </w:p>
        </w:tc>
        <w:tc>
          <w:tcPr>
            <w:tcW w:w="1120" w:type="dxa"/>
            <w:vAlign w:val="bottom"/>
          </w:tcPr>
          <w:p>
            <w:pPr>
              <w:spacing w:after="0"/>
              <w:rPr>
                <w:sz w:val="24"/>
                <w:szCs w:val="24"/>
                <w:color w:val="auto"/>
              </w:rPr>
            </w:pPr>
          </w:p>
        </w:tc>
      </w:tr>
      <w:tr>
        <w:trPr>
          <w:trHeight w:val="178"/>
        </w:trPr>
        <w:tc>
          <w:tcPr>
            <w:tcW w:w="4620" w:type="dxa"/>
            <w:vAlign w:val="bottom"/>
            <w:gridSpan w:val="3"/>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Round Rock, Texas</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78682</w:t>
            </w:r>
          </w:p>
        </w:tc>
      </w:tr>
      <w:tr>
        <w:trPr>
          <w:trHeight w:val="149"/>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264"/>
        </w:trPr>
        <w:tc>
          <w:tcPr>
            <w:tcW w:w="216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12"/>
        </w:trPr>
        <w:tc>
          <w:tcPr>
            <w:tcW w:w="2160" w:type="dxa"/>
            <w:vAlign w:val="bottom"/>
          </w:tcPr>
          <w:p>
            <w:pPr>
              <w:spacing w:after="0"/>
              <w:rPr>
                <w:sz w:val="24"/>
                <w:szCs w:val="24"/>
                <w:color w:val="auto"/>
              </w:rPr>
            </w:pPr>
          </w:p>
        </w:tc>
        <w:tc>
          <w:tcPr>
            <w:tcW w:w="24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Dell Inc.</w:t>
            </w:r>
          </w:p>
        </w:tc>
        <w:tc>
          <w:tcPr>
            <w:tcW w:w="1120" w:type="dxa"/>
            <w:vAlign w:val="bottom"/>
          </w:tcPr>
          <w:p>
            <w:pPr>
              <w:spacing w:after="0"/>
              <w:rPr>
                <w:sz w:val="24"/>
                <w:szCs w:val="24"/>
                <w:color w:val="auto"/>
              </w:rPr>
            </w:pPr>
          </w:p>
        </w:tc>
      </w:tr>
      <w:tr>
        <w:trPr>
          <w:trHeight w:val="149"/>
        </w:trPr>
        <w:tc>
          <w:tcPr>
            <w:tcW w:w="4620" w:type="dxa"/>
            <w:vAlign w:val="bottom"/>
            <w:gridSpan w:val="3"/>
          </w:tcPr>
          <w:p>
            <w:pPr>
              <w:jc w:val="center"/>
              <w:ind w:left="1497"/>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1120" w:type="dxa"/>
            <w:vAlign w:val="bottom"/>
          </w:tcPr>
          <w:p>
            <w:pPr>
              <w:spacing w:after="0"/>
              <w:rPr>
                <w:sz w:val="12"/>
                <w:szCs w:val="12"/>
                <w:color w:val="auto"/>
              </w:rPr>
            </w:pPr>
          </w:p>
        </w:tc>
      </w:tr>
      <w:tr>
        <w:trPr>
          <w:trHeight w:val="264"/>
        </w:trPr>
        <w:tc>
          <w:tcPr>
            <w:tcW w:w="216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65"/>
        </w:trPr>
        <w:tc>
          <w:tcPr>
            <w:tcW w:w="4620" w:type="dxa"/>
            <w:vAlign w:val="bottom"/>
            <w:gridSpan w:val="3"/>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74-2487834</w:t>
            </w:r>
          </w:p>
        </w:tc>
      </w:tr>
      <w:tr>
        <w:trPr>
          <w:trHeight w:val="117"/>
        </w:trPr>
        <w:tc>
          <w:tcPr>
            <w:tcW w:w="4620" w:type="dxa"/>
            <w:vAlign w:val="bottom"/>
            <w:gridSpan w:val="3"/>
          </w:tcPr>
          <w:p>
            <w:pPr>
              <w:jc w:val="center"/>
              <w:ind w:right="276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120" w:type="dxa"/>
            <w:vAlign w:val="bottom"/>
          </w:tcPr>
          <w:p>
            <w:pPr>
              <w:jc w:val="center"/>
              <w:ind w:left="21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2"/>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w w:val="99"/>
              </w:rPr>
              <w:t>One Dell Way</w:t>
            </w:r>
          </w:p>
        </w:tc>
        <w:tc>
          <w:tcPr>
            <w:tcW w:w="1120" w:type="dxa"/>
            <w:vAlign w:val="bottom"/>
          </w:tcPr>
          <w:p>
            <w:pPr>
              <w:spacing w:after="0"/>
              <w:rPr>
                <w:sz w:val="24"/>
                <w:szCs w:val="24"/>
                <w:color w:val="auto"/>
              </w:rPr>
            </w:pPr>
          </w:p>
        </w:tc>
      </w:tr>
      <w:tr>
        <w:trPr>
          <w:trHeight w:val="178"/>
        </w:trPr>
        <w:tc>
          <w:tcPr>
            <w:tcW w:w="4620" w:type="dxa"/>
            <w:vAlign w:val="bottom"/>
            <w:gridSpan w:val="3"/>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Round Rock, Texas</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78682</w:t>
            </w:r>
          </w:p>
        </w:tc>
      </w:tr>
      <w:tr>
        <w:trPr>
          <w:trHeight w:val="149"/>
        </w:trPr>
        <w:tc>
          <w:tcPr>
            <w:tcW w:w="4620" w:type="dxa"/>
            <w:vAlign w:val="bottom"/>
            <w:gridSpan w:val="3"/>
          </w:tcPr>
          <w:p>
            <w:pPr>
              <w:jc w:val="center"/>
              <w:ind w:right="27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12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264"/>
        </w:trPr>
        <w:tc>
          <w:tcPr>
            <w:tcW w:w="216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ectPr>
          <w:pgSz w:w="11900" w:h="16838" w:orient="portrait"/>
          <w:cols w:equalWidth="0" w:num="1">
            <w:col w:w="9019"/>
          </w:cols>
          <w:pgMar w:left="1440" w:top="123" w:right="1440" w:bottom="0" w:gutter="0" w:footer="0" w:header="0"/>
        </w:sectPr>
      </w:pPr>
    </w:p>
    <w:bookmarkStart w:id="187" w:name="page188"/>
    <w:bookmarkEnd w:id="187"/>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68"/>
        </w:trPr>
        <w:tc>
          <w:tcPr>
            <w:tcW w:w="3420" w:type="dxa"/>
            <w:vAlign w:val="bottom"/>
          </w:tcPr>
          <w:p>
            <w:pPr>
              <w:spacing w:after="0"/>
              <w:rPr>
                <w:sz w:val="14"/>
                <w:szCs w:val="14"/>
                <w:color w:val="auto"/>
              </w:rPr>
            </w:pPr>
          </w:p>
        </w:tc>
        <w:tc>
          <w:tcPr>
            <w:tcW w:w="24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Denali Intermediate Inc.</w:t>
            </w:r>
          </w:p>
        </w:tc>
        <w:tc>
          <w:tcPr>
            <w:tcW w:w="2800" w:type="dxa"/>
            <w:vAlign w:val="bottom"/>
          </w:tcPr>
          <w:p>
            <w:pPr>
              <w:spacing w:after="0"/>
              <w:rPr>
                <w:sz w:val="14"/>
                <w:szCs w:val="14"/>
                <w:color w:val="auto"/>
              </w:rPr>
            </w:pPr>
          </w:p>
        </w:tc>
      </w:tr>
      <w:tr>
        <w:trPr>
          <w:trHeight w:val="149"/>
        </w:trPr>
        <w:tc>
          <w:tcPr>
            <w:tcW w:w="5880" w:type="dxa"/>
            <w:vAlign w:val="bottom"/>
            <w:gridSpan w:val="3"/>
          </w:tcPr>
          <w:p>
            <w:pPr>
              <w:jc w:val="center"/>
              <w:ind w:left="2756"/>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2800" w:type="dxa"/>
            <w:vAlign w:val="bottom"/>
          </w:tcPr>
          <w:p>
            <w:pPr>
              <w:spacing w:after="0"/>
              <w:rPr>
                <w:sz w:val="12"/>
                <w:szCs w:val="12"/>
                <w:color w:val="auto"/>
              </w:rPr>
            </w:pPr>
          </w:p>
        </w:tc>
      </w:tr>
      <w:tr>
        <w:trPr>
          <w:trHeight w:val="264"/>
        </w:trPr>
        <w:tc>
          <w:tcPr>
            <w:tcW w:w="342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365"/>
        </w:trPr>
        <w:tc>
          <w:tcPr>
            <w:tcW w:w="588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00" w:type="dxa"/>
            <w:vAlign w:val="bottom"/>
          </w:tcPr>
          <w:p>
            <w:pPr>
              <w:jc w:val="right"/>
              <w:ind w:right="1698"/>
              <w:spacing w:after="0"/>
              <w:rPr>
                <w:sz w:val="20"/>
                <w:szCs w:val="20"/>
                <w:color w:val="auto"/>
              </w:rPr>
            </w:pPr>
            <w:r>
              <w:rPr>
                <w:rFonts w:ascii="Times New Roman" w:cs="Times New Roman" w:eastAsia="Times New Roman" w:hAnsi="Times New Roman"/>
                <w:sz w:val="14"/>
                <w:szCs w:val="14"/>
                <w:b w:val="1"/>
                <w:bCs w:val="1"/>
                <w:color w:val="auto"/>
              </w:rPr>
              <w:t>38-3897772</w:t>
            </w:r>
          </w:p>
        </w:tc>
      </w:tr>
      <w:tr>
        <w:trPr>
          <w:trHeight w:val="117"/>
        </w:trPr>
        <w:tc>
          <w:tcPr>
            <w:tcW w:w="5880" w:type="dxa"/>
            <w:vAlign w:val="bottom"/>
            <w:gridSpan w:val="3"/>
          </w:tcPr>
          <w:p>
            <w:pPr>
              <w:jc w:val="center"/>
              <w:ind w:right="1500"/>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800" w:type="dxa"/>
            <w:vAlign w:val="bottom"/>
          </w:tcPr>
          <w:p>
            <w:pPr>
              <w:jc w:val="center"/>
              <w:ind w:right="1338"/>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5880" w:type="dxa"/>
            <w:vAlign w:val="bottom"/>
            <w:gridSpan w:val="3"/>
          </w:tcPr>
          <w:p>
            <w:pPr>
              <w:jc w:val="center"/>
              <w:ind w:right="148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800" w:type="dxa"/>
            <w:vAlign w:val="bottom"/>
          </w:tcPr>
          <w:p>
            <w:pPr>
              <w:jc w:val="center"/>
              <w:ind w:right="133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22"/>
        </w:trPr>
        <w:tc>
          <w:tcPr>
            <w:tcW w:w="5880" w:type="dxa"/>
            <w:vAlign w:val="bottom"/>
            <w:gridSpan w:val="3"/>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w w:val="99"/>
              </w:rPr>
              <w:t>One Dell Way</w:t>
            </w:r>
          </w:p>
        </w:tc>
        <w:tc>
          <w:tcPr>
            <w:tcW w:w="2800" w:type="dxa"/>
            <w:vAlign w:val="bottom"/>
          </w:tcPr>
          <w:p>
            <w:pPr>
              <w:spacing w:after="0"/>
              <w:rPr>
                <w:sz w:val="24"/>
                <w:szCs w:val="24"/>
                <w:color w:val="auto"/>
              </w:rPr>
            </w:pPr>
          </w:p>
        </w:tc>
      </w:tr>
      <w:tr>
        <w:trPr>
          <w:trHeight w:val="178"/>
        </w:trPr>
        <w:tc>
          <w:tcPr>
            <w:tcW w:w="588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Round Rock, Texas</w:t>
            </w:r>
          </w:p>
        </w:tc>
        <w:tc>
          <w:tcPr>
            <w:tcW w:w="2800" w:type="dxa"/>
            <w:vAlign w:val="bottom"/>
          </w:tcPr>
          <w:p>
            <w:pPr>
              <w:jc w:val="right"/>
              <w:ind w:right="1858"/>
              <w:spacing w:after="0"/>
              <w:rPr>
                <w:sz w:val="20"/>
                <w:szCs w:val="20"/>
                <w:color w:val="auto"/>
              </w:rPr>
            </w:pPr>
            <w:r>
              <w:rPr>
                <w:rFonts w:ascii="Times New Roman" w:cs="Times New Roman" w:eastAsia="Times New Roman" w:hAnsi="Times New Roman"/>
                <w:sz w:val="14"/>
                <w:szCs w:val="14"/>
                <w:b w:val="1"/>
                <w:bCs w:val="1"/>
                <w:color w:val="auto"/>
              </w:rPr>
              <w:t>78682</w:t>
            </w:r>
          </w:p>
        </w:tc>
      </w:tr>
      <w:tr>
        <w:trPr>
          <w:trHeight w:val="149"/>
        </w:trPr>
        <w:tc>
          <w:tcPr>
            <w:tcW w:w="5880" w:type="dxa"/>
            <w:vAlign w:val="bottom"/>
            <w:gridSpan w:val="3"/>
          </w:tcPr>
          <w:p>
            <w:pPr>
              <w:jc w:val="center"/>
              <w:ind w:right="14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800" w:type="dxa"/>
            <w:vAlign w:val="bottom"/>
          </w:tcPr>
          <w:p>
            <w:pPr>
              <w:jc w:val="center"/>
              <w:ind w:right="1338"/>
              <w:spacing w:after="0"/>
              <w:rPr>
                <w:sz w:val="20"/>
                <w:szCs w:val="20"/>
                <w:color w:val="auto"/>
              </w:rPr>
            </w:pPr>
            <w:r>
              <w:rPr>
                <w:rFonts w:ascii="Times New Roman" w:cs="Times New Roman" w:eastAsia="Times New Roman" w:hAnsi="Times New Roman"/>
                <w:sz w:val="11"/>
                <w:szCs w:val="11"/>
                <w:b w:val="1"/>
                <w:bCs w:val="1"/>
                <w:color w:val="auto"/>
                <w:w w:val="99"/>
              </w:rPr>
              <w:t>(Zip code)</w:t>
            </w:r>
          </w:p>
        </w:tc>
      </w:tr>
      <w:tr>
        <w:trPr>
          <w:trHeight w:val="264"/>
        </w:trPr>
        <w:tc>
          <w:tcPr>
            <w:tcW w:w="3420" w:type="dxa"/>
            <w:vAlign w:val="bottom"/>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314"/>
        </w:trPr>
        <w:tc>
          <w:tcPr>
            <w:tcW w:w="3420" w:type="dxa"/>
            <w:vAlign w:val="bottom"/>
          </w:tcPr>
          <w:p>
            <w:pPr>
              <w:spacing w:after="0"/>
              <w:rPr>
                <w:sz w:val="24"/>
                <w:szCs w:val="24"/>
                <w:color w:val="auto"/>
              </w:rPr>
            </w:pPr>
          </w:p>
        </w:tc>
        <w:tc>
          <w:tcPr>
            <w:tcW w:w="24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800" w:type="dxa"/>
            <w:vAlign w:val="bottom"/>
          </w:tcPr>
          <w:p>
            <w:pPr>
              <w:spacing w:after="0"/>
              <w:rPr>
                <w:sz w:val="24"/>
                <w:szCs w:val="24"/>
                <w:color w:val="auto"/>
              </w:rPr>
            </w:pPr>
          </w:p>
        </w:tc>
      </w:tr>
      <w:tr>
        <w:trPr>
          <w:trHeight w:val="168"/>
        </w:trPr>
        <w:tc>
          <w:tcPr>
            <w:tcW w:w="5880" w:type="dxa"/>
            <w:vAlign w:val="bottom"/>
            <w:gridSpan w:val="3"/>
          </w:tcPr>
          <w:p>
            <w:pPr>
              <w:jc w:val="center"/>
              <w:ind w:left="2736"/>
              <w:spacing w:after="0"/>
              <w:rPr>
                <w:sz w:val="20"/>
                <w:szCs w:val="20"/>
                <w:color w:val="auto"/>
              </w:rPr>
            </w:pPr>
            <w:r>
              <w:rPr>
                <w:rFonts w:ascii="Times New Roman" w:cs="Times New Roman" w:eastAsia="Times New Roman" w:hAnsi="Times New Roman"/>
                <w:sz w:val="14"/>
                <w:szCs w:val="14"/>
                <w:b w:val="1"/>
                <w:bCs w:val="1"/>
                <w:color w:val="auto"/>
              </w:rPr>
              <w:t>and Guarantees of Debt Securities</w:t>
            </w:r>
          </w:p>
        </w:tc>
        <w:tc>
          <w:tcPr>
            <w:tcW w:w="280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246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rPr>
              <w:t>(Title of the indenture securities)</w:t>
            </w:r>
          </w:p>
        </w:tc>
        <w:tc>
          <w:tcPr>
            <w:tcW w:w="2800" w:type="dxa"/>
            <w:vAlign w:val="bottom"/>
          </w:tcPr>
          <w:p>
            <w:pPr>
              <w:spacing w:after="0"/>
              <w:rPr>
                <w:sz w:val="12"/>
                <w:szCs w:val="12"/>
                <w:color w:val="auto"/>
              </w:rPr>
            </w:pPr>
          </w:p>
        </w:tc>
      </w:tr>
      <w:tr>
        <w:trPr>
          <w:trHeight w:val="179"/>
        </w:trPr>
        <w:tc>
          <w:tcPr>
            <w:tcW w:w="3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r>
      <w:tr>
        <w:trPr>
          <w:trHeight w:val="33"/>
        </w:trPr>
        <w:tc>
          <w:tcPr>
            <w:tcW w:w="3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sectPr>
      </w:pPr>
    </w:p>
    <w:bookmarkStart w:id="188" w:name="page189"/>
    <w:bookmarkEnd w:id="188"/>
    <w:p>
      <w:pPr>
        <w:ind w:left="500" w:hanging="337"/>
        <w:spacing w:after="0"/>
        <w:tabs>
          <w:tab w:leader="none" w:pos="500" w:val="left"/>
        </w:tabs>
        <w:numPr>
          <w:ilvl w:val="0"/>
          <w:numId w:val="3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General information. Furnish the following information as to the trustee:</w:t>
      </w:r>
    </w:p>
    <w:p>
      <w:pPr>
        <w:spacing w:after="0" w:line="105" w:lineRule="exact"/>
        <w:rPr>
          <w:rFonts w:ascii="Times New Roman" w:cs="Times New Roman" w:eastAsia="Times New Roman" w:hAnsi="Times New Roman"/>
          <w:sz w:val="14"/>
          <w:szCs w:val="14"/>
          <w:b w:val="1"/>
          <w:bCs w:val="1"/>
          <w:color w:val="auto"/>
        </w:rPr>
      </w:pPr>
    </w:p>
    <w:p>
      <w:pPr>
        <w:ind w:left="920" w:hanging="416"/>
        <w:spacing w:after="0"/>
        <w:tabs>
          <w:tab w:leader="none" w:pos="920" w:val="left"/>
        </w:tabs>
        <w:numPr>
          <w:ilvl w:val="1"/>
          <w:numId w:val="3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9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1"/>
                <w:szCs w:val="11"/>
                <w:color w:val="auto"/>
              </w:rPr>
              <w:t>Name</w:t>
            </w:r>
          </w:p>
        </w:tc>
        <w:tc>
          <w:tcPr>
            <w:tcW w:w="100" w:type="dxa"/>
            <w:vAlign w:val="bottom"/>
          </w:tcPr>
          <w:p>
            <w:pPr>
              <w:spacing w:after="0"/>
              <w:rPr>
                <w:sz w:val="12"/>
                <w:szCs w:val="12"/>
                <w:color w:val="auto"/>
              </w:rPr>
            </w:pPr>
          </w:p>
        </w:tc>
        <w:tc>
          <w:tcPr>
            <w:tcW w:w="39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1"/>
                <w:szCs w:val="11"/>
                <w:color w:val="auto"/>
              </w:rPr>
              <w:t>Address</w:t>
            </w:r>
          </w:p>
        </w:tc>
      </w:tr>
      <w:tr>
        <w:trPr>
          <w:trHeight w:val="146"/>
        </w:trPr>
        <w:tc>
          <w:tcPr>
            <w:tcW w:w="20" w:type="dxa"/>
            <w:vAlign w:val="bottom"/>
          </w:tcPr>
          <w:p>
            <w:pPr>
              <w:spacing w:after="0"/>
              <w:rPr>
                <w:sz w:val="12"/>
                <w:szCs w:val="12"/>
                <w:color w:val="auto"/>
              </w:rPr>
            </w:pPr>
          </w:p>
        </w:tc>
        <w:tc>
          <w:tcPr>
            <w:tcW w:w="42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Comptroller of the Currency</w:t>
            </w:r>
          </w:p>
        </w:tc>
        <w:tc>
          <w:tcPr>
            <w:tcW w:w="100" w:type="dxa"/>
            <w:vAlign w:val="bottom"/>
          </w:tcPr>
          <w:p>
            <w:pPr>
              <w:spacing w:after="0"/>
              <w:rPr>
                <w:sz w:val="12"/>
                <w:szCs w:val="12"/>
                <w:color w:val="auto"/>
              </w:rPr>
            </w:pPr>
          </w:p>
        </w:tc>
        <w:tc>
          <w:tcPr>
            <w:tcW w:w="398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Washington, DC 20219</w:t>
            </w:r>
          </w:p>
        </w:tc>
      </w:tr>
      <w:tr>
        <w:trPr>
          <w:trHeight w:val="184"/>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 Department of the Treasury</w:t>
            </w: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266"/>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Federal Reserve Bank</w:t>
            </w: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255"/>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Washington, DC 20429</w:t>
            </w:r>
          </w:p>
        </w:tc>
      </w:tr>
      <w:tr>
        <w:trPr>
          <w:trHeight w:val="362"/>
        </w:trPr>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w:t>
            </w:r>
          </w:p>
        </w:tc>
        <w:tc>
          <w:tcPr>
            <w:tcW w:w="3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Whether it is authorized to exercise corporate trust powers.</w:t>
            </w: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55"/>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Yes.</w:t>
            </w:r>
          </w:p>
        </w:tc>
        <w:tc>
          <w:tcPr>
            <w:tcW w:w="3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80" w:type="dxa"/>
            <w:vAlign w:val="bottom"/>
          </w:tcPr>
          <w:p>
            <w:pPr>
              <w:spacing w:after="0"/>
              <w:rPr>
                <w:sz w:val="22"/>
                <w:szCs w:val="22"/>
                <w:color w:val="auto"/>
              </w:rPr>
            </w:pPr>
          </w:p>
        </w:tc>
      </w:tr>
    </w:tbl>
    <w:p>
      <w:pPr>
        <w:spacing w:after="0" w:line="271" w:lineRule="exact"/>
        <w:rPr>
          <w:sz w:val="20"/>
          <w:szCs w:val="20"/>
          <w:color w:val="auto"/>
        </w:rPr>
      </w:pPr>
    </w:p>
    <w:p>
      <w:pPr>
        <w:ind w:left="500" w:hanging="337"/>
        <w:spacing w:after="0"/>
        <w:tabs>
          <w:tab w:leader="none" w:pos="500" w:val="left"/>
        </w:tabs>
        <w:numPr>
          <w:ilvl w:val="0"/>
          <w:numId w:val="3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94" w:lineRule="exact"/>
        <w:rPr>
          <w:rFonts w:ascii="Times New Roman" w:cs="Times New Roman" w:eastAsia="Times New Roman" w:hAnsi="Times New Roman"/>
          <w:sz w:val="14"/>
          <w:szCs w:val="14"/>
          <w:b w:val="1"/>
          <w:bCs w:val="1"/>
          <w:color w:val="auto"/>
        </w:rPr>
      </w:pPr>
    </w:p>
    <w:p>
      <w:pPr>
        <w:ind w:left="520" w:right="4199"/>
        <w:spacing w:after="0" w:line="41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If the obligor is an affiliate of the trustee, describe each such affiliation. </w:t>
      </w:r>
      <w:r>
        <w:rPr>
          <w:rFonts w:ascii="Times New Roman" w:cs="Times New Roman" w:eastAsia="Times New Roman" w:hAnsi="Times New Roman"/>
          <w:sz w:val="14"/>
          <w:szCs w:val="14"/>
          <w:color w:val="auto"/>
        </w:rPr>
        <w:t>None.</w:t>
      </w:r>
    </w:p>
    <w:p>
      <w:pPr>
        <w:spacing w:after="0" w:line="152" w:lineRule="exact"/>
        <w:rPr>
          <w:sz w:val="20"/>
          <w:szCs w:val="20"/>
          <w:color w:val="auto"/>
        </w:rPr>
      </w:pPr>
    </w:p>
    <w:p>
      <w:pPr>
        <w:ind w:left="500" w:hanging="337"/>
        <w:spacing w:after="0"/>
        <w:tabs>
          <w:tab w:leader="none" w:pos="500" w:val="left"/>
        </w:tabs>
        <w:numPr>
          <w:ilvl w:val="0"/>
          <w:numId w:val="3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94" w:lineRule="exact"/>
        <w:rPr>
          <w:rFonts w:ascii="Times New Roman" w:cs="Times New Roman" w:eastAsia="Times New Roman" w:hAnsi="Times New Roman"/>
          <w:sz w:val="14"/>
          <w:szCs w:val="14"/>
          <w:b w:val="1"/>
          <w:bCs w:val="1"/>
          <w:color w:val="auto"/>
        </w:rPr>
      </w:pPr>
    </w:p>
    <w:p>
      <w:pPr>
        <w:ind w:left="520" w:right="219"/>
        <w:spacing w:after="0" w:line="29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47" w:lineRule="exact"/>
        <w:rPr>
          <w:rFonts w:ascii="Times New Roman" w:cs="Times New Roman" w:eastAsia="Times New Roman" w:hAnsi="Times New Roman"/>
          <w:sz w:val="14"/>
          <w:szCs w:val="14"/>
          <w:b w:val="1"/>
          <w:bCs w:val="1"/>
          <w:color w:val="auto"/>
        </w:rPr>
      </w:pPr>
    </w:p>
    <w:p>
      <w:pPr>
        <w:ind w:left="920" w:right="339" w:hanging="416"/>
        <w:spacing w:after="0" w:line="271" w:lineRule="auto"/>
        <w:tabs>
          <w:tab w:leader="none" w:pos="920"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61" w:lineRule="exact"/>
        <w:rPr>
          <w:rFonts w:ascii="Times New Roman" w:cs="Times New Roman" w:eastAsia="Times New Roman" w:hAnsi="Times New Roman"/>
          <w:sz w:val="14"/>
          <w:szCs w:val="14"/>
          <w:color w:val="auto"/>
        </w:rPr>
      </w:pPr>
    </w:p>
    <w:p>
      <w:pPr>
        <w:ind w:left="920" w:hanging="416"/>
        <w:spacing w:after="0"/>
        <w:tabs>
          <w:tab w:leader="none" w:pos="920"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w:t>
      </w:r>
    </w:p>
    <w:p>
      <w:pPr>
        <w:spacing w:after="0" w:line="23" w:lineRule="exact"/>
        <w:rPr>
          <w:rFonts w:ascii="Times New Roman" w:cs="Times New Roman" w:eastAsia="Times New Roman" w:hAnsi="Times New Roman"/>
          <w:sz w:val="14"/>
          <w:szCs w:val="14"/>
          <w:color w:val="auto"/>
        </w:rPr>
      </w:pPr>
    </w:p>
    <w:p>
      <w:pPr>
        <w:ind w:left="9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333-121948).</w:t>
      </w:r>
    </w:p>
    <w:p>
      <w:pPr>
        <w:spacing w:after="0" w:line="90" w:lineRule="exact"/>
        <w:rPr>
          <w:rFonts w:ascii="Times New Roman" w:cs="Times New Roman" w:eastAsia="Times New Roman" w:hAnsi="Times New Roman"/>
          <w:sz w:val="14"/>
          <w:szCs w:val="14"/>
          <w:color w:val="auto"/>
        </w:rPr>
      </w:pPr>
    </w:p>
    <w:p>
      <w:pPr>
        <w:ind w:left="920" w:right="319" w:hanging="416"/>
        <w:spacing w:after="0" w:line="288" w:lineRule="auto"/>
        <w:tabs>
          <w:tab w:leader="none" w:pos="920"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 333-152875).</w:t>
      </w:r>
    </w:p>
    <w:p>
      <w:pPr>
        <w:spacing w:after="0" w:line="71" w:lineRule="exact"/>
        <w:rPr>
          <w:rFonts w:ascii="Times New Roman" w:cs="Times New Roman" w:eastAsia="Times New Roman" w:hAnsi="Times New Roman"/>
          <w:sz w:val="14"/>
          <w:szCs w:val="14"/>
          <w:color w:val="auto"/>
        </w:rPr>
      </w:pPr>
    </w:p>
    <w:p>
      <w:pPr>
        <w:ind w:left="4460" w:hanging="74"/>
        <w:spacing w:after="0"/>
        <w:tabs>
          <w:tab w:leader="none" w:pos="4460" w:val="left"/>
        </w:tabs>
        <w:numPr>
          <w:ilvl w:val="2"/>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9019"/>
          </w:cols>
          <w:pgMar w:left="1440" w:top="240" w:right="1440" w:bottom="1440" w:gutter="0" w:footer="0" w:header="0"/>
        </w:sectPr>
      </w:pPr>
    </w:p>
    <w:bookmarkStart w:id="189" w:name="page190"/>
    <w:bookmarkEnd w:id="189"/>
    <w:p>
      <w:pPr>
        <w:ind w:left="920" w:hanging="416"/>
        <w:spacing w:after="0"/>
        <w:tabs>
          <w:tab w:leader="none" w:pos="920"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A copy of the existing by-laws of the trustee (Exhibit 4 to Form T-1 filed with Registration Statement No. 333-229762).</w:t>
      </w:r>
    </w:p>
    <w:p>
      <w:pPr>
        <w:spacing w:after="0" w:line="105" w:lineRule="exact"/>
        <w:rPr>
          <w:sz w:val="20"/>
          <w:szCs w:val="20"/>
          <w:color w:val="auto"/>
        </w:rPr>
      </w:pPr>
    </w:p>
    <w:p>
      <w:pPr>
        <w:ind w:left="920" w:hanging="416"/>
        <w:spacing w:after="0"/>
        <w:tabs>
          <w:tab w:leader="none" w:pos="920"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05" w:lineRule="exact"/>
        <w:rPr>
          <w:rFonts w:ascii="Times New Roman" w:cs="Times New Roman" w:eastAsia="Times New Roman" w:hAnsi="Times New Roman"/>
          <w:sz w:val="14"/>
          <w:szCs w:val="14"/>
          <w:color w:val="auto"/>
        </w:rPr>
      </w:pPr>
    </w:p>
    <w:p>
      <w:pPr>
        <w:ind w:left="920" w:right="479" w:hanging="416"/>
        <w:spacing w:after="0" w:line="288" w:lineRule="auto"/>
        <w:tabs>
          <w:tab w:leader="none" w:pos="920"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latest report of condition of the Trustee published pursuant to law or to the requirements of its supervising or examining authority.</w:t>
      </w:r>
    </w:p>
    <w:p>
      <w:pPr>
        <w:spacing w:after="0" w:line="71" w:lineRule="exact"/>
        <w:rPr>
          <w:rFonts w:ascii="Times New Roman" w:cs="Times New Roman" w:eastAsia="Times New Roman" w:hAnsi="Times New Roman"/>
          <w:sz w:val="14"/>
          <w:szCs w:val="14"/>
          <w:color w:val="auto"/>
        </w:rPr>
      </w:pPr>
    </w:p>
    <w:p>
      <w:pPr>
        <w:ind w:left="4460" w:hanging="74"/>
        <w:spacing w:after="0"/>
        <w:tabs>
          <w:tab w:leader="none" w:pos="4460" w:val="left"/>
        </w:tabs>
        <w:numPr>
          <w:ilvl w:val="1"/>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ectPr>
          <w:pgSz w:w="11900" w:h="16838" w:orient="portrait"/>
          <w:cols w:equalWidth="0" w:num="1">
            <w:col w:w="9019"/>
          </w:cols>
          <w:pgMar w:left="1440" w:top="242" w:right="1440"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SIGNATURE</w:t>
      </w:r>
    </w:p>
    <w:p>
      <w:pPr>
        <w:spacing w:after="0" w:line="179" w:lineRule="exact"/>
        <w:rPr>
          <w:sz w:val="20"/>
          <w:szCs w:val="20"/>
          <w:color w:val="auto"/>
        </w:rPr>
      </w:pPr>
    </w:p>
    <w:p>
      <w:pPr>
        <w:ind w:left="160" w:right="399" w:firstLine="347"/>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8th day of June, 2026.</w:t>
      </w:r>
    </w:p>
    <w:p>
      <w:pPr>
        <w:spacing w:after="0" w:line="1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THE BANK OF NEW YORK MELLON TRUST</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COMPANY, N.A.</w:t>
      </w:r>
    </w:p>
    <w:p>
      <w:pPr>
        <w:spacing w:after="0" w:line="16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15240</wp:posOffset>
            </wp:positionV>
            <wp:extent cx="202692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1">
                      <a:extLst>
                        <a:ext uri="{28A0092B-C50C-407E-A947-70E740481C1C}"/>
                      </a:extLst>
                    </a:blip>
                    <a:srcRect/>
                    <a:stretch>
                      <a:fillRect/>
                    </a:stretch>
                  </pic:blipFill>
                  <pic:spPr bwMode="auto">
                    <a:xfrm>
                      <a:off x="0" y="0"/>
                      <a:ext cx="2026920" cy="6985"/>
                    </a:xfrm>
                    <a:prstGeom prst="rect">
                      <a:avLst/>
                    </a:prstGeom>
                    <a:noFill/>
                  </pic:spPr>
                </pic:pic>
              </a:graphicData>
            </a:graphic>
          </wp:anchor>
        </w:drawing>
      </w:r>
    </w:p>
    <w:p>
      <w:pPr>
        <w:spacing w:after="0" w:line="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 Peggy Guel</w:t>
      </w:r>
    </w:p>
    <w:p>
      <w:pPr>
        <w:spacing w:after="0" w:line="23"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4"/>
          <w:szCs w:val="14"/>
          <w:color w:val="auto"/>
        </w:rPr>
        <w:t>Title:</w:t>
        <w:tab/>
        <w:t>Vice President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9019"/>
          </w:cols>
          <w:pgMar w:left="1440" w:top="242" w:right="1440" w:bottom="1440" w:gutter="0" w:footer="0" w:header="0"/>
        </w:sectPr>
      </w:pPr>
    </w:p>
    <w:bookmarkStart w:id="191" w:name="page192"/>
    <w:bookmarkEnd w:id="191"/>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EXHIBIT 7</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Report of Condition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the close of business March 31, 2026, published in accordance with Federal regulatory authority instructions.</w:t>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9"/>
              </w:rPr>
              <w:t>Dollar amounts</w:t>
            </w:r>
          </w:p>
        </w:tc>
        <w:tc>
          <w:tcPr>
            <w:tcW w:w="0" w:type="dxa"/>
            <w:vAlign w:val="bottom"/>
          </w:tcPr>
          <w:p>
            <w:pPr>
              <w:spacing w:after="0"/>
              <w:rPr>
                <w:sz w:val="1"/>
                <w:szCs w:val="1"/>
                <w:color w:val="auto"/>
              </w:rPr>
            </w:pPr>
          </w:p>
        </w:tc>
      </w:tr>
      <w:tr>
        <w:trPr>
          <w:trHeight w:val="134"/>
        </w:trPr>
        <w:tc>
          <w:tcPr>
            <w:tcW w:w="5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in thousands</w:t>
            </w:r>
          </w:p>
        </w:tc>
        <w:tc>
          <w:tcPr>
            <w:tcW w:w="0" w:type="dxa"/>
            <w:vAlign w:val="bottom"/>
          </w:tcPr>
          <w:p>
            <w:pPr>
              <w:spacing w:after="0"/>
              <w:rPr>
                <w:sz w:val="1"/>
                <w:szCs w:val="1"/>
                <w:color w:val="auto"/>
              </w:rPr>
            </w:pPr>
          </w:p>
        </w:tc>
      </w:tr>
      <w:tr>
        <w:trPr>
          <w:trHeight w:val="130"/>
        </w:trPr>
        <w:tc>
          <w:tcPr>
            <w:tcW w:w="520" w:type="dxa"/>
            <w:vAlign w:val="bottom"/>
            <w:tcBorders>
              <w:top w:val="single" w:sz="8" w:color="CCEEFF"/>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ASSETS</w:t>
            </w:r>
          </w:p>
        </w:tc>
        <w:tc>
          <w:tcPr>
            <w:tcW w:w="742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42,494</w:t>
            </w:r>
          </w:p>
        </w:tc>
        <w:tc>
          <w:tcPr>
            <w:tcW w:w="0" w:type="dxa"/>
            <w:vAlign w:val="bottom"/>
          </w:tcPr>
          <w:p>
            <w:pPr>
              <w:spacing w:after="0"/>
              <w:rPr>
                <w:sz w:val="1"/>
                <w:szCs w:val="1"/>
                <w:color w:val="auto"/>
              </w:rPr>
            </w:pPr>
          </w:p>
        </w:tc>
      </w:tr>
      <w:tr>
        <w:trPr>
          <w:trHeight w:val="170"/>
        </w:trPr>
        <w:tc>
          <w:tcPr>
            <w:tcW w:w="79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Interest-bearing balances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262,835</w:t>
            </w: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99,817</w:t>
            </w:r>
          </w:p>
        </w:tc>
        <w:tc>
          <w:tcPr>
            <w:tcW w:w="0" w:type="dxa"/>
            <w:vAlign w:val="bottom"/>
          </w:tcPr>
          <w:p>
            <w:pPr>
              <w:spacing w:after="0"/>
              <w:rPr>
                <w:sz w:val="1"/>
                <w:szCs w:val="1"/>
                <w:color w:val="auto"/>
              </w:rPr>
            </w:pPr>
          </w:p>
        </w:tc>
      </w:tr>
      <w:tr>
        <w:trPr>
          <w:trHeight w:val="170"/>
        </w:trPr>
        <w:tc>
          <w:tcPr>
            <w:tcW w:w="79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12,469</w:t>
            </w: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856,313</w:t>
            </w:r>
          </w:p>
        </w:tc>
        <w:tc>
          <w:tcPr>
            <w:tcW w:w="0" w:type="dxa"/>
            <w:vAlign w:val="bottom"/>
          </w:tcPr>
          <w:p>
            <w:pPr>
              <w:spacing w:after="0"/>
              <w:rPr>
                <w:sz w:val="1"/>
                <w:szCs w:val="1"/>
                <w:color w:val="auto"/>
              </w:rPr>
            </w:pPr>
          </w:p>
        </w:tc>
      </w:tr>
      <w:tr>
        <w:trPr>
          <w:trHeight w:val="170"/>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117,808</w:t>
            </w:r>
          </w:p>
        </w:tc>
        <w:tc>
          <w:tcPr>
            <w:tcW w:w="0" w:type="dxa"/>
            <w:vAlign w:val="bottom"/>
          </w:tcPr>
          <w:p>
            <w:pPr>
              <w:spacing w:after="0"/>
              <w:rPr>
                <w:sz w:val="1"/>
                <w:szCs w:val="1"/>
                <w:color w:val="auto"/>
              </w:rPr>
            </w:pPr>
          </w:p>
        </w:tc>
      </w:tr>
      <w:tr>
        <w:trPr>
          <w:trHeight w:val="172"/>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$ 1,391,736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ind w:left="4300"/>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7940" w:type="dxa"/>
            <w:vAlign w:val="bottom"/>
            <w:gridSpan w:val="2"/>
            <w:vMerge w:val="continue"/>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0" w:right="1440" w:bottom="1440" w:gutter="0" w:footer="0" w:header="0"/>
        </w:sectPr>
      </w:pPr>
    </w:p>
    <w:bookmarkStart w:id="192" w:name="page193"/>
    <w:bookmarkEnd w:id="1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3">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73"/>
        </w:trPr>
        <w:tc>
          <w:tcPr>
            <w:tcW w:w="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LIABILITIES</w:t>
            </w:r>
          </w:p>
        </w:tc>
        <w:tc>
          <w:tcPr>
            <w:tcW w:w="7200" w:type="dxa"/>
            <w:vAlign w:val="bottom"/>
            <w:tcBorders>
              <w:bottom w:val="single" w:sz="8" w:color="CCEEFF"/>
            </w:tcBorders>
            <w:gridSpan w:val="2"/>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Deposits: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 domestic offices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1,071</w:t>
            </w: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Noninterest-bearing</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1,071</w:t>
            </w: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Interest-bearing</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277,214</w:t>
            </w: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278,285</w:t>
            </w: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44"/>
        </w:trPr>
        <w:tc>
          <w:tcPr>
            <w:tcW w:w="1160" w:type="dxa"/>
            <w:vAlign w:val="bottom"/>
            <w:tcBorders>
              <w:bottom w:val="single" w:sz="8" w:color="auto"/>
            </w:tcBorders>
            <w:gridSpan w:val="2"/>
          </w:tcPr>
          <w:p>
            <w:pPr>
              <w:spacing w:after="0" w:line="139" w:lineRule="exact"/>
              <w:rPr>
                <w:sz w:val="20"/>
                <w:szCs w:val="20"/>
                <w:color w:val="auto"/>
              </w:rPr>
            </w:pPr>
            <w:r>
              <w:rPr>
                <w:rFonts w:ascii="Times New Roman" w:cs="Times New Roman" w:eastAsia="Times New Roman" w:hAnsi="Times New Roman"/>
                <w:sz w:val="14"/>
                <w:szCs w:val="14"/>
                <w:color w:val="auto"/>
                <w:w w:val="99"/>
              </w:rPr>
              <w:t>EQUITY CAPITAL</w:t>
            </w: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5"/>
                <w:szCs w:val="15"/>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108,610</w:t>
            </w: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Retained earnings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1,003,856</w:t>
            </w: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1,113,451</w:t>
            </w:r>
          </w:p>
        </w:tc>
        <w:tc>
          <w:tcPr>
            <w:tcW w:w="2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1,113,451</w:t>
            </w:r>
          </w:p>
        </w:tc>
        <w:tc>
          <w:tcPr>
            <w:tcW w:w="20" w:type="dxa"/>
            <w:vAlign w:val="bottom"/>
            <w:shd w:val="clear" w:color="auto" w:fill="CCEEFF"/>
          </w:tcPr>
          <w:p>
            <w:pPr>
              <w:spacing w:after="0"/>
              <w:rPr>
                <w:sz w:val="14"/>
                <w:szCs w:val="14"/>
                <w:color w:val="auto"/>
              </w:rPr>
            </w:pPr>
          </w:p>
        </w:tc>
      </w:tr>
      <w:tr>
        <w:trPr>
          <w:trHeight w:val="172"/>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1,391,736</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6" w:lineRule="exact"/>
        <w:rPr>
          <w:sz w:val="20"/>
          <w:szCs w:val="20"/>
          <w:color w:val="auto"/>
        </w:rPr>
      </w:pPr>
    </w:p>
    <w:p>
      <w:pPr>
        <w:ind w:left="160" w:right="179" w:firstLine="347"/>
        <w:spacing w:after="0" w:line="271"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57" w:lineRule="exact"/>
        <w:rPr>
          <w:sz w:val="20"/>
          <w:szCs w:val="20"/>
          <w:color w:val="auto"/>
        </w:rPr>
      </w:pPr>
    </w:p>
    <w:p>
      <w:pPr>
        <w:ind w:left="160"/>
        <w:spacing w:after="0"/>
        <w:tabs>
          <w:tab w:leader="none" w:pos="1640" w:val="left"/>
        </w:tabs>
        <w:rPr>
          <w:sz w:val="20"/>
          <w:szCs w:val="20"/>
          <w:color w:val="auto"/>
        </w:rPr>
      </w:pPr>
      <w:r>
        <w:rPr>
          <w:rFonts w:ascii="Times New Roman" w:cs="Times New Roman" w:eastAsia="Times New Roman" w:hAnsi="Times New Roman"/>
          <w:sz w:val="14"/>
          <w:szCs w:val="14"/>
          <w:color w:val="auto"/>
        </w:rPr>
        <w:t>        Natalie Bobnar</w:t>
      </w:r>
      <w:r>
        <w:rPr>
          <w:sz w:val="20"/>
          <w:szCs w:val="20"/>
          <w:color w:val="auto"/>
        </w:rPr>
        <w:tab/>
      </w:r>
      <w:r>
        <w:rPr>
          <w:rFonts w:ascii="Times New Roman" w:cs="Times New Roman" w:eastAsia="Times New Roman" w:hAnsi="Times New Roman"/>
          <w:sz w:val="14"/>
          <w:szCs w:val="14"/>
          <w:color w:val="auto"/>
        </w:rPr>
        <w:t>)        CFO</w:t>
      </w:r>
    </w:p>
    <w:p>
      <w:pPr>
        <w:spacing w:after="0" w:line="179" w:lineRule="exact"/>
        <w:rPr>
          <w:sz w:val="20"/>
          <w:szCs w:val="20"/>
          <w:color w:val="auto"/>
        </w:rPr>
      </w:pPr>
    </w:p>
    <w:p>
      <w:pPr>
        <w:jc w:val="both"/>
        <w:ind w:left="160" w:right="399" w:firstLine="347"/>
        <w:spacing w:after="0" w:line="271"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9019"/>
          </w:cols>
          <w:pgMar w:left="1440" w:top="234" w:right="1440" w:bottom="1440" w:gutter="0" w:footer="0" w:header="0"/>
        </w:sectPr>
      </w:pP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Elizabeth Lyndon, Managing Director</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Kevin C. Weeks, President</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Fernando A. Costa, Managing Director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Directors (Trustees)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2" w:lineRule="exact"/>
        <w:rPr>
          <w:sz w:val="20"/>
          <w:szCs w:val="20"/>
          <w:color w:val="auto"/>
        </w:rPr>
      </w:pPr>
    </w:p>
    <w:p>
      <w:pPr>
        <w:sectPr>
          <w:pgSz w:w="11900" w:h="16838" w:orient="portrait"/>
          <w:cols w:equalWidth="0" w:num="2">
            <w:col w:w="2720" w:space="300"/>
            <w:col w:w="5999"/>
          </w:cols>
          <w:pgMar w:left="1440" w:top="234"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4" w:right="1440" w:bottom="1440" w:gutter="0" w:footer="0" w:header="0"/>
          <w:type w:val="continuous"/>
        </w:sectPr>
      </w:pPr>
    </w:p>
    <w:bookmarkStart w:id="193" w:name="page194"/>
    <w:bookmarkEnd w:id="193"/>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Dell International L.L.C.</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36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92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20" w:type="dxa"/>
            <w:vAlign w:val="bottom"/>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8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20" w:type="dxa"/>
            <w:vAlign w:val="bottom"/>
            <w:gridSpan w:val="8"/>
          </w:tcPr>
          <w:p>
            <w:pPr>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1" w:lineRule="exact"/>
              <w:rPr>
                <w:sz w:val="20"/>
                <w:szCs w:val="20"/>
                <w:color w:val="auto"/>
              </w:rPr>
            </w:pPr>
            <w:r>
              <w:rPr>
                <w:rFonts w:ascii="Arial" w:cs="Arial" w:eastAsia="Arial" w:hAnsi="Arial"/>
                <w:sz w:val="17"/>
                <w:szCs w:val="17"/>
                <w:color w:val="auto"/>
                <w:w w:val="99"/>
              </w:rPr>
              <w:t>Guarantees</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2"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Other</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line="192" w:lineRule="exact"/>
              <w:rPr>
                <w:sz w:val="20"/>
                <w:szCs w:val="20"/>
                <w:color w:val="auto"/>
              </w:rPr>
            </w:pPr>
            <w:r>
              <w:rPr>
                <w:rFonts w:ascii="Arial" w:cs="Arial" w:eastAsia="Arial" w:hAnsi="Arial"/>
                <w:sz w:val="17"/>
                <w:szCs w:val="17"/>
                <w:color w:val="auto"/>
              </w:rPr>
              <w:t>of Debt</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-2063115</wp:posOffset>
            </wp:positionV>
            <wp:extent cx="7213600" cy="36137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4">
                      <a:extLst>
                        <a:ext uri="{28A0092B-C50C-407E-A947-70E740481C1C}"/>
                      </a:extLst>
                    </a:blip>
                    <a:srcRect/>
                    <a:stretch>
                      <a:fillRect/>
                    </a:stretch>
                  </pic:blipFill>
                  <pic:spPr bwMode="auto">
                    <a:xfrm>
                      <a:off x="0" y="0"/>
                      <a:ext cx="7213600" cy="36137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Fees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Carry Forward Securities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Carry</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Forward</w:t>
      </w:r>
    </w:p>
    <w:p>
      <w:pPr>
        <w:ind w:left="40"/>
        <w:spacing w:after="0"/>
        <w:rPr>
          <w:sz w:val="20"/>
          <w:szCs w:val="20"/>
          <w:color w:val="auto"/>
        </w:rPr>
      </w:pPr>
      <w:r>
        <w:rPr>
          <w:rFonts w:ascii="Arial" w:cs="Arial" w:eastAsia="Arial" w:hAnsi="Arial"/>
          <w:sz w:val="17"/>
          <w:szCs w:val="17"/>
          <w:color w:val="auto"/>
        </w:rPr>
        <w:t>Securities</w:t>
      </w:r>
    </w:p>
    <w:p>
      <w:pPr>
        <w:spacing w:after="0" w:line="23" w:lineRule="exact"/>
        <w:rPr>
          <w:sz w:val="20"/>
          <w:szCs w:val="20"/>
          <w:color w:val="auto"/>
        </w:rPr>
      </w:pPr>
    </w:p>
    <w:tbl>
      <w:tblPr>
        <w:tblLayout w:type="fixed"/>
        <w:tblInd w:w="2480" w:type="dxa"/>
        <w:tblCellMar>
          <w:top w:w="0" w:type="dxa"/>
          <w:left w:w="0" w:type="dxa"/>
          <w:bottom w:w="0" w:type="dxa"/>
          <w:right w:w="0" w:type="dxa"/>
        </w:tblCellMar>
      </w:tblPr>
      <w:tr>
        <w:trPr>
          <w:trHeight w:val="224"/>
        </w:trPr>
        <w:tc>
          <w:tcPr>
            <w:tcW w:w="2680" w:type="dxa"/>
            <w:vAlign w:val="bottom"/>
          </w:tcPr>
          <w:p>
            <w:pPr>
              <w:jc w:val="right"/>
              <w:ind w:right="555"/>
              <w:spacing w:after="0"/>
              <w:rPr>
                <w:sz w:val="20"/>
                <w:szCs w:val="20"/>
                <w:color w:val="auto"/>
              </w:rPr>
            </w:pPr>
            <w:r>
              <w:rPr>
                <w:rFonts w:ascii="Arial" w:cs="Arial" w:eastAsia="Arial" w:hAnsi="Arial"/>
                <w:sz w:val="17"/>
                <w:szCs w:val="17"/>
                <w:color w:val="auto"/>
              </w:rPr>
              <w:t>Total Offering Amounts:</w:t>
            </w:r>
          </w:p>
        </w:tc>
        <w:tc>
          <w:tcPr>
            <w:tcW w:w="1800" w:type="dxa"/>
            <w:vAlign w:val="bottom"/>
          </w:tcPr>
          <w:p>
            <w:pPr>
              <w:jc w:val="right"/>
              <w:ind w:right="615"/>
              <w:spacing w:after="0"/>
              <w:rPr>
                <w:sz w:val="20"/>
                <w:szCs w:val="20"/>
                <w:color w:val="auto"/>
              </w:rPr>
            </w:pPr>
            <w:r>
              <w:rPr>
                <w:rFonts w:ascii="Arial" w:cs="Arial" w:eastAsia="Arial" w:hAnsi="Arial"/>
                <w:sz w:val="17"/>
                <w:szCs w:val="17"/>
                <w:color w:val="auto"/>
              </w:rPr>
              <w:t>$ 0.00</w:t>
            </w: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55"/>
              <w:spacing w:after="0"/>
              <w:rPr>
                <w:sz w:val="20"/>
                <w:szCs w:val="20"/>
                <w:color w:val="auto"/>
              </w:rPr>
            </w:pPr>
            <w:r>
              <w:rPr>
                <w:rFonts w:ascii="Arial" w:cs="Arial" w:eastAsia="Arial" w:hAnsi="Arial"/>
                <w:sz w:val="17"/>
                <w:szCs w:val="17"/>
                <w:color w:val="auto"/>
                <w:w w:val="97"/>
              </w:rPr>
              <w:t>Total Fees Previously Paid:</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55"/>
              <w:spacing w:after="0"/>
              <w:rPr>
                <w:sz w:val="20"/>
                <w:szCs w:val="20"/>
                <w:color w:val="auto"/>
              </w:rPr>
            </w:pPr>
            <w:r>
              <w:rPr>
                <w:rFonts w:ascii="Arial" w:cs="Arial" w:eastAsia="Arial" w:hAnsi="Arial"/>
                <w:sz w:val="17"/>
                <w:szCs w:val="17"/>
                <w:color w:val="auto"/>
              </w:rPr>
              <w:t>Total Fee Offsets:</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55"/>
              <w:spacing w:after="0"/>
              <w:rPr>
                <w:sz w:val="20"/>
                <w:szCs w:val="20"/>
                <w:color w:val="auto"/>
              </w:rPr>
            </w:pPr>
            <w:r>
              <w:rPr>
                <w:rFonts w:ascii="Arial" w:cs="Arial" w:eastAsia="Arial" w:hAnsi="Arial"/>
                <w:sz w:val="17"/>
                <w:szCs w:val="17"/>
                <w:color w:val="auto"/>
              </w:rPr>
              <w:t>Net Fee Due:</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bl>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3" w:lineRule="exact"/>
        <w:rPr>
          <w:sz w:val="20"/>
          <w:szCs w:val="20"/>
          <w:color w:val="auto"/>
        </w:rPr>
      </w:pPr>
    </w:p>
    <w:p>
      <w:pPr>
        <w:ind w:left="220" w:right="180" w:hanging="183"/>
        <w:spacing w:after="0" w:line="232" w:lineRule="auto"/>
        <w:tabs>
          <w:tab w:leader="none" w:pos="220" w:val="left"/>
        </w:tabs>
        <w:numPr>
          <w:ilvl w:val="0"/>
          <w:numId w:val="356"/>
        </w:numPr>
        <w:rPr>
          <w:rFonts w:ascii="Arial" w:cs="Arial" w:eastAsia="Arial" w:hAnsi="Arial"/>
          <w:sz w:val="21"/>
          <w:szCs w:val="21"/>
          <w:color w:val="auto"/>
          <w:vertAlign w:val="superscript"/>
        </w:rPr>
      </w:pPr>
      <w:r>
        <w:rPr>
          <w:rFonts w:ascii="Arial" w:cs="Arial" w:eastAsia="Arial" w:hAnsi="Arial"/>
          <w:sz w:val="17"/>
          <w:szCs w:val="17"/>
          <w:color w:val="auto"/>
        </w:rPr>
        <w:t>(a) An indeterminate amount of the securities of each identified class is being registered as may from time to time be offered hereunder at indeterminate prices. (b) In accordance with Rules 456(b) and 457(r) under the Securities Act of 1933, as amended (the "Securities Act"), the registrants are deferring payment of the registration fee, which will be paid subsequently on a pay-as-you-go basis. The registrants will calculate the registration fee applicable to an offer of securities pursuant to this registration statement based on the fee payment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61595</wp:posOffset>
            </wp:positionV>
            <wp:extent cx="7146290"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5">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25" w:lineRule="exact"/>
        <w:rPr>
          <w:sz w:val="20"/>
          <w:szCs w:val="20"/>
          <w:color w:val="auto"/>
        </w:rPr>
      </w:pPr>
    </w:p>
    <w:p>
      <w:pPr>
        <w:ind w:left="220" w:right="120" w:hanging="183"/>
        <w:spacing w:after="0" w:line="230" w:lineRule="auto"/>
        <w:tabs>
          <w:tab w:leader="none" w:pos="220" w:val="left"/>
        </w:tabs>
        <w:numPr>
          <w:ilvl w:val="0"/>
          <w:numId w:val="357"/>
        </w:numPr>
        <w:rPr>
          <w:rFonts w:ascii="Arial" w:cs="Arial" w:eastAsia="Arial" w:hAnsi="Arial"/>
          <w:sz w:val="21"/>
          <w:szCs w:val="21"/>
          <w:color w:val="auto"/>
          <w:vertAlign w:val="superscript"/>
        </w:rPr>
      </w:pPr>
      <w:r>
        <w:rPr>
          <w:rFonts w:ascii="Arial" w:cs="Arial" w:eastAsia="Arial" w:hAnsi="Arial"/>
          <w:sz w:val="17"/>
          <w:szCs w:val="17"/>
          <w:color w:val="auto"/>
        </w:rPr>
        <w:t>(a) See note 1(a). (b) See note 1(b). (c) No separate consideration will be received for the guarantees of debt securities. Accordingly, pursuant to Rule 457(n) of the Securities Act, no separate filing fee is required. The guarantee of debt securities will be issued by Dell Technologies Inc. and/or one or more of the registrants identified in the "Table of Additional Registrant Guarantors" in the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61595</wp:posOffset>
            </wp:positionV>
            <wp:extent cx="7146290"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6">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3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55"/>
              <w:spacing w:after="0" w:line="192"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Claimed</w:t>
            </w: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40" w:type="dxa"/>
            <w:vAlign w:val="bottom"/>
            <w:tcBorders>
              <w:right w:val="single" w:sz="8" w:color="9ADAF6"/>
            </w:tcBorders>
          </w:tcPr>
          <w:p>
            <w:pPr>
              <w:spacing w:after="0"/>
              <w:rPr>
                <w:sz w:val="10"/>
                <w:szCs w:val="10"/>
                <w:color w:val="auto"/>
              </w:rPr>
            </w:pPr>
          </w:p>
        </w:tc>
        <w:tc>
          <w:tcPr>
            <w:tcW w:w="9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40" w:type="dxa"/>
            <w:vAlign w:val="bottom"/>
            <w:tcBorders>
              <w:right w:val="single" w:sz="8" w:color="9ADAF6"/>
            </w:tcBorders>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0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3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900" w:type="dxa"/>
            <w:vAlign w:val="bottom"/>
            <w:gridSpan w:val="5"/>
            <w:shd w:val="clear" w:color="auto" w:fill="9ADAF6"/>
          </w:tcPr>
          <w:p>
            <w:pPr>
              <w:jc w:val="center"/>
              <w:ind w:right="58"/>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restart"/>
            <w:shd w:val="clear" w:color="auto" w:fill="9ADAF6"/>
          </w:tcPr>
          <w:p>
            <w:pPr>
              <w:jc w:val="center"/>
              <w:ind w:right="295"/>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58"/>
              <w:spacing w:after="0" w:line="192"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restart"/>
            <w:shd w:val="clear" w:color="auto" w:fill="9ADAF6"/>
          </w:tcPr>
          <w:p>
            <w:pPr>
              <w:ind w:left="220"/>
              <w:spacing w:after="0" w:line="192"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2"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92"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2"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58"/>
              <w:spacing w:after="0" w:line="192"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8"/>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5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15CD1A"/>
    <w:multiLevelType w:val="hybridMultilevel"/>
    <w:lvl w:ilvl="0">
      <w:lvlJc w:val="left"/>
      <w:lvlText w:val="•"/>
      <w:numFmt w:val="bullet"/>
      <w:start w:val="1"/>
    </w:lvl>
  </w:abstractNum>
  <w:abstractNum w:abstractNumId="1">
    <w:nsid w:val="424479DA"/>
    <w:multiLevelType w:val="hybridMultilevel"/>
    <w:lvl w:ilvl="0">
      <w:lvlJc w:val="left"/>
      <w:lvlText w:val="•"/>
      <w:numFmt w:val="bullet"/>
      <w:start w:val="1"/>
    </w:lvl>
  </w:abstractNum>
  <w:abstractNum w:abstractNumId="2">
    <w:nsid w:val="1A9A9E69"/>
    <w:multiLevelType w:val="hybridMultilevel"/>
    <w:lvl w:ilvl="0">
      <w:lvlJc w:val="left"/>
      <w:lvlText w:val="•"/>
      <w:numFmt w:val="bullet"/>
      <w:start w:val="1"/>
    </w:lvl>
  </w:abstractNum>
  <w:abstractNum w:abstractNumId="3">
    <w:nsid w:val="475E256A"/>
    <w:multiLevelType w:val="hybridMultilevel"/>
    <w:lvl w:ilvl="0">
      <w:lvlJc w:val="left"/>
      <w:lvlText w:val="•"/>
      <w:numFmt w:val="bullet"/>
      <w:start w:val="1"/>
    </w:lvl>
  </w:abstractNum>
  <w:abstractNum w:abstractNumId="4">
    <w:nsid w:val="368DB37E"/>
    <w:multiLevelType w:val="hybridMultilevel"/>
    <w:lvl w:ilvl="0">
      <w:lvlJc w:val="left"/>
      <w:lvlText w:val="•"/>
      <w:numFmt w:val="bullet"/>
      <w:start w:val="1"/>
    </w:lvl>
  </w:abstractNum>
  <w:abstractNum w:abstractNumId="5">
    <w:nsid w:val="6A3B714C"/>
    <w:multiLevelType w:val="hybridMultilevel"/>
    <w:lvl w:ilvl="0">
      <w:lvlJc w:val="left"/>
      <w:lvlText w:val="•"/>
      <w:numFmt w:val="bullet"/>
      <w:start w:val="1"/>
    </w:lvl>
  </w:abstractNum>
  <w:abstractNum w:abstractNumId="6">
    <w:nsid w:val="327B517E"/>
    <w:multiLevelType w:val="hybridMultilevel"/>
    <w:lvl w:ilvl="0">
      <w:lvlJc w:val="left"/>
      <w:lvlText w:val="•"/>
      <w:numFmt w:val="bullet"/>
      <w:start w:val="1"/>
    </w:lvl>
  </w:abstractNum>
  <w:abstractNum w:abstractNumId="7">
    <w:nsid w:val="1F461B51"/>
    <w:multiLevelType w:val="hybridMultilevel"/>
    <w:lvl w:ilvl="0">
      <w:lvlJc w:val="left"/>
      <w:lvlText w:val="(%1)"/>
      <w:numFmt w:val="decimal"/>
      <w:start w:val="1"/>
    </w:lvl>
  </w:abstractNum>
  <w:abstractNum w:abstractNumId="8">
    <w:nsid w:val="29BACF25"/>
    <w:multiLevelType w:val="hybridMultilevel"/>
    <w:lvl w:ilvl="0">
      <w:lvlJc w:val="left"/>
      <w:lvlText w:val="(%1)"/>
      <w:numFmt w:val="decimal"/>
      <w:start w:val="1"/>
    </w:lvl>
  </w:abstractNum>
  <w:abstractNum w:abstractNumId="9">
    <w:nsid w:val="5D5BABB3"/>
    <w:multiLevelType w:val="hybridMultilevel"/>
    <w:lvl w:ilvl="0">
      <w:lvlJc w:val="left"/>
      <w:lvlText w:val="(%1)"/>
      <w:numFmt w:val="decimal"/>
      <w:start w:val="1"/>
    </w:lvl>
  </w:abstractNum>
  <w:abstractNum w:abstractNumId="10">
    <w:nsid w:val="51BF6B48"/>
    <w:multiLevelType w:val="hybridMultilevel"/>
    <w:lvl w:ilvl="0">
      <w:lvlJc w:val="left"/>
      <w:lvlText w:val="•"/>
      <w:numFmt w:val="bullet"/>
      <w:start w:val="1"/>
    </w:lvl>
  </w:abstractNum>
  <w:abstractNum w:abstractNumId="11">
    <w:nsid w:val="7E0F6384"/>
    <w:multiLevelType w:val="hybridMultilevel"/>
    <w:lvl w:ilvl="0">
      <w:lvlJc w:val="left"/>
      <w:lvlText w:val="•"/>
      <w:numFmt w:val="bullet"/>
      <w:start w:val="1"/>
    </w:lvl>
  </w:abstractNum>
  <w:abstractNum w:abstractNumId="12">
    <w:nsid w:val="2B4B8B53"/>
    <w:multiLevelType w:val="hybridMultilevel"/>
    <w:lvl w:ilvl="0">
      <w:lvlJc w:val="left"/>
      <w:lvlText w:val="•"/>
      <w:numFmt w:val="bullet"/>
      <w:start w:val="1"/>
    </w:lvl>
  </w:abstractNum>
  <w:abstractNum w:abstractNumId="13">
    <w:nsid w:val="72E3413A"/>
    <w:multiLevelType w:val="hybridMultilevel"/>
    <w:lvl w:ilvl="0">
      <w:lvlJc w:val="left"/>
      <w:lvlText w:val="•"/>
      <w:numFmt w:val="bullet"/>
      <w:start w:val="1"/>
    </w:lvl>
  </w:abstractNum>
  <w:abstractNum w:abstractNumId="14">
    <w:nsid w:val="116AE494"/>
    <w:multiLevelType w:val="hybridMultilevel"/>
    <w:lvl w:ilvl="0">
      <w:lvlJc w:val="left"/>
      <w:lvlText w:val="(%1)"/>
      <w:numFmt w:val="lowerLetter"/>
      <w:start w:val="3"/>
    </w:lvl>
  </w:abstractNum>
  <w:abstractNum w:abstractNumId="15">
    <w:nsid w:val="3494B2FB"/>
    <w:multiLevelType w:val="hybridMultilevel"/>
    <w:lvl w:ilvl="0">
      <w:lvlJc w:val="left"/>
      <w:lvlText w:val="*"/>
      <w:numFmt w:val="bullet"/>
      <w:start w:val="1"/>
    </w:lvl>
  </w:abstractNum>
  <w:abstractNum w:abstractNumId="16">
    <w:nsid w:val="B13A31"/>
    <w:multiLevelType w:val="hybridMultilevel"/>
    <w:lvl w:ilvl="0">
      <w:lvlJc w:val="left"/>
      <w:lvlText w:val="**"/>
      <w:numFmt w:val="bullet"/>
      <w:start w:val="1"/>
    </w:lvl>
  </w:abstractNum>
  <w:abstractNum w:abstractNumId="17">
    <w:nsid w:val="64429599"/>
    <w:multiLevelType w:val="hybridMultilevel"/>
    <w:lvl w:ilvl="0">
      <w:lvlJc w:val="left"/>
      <w:lvlText w:val="(%1)"/>
      <w:numFmt w:val="lowerLetter"/>
      <w:start w:val="1"/>
    </w:lvl>
  </w:abstractNum>
  <w:abstractNum w:abstractNumId="18">
    <w:nsid w:val="631F1690"/>
    <w:multiLevelType w:val="hybridMultilevel"/>
    <w:lvl w:ilvl="0">
      <w:lvlJc w:val="left"/>
      <w:lvlText w:val="(%1)"/>
      <w:numFmt w:val="lowerLetter"/>
      <w:start w:val="35"/>
    </w:lvl>
    <w:lvl w:ilvl="1">
      <w:lvlJc w:val="left"/>
      <w:lvlText w:val="(%2)"/>
      <w:numFmt w:val="lowerLetter"/>
      <w:start w:val="3"/>
    </w:lvl>
  </w:abstractNum>
  <w:abstractNum w:abstractNumId="19">
    <w:nsid w:val="25973E32"/>
    <w:multiLevelType w:val="hybridMultilevel"/>
    <w:lvl w:ilvl="0">
      <w:lvlJc w:val="left"/>
      <w:lvlText w:val="(%1)"/>
      <w:numFmt w:val="lowerLetter"/>
      <w:start w:val="1"/>
    </w:lvl>
    <w:lvl w:ilvl="1">
      <w:lvlJc w:val="left"/>
      <w:lvlText w:val="(%2)"/>
      <w:numFmt w:val="lowerLetter"/>
      <w:start w:val="4"/>
    </w:lvl>
  </w:abstractNum>
  <w:abstractNum w:abstractNumId="20">
    <w:nsid w:val="EAD6F57"/>
    <w:multiLevelType w:val="hybridMultilevel"/>
    <w:lvl w:ilvl="0">
      <w:lvlJc w:val="left"/>
      <w:lvlText w:val="(%1)"/>
      <w:numFmt w:val="decimal"/>
      <w:start w:val="1"/>
    </w:lvl>
  </w:abstractNum>
  <w:abstractNum w:abstractNumId="21">
    <w:nsid w:val="6EC9D844"/>
    <w:multiLevelType w:val="hybridMultilevel"/>
    <w:lvl w:ilvl="0">
      <w:lvlJc w:val="left"/>
      <w:lvlText w:val="(%1)"/>
      <w:numFmt w:val="lowerLetter"/>
      <w:start w:val="5"/>
    </w:lvl>
  </w:abstractNum>
  <w:abstractNum w:abstractNumId="22">
    <w:nsid w:val="5C49EAEE"/>
    <w:multiLevelType w:val="hybridMultilevel"/>
    <w:lvl w:ilvl="0">
      <w:lvlJc w:val="left"/>
      <w:lvlText w:val="(%1)"/>
      <w:numFmt w:val="lowerLetter"/>
      <w:start w:val="1"/>
    </w:lvl>
  </w:abstractNum>
  <w:abstractNum w:abstractNumId="23">
    <w:nsid w:val="64AF4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4">
    <w:nsid w:val="397C46BC"/>
    <w:multiLevelType w:val="hybridMultilevel"/>
    <w:lvl w:ilvl="0">
      <w:lvlJc w:val="left"/>
      <w:lvlText w:val="(%1)"/>
      <w:numFmt w:val="lowerRoman"/>
      <w:start w:val="3"/>
    </w:lvl>
  </w:abstractNum>
  <w:abstractNum w:abstractNumId="25">
    <w:nsid w:val="7E448DE9"/>
    <w:multiLevelType w:val="hybridMultilevel"/>
    <w:lvl w:ilvl="0">
      <w:lvlJc w:val="left"/>
      <w:lvlText w:val="(%1)"/>
      <w:numFmt w:val="decimal"/>
      <w:start w:val="2"/>
    </w:lvl>
    <w:lvl w:ilvl="1">
      <w:lvlJc w:val="left"/>
      <w:lvlText w:val="(%2)"/>
      <w:numFmt w:val="lowerRoman"/>
      <w:start w:val="1"/>
    </w:lvl>
  </w:abstractNum>
  <w:abstractNum w:abstractNumId="26">
    <w:nsid w:val="5A9CC3E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27">
    <w:nsid w:val="1AFE3625"/>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28">
    <w:nsid w:val="3CA88ECF"/>
    <w:multiLevelType w:val="hybridMultilevel"/>
    <w:lvl w:ilvl="0">
      <w:lvlJc w:val="left"/>
      <w:lvlText w:val=" "/>
      <w:numFmt w:val="bullet"/>
      <w:start w:val="1"/>
    </w:lvl>
  </w:abstractNum>
  <w:abstractNum w:abstractNumId="29">
    <w:nsid w:val="6EBE4208"/>
    <w:multiLevelType w:val="hybridMultilevel"/>
    <w:lvl w:ilvl="0">
      <w:lvlJc w:val="left"/>
      <w:lvlText w:val="*"/>
      <w:numFmt w:val="bullet"/>
      <w:start w:val="1"/>
    </w:lvl>
  </w:abstractNum>
  <w:abstractNum w:abstractNumId="30">
    <w:nsid w:val="C058DF5"/>
    <w:multiLevelType w:val="hybridMultilevel"/>
    <w:lvl w:ilvl="0">
      <w:lvlJc w:val="left"/>
      <w:lvlText w:val="(%1)"/>
      <w:numFmt w:val="decimal"/>
      <w:start w:val="1"/>
    </w:lvl>
  </w:abstractNum>
  <w:abstractNum w:abstractNumId="31">
    <w:nsid w:val="CBE5BE9"/>
    <w:multiLevelType w:val="hybridMultilevel"/>
    <w:lvl w:ilvl="0">
      <w:lvlJc w:val="left"/>
      <w:lvlText w:val="(%1)"/>
      <w:numFmt w:val="decimal"/>
      <w:start w:val="4"/>
    </w:lvl>
  </w:abstractNum>
  <w:abstractNum w:abstractNumId="32">
    <w:nsid w:val="3102BBE2"/>
    <w:multiLevelType w:val="hybridMultilevel"/>
    <w:lvl w:ilvl="0">
      <w:lvlJc w:val="left"/>
      <w:lvlText w:val="☐"/>
      <w:numFmt w:val="bullet"/>
      <w:start w:val="1"/>
    </w:lvl>
  </w:abstractNum>
  <w:abstractNum w:abstractNumId="33">
    <w:nsid w:val="26A02C5E"/>
    <w:multiLevelType w:val="hybridMultilevel"/>
    <w:lvl w:ilvl="0">
      <w:lvlJc w:val="left"/>
      <w:lvlText w:val="(%1)"/>
      <w:numFmt w:val="decimal"/>
      <w:start w:val="5"/>
    </w:lvl>
  </w:abstractNum>
  <w:abstractNum w:abstractNumId="34">
    <w:nsid w:val="541C8153"/>
    <w:multiLevelType w:val="hybridMultilevel"/>
    <w:lvl w:ilvl="0">
      <w:lvlJc w:val="left"/>
      <w:lvlText w:val="*"/>
      <w:numFmt w:val="bullet"/>
      <w:start w:val="1"/>
    </w:lvl>
    <w:lvl w:ilvl="1">
      <w:lvlJc w:val="left"/>
      <w:lvlText w:val="%2."/>
      <w:numFmt w:val="decimal"/>
      <w:start w:val="1"/>
    </w:lvl>
  </w:abstractNum>
  <w:abstractNum w:abstractNumId="35">
    <w:nsid w:val="67906F60"/>
    <w:multiLevelType w:val="hybridMultilevel"/>
    <w:lvl w:ilvl="0">
      <w:lvlJc w:val="left"/>
      <w:lvlText w:val="**"/>
      <w:numFmt w:val="bullet"/>
      <w:start w:val="1"/>
    </w:lvl>
    <w:lvl w:ilvl="1">
      <w:lvlJc w:val="left"/>
      <w:lvlText w:val="%2"/>
      <w:numFmt w:val="decimal"/>
      <w:start w:val="1"/>
    </w:lvl>
  </w:abstractNum>
  <w:abstractNum w:abstractNumId="36">
    <w:nsid w:val="10DB9DAA"/>
    <w:multiLevelType w:val="hybridMultilevel"/>
    <w:lvl w:ilvl="0">
      <w:lvlJc w:val="left"/>
      <w:lvlText w:val="(%1)"/>
      <w:numFmt w:val="lowerLetter"/>
      <w:start w:val="1"/>
    </w:lvl>
  </w:abstractNum>
  <w:abstractNum w:abstractNumId="37">
    <w:nsid w:val="697D2D2"/>
    <w:multiLevelType w:val="hybridMultilevel"/>
    <w:lvl w:ilvl="0">
      <w:lvlJc w:val="left"/>
      <w:lvlText w:val="(%1)"/>
      <w:numFmt w:val="lowerRoman"/>
      <w:start w:val="1"/>
    </w:lvl>
    <w:lvl w:ilvl="1">
      <w:lvlJc w:val="left"/>
      <w:lvlText w:val="(%2)"/>
      <w:numFmt w:val="decimal"/>
      <w:start w:val="1"/>
    </w:lvl>
  </w:abstractNum>
  <w:abstractNum w:abstractNumId="38">
    <w:nsid w:val="6D68AB2"/>
    <w:multiLevelType w:val="hybridMultilevel"/>
    <w:lvl w:ilvl="0">
      <w:lvlJc w:val="left"/>
      <w:lvlText w:val="%1."/>
      <w:numFmt w:val="upperLetter"/>
      <w:start w:val="1"/>
    </w:lvl>
  </w:abstractNum>
  <w:abstractNum w:abstractNumId="39">
    <w:nsid w:val="3A966CD0"/>
    <w:multiLevelType w:val="hybridMultilevel"/>
    <w:lvl w:ilvl="0">
      <w:lvlJc w:val="left"/>
      <w:lvlText w:val="(%1)"/>
      <w:numFmt w:val="lowerLetter"/>
      <w:start w:val="10"/>
    </w:lvl>
  </w:abstractNum>
  <w:abstractNum w:abstractNumId="40">
    <w:nsid w:val="63F37E85"/>
    <w:multiLevelType w:val="hybridMultilevel"/>
    <w:lvl w:ilvl="0">
      <w:lvlJc w:val="left"/>
      <w:lvlText w:val="(%1)"/>
      <w:numFmt w:val="lowerLetter"/>
      <w:start w:val="11"/>
    </w:lvl>
  </w:abstractNum>
  <w:abstractNum w:abstractNumId="41">
    <w:nsid w:val="5895F5FA"/>
    <w:multiLevelType w:val="hybridMultilevel"/>
    <w:lvl w:ilvl="0">
      <w:lvlJc w:val="left"/>
      <w:lvlText w:val="(%1)"/>
      <w:numFmt w:val="decimal"/>
      <w:start w:val="1"/>
    </w:lvl>
  </w:abstractNum>
  <w:abstractNum w:abstractNumId="42">
    <w:nsid w:val="38A5D054"/>
    <w:multiLevelType w:val="hybridMultilevel"/>
    <w:lvl w:ilvl="0">
      <w:lvlJc w:val="left"/>
      <w:lvlText w:val="(%1)"/>
      <w:numFmt w:val="lowerLetter"/>
      <w:start w:val="13"/>
    </w:lvl>
  </w:abstractNum>
  <w:abstractNum w:abstractNumId="43">
    <w:nsid w:val="F3F09D8"/>
    <w:multiLevelType w:val="hybridMultilevel"/>
    <w:lvl w:ilvl="0">
      <w:lvlJc w:val="left"/>
      <w:lvlText w:val="☐"/>
      <w:numFmt w:val="bullet"/>
      <w:start w:val="1"/>
    </w:lvl>
  </w:abstractNum>
  <w:abstractNum w:abstractNumId="44">
    <w:nsid w:val="4B793735"/>
    <w:multiLevelType w:val="hybridMultilevel"/>
    <w:lvl w:ilvl="0">
      <w:lvlJc w:val="left"/>
      <w:lvlText w:val="☒"/>
      <w:numFmt w:val="bullet"/>
      <w:start w:val="1"/>
    </w:lvl>
  </w:abstractNum>
  <w:abstractNum w:abstractNumId="45">
    <w:nsid w:val="4A10B4E8"/>
    <w:multiLevelType w:val="hybridMultilevel"/>
    <w:lvl w:ilvl="0">
      <w:lvlJc w:val="left"/>
      <w:lvlText w:val="☐"/>
      <w:numFmt w:val="bullet"/>
      <w:start w:val="1"/>
    </w:lvl>
  </w:abstractNum>
  <w:abstractNum w:abstractNumId="46">
    <w:nsid w:val="43D3BCD4"/>
    <w:multiLevelType w:val="hybridMultilevel"/>
    <w:lvl w:ilvl="0">
      <w:lvlJc w:val="left"/>
      <w:lvlText w:val="(%1)"/>
      <w:numFmt w:val="decimal"/>
      <w:start w:val="3"/>
    </w:lvl>
  </w:abstractNum>
  <w:abstractNum w:abstractNumId="47">
    <w:nsid w:val="4C2A7166"/>
    <w:multiLevelType w:val="hybridMultilevel"/>
    <w:lvl w:ilvl="0">
      <w:lvlJc w:val="left"/>
      <w:lvlText w:val="(%1)"/>
      <w:numFmt w:val="decimal"/>
      <w:start w:val="6"/>
    </w:lvl>
  </w:abstractNum>
  <w:abstractNum w:abstractNumId="48">
    <w:nsid w:val="2E534A82"/>
    <w:multiLevelType w:val="hybridMultilevel"/>
    <w:lvl w:ilvl="0">
      <w:lvlJc w:val="left"/>
      <w:lvlText w:val="☐"/>
      <w:numFmt w:val="bullet"/>
      <w:start w:val="1"/>
    </w:lvl>
  </w:abstractNum>
  <w:abstractNum w:abstractNumId="49">
    <w:nsid w:val="26F2D364"/>
    <w:multiLevelType w:val="hybridMultilevel"/>
    <w:lvl w:ilvl="0">
      <w:lvlJc w:val="left"/>
      <w:lvlText w:val="(%1)"/>
      <w:numFmt w:val="decimal"/>
      <w:start w:val="8"/>
    </w:lvl>
    <w:lvl w:ilvl="1">
      <w:lvlJc w:val="left"/>
      <w:lvlText w:val="☒"/>
      <w:numFmt w:val="bullet"/>
      <w:start w:val="1"/>
    </w:lvl>
  </w:abstractNum>
  <w:abstractNum w:abstractNumId="50">
    <w:nsid w:val="71C1AF98"/>
    <w:multiLevelType w:val="hybridMultilevel"/>
    <w:lvl w:ilvl="0">
      <w:lvlJc w:val="left"/>
      <w:lvlText w:val="(%1)"/>
      <w:numFmt w:val="decimal"/>
      <w:start w:val="10"/>
    </w:lvl>
  </w:abstractNum>
  <w:abstractNum w:abstractNumId="51">
    <w:nsid w:val="3D00B9D9"/>
    <w:multiLevelType w:val="hybridMultilevel"/>
    <w:lvl w:ilvl="0">
      <w:lvlJc w:val="left"/>
      <w:lvlText w:val="☐"/>
      <w:numFmt w:val="bullet"/>
      <w:start w:val="1"/>
    </w:lvl>
  </w:abstractNum>
  <w:abstractNum w:abstractNumId="52">
    <w:nsid w:val="15BCABA8"/>
    <w:multiLevelType w:val="hybridMultilevel"/>
    <w:lvl w:ilvl="0">
      <w:lvlJc w:val="left"/>
      <w:lvlText w:val="☒"/>
      <w:numFmt w:val="bullet"/>
      <w:start w:val="1"/>
    </w:lvl>
  </w:abstractNum>
  <w:abstractNum w:abstractNumId="53">
    <w:nsid w:val="4E0B9A87"/>
    <w:multiLevelType w:val="hybridMultilevel"/>
    <w:lvl w:ilvl="0">
      <w:lvlJc w:val="left"/>
      <w:lvlText w:val="☐"/>
      <w:numFmt w:val="bullet"/>
      <w:start w:val="1"/>
    </w:lvl>
  </w:abstractNum>
  <w:abstractNum w:abstractNumId="54">
    <w:nsid w:val="434BAE75"/>
    <w:multiLevelType w:val="hybridMultilevel"/>
    <w:lvl w:ilvl="0">
      <w:lvlJc w:val="left"/>
      <w:lvlText w:val="☐"/>
      <w:numFmt w:val="bullet"/>
      <w:start w:val="1"/>
    </w:lvl>
  </w:abstractNum>
  <w:abstractNum w:abstractNumId="55">
    <w:nsid w:val="4F38F265"/>
    <w:multiLevelType w:val="hybridMultilevel"/>
    <w:lvl w:ilvl="0">
      <w:lvlJc w:val="left"/>
      <w:lvlText w:val="☒"/>
      <w:numFmt w:val="bullet"/>
      <w:start w:val="1"/>
    </w:lvl>
  </w:abstractNum>
  <w:abstractNum w:abstractNumId="56">
    <w:nsid w:val="4C502870"/>
    <w:multiLevelType w:val="hybridMultilevel"/>
    <w:lvl w:ilvl="0">
      <w:lvlJc w:val="left"/>
      <w:lvlText w:val="☐"/>
      <w:numFmt w:val="bullet"/>
      <w:start w:val="1"/>
    </w:lvl>
  </w:abstractNum>
  <w:abstractNum w:abstractNumId="57">
    <w:nsid w:val="1DE8725A"/>
    <w:multiLevelType w:val="hybridMultilevel"/>
    <w:lvl w:ilvl="0">
      <w:lvlJc w:val="left"/>
      <w:lvlText w:val="(%1)"/>
      <w:numFmt w:val="decimal"/>
      <w:start w:val="3"/>
    </w:lvl>
  </w:abstractNum>
  <w:abstractNum w:abstractNumId="58">
    <w:nsid w:val="6A37288A"/>
    <w:multiLevelType w:val="hybridMultilevel"/>
    <w:lvl w:ilvl="0">
      <w:lvlJc w:val="left"/>
      <w:lvlText w:val="(%1)"/>
      <w:numFmt w:val="decimal"/>
      <w:start w:val="6"/>
    </w:lvl>
  </w:abstractNum>
  <w:abstractNum w:abstractNumId="59">
    <w:nsid w:val="8F8B73F"/>
    <w:multiLevelType w:val="hybridMultilevel"/>
    <w:lvl w:ilvl="0">
      <w:lvlJc w:val="left"/>
      <w:lvlText w:val="☐"/>
      <w:numFmt w:val="bullet"/>
      <w:start w:val="1"/>
    </w:lvl>
  </w:abstractNum>
  <w:abstractNum w:abstractNumId="60">
    <w:nsid w:val="CA6B462"/>
    <w:multiLevelType w:val="hybridMultilevel"/>
    <w:lvl w:ilvl="0">
      <w:lvlJc w:val="left"/>
      <w:lvlText w:val="(%1)"/>
      <w:numFmt w:val="decimal"/>
      <w:start w:val="8"/>
    </w:lvl>
    <w:lvl w:ilvl="1">
      <w:lvlJc w:val="left"/>
      <w:lvlText w:val="☒"/>
      <w:numFmt w:val="bullet"/>
      <w:start w:val="1"/>
    </w:lvl>
  </w:abstractNum>
  <w:abstractNum w:abstractNumId="61">
    <w:nsid w:val="763CB680"/>
    <w:multiLevelType w:val="hybridMultilevel"/>
    <w:lvl w:ilvl="0">
      <w:lvlJc w:val="left"/>
      <w:lvlText w:val="(%1)"/>
      <w:numFmt w:val="decimal"/>
      <w:start w:val="10"/>
    </w:lvl>
  </w:abstractNum>
  <w:abstractNum w:abstractNumId="62">
    <w:nsid w:val="15B71329"/>
    <w:multiLevelType w:val="hybridMultilevel"/>
    <w:lvl w:ilvl="0">
      <w:lvlJc w:val="left"/>
      <w:lvlText w:val="☐"/>
      <w:numFmt w:val="bullet"/>
      <w:start w:val="1"/>
    </w:lvl>
  </w:abstractNum>
  <w:abstractNum w:abstractNumId="63">
    <w:nsid w:val="3DA97044"/>
    <w:multiLevelType w:val="hybridMultilevel"/>
    <w:lvl w:ilvl="0">
      <w:lvlJc w:val="left"/>
      <w:lvlText w:val="☒"/>
      <w:numFmt w:val="bullet"/>
      <w:start w:val="1"/>
    </w:lvl>
  </w:abstractNum>
  <w:abstractNum w:abstractNumId="64">
    <w:nsid w:val="1CDCE2DE"/>
    <w:multiLevelType w:val="hybridMultilevel"/>
    <w:lvl w:ilvl="0">
      <w:lvlJc w:val="left"/>
      <w:lvlText w:val="☐"/>
      <w:numFmt w:val="bullet"/>
      <w:start w:val="1"/>
    </w:lvl>
  </w:abstractNum>
  <w:abstractNum w:abstractNumId="65">
    <w:nsid w:val="69D3947C"/>
    <w:multiLevelType w:val="hybridMultilevel"/>
    <w:lvl w:ilvl="0">
      <w:lvlJc w:val="left"/>
      <w:lvlText w:val="☐"/>
      <w:numFmt w:val="bullet"/>
      <w:start w:val="1"/>
    </w:lvl>
  </w:abstractNum>
  <w:abstractNum w:abstractNumId="66">
    <w:nsid w:val="2539DFA5"/>
    <w:multiLevelType w:val="hybridMultilevel"/>
    <w:lvl w:ilvl="0">
      <w:lvlJc w:val="left"/>
      <w:lvlText w:val="☒"/>
      <w:numFmt w:val="bullet"/>
      <w:start w:val="1"/>
    </w:lvl>
  </w:abstractNum>
  <w:abstractNum w:abstractNumId="67">
    <w:nsid w:val="2DB88089"/>
    <w:multiLevelType w:val="hybridMultilevel"/>
    <w:lvl w:ilvl="0">
      <w:lvlJc w:val="left"/>
      <w:lvlText w:val="☐"/>
      <w:numFmt w:val="bullet"/>
      <w:start w:val="1"/>
    </w:lvl>
  </w:abstractNum>
  <w:abstractNum w:abstractNumId="68">
    <w:nsid w:val="706B674E"/>
    <w:multiLevelType w:val="hybridMultilevel"/>
    <w:lvl w:ilvl="0">
      <w:lvlJc w:val="left"/>
      <w:lvlText w:val="(%1)"/>
      <w:numFmt w:val="decimal"/>
      <w:start w:val="6"/>
    </w:lvl>
  </w:abstractNum>
  <w:abstractNum w:abstractNumId="69">
    <w:nsid w:val="2C106A57"/>
    <w:multiLevelType w:val="hybridMultilevel"/>
    <w:lvl w:ilvl="0">
      <w:lvlJc w:val="left"/>
      <w:lvlText w:val="☐"/>
      <w:numFmt w:val="bullet"/>
      <w:start w:val="1"/>
    </w:lvl>
  </w:abstractNum>
  <w:abstractNum w:abstractNumId="70">
    <w:nsid w:val="684EED59"/>
    <w:multiLevelType w:val="hybridMultilevel"/>
    <w:lvl w:ilvl="0">
      <w:lvlJc w:val="left"/>
      <w:lvlText w:val="(%1)"/>
      <w:numFmt w:val="decimal"/>
      <w:start w:val="8"/>
    </w:lvl>
    <w:lvl w:ilvl="1">
      <w:lvlJc w:val="left"/>
      <w:lvlText w:val="☒"/>
      <w:numFmt w:val="bullet"/>
      <w:start w:val="1"/>
    </w:lvl>
  </w:abstractNum>
  <w:abstractNum w:abstractNumId="71">
    <w:nsid w:val="545EE5D3"/>
    <w:multiLevelType w:val="hybridMultilevel"/>
    <w:lvl w:ilvl="0">
      <w:lvlJc w:val="left"/>
      <w:lvlText w:val="(%1)"/>
      <w:numFmt w:val="decimal"/>
      <w:start w:val="10"/>
    </w:lvl>
  </w:abstractNum>
  <w:abstractNum w:abstractNumId="72">
    <w:nsid w:val="4A66051"/>
    <w:multiLevelType w:val="hybridMultilevel"/>
    <w:lvl w:ilvl="0">
      <w:lvlJc w:val="left"/>
      <w:lvlText w:val="☐"/>
      <w:numFmt w:val="bullet"/>
      <w:start w:val="1"/>
    </w:lvl>
  </w:abstractNum>
  <w:abstractNum w:abstractNumId="73">
    <w:nsid w:val="20F4BDAD"/>
    <w:multiLevelType w:val="hybridMultilevel"/>
    <w:lvl w:ilvl="0">
      <w:lvlJc w:val="left"/>
      <w:lvlText w:val="☒"/>
      <w:numFmt w:val="bullet"/>
      <w:start w:val="1"/>
    </w:lvl>
  </w:abstractNum>
  <w:abstractNum w:abstractNumId="74">
    <w:nsid w:val="639DEFAC"/>
    <w:multiLevelType w:val="hybridMultilevel"/>
    <w:lvl w:ilvl="0">
      <w:lvlJc w:val="left"/>
      <w:lvlText w:val="☐"/>
      <w:numFmt w:val="bullet"/>
      <w:start w:val="1"/>
    </w:lvl>
  </w:abstractNum>
  <w:abstractNum w:abstractNumId="75">
    <w:nsid w:val="501F9786"/>
    <w:multiLevelType w:val="hybridMultilevel"/>
    <w:lvl w:ilvl="0">
      <w:lvlJc w:val="left"/>
      <w:lvlText w:val="☐"/>
      <w:numFmt w:val="bullet"/>
      <w:start w:val="1"/>
    </w:lvl>
  </w:abstractNum>
  <w:abstractNum w:abstractNumId="76">
    <w:nsid w:val="6B057295"/>
    <w:multiLevelType w:val="hybridMultilevel"/>
    <w:lvl w:ilvl="0">
      <w:lvlJc w:val="left"/>
      <w:lvlText w:val="☒"/>
      <w:numFmt w:val="bullet"/>
      <w:start w:val="1"/>
    </w:lvl>
  </w:abstractNum>
  <w:abstractNum w:abstractNumId="77">
    <w:nsid w:val="2771AC80"/>
    <w:multiLevelType w:val="hybridMultilevel"/>
    <w:lvl w:ilvl="0">
      <w:lvlJc w:val="left"/>
      <w:lvlText w:val="☐"/>
      <w:numFmt w:val="bullet"/>
      <w:start w:val="1"/>
    </w:lvl>
  </w:abstractNum>
  <w:abstractNum w:abstractNumId="78">
    <w:nsid w:val="1C4A08EC"/>
    <w:multiLevelType w:val="hybridMultilevel"/>
    <w:lvl w:ilvl="0">
      <w:lvlJc w:val="left"/>
      <w:lvlText w:val="(%1)"/>
      <w:numFmt w:val="decimal"/>
      <w:start w:val="6"/>
    </w:lvl>
  </w:abstractNum>
  <w:abstractNum w:abstractNumId="79">
    <w:nsid w:val="1958BD17"/>
    <w:multiLevelType w:val="hybridMultilevel"/>
    <w:lvl w:ilvl="0">
      <w:lvlJc w:val="left"/>
      <w:lvlText w:val="☐"/>
      <w:numFmt w:val="bullet"/>
      <w:start w:val="1"/>
    </w:lvl>
  </w:abstractNum>
  <w:abstractNum w:abstractNumId="80">
    <w:nsid w:val="4E647FE4"/>
    <w:multiLevelType w:val="hybridMultilevel"/>
    <w:lvl w:ilvl="0">
      <w:lvlJc w:val="left"/>
      <w:lvlText w:val="(%1)"/>
      <w:numFmt w:val="decimal"/>
      <w:start w:val="9"/>
    </w:lvl>
  </w:abstractNum>
  <w:abstractNum w:abstractNumId="81">
    <w:nsid w:val="E0BB885"/>
    <w:multiLevelType w:val="hybridMultilevel"/>
    <w:lvl w:ilvl="0">
      <w:lvlJc w:val="left"/>
      <w:lvlText w:val="*"/>
      <w:numFmt w:val="bullet"/>
      <w:start w:val="1"/>
    </w:lvl>
  </w:abstractNum>
  <w:abstractNum w:abstractNumId="82">
    <w:nsid w:val="565976F1"/>
    <w:multiLevelType w:val="hybridMultilevel"/>
    <w:lvl w:ilvl="0">
      <w:lvlJc w:val="left"/>
      <w:lvlText w:val="%1"/>
      <w:numFmt w:val="decimal"/>
      <w:start w:val="1"/>
    </w:lvl>
    <w:lvl w:ilvl="1">
      <w:lvlJc w:val="left"/>
      <w:lvlText w:val="(%2)"/>
      <w:numFmt w:val="decimal"/>
      <w:start w:val="10"/>
    </w:lvl>
  </w:abstractNum>
  <w:abstractNum w:abstractNumId="83">
    <w:nsid w:val="64212B8C"/>
    <w:multiLevelType w:val="hybridMultilevel"/>
    <w:lvl w:ilvl="0">
      <w:lvlJc w:val="left"/>
      <w:lvlText w:val="(%1)"/>
      <w:numFmt w:val="decimal"/>
      <w:start w:val="11"/>
    </w:lvl>
    <w:lvl w:ilvl="1">
      <w:lvlJc w:val="left"/>
      <w:lvlText w:val="%2"/>
      <w:numFmt w:val="decimal"/>
      <w:start w:val="1"/>
    </w:lvl>
  </w:abstractNum>
  <w:abstractNum w:abstractNumId="84">
    <w:nsid w:val="5C17530C"/>
    <w:multiLevelType w:val="hybridMultilevel"/>
    <w:lvl w:ilvl="0">
      <w:lvlJc w:val="left"/>
      <w:lvlText w:val="☐"/>
      <w:numFmt w:val="bullet"/>
      <w:start w:val="1"/>
    </w:lvl>
  </w:abstractNum>
  <w:abstractNum w:abstractNumId="85">
    <w:nsid w:val="19A52566"/>
    <w:multiLevelType w:val="hybridMultilevel"/>
    <w:lvl w:ilvl="0">
      <w:lvlJc w:val="left"/>
      <w:lvlText w:val="☒"/>
      <w:numFmt w:val="bullet"/>
      <w:start w:val="1"/>
    </w:lvl>
  </w:abstractNum>
  <w:abstractNum w:abstractNumId="86">
    <w:nsid w:val="335A1DF1"/>
    <w:multiLevelType w:val="hybridMultilevel"/>
    <w:lvl w:ilvl="0">
      <w:lvlJc w:val="left"/>
      <w:lvlText w:val="☐"/>
      <w:numFmt w:val="bullet"/>
      <w:start w:val="1"/>
    </w:lvl>
  </w:abstractNum>
  <w:abstractNum w:abstractNumId="87">
    <w:nsid w:val="28677B7C"/>
    <w:multiLevelType w:val="hybridMultilevel"/>
    <w:lvl w:ilvl="0">
      <w:lvlJc w:val="left"/>
      <w:lvlText w:val="☐"/>
      <w:numFmt w:val="bullet"/>
      <w:start w:val="1"/>
    </w:lvl>
  </w:abstractNum>
  <w:abstractNum w:abstractNumId="88">
    <w:nsid w:val="378D97C0"/>
    <w:multiLevelType w:val="hybridMultilevel"/>
    <w:lvl w:ilvl="0">
      <w:lvlJc w:val="left"/>
      <w:lvlText w:val="☒"/>
      <w:numFmt w:val="bullet"/>
      <w:start w:val="1"/>
    </w:lvl>
  </w:abstractNum>
  <w:abstractNum w:abstractNumId="89">
    <w:nsid w:val="1D91467C"/>
    <w:multiLevelType w:val="hybridMultilevel"/>
    <w:lvl w:ilvl="0">
      <w:lvlJc w:val="left"/>
      <w:lvlText w:val="☐"/>
      <w:numFmt w:val="bullet"/>
      <w:start w:val="1"/>
    </w:lvl>
  </w:abstractNum>
  <w:abstractNum w:abstractNumId="90">
    <w:nsid w:val="316032BB"/>
    <w:multiLevelType w:val="hybridMultilevel"/>
    <w:lvl w:ilvl="0">
      <w:lvlJc w:val="left"/>
      <w:lvlText w:val="(%1)"/>
      <w:numFmt w:val="decimal"/>
      <w:start w:val="6"/>
    </w:lvl>
  </w:abstractNum>
  <w:abstractNum w:abstractNumId="91">
    <w:nsid w:val="44344C22"/>
    <w:multiLevelType w:val="hybridMultilevel"/>
    <w:lvl w:ilvl="0">
      <w:lvlJc w:val="left"/>
      <w:lvlText w:val="☐"/>
      <w:numFmt w:val="bullet"/>
      <w:start w:val="1"/>
    </w:lvl>
  </w:abstractNum>
  <w:abstractNum w:abstractNumId="92">
    <w:nsid w:val="13CDFCFC"/>
    <w:multiLevelType w:val="hybridMultilevel"/>
    <w:lvl w:ilvl="0">
      <w:lvlJc w:val="left"/>
      <w:lvlText w:val="(%1)"/>
      <w:numFmt w:val="decimal"/>
      <w:start w:val="9"/>
    </w:lvl>
  </w:abstractNum>
  <w:abstractNum w:abstractNumId="93">
    <w:nsid w:val="471745E4"/>
    <w:multiLevelType w:val="hybridMultilevel"/>
    <w:lvl w:ilvl="0">
      <w:lvlJc w:val="left"/>
      <w:lvlText w:val="*"/>
      <w:numFmt w:val="bullet"/>
      <w:start w:val="1"/>
    </w:lvl>
  </w:abstractNum>
  <w:abstractNum w:abstractNumId="94">
    <w:nsid w:val="1DDBC66"/>
    <w:multiLevelType w:val="hybridMultilevel"/>
    <w:lvl w:ilvl="0">
      <w:lvlJc w:val="left"/>
      <w:lvlText w:val="(%1)"/>
      <w:numFmt w:val="decimal"/>
      <w:start w:val="10"/>
    </w:lvl>
  </w:abstractNum>
  <w:abstractNum w:abstractNumId="95">
    <w:nsid w:val="30AADFDA"/>
    <w:multiLevelType w:val="hybridMultilevel"/>
    <w:lvl w:ilvl="0">
      <w:lvlJc w:val="left"/>
      <w:lvlText w:val="☐"/>
      <w:numFmt w:val="bullet"/>
      <w:start w:val="1"/>
    </w:lvl>
  </w:abstractNum>
  <w:abstractNum w:abstractNumId="96">
    <w:nsid w:val="30EADA61"/>
    <w:multiLevelType w:val="hybridMultilevel"/>
    <w:lvl w:ilvl="0">
      <w:lvlJc w:val="left"/>
      <w:lvlText w:val="☒"/>
      <w:numFmt w:val="bullet"/>
      <w:start w:val="1"/>
    </w:lvl>
  </w:abstractNum>
  <w:abstractNum w:abstractNumId="97">
    <w:nsid w:val="27179C0B"/>
    <w:multiLevelType w:val="hybridMultilevel"/>
    <w:lvl w:ilvl="0">
      <w:lvlJc w:val="left"/>
      <w:lvlText w:val="☐"/>
      <w:numFmt w:val="bullet"/>
      <w:start w:val="1"/>
    </w:lvl>
  </w:abstractNum>
  <w:abstractNum w:abstractNumId="98">
    <w:nsid w:val="5E636063"/>
    <w:multiLevelType w:val="hybridMultilevel"/>
    <w:lvl w:ilvl="0">
      <w:lvlJc w:val="left"/>
      <w:lvlText w:val="☐"/>
      <w:numFmt w:val="bullet"/>
      <w:start w:val="1"/>
    </w:lvl>
  </w:abstractNum>
  <w:abstractNum w:abstractNumId="99">
    <w:nsid w:val="215641AF"/>
    <w:multiLevelType w:val="hybridMultilevel"/>
    <w:lvl w:ilvl="0">
      <w:lvlJc w:val="left"/>
      <w:lvlText w:val="☒"/>
      <w:numFmt w:val="bullet"/>
      <w:start w:val="1"/>
    </w:lvl>
  </w:abstractNum>
  <w:abstractNum w:abstractNumId="100">
    <w:nsid w:val="53280662"/>
    <w:multiLevelType w:val="hybridMultilevel"/>
    <w:lvl w:ilvl="0">
      <w:lvlJc w:val="left"/>
      <w:lvlText w:val="☐"/>
      <w:numFmt w:val="bullet"/>
      <w:start w:val="1"/>
    </w:lvl>
  </w:abstractNum>
  <w:abstractNum w:abstractNumId="101">
    <w:nsid w:val="46B24DBC"/>
    <w:multiLevelType w:val="hybridMultilevel"/>
    <w:lvl w:ilvl="0">
      <w:lvlJc w:val="left"/>
      <w:lvlText w:val="(%1)"/>
      <w:numFmt w:val="decimal"/>
      <w:start w:val="6"/>
    </w:lvl>
  </w:abstractNum>
  <w:abstractNum w:abstractNumId="102">
    <w:nsid w:val="75B52783"/>
    <w:multiLevelType w:val="hybridMultilevel"/>
    <w:lvl w:ilvl="0">
      <w:lvlJc w:val="left"/>
      <w:lvlText w:val="☐"/>
      <w:numFmt w:val="bullet"/>
      <w:start w:val="1"/>
    </w:lvl>
  </w:abstractNum>
  <w:abstractNum w:abstractNumId="103">
    <w:nsid w:val="57CE66B4"/>
    <w:multiLevelType w:val="hybridMultilevel"/>
    <w:lvl w:ilvl="0">
      <w:lvlJc w:val="left"/>
      <w:lvlText w:val="(%1)"/>
      <w:numFmt w:val="decimal"/>
      <w:start w:val="9"/>
    </w:lvl>
  </w:abstractNum>
  <w:abstractNum w:abstractNumId="104">
    <w:nsid w:val="67A70B69"/>
    <w:multiLevelType w:val="hybridMultilevel"/>
    <w:lvl w:ilvl="0">
      <w:lvlJc w:val="left"/>
      <w:lvlText w:val="*"/>
      <w:numFmt w:val="bullet"/>
      <w:start w:val="1"/>
    </w:lvl>
  </w:abstractNum>
  <w:abstractNum w:abstractNumId="105">
    <w:nsid w:val="5953172F"/>
    <w:multiLevelType w:val="hybridMultilevel"/>
    <w:lvl w:ilvl="0">
      <w:lvlJc w:val="left"/>
      <w:lvlText w:val="(%1)"/>
      <w:numFmt w:val="decimal"/>
      <w:start w:val="10"/>
    </w:lvl>
  </w:abstractNum>
  <w:abstractNum w:abstractNumId="106">
    <w:nsid w:val="27EDFE3A"/>
    <w:multiLevelType w:val="hybridMultilevel"/>
    <w:lvl w:ilvl="0">
      <w:lvlJc w:val="left"/>
      <w:lvlText w:val="☐"/>
      <w:numFmt w:val="bullet"/>
      <w:start w:val="1"/>
    </w:lvl>
  </w:abstractNum>
  <w:abstractNum w:abstractNumId="107">
    <w:nsid w:val="52AC7DFF"/>
    <w:multiLevelType w:val="hybridMultilevel"/>
    <w:lvl w:ilvl="0">
      <w:lvlJc w:val="left"/>
      <w:lvlText w:val="☒"/>
      <w:numFmt w:val="bullet"/>
      <w:start w:val="1"/>
    </w:lvl>
  </w:abstractNum>
  <w:abstractNum w:abstractNumId="108">
    <w:nsid w:val="C4C3AF"/>
    <w:multiLevelType w:val="hybridMultilevel"/>
    <w:lvl w:ilvl="0">
      <w:lvlJc w:val="left"/>
      <w:lvlText w:val="☐"/>
      <w:numFmt w:val="bullet"/>
      <w:start w:val="1"/>
    </w:lvl>
  </w:abstractNum>
  <w:abstractNum w:abstractNumId="109">
    <w:nsid w:val="44380727"/>
    <w:multiLevelType w:val="hybridMultilevel"/>
    <w:lvl w:ilvl="0">
      <w:lvlJc w:val="left"/>
      <w:lvlText w:val="☐"/>
      <w:numFmt w:val="bullet"/>
      <w:start w:val="1"/>
    </w:lvl>
  </w:abstractNum>
  <w:abstractNum w:abstractNumId="110">
    <w:nsid w:val="6C053B16"/>
    <w:multiLevelType w:val="hybridMultilevel"/>
    <w:lvl w:ilvl="0">
      <w:lvlJc w:val="left"/>
      <w:lvlText w:val="☒"/>
      <w:numFmt w:val="bullet"/>
      <w:start w:val="1"/>
    </w:lvl>
  </w:abstractNum>
  <w:abstractNum w:abstractNumId="111">
    <w:nsid w:val="4F294393"/>
    <w:multiLevelType w:val="hybridMultilevel"/>
    <w:lvl w:ilvl="0">
      <w:lvlJc w:val="left"/>
      <w:lvlText w:val="☐"/>
      <w:numFmt w:val="bullet"/>
      <w:start w:val="1"/>
    </w:lvl>
  </w:abstractNum>
  <w:abstractNum w:abstractNumId="112">
    <w:nsid w:val="5243BFAC"/>
    <w:multiLevelType w:val="hybridMultilevel"/>
    <w:lvl w:ilvl="0">
      <w:lvlJc w:val="left"/>
      <w:lvlText w:val="(%1)"/>
      <w:numFmt w:val="decimal"/>
      <w:start w:val="6"/>
    </w:lvl>
  </w:abstractNum>
  <w:abstractNum w:abstractNumId="113">
    <w:nsid w:val="425EB207"/>
    <w:multiLevelType w:val="hybridMultilevel"/>
    <w:lvl w:ilvl="0">
      <w:lvlJc w:val="left"/>
      <w:lvlText w:val="☐"/>
      <w:numFmt w:val="bullet"/>
      <w:start w:val="1"/>
    </w:lvl>
  </w:abstractNum>
  <w:abstractNum w:abstractNumId="114">
    <w:nsid w:val="334A6F1F"/>
    <w:multiLevelType w:val="hybridMultilevel"/>
    <w:lvl w:ilvl="0">
      <w:lvlJc w:val="left"/>
      <w:lvlText w:val="(%1)"/>
      <w:numFmt w:val="decimal"/>
      <w:start w:val="9"/>
    </w:lvl>
  </w:abstractNum>
  <w:abstractNum w:abstractNumId="115">
    <w:nsid w:val="2E5B12B8"/>
    <w:multiLevelType w:val="hybridMultilevel"/>
    <w:lvl w:ilvl="0">
      <w:lvlJc w:val="left"/>
      <w:lvlText w:val="*"/>
      <w:numFmt w:val="bullet"/>
      <w:start w:val="1"/>
    </w:lvl>
  </w:abstractNum>
  <w:abstractNum w:abstractNumId="116">
    <w:nsid w:val="5C03D76D"/>
    <w:multiLevelType w:val="hybridMultilevel"/>
    <w:lvl w:ilvl="0">
      <w:lvlJc w:val="left"/>
      <w:lvlText w:val="(%1)"/>
      <w:numFmt w:val="decimal"/>
      <w:start w:val="10"/>
    </w:lvl>
  </w:abstractNum>
  <w:abstractNum w:abstractNumId="117">
    <w:nsid w:val="66A48D11"/>
    <w:multiLevelType w:val="hybridMultilevel"/>
    <w:lvl w:ilvl="0">
      <w:lvlJc w:val="left"/>
      <w:lvlText w:val="☐"/>
      <w:numFmt w:val="bullet"/>
      <w:start w:val="1"/>
    </w:lvl>
  </w:abstractNum>
  <w:abstractNum w:abstractNumId="118">
    <w:nsid w:val="56C28E34"/>
    <w:multiLevelType w:val="hybridMultilevel"/>
    <w:lvl w:ilvl="0">
      <w:lvlJc w:val="left"/>
      <w:lvlText w:val="☒"/>
      <w:numFmt w:val="bullet"/>
      <w:start w:val="1"/>
    </w:lvl>
  </w:abstractNum>
  <w:abstractNum w:abstractNumId="119">
    <w:nsid w:val="13916F2D"/>
    <w:multiLevelType w:val="hybridMultilevel"/>
    <w:lvl w:ilvl="0">
      <w:lvlJc w:val="left"/>
      <w:lvlText w:val="☐"/>
      <w:numFmt w:val="bullet"/>
      <w:start w:val="1"/>
    </w:lvl>
  </w:abstractNum>
  <w:abstractNum w:abstractNumId="120">
    <w:nsid w:val="435D38D"/>
    <w:multiLevelType w:val="hybridMultilevel"/>
    <w:lvl w:ilvl="0">
      <w:lvlJc w:val="left"/>
      <w:lvlText w:val="☐"/>
      <w:numFmt w:val="bullet"/>
      <w:start w:val="1"/>
    </w:lvl>
  </w:abstractNum>
  <w:abstractNum w:abstractNumId="121">
    <w:nsid w:val="822C0EF"/>
    <w:multiLevelType w:val="hybridMultilevel"/>
    <w:lvl w:ilvl="0">
      <w:lvlJc w:val="left"/>
      <w:lvlText w:val="☒"/>
      <w:numFmt w:val="bullet"/>
      <w:start w:val="1"/>
    </w:lvl>
  </w:abstractNum>
  <w:abstractNum w:abstractNumId="122">
    <w:nsid w:val="57C5BB4F"/>
    <w:multiLevelType w:val="hybridMultilevel"/>
    <w:lvl w:ilvl="0">
      <w:lvlJc w:val="left"/>
      <w:lvlText w:val="☐"/>
      <w:numFmt w:val="bullet"/>
      <w:start w:val="1"/>
    </w:lvl>
  </w:abstractNum>
  <w:abstractNum w:abstractNumId="123">
    <w:nsid w:val="1803D089"/>
    <w:multiLevelType w:val="hybridMultilevel"/>
    <w:lvl w:ilvl="0">
      <w:lvlJc w:val="left"/>
      <w:lvlText w:val="☒"/>
      <w:numFmt w:val="bullet"/>
      <w:start w:val="1"/>
    </w:lvl>
  </w:abstractNum>
  <w:abstractNum w:abstractNumId="124">
    <w:nsid w:val="4F3A06D4"/>
    <w:multiLevelType w:val="hybridMultilevel"/>
    <w:lvl w:ilvl="0">
      <w:lvlJc w:val="left"/>
      <w:lvlText w:val="(%1)"/>
      <w:numFmt w:val="decimal"/>
      <w:start w:val="8"/>
    </w:lvl>
    <w:lvl w:ilvl="1">
      <w:lvlJc w:val="left"/>
      <w:lvlText w:val="☐"/>
      <w:numFmt w:val="bullet"/>
      <w:start w:val="1"/>
    </w:lvl>
  </w:abstractNum>
  <w:abstractNum w:abstractNumId="125">
    <w:nsid w:val="59A377B6"/>
    <w:multiLevelType w:val="hybridMultilevel"/>
    <w:lvl w:ilvl="0">
      <w:lvlJc w:val="left"/>
      <w:lvlText w:val="(%1)"/>
      <w:numFmt w:val="decimal"/>
      <w:start w:val="10"/>
    </w:lvl>
  </w:abstractNum>
  <w:abstractNum w:abstractNumId="126">
    <w:nsid w:val="48AEB063"/>
    <w:multiLevelType w:val="hybridMultilevel"/>
    <w:lvl w:ilvl="0">
      <w:lvlJc w:val="left"/>
      <w:lvlText w:val="☐"/>
      <w:numFmt w:val="bullet"/>
      <w:start w:val="1"/>
    </w:lvl>
  </w:abstractNum>
  <w:abstractNum w:abstractNumId="127">
    <w:nsid w:val="24E135"/>
    <w:multiLevelType w:val="hybridMultilevel"/>
    <w:lvl w:ilvl="0">
      <w:lvlJc w:val="left"/>
      <w:lvlText w:val="☒"/>
      <w:numFmt w:val="bullet"/>
      <w:start w:val="1"/>
    </w:lvl>
  </w:abstractNum>
  <w:abstractNum w:abstractNumId="128">
    <w:nsid w:val="BB13C1"/>
    <w:multiLevelType w:val="hybridMultilevel"/>
    <w:lvl w:ilvl="0">
      <w:lvlJc w:val="left"/>
      <w:lvlText w:val="☐"/>
      <w:numFmt w:val="bullet"/>
      <w:start w:val="1"/>
    </w:lvl>
  </w:abstractNum>
  <w:abstractNum w:abstractNumId="129">
    <w:nsid w:val="271210C7"/>
    <w:multiLevelType w:val="hybridMultilevel"/>
    <w:lvl w:ilvl="0">
      <w:lvlJc w:val="left"/>
      <w:lvlText w:val="☐"/>
      <w:numFmt w:val="bullet"/>
      <w:start w:val="1"/>
    </w:lvl>
  </w:abstractNum>
  <w:abstractNum w:abstractNumId="130">
    <w:nsid w:val="217B22E4"/>
    <w:multiLevelType w:val="hybridMultilevel"/>
    <w:lvl w:ilvl="0">
      <w:lvlJc w:val="left"/>
      <w:lvlText w:val="☐"/>
      <w:numFmt w:val="bullet"/>
      <w:start w:val="1"/>
    </w:lvl>
  </w:abstractNum>
  <w:abstractNum w:abstractNumId="131">
    <w:nsid w:val="53E31A24"/>
    <w:multiLevelType w:val="hybridMultilevel"/>
    <w:lvl w:ilvl="0">
      <w:lvlJc w:val="left"/>
      <w:lvlText w:val="☒"/>
      <w:numFmt w:val="bullet"/>
      <w:start w:val="1"/>
    </w:lvl>
  </w:abstractNum>
  <w:abstractNum w:abstractNumId="132">
    <w:nsid w:val="6DC45E83"/>
    <w:multiLevelType w:val="hybridMultilevel"/>
    <w:lvl w:ilvl="0">
      <w:lvlJc w:val="left"/>
      <w:lvlText w:val="☐"/>
      <w:numFmt w:val="bullet"/>
      <w:start w:val="1"/>
    </w:lvl>
  </w:abstractNum>
  <w:abstractNum w:abstractNumId="133">
    <w:nsid w:val="17304A67"/>
    <w:multiLevelType w:val="hybridMultilevel"/>
    <w:lvl w:ilvl="0">
      <w:lvlJc w:val="left"/>
      <w:lvlText w:val="☐"/>
      <w:numFmt w:val="bullet"/>
      <w:start w:val="1"/>
    </w:lvl>
  </w:abstractNum>
  <w:abstractNum w:abstractNumId="134">
    <w:nsid w:val="2BB180D8"/>
    <w:multiLevelType w:val="hybridMultilevel"/>
    <w:lvl w:ilvl="0">
      <w:lvlJc w:val="left"/>
      <w:lvlText w:val="☒"/>
      <w:numFmt w:val="bullet"/>
      <w:start w:val="1"/>
    </w:lvl>
  </w:abstractNum>
  <w:abstractNum w:abstractNumId="135">
    <w:nsid w:val="556B69ED"/>
    <w:multiLevelType w:val="hybridMultilevel"/>
    <w:lvl w:ilvl="0">
      <w:lvlJc w:val="left"/>
      <w:lvlText w:val="☐"/>
      <w:numFmt w:val="bullet"/>
      <w:start w:val="1"/>
    </w:lvl>
  </w:abstractNum>
  <w:abstractNum w:abstractNumId="136">
    <w:nsid w:val="70836196"/>
    <w:multiLevelType w:val="hybridMultilevel"/>
    <w:lvl w:ilvl="0">
      <w:lvlJc w:val="left"/>
      <w:lvlText w:val="%1."/>
      <w:numFmt w:val="decimal"/>
      <w:start w:val="1"/>
    </w:lvl>
  </w:abstractNum>
  <w:abstractNum w:abstractNumId="137">
    <w:nsid w:val="539F7F12"/>
    <w:multiLevelType w:val="hybridMultilevel"/>
    <w:lvl w:ilvl="0">
      <w:lvlJc w:val="left"/>
      <w:lvlText w:val="%1."/>
      <w:numFmt w:val="decimal"/>
      <w:start w:val="3"/>
    </w:lvl>
    <w:lvl w:ilvl="1">
      <w:lvlJc w:val="left"/>
      <w:lvlText w:val="(%2)"/>
      <w:numFmt w:val="lowerLetter"/>
      <w:start w:val="60"/>
    </w:lvl>
    <w:lvl w:ilvl="2">
      <w:lvlJc w:val="left"/>
      <w:lvlText w:val="(%3)"/>
      <w:numFmt w:val="lowerLetter"/>
      <w:start w:val="1"/>
    </w:lvl>
  </w:abstractNum>
  <w:abstractNum w:abstractNumId="138">
    <w:nsid w:val="2817E7EC"/>
    <w:multiLevelType w:val="hybridMultilevel"/>
    <w:lvl w:ilvl="0">
      <w:lvlJc w:val="left"/>
      <w:lvlText w:val="(%1)"/>
      <w:numFmt w:val="upperLetter"/>
      <w:start w:val="3"/>
    </w:lvl>
  </w:abstractNum>
  <w:abstractNum w:abstractNumId="139">
    <w:nsid w:val="71482545"/>
    <w:multiLevelType w:val="hybridMultilevel"/>
    <w:lvl w:ilvl="0">
      <w:lvlJc w:val="left"/>
      <w:lvlText w:val="(%1)"/>
      <w:numFmt w:val="lowerLetter"/>
      <w:start w:val="4"/>
    </w:lvl>
  </w:abstractNum>
  <w:abstractNum w:abstractNumId="140">
    <w:nsid w:val="17D78639"/>
    <w:multiLevelType w:val="hybridMultilevel"/>
    <w:lvl w:ilvl="0">
      <w:lvlJc w:val="left"/>
      <w:lvlText w:val="☒"/>
      <w:numFmt w:val="bullet"/>
      <w:start w:val="1"/>
    </w:lvl>
  </w:abstractNum>
  <w:abstractNum w:abstractNumId="141">
    <w:nsid w:val="141D2302"/>
    <w:multiLevelType w:val="hybridMultilevel"/>
    <w:lvl w:ilvl="0">
      <w:lvlJc w:val="left"/>
      <w:lvlText w:val="(%1)"/>
      <w:numFmt w:val="decimal"/>
      <w:start w:val="8"/>
    </w:lvl>
    <w:lvl w:ilvl="1">
      <w:lvlJc w:val="left"/>
      <w:lvlText w:val="☐"/>
      <w:numFmt w:val="bullet"/>
      <w:start w:val="1"/>
    </w:lvl>
  </w:abstractNum>
  <w:abstractNum w:abstractNumId="142">
    <w:nsid w:val="407168D8"/>
    <w:multiLevelType w:val="hybridMultilevel"/>
    <w:lvl w:ilvl="0">
      <w:lvlJc w:val="left"/>
      <w:lvlText w:val="(%1)"/>
      <w:numFmt w:val="decimal"/>
      <w:start w:val="10"/>
    </w:lvl>
  </w:abstractNum>
  <w:abstractNum w:abstractNumId="143">
    <w:nsid w:val="6A1B45E5"/>
    <w:multiLevelType w:val="hybridMultilevel"/>
    <w:lvl w:ilvl="0">
      <w:lvlJc w:val="left"/>
      <w:lvlText w:val="☐"/>
      <w:numFmt w:val="bullet"/>
      <w:start w:val="1"/>
    </w:lvl>
  </w:abstractNum>
  <w:abstractNum w:abstractNumId="144">
    <w:nsid w:val="567BD50A"/>
    <w:multiLevelType w:val="hybridMultilevel"/>
    <w:lvl w:ilvl="0">
      <w:lvlJc w:val="left"/>
      <w:lvlText w:val="☒"/>
      <w:numFmt w:val="bullet"/>
      <w:start w:val="1"/>
    </w:lvl>
  </w:abstractNum>
  <w:abstractNum w:abstractNumId="145">
    <w:nsid w:val="73BBD7F8"/>
    <w:multiLevelType w:val="hybridMultilevel"/>
    <w:lvl w:ilvl="0">
      <w:lvlJc w:val="left"/>
      <w:lvlText w:val="☐"/>
      <w:numFmt w:val="bullet"/>
      <w:start w:val="1"/>
    </w:lvl>
  </w:abstractNum>
  <w:abstractNum w:abstractNumId="146">
    <w:nsid w:val="1876589D"/>
    <w:multiLevelType w:val="hybridMultilevel"/>
    <w:lvl w:ilvl="0">
      <w:lvlJc w:val="left"/>
      <w:lvlText w:val="☐"/>
      <w:numFmt w:val="bullet"/>
      <w:start w:val="1"/>
    </w:lvl>
  </w:abstractNum>
  <w:abstractNum w:abstractNumId="147">
    <w:nsid w:val="327FAC77"/>
    <w:multiLevelType w:val="hybridMultilevel"/>
    <w:lvl w:ilvl="0">
      <w:lvlJc w:val="left"/>
      <w:lvlText w:val="☒"/>
      <w:numFmt w:val="bullet"/>
      <w:start w:val="1"/>
    </w:lvl>
  </w:abstractNum>
  <w:abstractNum w:abstractNumId="148">
    <w:nsid w:val="5A606509"/>
    <w:multiLevelType w:val="hybridMultilevel"/>
    <w:lvl w:ilvl="0">
      <w:lvlJc w:val="left"/>
      <w:lvlText w:val="☐"/>
      <w:numFmt w:val="bullet"/>
      <w:start w:val="1"/>
    </w:lvl>
  </w:abstractNum>
  <w:abstractNum w:abstractNumId="149">
    <w:nsid w:val="6F38E6D1"/>
    <w:multiLevelType w:val="hybridMultilevel"/>
    <w:lvl w:ilvl="0">
      <w:lvlJc w:val="left"/>
      <w:lvlText w:val="☐"/>
      <w:numFmt w:val="bullet"/>
      <w:start w:val="1"/>
    </w:lvl>
  </w:abstractNum>
  <w:abstractNum w:abstractNumId="150">
    <w:nsid w:val="46111BA5"/>
    <w:multiLevelType w:val="hybridMultilevel"/>
    <w:lvl w:ilvl="0">
      <w:lvlJc w:val="left"/>
      <w:lvlText w:val="(%1)"/>
      <w:numFmt w:val="decimal"/>
      <w:start w:val="8"/>
    </w:lvl>
    <w:lvl w:ilvl="1">
      <w:lvlJc w:val="left"/>
      <w:lvlText w:val="☒"/>
      <w:numFmt w:val="bullet"/>
      <w:start w:val="1"/>
    </w:lvl>
  </w:abstractNum>
  <w:abstractNum w:abstractNumId="151">
    <w:nsid w:val="5E963896"/>
    <w:multiLevelType w:val="hybridMultilevel"/>
    <w:lvl w:ilvl="0">
      <w:lvlJc w:val="left"/>
      <w:lvlText w:val="(%1)"/>
      <w:numFmt w:val="decimal"/>
      <w:start w:val="10"/>
    </w:lvl>
  </w:abstractNum>
  <w:abstractNum w:abstractNumId="152">
    <w:nsid w:val="775BA7C1"/>
    <w:multiLevelType w:val="hybridMultilevel"/>
    <w:lvl w:ilvl="0">
      <w:lvlJc w:val="left"/>
      <w:lvlText w:val="☐"/>
      <w:numFmt w:val="bullet"/>
      <w:start w:val="1"/>
    </w:lvl>
  </w:abstractNum>
  <w:abstractNum w:abstractNumId="153">
    <w:nsid w:val="1DD6D6F4"/>
    <w:multiLevelType w:val="hybridMultilevel"/>
    <w:lvl w:ilvl="0">
      <w:lvlJc w:val="left"/>
      <w:lvlText w:val="☒"/>
      <w:numFmt w:val="bullet"/>
      <w:start w:val="1"/>
    </w:lvl>
  </w:abstractNum>
  <w:abstractNum w:abstractNumId="154">
    <w:nsid w:val="769A091F"/>
    <w:multiLevelType w:val="hybridMultilevel"/>
    <w:lvl w:ilvl="0">
      <w:lvlJc w:val="left"/>
      <w:lvlText w:val="☐"/>
      <w:numFmt w:val="bullet"/>
      <w:start w:val="1"/>
    </w:lvl>
  </w:abstractNum>
  <w:abstractNum w:abstractNumId="155">
    <w:nsid w:val="4695AE95"/>
    <w:multiLevelType w:val="hybridMultilevel"/>
    <w:lvl w:ilvl="0">
      <w:lvlJc w:val="left"/>
      <w:lvlText w:val="☐"/>
      <w:numFmt w:val="bullet"/>
      <w:start w:val="1"/>
    </w:lvl>
  </w:abstractNum>
  <w:abstractNum w:abstractNumId="156">
    <w:nsid w:val="777A4EAA"/>
    <w:multiLevelType w:val="hybridMultilevel"/>
    <w:lvl w:ilvl="0">
      <w:lvlJc w:val="left"/>
      <w:lvlText w:val="☒"/>
      <w:numFmt w:val="bullet"/>
      <w:start w:val="1"/>
    </w:lvl>
  </w:abstractNum>
  <w:abstractNum w:abstractNumId="157">
    <w:nsid w:val="3F48B982"/>
    <w:multiLevelType w:val="hybridMultilevel"/>
    <w:lvl w:ilvl="0">
      <w:lvlJc w:val="left"/>
      <w:lvlText w:val="☐"/>
      <w:numFmt w:val="bullet"/>
      <w:start w:val="1"/>
    </w:lvl>
  </w:abstractNum>
  <w:abstractNum w:abstractNumId="158">
    <w:nsid w:val="46BA8FCA"/>
    <w:multiLevelType w:val="hybridMultilevel"/>
    <w:lvl w:ilvl="0">
      <w:lvlJc w:val="left"/>
      <w:lvlText w:val="(%1)"/>
      <w:numFmt w:val="decimal"/>
      <w:start w:val="6"/>
    </w:lvl>
  </w:abstractNum>
  <w:abstractNum w:abstractNumId="159">
    <w:nsid w:val="7835626C"/>
    <w:multiLevelType w:val="hybridMultilevel"/>
    <w:lvl w:ilvl="0">
      <w:lvlJc w:val="left"/>
      <w:lvlText w:val="☐"/>
      <w:numFmt w:val="bullet"/>
      <w:start w:val="1"/>
    </w:lvl>
  </w:abstractNum>
  <w:abstractNum w:abstractNumId="160">
    <w:nsid w:val="665ACA49"/>
    <w:multiLevelType w:val="hybridMultilevel"/>
    <w:lvl w:ilvl="0">
      <w:lvlJc w:val="left"/>
      <w:lvlText w:val="(%1)"/>
      <w:numFmt w:val="decimal"/>
      <w:start w:val="8"/>
    </w:lvl>
    <w:lvl w:ilvl="1">
      <w:lvlJc w:val="left"/>
      <w:lvlText w:val="☒"/>
      <w:numFmt w:val="bullet"/>
      <w:start w:val="1"/>
    </w:lvl>
  </w:abstractNum>
  <w:abstractNum w:abstractNumId="161">
    <w:nsid w:val="6835B2AE"/>
    <w:multiLevelType w:val="hybridMultilevel"/>
    <w:lvl w:ilvl="0">
      <w:lvlJc w:val="left"/>
      <w:lvlText w:val="(%1)"/>
      <w:numFmt w:val="decimal"/>
      <w:start w:val="10"/>
    </w:lvl>
  </w:abstractNum>
  <w:abstractNum w:abstractNumId="162">
    <w:nsid w:val="4C187C90"/>
    <w:multiLevelType w:val="hybridMultilevel"/>
    <w:lvl w:ilvl="0">
      <w:lvlJc w:val="left"/>
      <w:lvlText w:val="☐"/>
      <w:numFmt w:val="bullet"/>
      <w:start w:val="1"/>
    </w:lvl>
  </w:abstractNum>
  <w:abstractNum w:abstractNumId="163">
    <w:nsid w:val="541F28CD"/>
    <w:multiLevelType w:val="hybridMultilevel"/>
    <w:lvl w:ilvl="0">
      <w:lvlJc w:val="left"/>
      <w:lvlText w:val="☒"/>
      <w:numFmt w:val="bullet"/>
      <w:start w:val="1"/>
    </w:lvl>
  </w:abstractNum>
  <w:abstractNum w:abstractNumId="164">
    <w:nsid w:val="7F65FD16"/>
    <w:multiLevelType w:val="hybridMultilevel"/>
    <w:lvl w:ilvl="0">
      <w:lvlJc w:val="left"/>
      <w:lvlText w:val="☐"/>
      <w:numFmt w:val="bullet"/>
      <w:start w:val="1"/>
    </w:lvl>
  </w:abstractNum>
  <w:abstractNum w:abstractNumId="165">
    <w:nsid w:val="77C9FD68"/>
    <w:multiLevelType w:val="hybridMultilevel"/>
    <w:lvl w:ilvl="0">
      <w:lvlJc w:val="left"/>
      <w:lvlText w:val="☐"/>
      <w:numFmt w:val="bullet"/>
      <w:start w:val="1"/>
    </w:lvl>
  </w:abstractNum>
  <w:abstractNum w:abstractNumId="166">
    <w:nsid w:val="298A92BA"/>
    <w:multiLevelType w:val="hybridMultilevel"/>
    <w:lvl w:ilvl="0">
      <w:lvlJc w:val="left"/>
      <w:lvlText w:val="☒"/>
      <w:numFmt w:val="bullet"/>
      <w:start w:val="1"/>
    </w:lvl>
  </w:abstractNum>
  <w:abstractNum w:abstractNumId="167">
    <w:nsid w:val="6FE95EAC"/>
    <w:multiLevelType w:val="hybridMultilevel"/>
    <w:lvl w:ilvl="0">
      <w:lvlJc w:val="left"/>
      <w:lvlText w:val="☐"/>
      <w:numFmt w:val="bullet"/>
      <w:start w:val="1"/>
    </w:lvl>
  </w:abstractNum>
  <w:abstractNum w:abstractNumId="168">
    <w:nsid w:val="4B697C7A"/>
    <w:multiLevelType w:val="hybridMultilevel"/>
    <w:lvl w:ilvl="0">
      <w:lvlJc w:val="left"/>
      <w:lvlText w:val="☐"/>
      <w:numFmt w:val="bullet"/>
      <w:start w:val="1"/>
    </w:lvl>
  </w:abstractNum>
  <w:abstractNum w:abstractNumId="169">
    <w:nsid w:val="51A27AA6"/>
    <w:multiLevelType w:val="hybridMultilevel"/>
    <w:lvl w:ilvl="0">
      <w:lvlJc w:val="left"/>
      <w:lvlText w:val="(%1)"/>
      <w:numFmt w:val="decimal"/>
      <w:start w:val="8"/>
    </w:lvl>
    <w:lvl w:ilvl="1">
      <w:lvlJc w:val="left"/>
      <w:lvlText w:val="☒"/>
      <w:numFmt w:val="bullet"/>
      <w:start w:val="1"/>
    </w:lvl>
  </w:abstractNum>
  <w:abstractNum w:abstractNumId="170">
    <w:nsid w:val="613183F2"/>
    <w:multiLevelType w:val="hybridMultilevel"/>
    <w:lvl w:ilvl="0">
      <w:lvlJc w:val="left"/>
      <w:lvlText w:val="(%1)"/>
      <w:numFmt w:val="decimal"/>
      <w:start w:val="10"/>
    </w:lvl>
  </w:abstractNum>
  <w:abstractNum w:abstractNumId="171">
    <w:nsid w:val="634102B4"/>
    <w:multiLevelType w:val="hybridMultilevel"/>
    <w:lvl w:ilvl="0">
      <w:lvlJc w:val="left"/>
      <w:lvlText w:val="☐"/>
      <w:numFmt w:val="bullet"/>
      <w:start w:val="1"/>
    </w:lvl>
  </w:abstractNum>
  <w:abstractNum w:abstractNumId="172">
    <w:nsid w:val="65BF9DA8"/>
    <w:multiLevelType w:val="hybridMultilevel"/>
    <w:lvl w:ilvl="0">
      <w:lvlJc w:val="left"/>
      <w:lvlText w:val="☒"/>
      <w:numFmt w:val="bullet"/>
      <w:start w:val="1"/>
    </w:lvl>
  </w:abstractNum>
  <w:abstractNum w:abstractNumId="173">
    <w:nsid w:val="21A2ECCA"/>
    <w:multiLevelType w:val="hybridMultilevel"/>
    <w:lvl w:ilvl="0">
      <w:lvlJc w:val="left"/>
      <w:lvlText w:val="☐"/>
      <w:numFmt w:val="bullet"/>
      <w:start w:val="1"/>
    </w:lvl>
  </w:abstractNum>
  <w:abstractNum w:abstractNumId="174">
    <w:nsid w:val="4D5C4899"/>
    <w:multiLevelType w:val="hybridMultilevel"/>
    <w:lvl w:ilvl="0">
      <w:lvlJc w:val="left"/>
      <w:lvlText w:val="☐"/>
      <w:numFmt w:val="bullet"/>
      <w:start w:val="1"/>
    </w:lvl>
  </w:abstractNum>
  <w:abstractNum w:abstractNumId="175">
    <w:nsid w:val="3C3B72B2"/>
    <w:multiLevelType w:val="hybridMultilevel"/>
    <w:lvl w:ilvl="0">
      <w:lvlJc w:val="left"/>
      <w:lvlText w:val="☒"/>
      <w:numFmt w:val="bullet"/>
      <w:start w:val="1"/>
    </w:lvl>
  </w:abstractNum>
  <w:abstractNum w:abstractNumId="176">
    <w:nsid w:val="155EC4C2"/>
    <w:multiLevelType w:val="hybridMultilevel"/>
    <w:lvl w:ilvl="0">
      <w:lvlJc w:val="left"/>
      <w:lvlText w:val="☐"/>
      <w:numFmt w:val="bullet"/>
      <w:start w:val="1"/>
    </w:lvl>
  </w:abstractNum>
  <w:abstractNum w:abstractNumId="177">
    <w:nsid w:val="65D2A137"/>
    <w:multiLevelType w:val="hybridMultilevel"/>
    <w:lvl w:ilvl="0">
      <w:lvlJc w:val="left"/>
      <w:lvlText w:val="☐"/>
      <w:numFmt w:val="bullet"/>
      <w:start w:val="1"/>
    </w:lvl>
  </w:abstractNum>
  <w:abstractNum w:abstractNumId="178">
    <w:nsid w:val="6EBB1F2A"/>
    <w:multiLevelType w:val="hybridMultilevel"/>
    <w:lvl w:ilvl="0">
      <w:lvlJc w:val="left"/>
      <w:lvlText w:val="(%1)"/>
      <w:numFmt w:val="decimal"/>
      <w:start w:val="9"/>
    </w:lvl>
  </w:abstractNum>
  <w:abstractNum w:abstractNumId="179">
    <w:nsid w:val="6FBF29CB"/>
    <w:multiLevelType w:val="hybridMultilevel"/>
    <w:lvl w:ilvl="0">
      <w:lvlJc w:val="left"/>
      <w:lvlText w:val="(%1)"/>
      <w:numFmt w:val="decimal"/>
      <w:start w:val="10"/>
    </w:lvl>
  </w:abstractNum>
  <w:abstractNum w:abstractNumId="180">
    <w:nsid w:val="550B8808"/>
    <w:multiLevelType w:val="hybridMultilevel"/>
    <w:lvl w:ilvl="0">
      <w:lvlJc w:val="left"/>
      <w:lvlText w:val="☐"/>
      <w:numFmt w:val="bullet"/>
      <w:start w:val="1"/>
    </w:lvl>
  </w:abstractNum>
  <w:abstractNum w:abstractNumId="181">
    <w:nsid w:val="34CC3ACF"/>
    <w:multiLevelType w:val="hybridMultilevel"/>
    <w:lvl w:ilvl="0">
      <w:lvlJc w:val="left"/>
      <w:lvlText w:val="☒"/>
      <w:numFmt w:val="bullet"/>
      <w:start w:val="1"/>
    </w:lvl>
  </w:abstractNum>
  <w:abstractNum w:abstractNumId="182">
    <w:nsid w:val="4E556261"/>
    <w:multiLevelType w:val="hybridMultilevel"/>
    <w:lvl w:ilvl="0">
      <w:lvlJc w:val="left"/>
      <w:lvlText w:val="☐"/>
      <w:numFmt w:val="bullet"/>
      <w:start w:val="1"/>
    </w:lvl>
  </w:abstractNum>
  <w:abstractNum w:abstractNumId="183">
    <w:nsid w:val="4C672FC9"/>
    <w:multiLevelType w:val="hybridMultilevel"/>
    <w:lvl w:ilvl="0">
      <w:lvlJc w:val="left"/>
      <w:lvlText w:val="☐"/>
      <w:numFmt w:val="bullet"/>
      <w:start w:val="1"/>
    </w:lvl>
  </w:abstractNum>
  <w:abstractNum w:abstractNumId="184">
    <w:nsid w:val="52A311C3"/>
    <w:multiLevelType w:val="hybridMultilevel"/>
    <w:lvl w:ilvl="0">
      <w:lvlJc w:val="left"/>
      <w:lvlText w:val="☒"/>
      <w:numFmt w:val="bullet"/>
      <w:start w:val="1"/>
    </w:lvl>
  </w:abstractNum>
  <w:abstractNum w:abstractNumId="185">
    <w:nsid w:val="44EF6B80"/>
    <w:multiLevelType w:val="hybridMultilevel"/>
    <w:lvl w:ilvl="0">
      <w:lvlJc w:val="left"/>
      <w:lvlText w:val="☐"/>
      <w:numFmt w:val="bullet"/>
      <w:start w:val="1"/>
    </w:lvl>
  </w:abstractNum>
  <w:abstractNum w:abstractNumId="186">
    <w:nsid w:val="12FCDE5E"/>
    <w:multiLevelType w:val="hybridMultilevel"/>
    <w:lvl w:ilvl="0">
      <w:lvlJc w:val="left"/>
      <w:lvlText w:val="☐"/>
      <w:numFmt w:val="bullet"/>
      <w:start w:val="1"/>
    </w:lvl>
  </w:abstractNum>
  <w:abstractNum w:abstractNumId="187">
    <w:nsid w:val="4A1D606E"/>
    <w:multiLevelType w:val="hybridMultilevel"/>
    <w:lvl w:ilvl="0">
      <w:lvlJc w:val="left"/>
      <w:lvlText w:val="(%1)"/>
      <w:numFmt w:val="decimal"/>
      <w:start w:val="8"/>
    </w:lvl>
    <w:lvl w:ilvl="1">
      <w:lvlJc w:val="left"/>
      <w:lvlText w:val="☑"/>
      <w:numFmt w:val="bullet"/>
      <w:start w:val="1"/>
    </w:lvl>
  </w:abstractNum>
  <w:abstractNum w:abstractNumId="188">
    <w:nsid w:val="4382503"/>
    <w:multiLevelType w:val="hybridMultilevel"/>
    <w:lvl w:ilvl="0">
      <w:lvlJc w:val="left"/>
      <w:lvlText w:val="*"/>
      <w:numFmt w:val="bullet"/>
      <w:start w:val="1"/>
    </w:lvl>
  </w:abstractNum>
  <w:abstractNum w:abstractNumId="189">
    <w:nsid w:val="59B76E28"/>
    <w:multiLevelType w:val="hybridMultilevel"/>
    <w:lvl w:ilvl="0">
      <w:lvlJc w:val="left"/>
      <w:lvlText w:val="(%1)"/>
      <w:numFmt w:val="decimal"/>
      <w:start w:val="10"/>
    </w:lvl>
  </w:abstractNum>
  <w:abstractNum w:abstractNumId="190">
    <w:nsid w:val="4252C2DA"/>
    <w:multiLevelType w:val="hybridMultilevel"/>
    <w:lvl w:ilvl="0">
      <w:lvlJc w:val="left"/>
      <w:lvlText w:val="☐"/>
      <w:numFmt w:val="bullet"/>
      <w:start w:val="1"/>
    </w:lvl>
  </w:abstractNum>
  <w:abstractNum w:abstractNumId="191">
    <w:nsid w:val="6A92EF4C"/>
    <w:multiLevelType w:val="hybridMultilevel"/>
    <w:lvl w:ilvl="0">
      <w:lvlJc w:val="left"/>
      <w:lvlText w:val="☒"/>
      <w:numFmt w:val="bullet"/>
      <w:start w:val="1"/>
    </w:lvl>
  </w:abstractNum>
  <w:abstractNum w:abstractNumId="192">
    <w:nsid w:val="41ED20D7"/>
    <w:multiLevelType w:val="hybridMultilevel"/>
    <w:lvl w:ilvl="0">
      <w:lvlJc w:val="left"/>
      <w:lvlText w:val="☐"/>
      <w:numFmt w:val="bullet"/>
      <w:start w:val="1"/>
    </w:lvl>
  </w:abstractNum>
  <w:abstractNum w:abstractNumId="193">
    <w:nsid w:val="E6B3F6A"/>
    <w:multiLevelType w:val="hybridMultilevel"/>
    <w:lvl w:ilvl="0">
      <w:lvlJc w:val="left"/>
      <w:lvlText w:val="☐"/>
      <w:numFmt w:val="bullet"/>
      <w:start w:val="1"/>
    </w:lvl>
  </w:abstractNum>
  <w:abstractNum w:abstractNumId="194">
    <w:nsid w:val="3EB21819"/>
    <w:multiLevelType w:val="hybridMultilevel"/>
    <w:lvl w:ilvl="0">
      <w:lvlJc w:val="left"/>
      <w:lvlText w:val="☒"/>
      <w:numFmt w:val="bullet"/>
      <w:start w:val="1"/>
    </w:lvl>
  </w:abstractNum>
  <w:abstractNum w:abstractNumId="195">
    <w:nsid w:val="41531DED"/>
    <w:multiLevelType w:val="hybridMultilevel"/>
    <w:lvl w:ilvl="0">
      <w:lvlJc w:val="left"/>
      <w:lvlText w:val="☐"/>
      <w:numFmt w:val="bullet"/>
      <w:start w:val="1"/>
    </w:lvl>
  </w:abstractNum>
  <w:abstractNum w:abstractNumId="196">
    <w:nsid w:val="6353CD2"/>
    <w:multiLevelType w:val="hybridMultilevel"/>
    <w:lvl w:ilvl="0">
      <w:lvlJc w:val="left"/>
      <w:lvlText w:val="☐"/>
      <w:numFmt w:val="bullet"/>
      <w:start w:val="1"/>
    </w:lvl>
  </w:abstractNum>
  <w:abstractNum w:abstractNumId="197">
    <w:nsid w:val="683CAAD3"/>
    <w:multiLevelType w:val="hybridMultilevel"/>
    <w:lvl w:ilvl="0">
      <w:lvlJc w:val="left"/>
      <w:lvlText w:val="(%1)"/>
      <w:numFmt w:val="decimal"/>
      <w:start w:val="9"/>
    </w:lvl>
  </w:abstractNum>
  <w:abstractNum w:abstractNumId="198">
    <w:nsid w:val="313C7C99"/>
    <w:multiLevelType w:val="hybridMultilevel"/>
    <w:lvl w:ilvl="0">
      <w:lvlJc w:val="left"/>
      <w:lvlText w:val="(%1)"/>
      <w:numFmt w:val="decimal"/>
      <w:start w:val="10"/>
    </w:lvl>
  </w:abstractNum>
  <w:abstractNum w:abstractNumId="199">
    <w:nsid w:val="519EB94C"/>
    <w:multiLevelType w:val="hybridMultilevel"/>
    <w:lvl w:ilvl="0">
      <w:lvlJc w:val="left"/>
      <w:lvlText w:val="☐"/>
      <w:numFmt w:val="bullet"/>
      <w:start w:val="1"/>
    </w:lvl>
  </w:abstractNum>
  <w:abstractNum w:abstractNumId="200">
    <w:nsid w:val="39DF2579"/>
    <w:multiLevelType w:val="hybridMultilevel"/>
    <w:lvl w:ilvl="0">
      <w:lvlJc w:val="left"/>
      <w:lvlText w:val="☒"/>
      <w:numFmt w:val="bullet"/>
      <w:start w:val="1"/>
    </w:lvl>
  </w:abstractNum>
  <w:abstractNum w:abstractNumId="201">
    <w:nsid w:val="126E008B"/>
    <w:multiLevelType w:val="hybridMultilevel"/>
    <w:lvl w:ilvl="0">
      <w:lvlJc w:val="left"/>
      <w:lvlText w:val="☐"/>
      <w:numFmt w:val="bullet"/>
      <w:start w:val="1"/>
    </w:lvl>
  </w:abstractNum>
  <w:abstractNum w:abstractNumId="202">
    <w:nsid w:val="34DFBC00"/>
    <w:multiLevelType w:val="hybridMultilevel"/>
    <w:lvl w:ilvl="0">
      <w:lvlJc w:val="left"/>
      <w:lvlText w:val="☐"/>
      <w:numFmt w:val="bullet"/>
      <w:start w:val="1"/>
    </w:lvl>
  </w:abstractNum>
  <w:abstractNum w:abstractNumId="203">
    <w:nsid w:val="1F9EC322"/>
    <w:multiLevelType w:val="hybridMultilevel"/>
    <w:lvl w:ilvl="0">
      <w:lvlJc w:val="left"/>
      <w:lvlText w:val="☒"/>
      <w:numFmt w:val="bullet"/>
      <w:start w:val="1"/>
    </w:lvl>
  </w:abstractNum>
  <w:abstractNum w:abstractNumId="204">
    <w:nsid w:val="3410ED56"/>
    <w:multiLevelType w:val="hybridMultilevel"/>
    <w:lvl w:ilvl="0">
      <w:lvlJc w:val="left"/>
      <w:lvlText w:val="☐"/>
      <w:numFmt w:val="bullet"/>
      <w:start w:val="1"/>
    </w:lvl>
  </w:abstractNum>
  <w:abstractNum w:abstractNumId="205">
    <w:nsid w:val="23C049A"/>
    <w:multiLevelType w:val="hybridMultilevel"/>
    <w:lvl w:ilvl="0">
      <w:lvlJc w:val="left"/>
      <w:lvlText w:val="☐"/>
      <w:numFmt w:val="bullet"/>
      <w:start w:val="1"/>
    </w:lvl>
  </w:abstractNum>
  <w:abstractNum w:abstractNumId="206">
    <w:nsid w:val="5BDA35D4"/>
    <w:multiLevelType w:val="hybridMultilevel"/>
    <w:lvl w:ilvl="0">
      <w:lvlJc w:val="left"/>
      <w:lvlText w:val="(%1)"/>
      <w:numFmt w:val="decimal"/>
      <w:start w:val="9"/>
    </w:lvl>
  </w:abstractNum>
  <w:abstractNum w:abstractNumId="207">
    <w:nsid w:val="496FB218"/>
    <w:multiLevelType w:val="hybridMultilevel"/>
    <w:lvl w:ilvl="0">
      <w:lvlJc w:val="left"/>
      <w:lvlText w:val="(%1)"/>
      <w:numFmt w:val="decimal"/>
      <w:start w:val="10"/>
    </w:lvl>
  </w:abstractNum>
  <w:abstractNum w:abstractNumId="208">
    <w:nsid w:val="680EA5D1"/>
    <w:multiLevelType w:val="hybridMultilevel"/>
    <w:lvl w:ilvl="0">
      <w:lvlJc w:val="left"/>
      <w:lvlText w:val="☐"/>
      <w:numFmt w:val="bullet"/>
      <w:start w:val="1"/>
    </w:lvl>
  </w:abstractNum>
  <w:abstractNum w:abstractNumId="209">
    <w:nsid w:val="4A9554FE"/>
    <w:multiLevelType w:val="hybridMultilevel"/>
    <w:lvl w:ilvl="0">
      <w:lvlJc w:val="left"/>
      <w:lvlText w:val="☒"/>
      <w:numFmt w:val="bullet"/>
      <w:start w:val="1"/>
    </w:lvl>
  </w:abstractNum>
  <w:abstractNum w:abstractNumId="210">
    <w:nsid w:val="392EDBE4"/>
    <w:multiLevelType w:val="hybridMultilevel"/>
    <w:lvl w:ilvl="0">
      <w:lvlJc w:val="left"/>
      <w:lvlText w:val="☐"/>
      <w:numFmt w:val="bullet"/>
      <w:start w:val="1"/>
    </w:lvl>
  </w:abstractNum>
  <w:abstractNum w:abstractNumId="211">
    <w:nsid w:val="3D1A2DD9"/>
    <w:multiLevelType w:val="hybridMultilevel"/>
    <w:lvl w:ilvl="0">
      <w:lvlJc w:val="left"/>
      <w:lvlText w:val="☐"/>
      <w:numFmt w:val="bullet"/>
      <w:start w:val="1"/>
    </w:lvl>
  </w:abstractNum>
  <w:abstractNum w:abstractNumId="212">
    <w:nsid w:val="7F618FCD"/>
    <w:multiLevelType w:val="hybridMultilevel"/>
    <w:lvl w:ilvl="0">
      <w:lvlJc w:val="left"/>
      <w:lvlText w:val="☒"/>
      <w:numFmt w:val="bullet"/>
      <w:start w:val="1"/>
    </w:lvl>
  </w:abstractNum>
  <w:abstractNum w:abstractNumId="213">
    <w:nsid w:val="7843E45"/>
    <w:multiLevelType w:val="hybridMultilevel"/>
    <w:lvl w:ilvl="0">
      <w:lvlJc w:val="left"/>
      <w:lvlText w:val="☐"/>
      <w:numFmt w:val="bullet"/>
      <w:start w:val="1"/>
    </w:lvl>
  </w:abstractNum>
  <w:abstractNum w:abstractNumId="214">
    <w:nsid w:val="9815DA3"/>
    <w:multiLevelType w:val="hybridMultilevel"/>
    <w:lvl w:ilvl="0">
      <w:lvlJc w:val="left"/>
      <w:lvlText w:val="☐"/>
      <w:numFmt w:val="bullet"/>
      <w:start w:val="1"/>
    </w:lvl>
  </w:abstractNum>
  <w:abstractNum w:abstractNumId="215">
    <w:nsid w:val="5204A191"/>
    <w:multiLevelType w:val="hybridMultilevel"/>
    <w:lvl w:ilvl="0">
      <w:lvlJc w:val="left"/>
      <w:lvlText w:val="(%1)"/>
      <w:numFmt w:val="decimal"/>
      <w:start w:val="9"/>
    </w:lvl>
  </w:abstractNum>
  <w:abstractNum w:abstractNumId="216">
    <w:nsid w:val="4C73A9C6"/>
    <w:multiLevelType w:val="hybridMultilevel"/>
    <w:lvl w:ilvl="0">
      <w:lvlJc w:val="left"/>
      <w:lvlText w:val="*"/>
      <w:numFmt w:val="bullet"/>
      <w:start w:val="1"/>
    </w:lvl>
  </w:abstractNum>
  <w:abstractNum w:abstractNumId="217">
    <w:nsid w:val="1C7E3C01"/>
    <w:multiLevelType w:val="hybridMultilevel"/>
    <w:lvl w:ilvl="0">
      <w:lvlJc w:val="left"/>
      <w:lvlText w:val="(%1)"/>
      <w:numFmt w:val="decimal"/>
      <w:start w:val="10"/>
    </w:lvl>
  </w:abstractNum>
  <w:abstractNum w:abstractNumId="218">
    <w:nsid w:val="1C2201FF"/>
    <w:multiLevelType w:val="hybridMultilevel"/>
    <w:lvl w:ilvl="0">
      <w:lvlJc w:val="left"/>
      <w:lvlText w:val="☐"/>
      <w:numFmt w:val="bullet"/>
      <w:start w:val="1"/>
    </w:lvl>
  </w:abstractNum>
  <w:abstractNum w:abstractNumId="219">
    <w:nsid w:val="50ABCEC9"/>
    <w:multiLevelType w:val="hybridMultilevel"/>
    <w:lvl w:ilvl="0">
      <w:lvlJc w:val="left"/>
      <w:lvlText w:val="☒"/>
      <w:numFmt w:val="bullet"/>
      <w:start w:val="1"/>
    </w:lvl>
  </w:abstractNum>
  <w:abstractNum w:abstractNumId="220">
    <w:nsid w:val="7635AA2A"/>
    <w:multiLevelType w:val="hybridMultilevel"/>
    <w:lvl w:ilvl="0">
      <w:lvlJc w:val="left"/>
      <w:lvlText w:val="☐"/>
      <w:numFmt w:val="bullet"/>
      <w:start w:val="1"/>
    </w:lvl>
  </w:abstractNum>
  <w:abstractNum w:abstractNumId="221">
    <w:nsid w:val="5E74C4D9"/>
    <w:multiLevelType w:val="hybridMultilevel"/>
    <w:lvl w:ilvl="0">
      <w:lvlJc w:val="left"/>
      <w:lvlText w:val="☐"/>
      <w:numFmt w:val="bullet"/>
      <w:start w:val="1"/>
    </w:lvl>
  </w:abstractNum>
  <w:abstractNum w:abstractNumId="222">
    <w:nsid w:val="3B3EBE15"/>
    <w:multiLevelType w:val="hybridMultilevel"/>
    <w:lvl w:ilvl="0">
      <w:lvlJc w:val="left"/>
      <w:lvlText w:val="☒"/>
      <w:numFmt w:val="bullet"/>
      <w:start w:val="1"/>
    </w:lvl>
  </w:abstractNum>
  <w:abstractNum w:abstractNumId="223">
    <w:nsid w:val="3822CB01"/>
    <w:multiLevelType w:val="hybridMultilevel"/>
    <w:lvl w:ilvl="0">
      <w:lvlJc w:val="left"/>
      <w:lvlText w:val="☐"/>
      <w:numFmt w:val="bullet"/>
      <w:start w:val="1"/>
    </w:lvl>
  </w:abstractNum>
  <w:abstractNum w:abstractNumId="224">
    <w:nsid w:val="6CE00443"/>
    <w:multiLevelType w:val="hybridMultilevel"/>
    <w:lvl w:ilvl="0">
      <w:lvlJc w:val="left"/>
      <w:lvlText w:val="☐"/>
      <w:numFmt w:val="bullet"/>
      <w:start w:val="1"/>
    </w:lvl>
  </w:abstractNum>
  <w:abstractNum w:abstractNumId="225">
    <w:nsid w:val="79F0D62F"/>
    <w:multiLevelType w:val="hybridMultilevel"/>
    <w:lvl w:ilvl="0">
      <w:lvlJc w:val="left"/>
      <w:lvlText w:val="(%1)"/>
      <w:numFmt w:val="decimal"/>
      <w:start w:val="9"/>
    </w:lvl>
  </w:abstractNum>
  <w:abstractNum w:abstractNumId="226">
    <w:nsid w:val="7975E8EE"/>
    <w:multiLevelType w:val="hybridMultilevel"/>
    <w:lvl w:ilvl="0">
      <w:lvlJc w:val="left"/>
      <w:lvlText w:val="*"/>
      <w:numFmt w:val="bullet"/>
      <w:start w:val="1"/>
    </w:lvl>
  </w:abstractNum>
  <w:abstractNum w:abstractNumId="227">
    <w:nsid w:val="73154115"/>
    <w:multiLevelType w:val="hybridMultilevel"/>
    <w:lvl w:ilvl="0">
      <w:lvlJc w:val="left"/>
      <w:lvlText w:val="☐"/>
      <w:numFmt w:val="bullet"/>
      <w:start w:val="1"/>
    </w:lvl>
  </w:abstractNum>
  <w:abstractNum w:abstractNumId="228">
    <w:nsid w:val="622D8102"/>
    <w:multiLevelType w:val="hybridMultilevel"/>
    <w:lvl w:ilvl="0">
      <w:lvlJc w:val="left"/>
      <w:lvlText w:val="☒"/>
      <w:numFmt w:val="bullet"/>
      <w:start w:val="1"/>
    </w:lvl>
  </w:abstractNum>
  <w:abstractNum w:abstractNumId="229">
    <w:nsid w:val="2AB26587"/>
    <w:multiLevelType w:val="hybridMultilevel"/>
    <w:lvl w:ilvl="0">
      <w:lvlJc w:val="left"/>
      <w:lvlText w:val="☐"/>
      <w:numFmt w:val="bullet"/>
      <w:start w:val="1"/>
    </w:lvl>
  </w:abstractNum>
  <w:abstractNum w:abstractNumId="230">
    <w:nsid w:val="44B3FA61"/>
    <w:multiLevelType w:val="hybridMultilevel"/>
    <w:lvl w:ilvl="0">
      <w:lvlJc w:val="left"/>
      <w:lvlText w:val="☐"/>
      <w:numFmt w:val="bullet"/>
      <w:start w:val="1"/>
    </w:lvl>
  </w:abstractNum>
  <w:abstractNum w:abstractNumId="231">
    <w:nsid w:val="1C0CA67C"/>
    <w:multiLevelType w:val="hybridMultilevel"/>
    <w:lvl w:ilvl="0">
      <w:lvlJc w:val="left"/>
      <w:lvlText w:val="☒"/>
      <w:numFmt w:val="bullet"/>
      <w:start w:val="1"/>
    </w:lvl>
  </w:abstractNum>
  <w:abstractNum w:abstractNumId="232">
    <w:nsid w:val="3D206613"/>
    <w:multiLevelType w:val="hybridMultilevel"/>
    <w:lvl w:ilvl="0">
      <w:lvlJc w:val="left"/>
      <w:lvlText w:val="☐"/>
      <w:numFmt w:val="bullet"/>
      <w:start w:val="1"/>
    </w:lvl>
  </w:abstractNum>
  <w:abstractNum w:abstractNumId="233">
    <w:nsid w:val="7993B662"/>
    <w:multiLevelType w:val="hybridMultilevel"/>
    <w:lvl w:ilvl="0">
      <w:lvlJc w:val="left"/>
      <w:lvlText w:val="☐"/>
      <w:numFmt w:val="bullet"/>
      <w:start w:val="1"/>
    </w:lvl>
  </w:abstractNum>
  <w:abstractNum w:abstractNumId="234">
    <w:nsid w:val="3BAB699E"/>
    <w:multiLevelType w:val="hybridMultilevel"/>
    <w:lvl w:ilvl="0">
      <w:lvlJc w:val="left"/>
      <w:lvlText w:val="(%1)"/>
      <w:numFmt w:val="decimal"/>
      <w:start w:val="9"/>
    </w:lvl>
  </w:abstractNum>
  <w:abstractNum w:abstractNumId="235">
    <w:nsid w:val="71315369"/>
    <w:multiLevelType w:val="hybridMultilevel"/>
    <w:lvl w:ilvl="0">
      <w:lvlJc w:val="left"/>
      <w:lvlText w:val="*"/>
      <w:numFmt w:val="bullet"/>
      <w:start w:val="1"/>
    </w:lvl>
  </w:abstractNum>
  <w:abstractNum w:abstractNumId="236">
    <w:nsid w:val="7BCFBAFC"/>
    <w:multiLevelType w:val="hybridMultilevel"/>
    <w:lvl w:ilvl="0">
      <w:lvlJc w:val="left"/>
      <w:lvlText w:val="(%1)"/>
      <w:numFmt w:val="decimal"/>
      <w:start w:val="10"/>
    </w:lvl>
  </w:abstractNum>
  <w:abstractNum w:abstractNumId="237">
    <w:nsid w:val="17859F72"/>
    <w:multiLevelType w:val="hybridMultilevel"/>
    <w:lvl w:ilvl="0">
      <w:lvlJc w:val="left"/>
      <w:lvlText w:val="☐"/>
      <w:numFmt w:val="bullet"/>
      <w:start w:val="1"/>
    </w:lvl>
  </w:abstractNum>
  <w:abstractNum w:abstractNumId="238">
    <w:nsid w:val="3AA10581"/>
    <w:multiLevelType w:val="hybridMultilevel"/>
    <w:lvl w:ilvl="0">
      <w:lvlJc w:val="left"/>
      <w:lvlText w:val="☒"/>
      <w:numFmt w:val="bullet"/>
      <w:start w:val="1"/>
    </w:lvl>
  </w:abstractNum>
  <w:abstractNum w:abstractNumId="239">
    <w:nsid w:val="63DE60CD"/>
    <w:multiLevelType w:val="hybridMultilevel"/>
    <w:lvl w:ilvl="0">
      <w:lvlJc w:val="left"/>
      <w:lvlText w:val="☐"/>
      <w:numFmt w:val="bullet"/>
      <w:start w:val="1"/>
    </w:lvl>
  </w:abstractNum>
  <w:abstractNum w:abstractNumId="240">
    <w:nsid w:val="621AF471"/>
    <w:multiLevelType w:val="hybridMultilevel"/>
    <w:lvl w:ilvl="0">
      <w:lvlJc w:val="left"/>
      <w:lvlText w:val="☐"/>
      <w:numFmt w:val="bullet"/>
      <w:start w:val="1"/>
    </w:lvl>
  </w:abstractNum>
  <w:abstractNum w:abstractNumId="241">
    <w:nsid w:val="73CFE165"/>
    <w:multiLevelType w:val="hybridMultilevel"/>
    <w:lvl w:ilvl="0">
      <w:lvlJc w:val="left"/>
      <w:lvlText w:val="☒"/>
      <w:numFmt w:val="bullet"/>
      <w:start w:val="1"/>
    </w:lvl>
  </w:abstractNum>
  <w:abstractNum w:abstractNumId="242">
    <w:nsid w:val="20F88EA6"/>
    <w:multiLevelType w:val="hybridMultilevel"/>
    <w:lvl w:ilvl="0">
      <w:lvlJc w:val="left"/>
      <w:lvlText w:val="☐"/>
      <w:numFmt w:val="bullet"/>
      <w:start w:val="1"/>
    </w:lvl>
  </w:abstractNum>
  <w:abstractNum w:abstractNumId="243">
    <w:nsid w:val="617C843E"/>
    <w:multiLevelType w:val="hybridMultilevel"/>
    <w:lvl w:ilvl="0">
      <w:lvlJc w:val="left"/>
      <w:lvlText w:val="☐"/>
      <w:numFmt w:val="bullet"/>
      <w:start w:val="1"/>
    </w:lvl>
  </w:abstractNum>
  <w:abstractNum w:abstractNumId="244">
    <w:nsid w:val="7B541FAB"/>
    <w:multiLevelType w:val="hybridMultilevel"/>
    <w:lvl w:ilvl="0">
      <w:lvlJc w:val="left"/>
      <w:lvlText w:val="(%1)"/>
      <w:numFmt w:val="decimal"/>
      <w:start w:val="9"/>
    </w:lvl>
  </w:abstractNum>
  <w:abstractNum w:abstractNumId="245">
    <w:nsid w:val="2A79EC49"/>
    <w:multiLevelType w:val="hybridMultilevel"/>
    <w:lvl w:ilvl="0">
      <w:lvlJc w:val="left"/>
      <w:lvlText w:val="*"/>
      <w:numFmt w:val="bullet"/>
      <w:start w:val="1"/>
    </w:lvl>
  </w:abstractNum>
  <w:abstractNum w:abstractNumId="246">
    <w:nsid w:val="338125CF"/>
    <w:multiLevelType w:val="hybridMultilevel"/>
    <w:lvl w:ilvl="0">
      <w:lvlJc w:val="left"/>
      <w:lvlText w:val="(%1)"/>
      <w:numFmt w:val="decimal"/>
      <w:start w:val="10"/>
    </w:lvl>
  </w:abstractNum>
  <w:abstractNum w:abstractNumId="247">
    <w:nsid w:val="47C7C971"/>
    <w:multiLevelType w:val="hybridMultilevel"/>
    <w:lvl w:ilvl="0">
      <w:lvlJc w:val="left"/>
      <w:lvlText w:val="☐"/>
      <w:numFmt w:val="bullet"/>
      <w:start w:val="1"/>
    </w:lvl>
  </w:abstractNum>
  <w:abstractNum w:abstractNumId="248">
    <w:nsid w:val="46F8284B"/>
    <w:multiLevelType w:val="hybridMultilevel"/>
    <w:lvl w:ilvl="0">
      <w:lvlJc w:val="left"/>
      <w:lvlText w:val="☒"/>
      <w:numFmt w:val="bullet"/>
      <w:start w:val="1"/>
    </w:lvl>
  </w:abstractNum>
  <w:abstractNum w:abstractNumId="249">
    <w:nsid w:val="4FA327CE"/>
    <w:multiLevelType w:val="hybridMultilevel"/>
    <w:lvl w:ilvl="0">
      <w:lvlJc w:val="left"/>
      <w:lvlText w:val="☐"/>
      <w:numFmt w:val="bullet"/>
      <w:start w:val="1"/>
    </w:lvl>
  </w:abstractNum>
  <w:abstractNum w:abstractNumId="250">
    <w:nsid w:val="1873983A"/>
    <w:multiLevelType w:val="hybridMultilevel"/>
    <w:lvl w:ilvl="0">
      <w:lvlJc w:val="left"/>
      <w:lvlText w:val="☐"/>
      <w:numFmt w:val="bullet"/>
      <w:start w:val="1"/>
    </w:lvl>
  </w:abstractNum>
  <w:abstractNum w:abstractNumId="251">
    <w:nsid w:val="3D2DD275"/>
    <w:multiLevelType w:val="hybridMultilevel"/>
    <w:lvl w:ilvl="0">
      <w:lvlJc w:val="left"/>
      <w:lvlText w:val="☒"/>
      <w:numFmt w:val="bullet"/>
      <w:start w:val="1"/>
    </w:lvl>
  </w:abstractNum>
  <w:abstractNum w:abstractNumId="252">
    <w:nsid w:val="2E17ECA7"/>
    <w:multiLevelType w:val="hybridMultilevel"/>
    <w:lvl w:ilvl="0">
      <w:lvlJc w:val="left"/>
      <w:lvlText w:val="☐"/>
      <w:numFmt w:val="bullet"/>
      <w:start w:val="1"/>
    </w:lvl>
  </w:abstractNum>
  <w:abstractNum w:abstractNumId="253">
    <w:nsid w:val="53B2564F"/>
    <w:multiLevelType w:val="hybridMultilevel"/>
    <w:lvl w:ilvl="0">
      <w:lvlJc w:val="left"/>
      <w:lvlText w:val="☐"/>
      <w:numFmt w:val="bullet"/>
      <w:start w:val="1"/>
    </w:lvl>
  </w:abstractNum>
  <w:abstractNum w:abstractNumId="254">
    <w:nsid w:val="75509D76"/>
    <w:multiLevelType w:val="hybridMultilevel"/>
    <w:lvl w:ilvl="0">
      <w:lvlJc w:val="left"/>
      <w:lvlText w:val="(%1)"/>
      <w:numFmt w:val="decimal"/>
      <w:start w:val="9"/>
    </w:lvl>
  </w:abstractNum>
  <w:abstractNum w:abstractNumId="255">
    <w:nsid w:val="1AF7F0EA"/>
    <w:multiLevelType w:val="hybridMultilevel"/>
    <w:lvl w:ilvl="0">
      <w:lvlJc w:val="left"/>
      <w:lvlText w:val="(%1)"/>
      <w:numFmt w:val="decimal"/>
      <w:start w:val="10"/>
    </w:lvl>
  </w:abstractNum>
  <w:abstractNum w:abstractNumId="256">
    <w:nsid w:val="4DA32C7E"/>
    <w:multiLevelType w:val="hybridMultilevel"/>
    <w:lvl w:ilvl="0">
      <w:lvlJc w:val="left"/>
      <w:lvlText w:val="☐"/>
      <w:numFmt w:val="bullet"/>
      <w:start w:val="1"/>
    </w:lvl>
  </w:abstractNum>
  <w:abstractNum w:abstractNumId="257">
    <w:nsid w:val="6EC68664"/>
    <w:multiLevelType w:val="hybridMultilevel"/>
    <w:lvl w:ilvl="0">
      <w:lvlJc w:val="left"/>
      <w:lvlText w:val="☒"/>
      <w:numFmt w:val="bullet"/>
      <w:start w:val="1"/>
    </w:lvl>
  </w:abstractNum>
  <w:abstractNum w:abstractNumId="258">
    <w:nsid w:val="E0D31FF"/>
    <w:multiLevelType w:val="hybridMultilevel"/>
    <w:lvl w:ilvl="0">
      <w:lvlJc w:val="left"/>
      <w:lvlText w:val="☐"/>
      <w:numFmt w:val="bullet"/>
      <w:start w:val="1"/>
    </w:lvl>
  </w:abstractNum>
  <w:abstractNum w:abstractNumId="259">
    <w:nsid w:val="2FD0AD81"/>
    <w:multiLevelType w:val="hybridMultilevel"/>
    <w:lvl w:ilvl="0">
      <w:lvlJc w:val="left"/>
      <w:lvlText w:val="☐"/>
      <w:numFmt w:val="bullet"/>
      <w:start w:val="1"/>
    </w:lvl>
  </w:abstractNum>
  <w:abstractNum w:abstractNumId="260">
    <w:nsid w:val="1978EBEB"/>
    <w:multiLevelType w:val="hybridMultilevel"/>
    <w:lvl w:ilvl="0">
      <w:lvlJc w:val="left"/>
      <w:lvlText w:val="☒"/>
      <w:numFmt w:val="bullet"/>
      <w:start w:val="1"/>
    </w:lvl>
  </w:abstractNum>
  <w:abstractNum w:abstractNumId="261">
    <w:nsid w:val="52C12C61"/>
    <w:multiLevelType w:val="hybridMultilevel"/>
    <w:lvl w:ilvl="0">
      <w:lvlJc w:val="left"/>
      <w:lvlText w:val="☐"/>
      <w:numFmt w:val="bullet"/>
      <w:start w:val="1"/>
    </w:lvl>
  </w:abstractNum>
  <w:abstractNum w:abstractNumId="262">
    <w:nsid w:val="4BDD53FD"/>
    <w:multiLevelType w:val="hybridMultilevel"/>
    <w:lvl w:ilvl="0">
      <w:lvlJc w:val="left"/>
      <w:lvlText w:val="☐"/>
      <w:numFmt w:val="bullet"/>
      <w:start w:val="1"/>
    </w:lvl>
  </w:abstractNum>
  <w:abstractNum w:abstractNumId="263">
    <w:nsid w:val="569951FE"/>
    <w:multiLevelType w:val="hybridMultilevel"/>
    <w:lvl w:ilvl="0">
      <w:lvlJc w:val="left"/>
      <w:lvlText w:val="(%1)"/>
      <w:numFmt w:val="decimal"/>
      <w:start w:val="9"/>
    </w:lvl>
  </w:abstractNum>
  <w:abstractNum w:abstractNumId="264">
    <w:nsid w:val="4C54E2C3"/>
    <w:multiLevelType w:val="hybridMultilevel"/>
    <w:lvl w:ilvl="0">
      <w:lvlJc w:val="left"/>
      <w:lvlText w:val="(%1)"/>
      <w:numFmt w:val="decimal"/>
      <w:start w:val="10"/>
    </w:lvl>
  </w:abstractNum>
  <w:abstractNum w:abstractNumId="265">
    <w:nsid w:val="788BD9B"/>
    <w:multiLevelType w:val="hybridMultilevel"/>
    <w:lvl w:ilvl="0">
      <w:lvlJc w:val="left"/>
      <w:lvlText w:val="☐"/>
      <w:numFmt w:val="bullet"/>
      <w:start w:val="1"/>
    </w:lvl>
  </w:abstractNum>
  <w:abstractNum w:abstractNumId="266">
    <w:nsid w:val="47CAA567"/>
    <w:multiLevelType w:val="hybridMultilevel"/>
    <w:lvl w:ilvl="0">
      <w:lvlJc w:val="left"/>
      <w:lvlText w:val="☐"/>
      <w:numFmt w:val="bullet"/>
      <w:start w:val="1"/>
    </w:lvl>
  </w:abstractNum>
  <w:abstractNum w:abstractNumId="267">
    <w:nsid w:val="48249DBF"/>
    <w:multiLevelType w:val="hybridMultilevel"/>
    <w:lvl w:ilvl="0">
      <w:lvlJc w:val="left"/>
      <w:lvlText w:val="☒"/>
      <w:numFmt w:val="bullet"/>
      <w:start w:val="1"/>
    </w:lvl>
  </w:abstractNum>
  <w:abstractNum w:abstractNumId="268">
    <w:nsid w:val="1F0E5D0D"/>
    <w:multiLevelType w:val="hybridMultilevel"/>
    <w:lvl w:ilvl="0">
      <w:lvlJc w:val="left"/>
      <w:lvlText w:val="☐"/>
      <w:numFmt w:val="bullet"/>
      <w:start w:val="1"/>
    </w:lvl>
  </w:abstractNum>
  <w:abstractNum w:abstractNumId="269">
    <w:nsid w:val="26BAAE9"/>
    <w:multiLevelType w:val="hybridMultilevel"/>
    <w:lvl w:ilvl="0">
      <w:lvlJc w:val="left"/>
      <w:lvlText w:val="(%1)"/>
      <w:numFmt w:val="decimal"/>
      <w:start w:val="3"/>
    </w:lvl>
  </w:abstractNum>
  <w:abstractNum w:abstractNumId="270">
    <w:nsid w:val="2C02FE8C"/>
    <w:multiLevelType w:val="hybridMultilevel"/>
    <w:lvl w:ilvl="0">
      <w:lvlJc w:val="left"/>
      <w:lvlText w:val="☐"/>
      <w:numFmt w:val="bullet"/>
      <w:start w:val="1"/>
    </w:lvl>
  </w:abstractNum>
  <w:abstractNum w:abstractNumId="271">
    <w:nsid w:val="129517E"/>
    <w:multiLevelType w:val="hybridMultilevel"/>
    <w:lvl w:ilvl="0">
      <w:lvlJc w:val="left"/>
      <w:lvlText w:val="(%1)"/>
      <w:numFmt w:val="decimal"/>
      <w:start w:val="9"/>
    </w:lvl>
  </w:abstractNum>
  <w:abstractNum w:abstractNumId="272">
    <w:nsid w:val="763B8C4E"/>
    <w:multiLevelType w:val="hybridMultilevel"/>
    <w:lvl w:ilvl="0">
      <w:lvlJc w:val="left"/>
      <w:lvlText w:val="*"/>
      <w:numFmt w:val="bullet"/>
      <w:start w:val="1"/>
    </w:lvl>
  </w:abstractNum>
  <w:abstractNum w:abstractNumId="273">
    <w:nsid w:val="4CFB8D32"/>
    <w:multiLevelType w:val="hybridMultilevel"/>
    <w:lvl w:ilvl="0">
      <w:lvlJc w:val="left"/>
      <w:lvlText w:val="**"/>
      <w:numFmt w:val="bullet"/>
      <w:start w:val="1"/>
    </w:lvl>
  </w:abstractNum>
  <w:abstractNum w:abstractNumId="274">
    <w:nsid w:val="62A5D5BD"/>
    <w:multiLevelType w:val="hybridMultilevel"/>
    <w:lvl w:ilvl="0">
      <w:lvlJc w:val="left"/>
      <w:lvlText w:val="(%1)"/>
      <w:numFmt w:val="decimal"/>
      <w:start w:val="10"/>
    </w:lvl>
  </w:abstractNum>
  <w:abstractNum w:abstractNumId="275">
    <w:nsid w:val="718FABF9"/>
    <w:multiLevelType w:val="hybridMultilevel"/>
    <w:lvl w:ilvl="0">
      <w:lvlJc w:val="left"/>
      <w:lvlText w:val="☐"/>
      <w:numFmt w:val="bullet"/>
      <w:start w:val="1"/>
    </w:lvl>
  </w:abstractNum>
  <w:abstractNum w:abstractNumId="276">
    <w:nsid w:val="7775797C"/>
    <w:multiLevelType w:val="hybridMultilevel"/>
    <w:lvl w:ilvl="0">
      <w:lvlJc w:val="left"/>
      <w:lvlText w:val="☒"/>
      <w:numFmt w:val="bullet"/>
      <w:start w:val="1"/>
    </w:lvl>
  </w:abstractNum>
  <w:abstractNum w:abstractNumId="277">
    <w:nsid w:val="1626FB8C"/>
    <w:multiLevelType w:val="hybridMultilevel"/>
    <w:lvl w:ilvl="0">
      <w:lvlJc w:val="left"/>
      <w:lvlText w:val="☐"/>
      <w:numFmt w:val="bullet"/>
      <w:start w:val="1"/>
    </w:lvl>
  </w:abstractNum>
  <w:abstractNum w:abstractNumId="278">
    <w:nsid w:val="3957756A"/>
    <w:multiLevelType w:val="hybridMultilevel"/>
    <w:lvl w:ilvl="0">
      <w:lvlJc w:val="left"/>
      <w:lvlText w:val="☐"/>
      <w:numFmt w:val="bullet"/>
      <w:start w:val="1"/>
    </w:lvl>
  </w:abstractNum>
  <w:abstractNum w:abstractNumId="279">
    <w:nsid w:val="3E6DA1C7"/>
    <w:multiLevelType w:val="hybridMultilevel"/>
    <w:lvl w:ilvl="0">
      <w:lvlJc w:val="left"/>
      <w:lvlText w:val="☒"/>
      <w:numFmt w:val="bullet"/>
      <w:start w:val="1"/>
    </w:lvl>
  </w:abstractNum>
  <w:abstractNum w:abstractNumId="280">
    <w:nsid w:val="65CA235B"/>
    <w:multiLevelType w:val="hybridMultilevel"/>
    <w:lvl w:ilvl="0">
      <w:lvlJc w:val="left"/>
      <w:lvlText w:val="☐"/>
      <w:numFmt w:val="bullet"/>
      <w:start w:val="1"/>
    </w:lvl>
  </w:abstractNum>
  <w:abstractNum w:abstractNumId="281">
    <w:nsid w:val="51CB0DA4"/>
    <w:multiLevelType w:val="hybridMultilevel"/>
    <w:lvl w:ilvl="0">
      <w:lvlJc w:val="left"/>
      <w:lvlText w:val="(%1)"/>
      <w:numFmt w:val="decimal"/>
      <w:start w:val="3"/>
    </w:lvl>
  </w:abstractNum>
  <w:abstractNum w:abstractNumId="282">
    <w:nsid w:val="7B9B743C"/>
    <w:multiLevelType w:val="hybridMultilevel"/>
    <w:lvl w:ilvl="0">
      <w:lvlJc w:val="left"/>
      <w:lvlText w:val="(%1)"/>
      <w:numFmt w:val="decimal"/>
      <w:start w:val="6"/>
    </w:lvl>
  </w:abstractNum>
  <w:abstractNum w:abstractNumId="283">
    <w:nsid w:val="13E21002"/>
    <w:multiLevelType w:val="hybridMultilevel"/>
    <w:lvl w:ilvl="0">
      <w:lvlJc w:val="left"/>
      <w:lvlText w:val="☐"/>
      <w:numFmt w:val="bullet"/>
      <w:start w:val="1"/>
    </w:lvl>
  </w:abstractNum>
  <w:abstractNum w:abstractNumId="284">
    <w:nsid w:val="257D63F4"/>
    <w:multiLevelType w:val="hybridMultilevel"/>
    <w:lvl w:ilvl="0">
      <w:lvlJc w:val="left"/>
      <w:lvlText w:val="(%1)"/>
      <w:numFmt w:val="decimal"/>
      <w:start w:val="9"/>
    </w:lvl>
  </w:abstractNum>
  <w:abstractNum w:abstractNumId="285">
    <w:nsid w:val="70EC11B2"/>
    <w:multiLevelType w:val="hybridMultilevel"/>
    <w:lvl w:ilvl="0">
      <w:lvlJc w:val="left"/>
      <w:lvlText w:val="*"/>
      <w:numFmt w:val="bullet"/>
      <w:start w:val="1"/>
    </w:lvl>
  </w:abstractNum>
  <w:abstractNum w:abstractNumId="286">
    <w:nsid w:val="2EDA00ED"/>
    <w:multiLevelType w:val="hybridMultilevel"/>
    <w:lvl w:ilvl="0">
      <w:lvlJc w:val="left"/>
      <w:lvlText w:val="**"/>
      <w:numFmt w:val="bullet"/>
      <w:start w:val="1"/>
    </w:lvl>
  </w:abstractNum>
  <w:abstractNum w:abstractNumId="287">
    <w:nsid w:val="73209072"/>
    <w:multiLevelType w:val="hybridMultilevel"/>
    <w:lvl w:ilvl="0">
      <w:lvlJc w:val="left"/>
      <w:lvlText w:val="(%1)"/>
      <w:numFmt w:val="decimal"/>
      <w:start w:val="10"/>
    </w:lvl>
  </w:abstractNum>
  <w:abstractNum w:abstractNumId="288">
    <w:nsid w:val="5FB29816"/>
    <w:multiLevelType w:val="hybridMultilevel"/>
    <w:lvl w:ilvl="0">
      <w:lvlJc w:val="left"/>
      <w:lvlText w:val="☐"/>
      <w:numFmt w:val="bullet"/>
      <w:start w:val="1"/>
    </w:lvl>
  </w:abstractNum>
  <w:abstractNum w:abstractNumId="289">
    <w:nsid w:val="3CE732EC"/>
    <w:multiLevelType w:val="hybridMultilevel"/>
    <w:lvl w:ilvl="0">
      <w:lvlJc w:val="left"/>
      <w:lvlText w:val="☒"/>
      <w:numFmt w:val="bullet"/>
      <w:start w:val="1"/>
    </w:lvl>
  </w:abstractNum>
  <w:abstractNum w:abstractNumId="290">
    <w:nsid w:val="22F13DF3"/>
    <w:multiLevelType w:val="hybridMultilevel"/>
    <w:lvl w:ilvl="0">
      <w:lvlJc w:val="left"/>
      <w:lvlText w:val="☐"/>
      <w:numFmt w:val="bullet"/>
      <w:start w:val="1"/>
    </w:lvl>
  </w:abstractNum>
  <w:abstractNum w:abstractNumId="291">
    <w:nsid w:val="792B8401"/>
    <w:multiLevelType w:val="hybridMultilevel"/>
    <w:lvl w:ilvl="0">
      <w:lvlJc w:val="left"/>
      <w:lvlText w:val="☐"/>
      <w:numFmt w:val="bullet"/>
      <w:start w:val="1"/>
    </w:lvl>
  </w:abstractNum>
  <w:abstractNum w:abstractNumId="292">
    <w:nsid w:val="FA85F4D"/>
    <w:multiLevelType w:val="hybridMultilevel"/>
    <w:lvl w:ilvl="0">
      <w:lvlJc w:val="left"/>
      <w:lvlText w:val="☒"/>
      <w:numFmt w:val="bullet"/>
      <w:start w:val="1"/>
    </w:lvl>
  </w:abstractNum>
  <w:abstractNum w:abstractNumId="293">
    <w:nsid w:val="6ECE91F0"/>
    <w:multiLevelType w:val="hybridMultilevel"/>
    <w:lvl w:ilvl="0">
      <w:lvlJc w:val="left"/>
      <w:lvlText w:val="☐"/>
      <w:numFmt w:val="bullet"/>
      <w:start w:val="1"/>
    </w:lvl>
  </w:abstractNum>
  <w:abstractNum w:abstractNumId="294">
    <w:nsid w:val="4FC4D600"/>
    <w:multiLevelType w:val="hybridMultilevel"/>
    <w:lvl w:ilvl="0">
      <w:lvlJc w:val="left"/>
      <w:lvlText w:val="(%1)"/>
      <w:numFmt w:val="decimal"/>
      <w:start w:val="3"/>
    </w:lvl>
  </w:abstractNum>
  <w:abstractNum w:abstractNumId="295">
    <w:nsid w:val="5BFD4210"/>
    <w:multiLevelType w:val="hybridMultilevel"/>
    <w:lvl w:ilvl="0">
      <w:lvlJc w:val="left"/>
      <w:lvlText w:val="(%1)"/>
      <w:numFmt w:val="decimal"/>
      <w:start w:val="6"/>
    </w:lvl>
  </w:abstractNum>
  <w:abstractNum w:abstractNumId="296">
    <w:nsid w:val="76574F8B"/>
    <w:multiLevelType w:val="hybridMultilevel"/>
    <w:lvl w:ilvl="0">
      <w:lvlJc w:val="left"/>
      <w:lvlText w:val="☐"/>
      <w:numFmt w:val="bullet"/>
      <w:start w:val="1"/>
    </w:lvl>
  </w:abstractNum>
  <w:abstractNum w:abstractNumId="297">
    <w:nsid w:val="178F7B67"/>
    <w:multiLevelType w:val="hybridMultilevel"/>
    <w:lvl w:ilvl="0">
      <w:lvlJc w:val="left"/>
      <w:lvlText w:val="(%1)"/>
      <w:numFmt w:val="decimal"/>
      <w:start w:val="9"/>
    </w:lvl>
  </w:abstractNum>
  <w:abstractNum w:abstractNumId="298">
    <w:nsid w:val="2421DFCF"/>
    <w:multiLevelType w:val="hybridMultilevel"/>
    <w:lvl w:ilvl="0">
      <w:lvlJc w:val="left"/>
      <w:lvlText w:val="*"/>
      <w:numFmt w:val="bullet"/>
      <w:start w:val="1"/>
    </w:lvl>
  </w:abstractNum>
  <w:abstractNum w:abstractNumId="299">
    <w:nsid w:val="1565AC99"/>
    <w:multiLevelType w:val="hybridMultilevel"/>
    <w:lvl w:ilvl="0">
      <w:lvlJc w:val="left"/>
      <w:lvlText w:val="**"/>
      <w:numFmt w:val="bullet"/>
      <w:start w:val="1"/>
    </w:lvl>
  </w:abstractNum>
  <w:abstractNum w:abstractNumId="300">
    <w:nsid w:val="19FB2650"/>
    <w:multiLevelType w:val="hybridMultilevel"/>
    <w:lvl w:ilvl="0">
      <w:lvlJc w:val="left"/>
      <w:lvlText w:val="(%1)"/>
      <w:numFmt w:val="decimal"/>
      <w:start w:val="10"/>
    </w:lvl>
  </w:abstractNum>
  <w:abstractNum w:abstractNumId="301">
    <w:nsid w:val="5024DE5B"/>
    <w:multiLevelType w:val="hybridMultilevel"/>
    <w:lvl w:ilvl="0">
      <w:lvlJc w:val="left"/>
      <w:lvlText w:val="☐"/>
      <w:numFmt w:val="bullet"/>
      <w:start w:val="1"/>
    </w:lvl>
  </w:abstractNum>
  <w:abstractNum w:abstractNumId="302">
    <w:nsid w:val="168EFE17"/>
    <w:multiLevelType w:val="hybridMultilevel"/>
    <w:lvl w:ilvl="0">
      <w:lvlJc w:val="left"/>
      <w:lvlText w:val="☒"/>
      <w:numFmt w:val="bullet"/>
      <w:start w:val="1"/>
    </w:lvl>
  </w:abstractNum>
  <w:abstractNum w:abstractNumId="303">
    <w:nsid w:val="1036B29F"/>
    <w:multiLevelType w:val="hybridMultilevel"/>
    <w:lvl w:ilvl="0">
      <w:lvlJc w:val="left"/>
      <w:lvlText w:val="☐"/>
      <w:numFmt w:val="bullet"/>
      <w:start w:val="1"/>
    </w:lvl>
  </w:abstractNum>
  <w:abstractNum w:abstractNumId="304">
    <w:nsid w:val="1D206B8E"/>
    <w:multiLevelType w:val="hybridMultilevel"/>
    <w:lvl w:ilvl="0">
      <w:lvlJc w:val="left"/>
      <w:lvlText w:val="☐"/>
      <w:numFmt w:val="bullet"/>
      <w:start w:val="1"/>
    </w:lvl>
  </w:abstractNum>
  <w:abstractNum w:abstractNumId="305">
    <w:nsid w:val="7934D3D4"/>
    <w:multiLevelType w:val="hybridMultilevel"/>
    <w:lvl w:ilvl="0">
      <w:lvlJc w:val="left"/>
      <w:lvlText w:val="☒"/>
      <w:numFmt w:val="bullet"/>
      <w:start w:val="1"/>
    </w:lvl>
  </w:abstractNum>
  <w:abstractNum w:abstractNumId="306">
    <w:nsid w:val="1C65E98"/>
    <w:multiLevelType w:val="hybridMultilevel"/>
    <w:lvl w:ilvl="0">
      <w:lvlJc w:val="left"/>
      <w:lvlText w:val="☐"/>
      <w:numFmt w:val="bullet"/>
      <w:start w:val="1"/>
    </w:lvl>
  </w:abstractNum>
  <w:abstractNum w:abstractNumId="307">
    <w:nsid w:val="1495E50A"/>
    <w:multiLevelType w:val="hybridMultilevel"/>
    <w:lvl w:ilvl="0">
      <w:lvlJc w:val="left"/>
      <w:lvlText w:val="(%1)"/>
      <w:numFmt w:val="decimal"/>
      <w:start w:val="3"/>
    </w:lvl>
  </w:abstractNum>
  <w:abstractNum w:abstractNumId="308">
    <w:nsid w:val="F5BCF61"/>
    <w:multiLevelType w:val="hybridMultilevel"/>
    <w:lvl w:ilvl="0">
      <w:lvlJc w:val="left"/>
      <w:lvlText w:val="☐"/>
      <w:numFmt w:val="bullet"/>
      <w:start w:val="1"/>
    </w:lvl>
  </w:abstractNum>
  <w:abstractNum w:abstractNumId="309">
    <w:nsid w:val="3B1DD403"/>
    <w:multiLevelType w:val="hybridMultilevel"/>
    <w:lvl w:ilvl="0">
      <w:lvlJc w:val="left"/>
      <w:lvlText w:val="(%1)"/>
      <w:numFmt w:val="decimal"/>
      <w:start w:val="9"/>
    </w:lvl>
  </w:abstractNum>
  <w:abstractNum w:abstractNumId="310">
    <w:nsid w:val="530386D1"/>
    <w:multiLevelType w:val="hybridMultilevel"/>
    <w:lvl w:ilvl="0">
      <w:lvlJc w:val="left"/>
      <w:lvlText w:val="*"/>
      <w:numFmt w:val="bullet"/>
      <w:start w:val="1"/>
    </w:lvl>
  </w:abstractNum>
  <w:abstractNum w:abstractNumId="311">
    <w:nsid w:val="7525F2BC"/>
    <w:multiLevelType w:val="hybridMultilevel"/>
    <w:lvl w:ilvl="0">
      <w:lvlJc w:val="left"/>
      <w:lvlText w:val="**"/>
      <w:numFmt w:val="bullet"/>
      <w:start w:val="1"/>
    </w:lvl>
  </w:abstractNum>
  <w:abstractNum w:abstractNumId="312">
    <w:nsid w:val="CE8E1A7"/>
    <w:multiLevelType w:val="hybridMultilevel"/>
    <w:lvl w:ilvl="0">
      <w:lvlJc w:val="left"/>
      <w:lvlText w:val="(%1)"/>
      <w:numFmt w:val="decimal"/>
      <w:start w:val="10"/>
    </w:lvl>
  </w:abstractNum>
  <w:abstractNum w:abstractNumId="313">
    <w:nsid w:val="4E9EFB0D"/>
    <w:multiLevelType w:val="hybridMultilevel"/>
    <w:lvl w:ilvl="0">
      <w:lvlJc w:val="left"/>
      <w:lvlText w:val="☐"/>
      <w:numFmt w:val="bullet"/>
      <w:start w:val="1"/>
    </w:lvl>
  </w:abstractNum>
  <w:abstractNum w:abstractNumId="314">
    <w:nsid w:val="90802BE"/>
    <w:multiLevelType w:val="hybridMultilevel"/>
    <w:lvl w:ilvl="0">
      <w:lvlJc w:val="left"/>
      <w:lvlText w:val="☒"/>
      <w:numFmt w:val="bullet"/>
      <w:start w:val="1"/>
    </w:lvl>
  </w:abstractNum>
  <w:abstractNum w:abstractNumId="315">
    <w:nsid w:val="3266459B"/>
    <w:multiLevelType w:val="hybridMultilevel"/>
    <w:lvl w:ilvl="0">
      <w:lvlJc w:val="left"/>
      <w:lvlText w:val="☐"/>
      <w:numFmt w:val="bullet"/>
      <w:start w:val="1"/>
    </w:lvl>
  </w:abstractNum>
  <w:abstractNum w:abstractNumId="316">
    <w:nsid w:val="3F8B0CBF"/>
    <w:multiLevelType w:val="hybridMultilevel"/>
    <w:lvl w:ilvl="0">
      <w:lvlJc w:val="left"/>
      <w:lvlText w:val="☐"/>
      <w:numFmt w:val="bullet"/>
      <w:start w:val="1"/>
    </w:lvl>
  </w:abstractNum>
  <w:abstractNum w:abstractNumId="317">
    <w:nsid w:val="37E203AB"/>
    <w:multiLevelType w:val="hybridMultilevel"/>
    <w:lvl w:ilvl="0">
      <w:lvlJc w:val="left"/>
      <w:lvlText w:val="☒"/>
      <w:numFmt w:val="bullet"/>
      <w:start w:val="1"/>
    </w:lvl>
  </w:abstractNum>
  <w:abstractNum w:abstractNumId="318">
    <w:nsid w:val="2586D60E"/>
    <w:multiLevelType w:val="hybridMultilevel"/>
    <w:lvl w:ilvl="0">
      <w:lvlJc w:val="left"/>
      <w:lvlText w:val="☐"/>
      <w:numFmt w:val="bullet"/>
      <w:start w:val="1"/>
    </w:lvl>
  </w:abstractNum>
  <w:abstractNum w:abstractNumId="319">
    <w:nsid w:val="1F3DA4D5"/>
    <w:multiLevelType w:val="hybridMultilevel"/>
    <w:lvl w:ilvl="0">
      <w:lvlJc w:val="left"/>
      <w:lvlText w:val="(%1)"/>
      <w:numFmt w:val="decimal"/>
      <w:start w:val="3"/>
    </w:lvl>
  </w:abstractNum>
  <w:abstractNum w:abstractNumId="320">
    <w:nsid w:val="74C93698"/>
    <w:multiLevelType w:val="hybridMultilevel"/>
    <w:lvl w:ilvl="0">
      <w:lvlJc w:val="left"/>
      <w:lvlText w:val="☐"/>
      <w:numFmt w:val="bullet"/>
      <w:start w:val="1"/>
    </w:lvl>
  </w:abstractNum>
  <w:abstractNum w:abstractNumId="321">
    <w:nsid w:val="48781401"/>
    <w:multiLevelType w:val="hybridMultilevel"/>
    <w:lvl w:ilvl="0">
      <w:lvlJc w:val="left"/>
      <w:lvlText w:val="(%1)"/>
      <w:numFmt w:val="decimal"/>
      <w:start w:val="9"/>
    </w:lvl>
  </w:abstractNum>
  <w:abstractNum w:abstractNumId="322">
    <w:nsid w:val="186928D6"/>
    <w:multiLevelType w:val="hybridMultilevel"/>
    <w:lvl w:ilvl="0">
      <w:lvlJc w:val="left"/>
      <w:lvlText w:val="*"/>
      <w:numFmt w:val="bullet"/>
      <w:start w:val="1"/>
    </w:lvl>
  </w:abstractNum>
  <w:abstractNum w:abstractNumId="323">
    <w:nsid w:val="47195E5"/>
    <w:multiLevelType w:val="hybridMultilevel"/>
    <w:lvl w:ilvl="0">
      <w:lvlJc w:val="left"/>
      <w:lvlText w:val="**"/>
      <w:numFmt w:val="bullet"/>
      <w:start w:val="1"/>
    </w:lvl>
  </w:abstractNum>
  <w:abstractNum w:abstractNumId="324">
    <w:nsid w:val="3746A5F2"/>
    <w:multiLevelType w:val="hybridMultilevel"/>
    <w:lvl w:ilvl="0">
      <w:lvlJc w:val="left"/>
      <w:lvlText w:val="(%1)"/>
      <w:numFmt w:val="decimal"/>
      <w:start w:val="10"/>
    </w:lvl>
  </w:abstractNum>
  <w:abstractNum w:abstractNumId="325">
    <w:nsid w:val="682DFED6"/>
    <w:multiLevelType w:val="hybridMultilevel"/>
    <w:lvl w:ilvl="0">
      <w:lvlJc w:val="left"/>
      <w:lvlText w:val="☐"/>
      <w:numFmt w:val="bullet"/>
      <w:start w:val="1"/>
    </w:lvl>
  </w:abstractNum>
  <w:abstractNum w:abstractNumId="326">
    <w:nsid w:val="606ED7F6"/>
    <w:multiLevelType w:val="hybridMultilevel"/>
    <w:lvl w:ilvl="0">
      <w:lvlJc w:val="left"/>
      <w:lvlText w:val="☒"/>
      <w:numFmt w:val="bullet"/>
      <w:start w:val="1"/>
    </w:lvl>
  </w:abstractNum>
  <w:abstractNum w:abstractNumId="327">
    <w:nsid w:val="2D9DF57D"/>
    <w:multiLevelType w:val="hybridMultilevel"/>
    <w:lvl w:ilvl="0">
      <w:lvlJc w:val="left"/>
      <w:lvlText w:val="☐"/>
      <w:numFmt w:val="bullet"/>
      <w:start w:val="1"/>
    </w:lvl>
  </w:abstractNum>
  <w:abstractNum w:abstractNumId="328">
    <w:nsid w:val="7FBD7A3E"/>
    <w:multiLevelType w:val="hybridMultilevel"/>
    <w:lvl w:ilvl="0">
      <w:lvlJc w:val="left"/>
      <w:lvlText w:val="☐"/>
      <w:numFmt w:val="bullet"/>
      <w:start w:val="1"/>
    </w:lvl>
  </w:abstractNum>
  <w:abstractNum w:abstractNumId="329">
    <w:nsid w:val="490B7C5"/>
    <w:multiLevelType w:val="hybridMultilevel"/>
    <w:lvl w:ilvl="0">
      <w:lvlJc w:val="left"/>
      <w:lvlText w:val="☒"/>
      <w:numFmt w:val="bullet"/>
      <w:start w:val="1"/>
    </w:lvl>
  </w:abstractNum>
  <w:abstractNum w:abstractNumId="330">
    <w:nsid w:val="4303A216"/>
    <w:multiLevelType w:val="hybridMultilevel"/>
    <w:lvl w:ilvl="0">
      <w:lvlJc w:val="left"/>
      <w:lvlText w:val="☐"/>
      <w:numFmt w:val="bullet"/>
      <w:start w:val="1"/>
    </w:lvl>
  </w:abstractNum>
  <w:abstractNum w:abstractNumId="331">
    <w:nsid w:val="19B8A08E"/>
    <w:multiLevelType w:val="hybridMultilevel"/>
    <w:lvl w:ilvl="0">
      <w:lvlJc w:val="left"/>
      <w:lvlText w:val="(%1)"/>
      <w:numFmt w:val="decimal"/>
      <w:start w:val="3"/>
    </w:lvl>
  </w:abstractNum>
  <w:abstractNum w:abstractNumId="332">
    <w:nsid w:val="54B59621"/>
    <w:multiLevelType w:val="hybridMultilevel"/>
    <w:lvl w:ilvl="0">
      <w:lvlJc w:val="left"/>
      <w:lvlText w:val="(%1)"/>
      <w:numFmt w:val="decimal"/>
      <w:start w:val="6"/>
    </w:lvl>
  </w:abstractNum>
  <w:abstractNum w:abstractNumId="333">
    <w:nsid w:val="5992A02E"/>
    <w:multiLevelType w:val="hybridMultilevel"/>
    <w:lvl w:ilvl="0">
      <w:lvlJc w:val="left"/>
      <w:lvlText w:val="☐"/>
      <w:numFmt w:val="bullet"/>
      <w:start w:val="1"/>
    </w:lvl>
  </w:abstractNum>
  <w:abstractNum w:abstractNumId="334">
    <w:nsid w:val="29EF532D"/>
    <w:multiLevelType w:val="hybridMultilevel"/>
    <w:lvl w:ilvl="0">
      <w:lvlJc w:val="left"/>
      <w:lvlText w:val="(%1)"/>
      <w:numFmt w:val="decimal"/>
      <w:start w:val="9"/>
    </w:lvl>
  </w:abstractNum>
  <w:abstractNum w:abstractNumId="335">
    <w:nsid w:val="71D601AF"/>
    <w:multiLevelType w:val="hybridMultilevel"/>
    <w:lvl w:ilvl="0">
      <w:lvlJc w:val="left"/>
      <w:lvlText w:val="*"/>
      <w:numFmt w:val="bullet"/>
      <w:start w:val="1"/>
    </w:lvl>
  </w:abstractNum>
  <w:abstractNum w:abstractNumId="336">
    <w:nsid w:val="52C77402"/>
    <w:multiLevelType w:val="hybridMultilevel"/>
    <w:lvl w:ilvl="0">
      <w:lvlJc w:val="left"/>
      <w:lvlText w:val="**"/>
      <w:numFmt w:val="bullet"/>
      <w:start w:val="1"/>
    </w:lvl>
  </w:abstractNum>
  <w:abstractNum w:abstractNumId="337">
    <w:nsid w:val="2BB5B1C6"/>
    <w:multiLevelType w:val="hybridMultilevel"/>
    <w:lvl w:ilvl="0">
      <w:lvlJc w:val="left"/>
      <w:lvlText w:val="(%1)"/>
      <w:numFmt w:val="decimal"/>
      <w:start w:val="10"/>
    </w:lvl>
  </w:abstractNum>
  <w:abstractNum w:abstractNumId="338">
    <w:nsid w:val="66BE6B9"/>
    <w:multiLevelType w:val="hybridMultilevel"/>
    <w:lvl w:ilvl="0">
      <w:lvlJc w:val="left"/>
      <w:lvlText w:val="☐"/>
      <w:numFmt w:val="bullet"/>
      <w:start w:val="1"/>
    </w:lvl>
  </w:abstractNum>
  <w:abstractNum w:abstractNumId="339">
    <w:nsid w:val="62234363"/>
    <w:multiLevelType w:val="hybridMultilevel"/>
    <w:lvl w:ilvl="0">
      <w:lvlJc w:val="left"/>
      <w:lvlText w:val="☒"/>
      <w:numFmt w:val="bullet"/>
      <w:start w:val="1"/>
    </w:lvl>
  </w:abstractNum>
  <w:abstractNum w:abstractNumId="340">
    <w:nsid w:val="66D385C9"/>
    <w:multiLevelType w:val="hybridMultilevel"/>
    <w:lvl w:ilvl="0">
      <w:lvlJc w:val="left"/>
      <w:lvlText w:val="☐"/>
      <w:numFmt w:val="bullet"/>
      <w:start w:val="1"/>
    </w:lvl>
  </w:abstractNum>
  <w:abstractNum w:abstractNumId="341">
    <w:nsid w:val="596F6D8A"/>
    <w:multiLevelType w:val="hybridMultilevel"/>
    <w:lvl w:ilvl="0">
      <w:lvlJc w:val="left"/>
      <w:lvlText w:val="☐"/>
      <w:numFmt w:val="bullet"/>
      <w:start w:val="1"/>
    </w:lvl>
  </w:abstractNum>
  <w:abstractNum w:abstractNumId="342">
    <w:nsid w:val="5749361F"/>
    <w:multiLevelType w:val="hybridMultilevel"/>
    <w:lvl w:ilvl="0">
      <w:lvlJc w:val="left"/>
      <w:lvlText w:val="☒"/>
      <w:numFmt w:val="bullet"/>
      <w:start w:val="1"/>
    </w:lvl>
  </w:abstractNum>
  <w:abstractNum w:abstractNumId="343">
    <w:nsid w:val="73BC6770"/>
    <w:multiLevelType w:val="hybridMultilevel"/>
    <w:lvl w:ilvl="0">
      <w:lvlJc w:val="left"/>
      <w:lvlText w:val="☐"/>
      <w:numFmt w:val="bullet"/>
      <w:start w:val="1"/>
    </w:lvl>
  </w:abstractNum>
  <w:abstractNum w:abstractNumId="344">
    <w:nsid w:val="280E6897"/>
    <w:multiLevelType w:val="hybridMultilevel"/>
    <w:lvl w:ilvl="0">
      <w:lvlJc w:val="left"/>
      <w:lvlText w:val="%1."/>
      <w:numFmt w:val="decimal"/>
      <w:start w:val="1"/>
    </w:lvl>
  </w:abstractNum>
  <w:abstractNum w:abstractNumId="345">
    <w:nsid w:val="605138DE"/>
    <w:multiLevelType w:val="hybridMultilevel"/>
    <w:lvl w:ilvl="0">
      <w:lvlJc w:val="left"/>
      <w:lvlText w:val="%1."/>
      <w:numFmt w:val="decimal"/>
      <w:start w:val="5"/>
    </w:lvl>
  </w:abstractNum>
  <w:abstractNum w:abstractNumId="346">
    <w:nsid w:val="2622AD0C"/>
    <w:multiLevelType w:val="hybridMultilevel"/>
    <w:lvl w:ilvl="0">
      <w:lvlJc w:val="left"/>
      <w:lvlText w:val="%1."/>
      <w:numFmt w:val="decimal"/>
      <w:start w:val="8"/>
    </w:lvl>
  </w:abstractNum>
  <w:abstractNum w:abstractNumId="347">
    <w:nsid w:val="67997556"/>
    <w:multiLevelType w:val="hybridMultilevel"/>
    <w:lvl w:ilvl="0">
      <w:lvlJc w:val="left"/>
      <w:lvlText w:val="%1."/>
      <w:numFmt w:val="decimal"/>
      <w:start w:val="1"/>
    </w:lvl>
  </w:abstractNum>
  <w:abstractNum w:abstractNumId="348">
    <w:nsid w:val="18333C89"/>
    <w:multiLevelType w:val="hybridMultilevel"/>
    <w:lvl w:ilvl="0">
      <w:lvlJc w:val="left"/>
      <w:lvlText w:val="*"/>
      <w:numFmt w:val="bullet"/>
      <w:start w:val="1"/>
    </w:lvl>
  </w:abstractNum>
  <w:abstractNum w:abstractNumId="349">
    <w:nsid w:val="4BA9831A"/>
    <w:multiLevelType w:val="hybridMultilevel"/>
    <w:lvl w:ilvl="0">
      <w:lvlJc w:val="left"/>
      <w:lvlText w:val="☐"/>
      <w:numFmt w:val="bullet"/>
      <w:start w:val="1"/>
    </w:lvl>
  </w:abstractNum>
  <w:abstractNum w:abstractNumId="350">
    <w:nsid w:val="6D71A2B"/>
    <w:multiLevelType w:val="hybridMultilevel"/>
    <w:lvl w:ilvl="0">
      <w:lvlJc w:val="left"/>
      <w:lvlText w:val="%1."/>
      <w:numFmt w:val="decimal"/>
      <w:start w:val="1"/>
    </w:lvl>
    <w:lvl w:ilvl="1">
      <w:lvlJc w:val="left"/>
      <w:lvlText w:val="(%2)"/>
      <w:numFmt w:val="lowerLetter"/>
      <w:start w:val="1"/>
    </w:lvl>
  </w:abstractNum>
  <w:abstractNum w:abstractNumId="351">
    <w:nsid w:val="CFC7321"/>
    <w:multiLevelType w:val="hybridMultilevel"/>
    <w:lvl w:ilvl="0">
      <w:lvlJc w:val="left"/>
      <w:lvlText w:val="%1."/>
      <w:numFmt w:val="decimal"/>
      <w:start w:val="2"/>
    </w:lvl>
  </w:abstractNum>
  <w:abstractNum w:abstractNumId="352">
    <w:nsid w:val="1421971B"/>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353">
    <w:nsid w:val="1F404301"/>
    <w:multiLevelType w:val="hybridMultilevel"/>
    <w:lvl w:ilvl="0">
      <w:lvlJc w:val="left"/>
      <w:lvlText w:val="%1."/>
      <w:numFmt w:val="decimal"/>
      <w:start w:val="4"/>
    </w:lvl>
  </w:abstractNum>
  <w:abstractNum w:abstractNumId="354">
    <w:nsid w:val="116E0907"/>
    <w:multiLevelType w:val="hybridMultilevel"/>
    <w:lvl w:ilvl="0">
      <w:lvlJc w:val="left"/>
      <w:lvlText w:val="%1."/>
      <w:numFmt w:val="decimal"/>
      <w:start w:val="6"/>
    </w:lvl>
    <w:lvl w:ilvl="1">
      <w:lvlJc w:val="left"/>
      <w:lvlText w:val="-"/>
      <w:numFmt w:val="bullet"/>
      <w:start w:val="1"/>
    </w:lvl>
  </w:abstractNum>
  <w:abstractNum w:abstractNumId="355">
    <w:nsid w:val="4B683D0D"/>
    <w:multiLevelType w:val="hybridMultilevel"/>
    <w:lvl w:ilvl="0">
      <w:lvlJc w:val="left"/>
      <w:lvlText w:val="1"/>
      <w:numFmt w:val="bullet"/>
      <w:start w:val="1"/>
    </w:lvl>
  </w:abstractNum>
  <w:abstractNum w:abstractNumId="356">
    <w:nsid w:val="76E41D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70" Type="http://schemas.openxmlformats.org/officeDocument/2006/relationships/image" Target="media/image48.png"/><Relationship Id="rId82"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png"/><Relationship Id="rId86" Type="http://schemas.openxmlformats.org/officeDocument/2006/relationships/image" Target="media/image52.png"/><Relationship Id="rId87" Type="http://schemas.openxmlformats.org/officeDocument/2006/relationships/image" Target="media/image53.png"/><Relationship Id="rId88" Type="http://schemas.openxmlformats.org/officeDocument/2006/relationships/image" Target="media/image54.png"/><Relationship Id="rId89" Type="http://schemas.openxmlformats.org/officeDocument/2006/relationships/image" Target="media/image55.png"/><Relationship Id="rId90" Type="http://schemas.openxmlformats.org/officeDocument/2006/relationships/image" Target="media/image56.png"/><Relationship Id="rId91"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jpeg"/><Relationship Id="rId117" Type="http://schemas.openxmlformats.org/officeDocument/2006/relationships/image" Target="media/image83.png"/><Relationship Id="rId118" Type="http://schemas.openxmlformats.org/officeDocument/2006/relationships/image" Target="media/image84.jpe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jpe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jpeg"/><Relationship Id="rId144" Type="http://schemas.openxmlformats.org/officeDocument/2006/relationships/image" Target="media/image110.png"/><Relationship Id="rId145" Type="http://schemas.openxmlformats.org/officeDocument/2006/relationships/image" Target="media/image111.jpe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jpe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jpe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jpe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jpe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jpeg"/><Relationship Id="rId213" Type="http://schemas.openxmlformats.org/officeDocument/2006/relationships/image" Target="media/image179.png"/><Relationship Id="rId214" Type="http://schemas.openxmlformats.org/officeDocument/2006/relationships/image" Target="media/image180.jpe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jpe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jpe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jpe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jpe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jpe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jpe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jpe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jpe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jpe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jpe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jpe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jpe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jpe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jpe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jpe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jpe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jpe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jpe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jpe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jpe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jpe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jpe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jpe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jpeg"/><Relationship Id="rId523" Type="http://schemas.openxmlformats.org/officeDocument/2006/relationships/image" Target="media/image489.png"/><Relationship Id="rId524" Type="http://schemas.openxmlformats.org/officeDocument/2006/relationships/image" Target="media/image490.jpe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jpeg"/><Relationship Id="rId528" Type="http://schemas.openxmlformats.org/officeDocument/2006/relationships/image" Target="media/image494.jpe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jpe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jpeg"/><Relationship Id="rId541" Type="http://schemas.openxmlformats.org/officeDocument/2006/relationships/image" Target="media/image507.jpe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jpe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jpeg"/><Relationship Id="rId553" Type="http://schemas.openxmlformats.org/officeDocument/2006/relationships/image" Target="media/image519.jpe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jpe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jpeg"/><Relationship Id="rId565" Type="http://schemas.openxmlformats.org/officeDocument/2006/relationships/image" Target="media/image531.jpeg"/><Relationship Id="rId566"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jpe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73" Type="http://schemas.openxmlformats.org/officeDocument/2006/relationships/image" Target="media/image539.png"/><Relationship Id="rId574" Type="http://schemas.openxmlformats.org/officeDocument/2006/relationships/image" Target="media/image540.png"/><Relationship Id="rId575" Type="http://schemas.openxmlformats.org/officeDocument/2006/relationships/image" Target="media/image541.png"/><Relationship Id="rId576" Type="http://schemas.openxmlformats.org/officeDocument/2006/relationships/image" Target="media/image542.jpeg"/><Relationship Id="rId577" Type="http://schemas.openxmlformats.org/officeDocument/2006/relationships/image" Target="media/image543.jpe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png"/><Relationship Id="rId584" Type="http://schemas.openxmlformats.org/officeDocument/2006/relationships/image" Target="media/image550.jpe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jpeg"/><Relationship Id="rId590" Type="http://schemas.openxmlformats.org/officeDocument/2006/relationships/image" Target="media/image556.jpeg"/><Relationship Id="rId591" Type="http://schemas.openxmlformats.org/officeDocument/2006/relationships/image" Target="media/image557.png"/><Relationship Id="rId592"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609" Type="http://schemas.openxmlformats.org/officeDocument/2006/relationships/image" Target="media/image575.png"/><Relationship Id="rId610" Type="http://schemas.openxmlformats.org/officeDocument/2006/relationships/image" Target="media/image576.png"/><Relationship Id="rId611" Type="http://schemas.openxmlformats.org/officeDocument/2006/relationships/image" Target="media/image577.png"/><Relationship Id="rId612" Type="http://schemas.openxmlformats.org/officeDocument/2006/relationships/image" Target="media/image578.png"/><Relationship Id="rId613" Type="http://schemas.openxmlformats.org/officeDocument/2006/relationships/image" Target="media/image579.png"/><Relationship Id="rId614" Type="http://schemas.openxmlformats.org/officeDocument/2006/relationships/image" Target="media/image580.png"/><Relationship Id="rId615" Type="http://schemas.openxmlformats.org/officeDocument/2006/relationships/image" Target="media/image581.png"/><Relationship Id="rId616" Type="http://schemas.openxmlformats.org/officeDocument/2006/relationships/image" Target="media/image582.png"/><Relationship Id="rId28" Type="http://schemas.openxmlformats.org/officeDocument/2006/relationships/hyperlink" Target="http://www.sec.gov/ix?doc=/Archives/edgar/data/1571996/000157199626000008/dell-20260130.htm" TargetMode="External"/><Relationship Id="rId29" Type="http://schemas.openxmlformats.org/officeDocument/2006/relationships/hyperlink" Target="http://www.sec.gov/ix?doc=/Archives/edgar/data/1571996/000119312526226734/d132444ddef14a.htm" TargetMode="External"/><Relationship Id="rId30" Type="http://schemas.openxmlformats.org/officeDocument/2006/relationships/hyperlink" Target="http://www.sec.gov/ix?doc=/Archives/edgar/data/1571996/000157199626000030/dell-20260501.htm" TargetMode="External"/><Relationship Id="rId31" Type="http://schemas.openxmlformats.org/officeDocument/2006/relationships/hyperlink" Target="http://www.sec.gov/ix?doc=/Archives/edgar/data/1571996/000157199626000013/dell-20260415.htm" TargetMode="External"/><Relationship Id="rId32" Type="http://schemas.openxmlformats.org/officeDocument/2006/relationships/hyperlink" Target="http://www.sec.gov/ix?doc=/Archives/edgar/data/1571996/000119312526265877/d98058d8k.htm" TargetMode="External"/><Relationship Id="rId60" Type="http://schemas.openxmlformats.org/officeDocument/2006/relationships/hyperlink" Target="http://www.sec.gov/Archives/edgar/data/790070/000119312523004209/d436748dex31.htm" TargetMode="External"/><Relationship Id="rId61" Type="http://schemas.openxmlformats.org/officeDocument/2006/relationships/hyperlink" Target="http://www.sec.gov/Archives/edgar/data/790070/000119312523004209/d436748dex32.htm" TargetMode="External"/><Relationship Id="rId62" Type="http://schemas.openxmlformats.org/officeDocument/2006/relationships/hyperlink" Target="http://www.sec.gov/Archives/edgar/data/790070/000119312521117831/d131098dex34.htm" TargetMode="External"/><Relationship Id="rId63" Type="http://schemas.openxmlformats.org/officeDocument/2006/relationships/hyperlink" Target="http://www.sec.gov/Archives/edgar/data/1571996/000157199622000025/ex31sixtharcertofdti.htm" TargetMode="External"/><Relationship Id="rId64" Type="http://schemas.openxmlformats.org/officeDocument/2006/relationships/hyperlink" Target="http://www.sec.gov/Archives/edgar/data/1571996/000157199622000025/ex32thirdbylawsofdti.htm" TargetMode="External"/><Relationship Id="rId65" Type="http://schemas.openxmlformats.org/officeDocument/2006/relationships/hyperlink" Target="http://www.sec.gov/Archives/edgar/data/790070/000119312521117831/d131098dex38.htm" TargetMode="External"/><Relationship Id="rId66" Type="http://schemas.openxmlformats.org/officeDocument/2006/relationships/hyperlink" Target="http://www.sec.gov/Archives/edgar/data/790070/000119312521117831/d131098dex361.htm" TargetMode="External"/><Relationship Id="rId67" Type="http://schemas.openxmlformats.org/officeDocument/2006/relationships/hyperlink" Target="http://www.sec.gov/Archives/edgar/data/790070/000119312521117831/d131098dex362.htm" TargetMode="External"/><Relationship Id="rId68" Type="http://schemas.openxmlformats.org/officeDocument/2006/relationships/hyperlink" Target="http://www.sec.gov/Archives/edgar/data/1571996/000119312523014260/d453590dex41.htm" TargetMode="External"/><Relationship Id="rId69" Type="http://schemas.openxmlformats.org/officeDocument/2006/relationships/hyperlink" Target="http://www.sec.gov/Archives/edgar/data/1571996/000119312523014260/d453590dex42.htm" TargetMode="External"/><Relationship Id="rId71" Type="http://schemas.openxmlformats.org/officeDocument/2006/relationships/hyperlink" Target="http://www.sec.gov/Archives/edgar/data/1571996/000119312523014260/d453590dex43.htm" TargetMode="External"/><Relationship Id="rId72" Type="http://schemas.openxmlformats.org/officeDocument/2006/relationships/hyperlink" Target="http://www.sec.gov/Archives/edgar/data/1571996/000119312524070193/d772920dex41.htm" TargetMode="External"/><Relationship Id="rId73" Type="http://schemas.openxmlformats.org/officeDocument/2006/relationships/hyperlink" Target="http://www.sec.gov/Archives/edgar/data/1571996/000119312524234446/d887607dex41.htm" TargetMode="External"/><Relationship Id="rId74" Type="http://schemas.openxmlformats.org/officeDocument/2006/relationships/hyperlink" Target="http://www.sec.gov/Archives/edgar/data/1571996/000119312524234446/d887607dex42.htm" TargetMode="External"/><Relationship Id="rId75" Type="http://schemas.openxmlformats.org/officeDocument/2006/relationships/hyperlink" Target="http://www.sec.gov/Archives/edgar/data/1571996/000119312525070461/d848892dex41.htm" TargetMode="External"/><Relationship Id="rId76" Type="http://schemas.openxmlformats.org/officeDocument/2006/relationships/hyperlink" Target="http://www.sec.gov/Archives/edgar/data/1571996/000119312525070461/d848892dex42.htm" TargetMode="External"/><Relationship Id="rId77" Type="http://schemas.openxmlformats.org/officeDocument/2006/relationships/hyperlink" Target="http://www.sec.gov/Archives/edgar/data/1571996/000119312525070461/d848892dex43.htm" TargetMode="External"/><Relationship Id="rId78" Type="http://schemas.openxmlformats.org/officeDocument/2006/relationships/hyperlink" Target="http://www.sec.gov/Archives/edgar/data/1571996/000119312525070461/d848892dex44.htm" TargetMode="External"/><Relationship Id="rId79" Type="http://schemas.openxmlformats.org/officeDocument/2006/relationships/hyperlink" Target="http://www.sec.gov/Archives/edgar/data/1571996/000119312525231904/d50652dex41.htm" TargetMode="External"/><Relationship Id="rId80" Type="http://schemas.openxmlformats.org/officeDocument/2006/relationships/hyperlink" Target="http://www.sec.gov/Archives/edgar/data/1571996/000119312525231904/d50652dex42.htm" TargetMode="External"/><Relationship Id="rId81" Type="http://schemas.openxmlformats.org/officeDocument/2006/relationships/hyperlink" Target="http://www.sec.gov/Archives/edgar/data/1571996/000119312525231904/d50652dex43.htm" TargetMode="External"/><Relationship Id="rId83" Type="http://schemas.openxmlformats.org/officeDocument/2006/relationships/hyperlink" Target="http://www.sec.gov/Archives/edgar/data/1571996/000119312525231904/d50652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2026-06-11T08:08:05Z</dcterms:created>
  <dcterms:modified xsi:type="dcterms:W3CDTF">2026-06-11T08:08:05Z</dcterms:modified>
</cp:coreProperties>
</file>