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8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November 15, 2022</w:t>
      </w:r>
    </w:p>
    <w:p>
      <w:pPr>
        <w:spacing w:after="0" w:line="39"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200"/>
          </w:cols>
          <w:pgMar w:left="320" w:top="1057" w:right="379" w:bottom="1440" w:gutter="0" w:footer="0" w:header="0"/>
        </w:sectPr>
      </w:pPr>
    </w:p>
    <w:p>
      <w:pPr>
        <w:spacing w:after="0" w:line="120"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0" w:space="720"/>
            <w:col w:w="3020" w:space="720"/>
            <w:col w:w="2240"/>
          </w:cols>
          <w:pgMar w:left="320" w:top="1057" w:right="37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920" w:space="720"/>
            <w:col w:w="2360"/>
          </w:cols>
          <w:pgMar w:left="320" w:top="1057" w:right="379" w:bottom="1440" w:gutter="0" w:footer="0" w:header="0"/>
          <w:type w:val="continuous"/>
        </w:sectPr>
      </w:pPr>
    </w:p>
    <w:p>
      <w:pPr>
        <w:ind w:left="2720"/>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2" w:lineRule="exact"/>
        <w:rPr>
          <w:sz w:val="24"/>
          <w:szCs w:val="24"/>
          <w:color w:val="auto"/>
        </w:rPr>
      </w:pPr>
    </w:p>
    <w:p>
      <w:pPr>
        <w:sectPr>
          <w:pgSz w:w="11900" w:h="16838" w:orient="portrait"/>
          <w:cols w:equalWidth="0" w:num="2">
            <w:col w:w="7960" w:space="720"/>
            <w:col w:w="2520"/>
          </w:cols>
          <w:pgMar w:left="320" w:top="1057" w:right="37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860" w:space="720"/>
            <w:col w:w="2620"/>
          </w:cols>
          <w:pgMar w:left="320" w:top="1057"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23" w:lineRule="exact"/>
        <w:rPr>
          <w:sz w:val="24"/>
          <w:szCs w:val="24"/>
          <w:color w:val="auto"/>
        </w:rPr>
      </w:pPr>
    </w:p>
    <w:p>
      <w:pPr>
        <w:ind w:right="64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1"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2980" w:type="dxa"/>
            <w:vAlign w:val="bottom"/>
            <w:gridSpan w:val="2"/>
          </w:tcPr>
          <w:p>
            <w:pPr>
              <w:jc w:val="center"/>
              <w:ind w:right="1680"/>
              <w:spacing w:after="0" w:line="198" w:lineRule="exact"/>
              <w:rPr>
                <w:sz w:val="20"/>
                <w:szCs w:val="20"/>
                <w:color w:val="auto"/>
              </w:rPr>
            </w:pPr>
            <w:r>
              <w:rPr>
                <w:rFonts w:ascii="Arial" w:cs="Arial" w:eastAsia="Arial" w:hAnsi="Arial"/>
                <w:sz w:val="18"/>
                <w:szCs w:val="18"/>
                <w:color w:val="auto"/>
                <w:w w:val="90"/>
              </w:rPr>
              <w:t>Title of each class</w:t>
            </w:r>
          </w:p>
        </w:tc>
        <w:tc>
          <w:tcPr>
            <w:tcW w:w="2180" w:type="dxa"/>
            <w:vAlign w:val="bottom"/>
            <w:gridSpan w:val="3"/>
          </w:tcPr>
          <w:p>
            <w:pPr>
              <w:jc w:val="center"/>
              <w:ind w:right="60"/>
              <w:spacing w:after="0" w:line="198" w:lineRule="exact"/>
              <w:rPr>
                <w:sz w:val="20"/>
                <w:szCs w:val="20"/>
                <w:color w:val="auto"/>
              </w:rPr>
            </w:pPr>
            <w:r>
              <w:rPr>
                <w:rFonts w:ascii="Arial" w:cs="Arial" w:eastAsia="Arial" w:hAnsi="Arial"/>
                <w:sz w:val="18"/>
                <w:szCs w:val="18"/>
                <w:color w:val="auto"/>
                <w:w w:val="92"/>
              </w:rPr>
              <w:t>Trading Symbol(s)</w:t>
            </w:r>
          </w:p>
        </w:tc>
        <w:tc>
          <w:tcPr>
            <w:tcW w:w="3620" w:type="dxa"/>
            <w:vAlign w:val="bottom"/>
            <w:gridSpan w:val="2"/>
          </w:tcPr>
          <w:p>
            <w:pPr>
              <w:jc w:val="center"/>
              <w:ind w:left="330"/>
              <w:spacing w:after="0" w:line="198"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21" w:lineRule="exact"/>
        <w:rPr>
          <w:sz w:val="24"/>
          <w:szCs w:val="24"/>
          <w:color w:val="auto"/>
        </w:rPr>
      </w:pPr>
    </w:p>
    <w:p>
      <w:pPr>
        <w:ind w:left="40" w:right="44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60"/>
        <w:spacing w:after="0" w:line="207" w:lineRule="exact"/>
        <w:tabs>
          <w:tab w:leader="none" w:pos="11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plaintiffs and the defendants have agreed to settle a previously reported lawsuit pending before the Delaware Court of Chancery, subject to approval of such settlement by the Court, relating to the transaction completed on December 28, 2018 in which Dell Technologies Inc. (the “Company”) paid $14.0 billion in cash and issued 149,387,617 shares of its Class C common stock to holders of its Class V common stock in exchange for all outstanding shares of its Class V common stock (the “Class V transaction”).</w:t>
      </w:r>
    </w:p>
    <w:p>
      <w:pPr>
        <w:spacing w:after="0" w:line="21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previously reported, certain stockholders of the Company, subsequently certified as a class, brought complaints arising out of the Class V transaction in which they named as defendants (collectively, the “defendants”) Michael S. Dell and certain other directors serving on the Company’s board of directors at the time of the Class V transaction (collectively, the “director defendants”) and certain stockholders of the Company, consisting of Mr. Dell and Silver Lake Group LLC and certain of its affiliated funds (collectively, the “stockholder defendants”). The plaintiffs generally alleged that the director defendants and the stockholder defendants breached their fiduciary duties under Delaware law to the former holders of the Class V common stock in connection with the Class V transaction by offering a transaction value that was allegedly billions of dollars below fair value. The settlement also covers claims against Goldman Sachs &amp; Co. LLC, which served as financial advisor to the Company in connection with the Class V transaction and is named as a defendant in the action.</w:t>
      </w:r>
    </w:p>
    <w:p>
      <w:pPr>
        <w:spacing w:after="0" w:line="22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Under the terms of the settlement, the plaintiffs have agreed to dismissal of all claims upon payment of a total of $1.0 billion (the “settlement amount”), which amount will include all costs, expenses and fees of the plaintiff class relating to the action and its resolution. The settlement terms provide that it is a condition of the settlement that the settlement amount will be paid by the Company and/or the Company’s insurers on behalf of defendants pursuant to indemnification obligations of the Company to the defendants. A special committee of the Company’s board of directors composed of directors who are not defendants, advised by independent counsel, has informed the board of directors that the committee has determined that the director defendants and the stockholder defendants are entitled to such indemnification. The Company is subject to indemnification obligations pursuant to the provisions of the Delaware General Corporation Law, the terms of the Company’s certificate of incorporation and bylaws, and agreements with the defendants. The settlement amount will be reflected in the Company’s fiscal third quarter results.</w:t>
      </w:r>
    </w:p>
    <w:p>
      <w:pPr>
        <w:spacing w:after="0" w:line="1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settlement is further conditioned on the execution of a definitive settlement agreement containing the foregoing terms and customary terms for class action settlements, and final approval of the settlement by the Court.</w:t>
      </w:r>
    </w:p>
    <w:p>
      <w:pPr>
        <w:spacing w:after="0" w:line="19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If the Court does not grant final approval of the settlement and all of its material terms, or the settlement does not otherwise become final or effective, proceedings in the action will continue.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 Looking Statements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This current report contains forward-looking statements, including, but not limited to, statements regarding the potential outcome of the final decision by the Delaware Court of Chancery regarding the proposed settlement agreement. The expectations expressed or implied in these forward-looking statements may not turn out to be correct. All forward-looking statements speak only as of the date hereof and are based on current expectations and involve a number of assumptions, risks and uncertainties that could cause the actual results to differ materially from such forward-looking statements, including the risk that the Delaware Court of Chancery may not grant final approval of the proposed settlement in accordance with the settlement agreement. A further description of the risks and uncertainties relating to the business of the Company is contained in the Company’s reports filed with the SEC, including the Company’s annual report on Form 10-K for the fiscal year ended January 28, 2022, quarterly reports on Form 10-Q, and current reports on Form 8-K. The Company does not undertake to update, and expressly disclaims any duty to update, its forward-looking statements, whether as a result of circumstances or events that arise after the date they are made,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91" w:right="379" w:bottom="144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15, 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Dell Technologies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29210</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4900" w:space="720"/>
            <w:col w:w="1720" w:space="400"/>
            <w:col w:w="3460"/>
          </w:cols>
          <w:pgMar w:left="320" w:top="891" w:right="379" w:bottom="1440" w:gutter="0" w:footer="0" w:header="0"/>
          <w:type w:val="continuous"/>
        </w:sectPr>
      </w:pPr>
    </w:p>
    <w:p>
      <w:pPr>
        <w:jc w:val="center"/>
        <w:ind w:left="6040"/>
        <w:spacing w:after="0"/>
        <w:rPr>
          <w:sz w:val="20"/>
          <w:szCs w:val="20"/>
          <w:color w:val="auto"/>
        </w:rPr>
      </w:pPr>
      <w:r>
        <w:rPr>
          <w:rFonts w:ascii="Arial" w:cs="Arial" w:eastAsia="Arial" w:hAnsi="Arial"/>
          <w:sz w:val="18"/>
          <w:szCs w:val="18"/>
          <w:color w:val="auto"/>
        </w:rPr>
        <w:t>Christopher A. Garcia</w:t>
      </w:r>
    </w:p>
    <w:p>
      <w:pPr>
        <w:jc w:val="center"/>
        <w:ind w:left="6040"/>
        <w:spacing w:after="0"/>
        <w:rPr>
          <w:sz w:val="20"/>
          <w:szCs w:val="20"/>
          <w:color w:val="auto"/>
        </w:rPr>
      </w:pPr>
      <w:r>
        <w:rPr>
          <w:rFonts w:ascii="Arial" w:cs="Arial" w:eastAsia="Arial" w:hAnsi="Arial"/>
          <w:sz w:val="16"/>
          <w:szCs w:val="16"/>
          <w:color w:val="auto"/>
        </w:rPr>
        <w:t>Senior Vice President and Assistant Secretary</w:t>
      </w:r>
    </w:p>
    <w:p>
      <w:pPr>
        <w:spacing w:after="0" w:line="4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sectPr>
      <w:pgSz w:w="11900" w:h="16838" w:orient="portrait"/>
      <w:cols w:equalWidth="0" w:num="1">
        <w:col w:w="11200"/>
      </w:cols>
      <w:pgMar w:left="320" w:top="89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2022-11-16T05:10:57Z</dcterms:created>
  <dcterms:modified xsi:type="dcterms:W3CDTF">2022-11-16T05:10:57Z</dcterms:modified>
</cp:coreProperties>
</file>