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160020</wp:posOffset>
            </wp:positionV>
            <wp:extent cx="304292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292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International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Co-Issuers</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$1,000,000,000 4.750% Senior Notes due 2031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$750,000,000 5.000% Senior Notes due 2034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$1,250,000,000 5.250% Senior Notes due 2037</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3" w:lineRule="exact"/>
        <w:rPr>
          <w:sz w:val="24"/>
          <w:szCs w:val="24"/>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This supplement (this “Pricing Term Sheet”) is qualified in its entirety by reference to the preliminary prospectus supplement dated June 11, 2026 (the “Preliminary Prospectus Supplement”) supplementing the base prospectus dated June 11, 2026 (the “Base Prospectus”) included in the registration statement (File No. 333-296691) filed with the Securities and Exchange Commission (the “SEC”). The information in this Pricing Term Sheet supplements the Preliminary Prospectus Supplement and supersedes the information in the Preliminary Prospectus Supplement and Base Prospectus to the extent inconsistent with the information contained therein. Terms used but not defined in this Pricing Term Sheet will have the meanings assigned in the Preliminary Prospectus Supplement.</w:t>
      </w: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Terms Applicable to All Notes</w:t>
            </w:r>
          </w:p>
        </w:tc>
        <w:tc>
          <w:tcPr>
            <w:tcW w:w="4280" w:type="dxa"/>
            <w:vAlign w:val="bottom"/>
          </w:tcPr>
          <w:p>
            <w:pPr>
              <w:spacing w:after="0"/>
              <w:rPr>
                <w:sz w:val="17"/>
                <w:szCs w:val="17"/>
                <w:color w:val="auto"/>
              </w:rPr>
            </w:pPr>
          </w:p>
        </w:tc>
      </w:tr>
      <w:tr>
        <w:trPr>
          <w:trHeight w:val="48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Co-Issuers:</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Dell International L.L.C. and EMC Corporation (the “Issuers”)</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 of the Notes:</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$3,000,000,000</w:t>
            </w:r>
          </w:p>
        </w:tc>
        <w:tc>
          <w:tcPr>
            <w:tcW w:w="4280" w:type="dxa"/>
            <w:vAlign w:val="bottom"/>
          </w:tcPr>
          <w:p>
            <w:pPr>
              <w:spacing w:after="0"/>
              <w:rPr>
                <w:sz w:val="24"/>
                <w:szCs w:val="24"/>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Ratings (Moody’s / S&amp;P / Fitch):</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Baa2 / BBB+ / BBB+*</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11, 2026</w:t>
            </w: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June 16, 2026 (T+3)</w:t>
            </w:r>
          </w:p>
        </w:tc>
      </w:tr>
      <w:tr>
        <w:trPr>
          <w:trHeight w:val="319"/>
        </w:trPr>
        <w:tc>
          <w:tcPr>
            <w:tcW w:w="3380" w:type="dxa"/>
            <w:vAlign w:val="bottom"/>
          </w:tcPr>
          <w:p>
            <w:pPr>
              <w:spacing w:after="0"/>
              <w:rPr>
                <w:sz w:val="24"/>
                <w:szCs w:val="24"/>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The settlement date of June 16, 2026 is the third business day following the trade date (such settlement</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being referred to as “T+3”). Since trades in the secondary market generally settle in one business day,</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purchasers who wish to trade the Notes (as defined below) on any date prior to the first business day</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before delivery will be required, by virtue of the fact that the Notes initially will settle in T+3, to</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specify an alternate settlement cycle at the time of any such trade to prevent a failed settlement.</w:t>
            </w:r>
          </w:p>
        </w:tc>
      </w:tr>
      <w:tr>
        <w:trPr>
          <w:trHeight w:val="216"/>
        </w:trPr>
        <w:tc>
          <w:tcPr>
            <w:tcW w:w="338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Purchasers of the Notes who wish to trade the Notes on any date prior to the first business day before</w:t>
            </w:r>
          </w:p>
        </w:tc>
      </w:tr>
      <w:tr>
        <w:trPr>
          <w:trHeight w:val="234"/>
        </w:trPr>
        <w:tc>
          <w:tcPr>
            <w:tcW w:w="3380" w:type="dxa"/>
            <w:vAlign w:val="bottom"/>
          </w:tcPr>
          <w:p>
            <w:pPr>
              <w:spacing w:after="0"/>
              <w:rPr>
                <w:sz w:val="20"/>
                <w:szCs w:val="20"/>
                <w:color w:val="auto"/>
              </w:rPr>
            </w:pPr>
          </w:p>
        </w:tc>
        <w:tc>
          <w:tcPr>
            <w:tcW w:w="7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delivery should consult their own advisors.</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0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Upon the occurrence of a Change of Control Triggering Event, the Issuers will be required to make an</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offer to purchase the Notes at a price equal to 101% of their principal amount plus accrued and unpaid</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to, but not including, the repurchase date.</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Denominations:</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$2,000 and $1,000 increments in excess thereof</w:t>
            </w:r>
          </w:p>
        </w:tc>
      </w:tr>
      <w:tr>
        <w:trPr>
          <w:trHeight w:val="30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 (in tiered</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2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alphabetical order):</w:t>
            </w:r>
          </w:p>
        </w:tc>
        <w:tc>
          <w:tcPr>
            <w:tcW w:w="14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SG Americas Securities,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UBS Securities LLC</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31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 (in alphabetical order):</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BNY Mellon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Santander US Capital Markets LLC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Standard Chartered Bank</w:t>
            </w: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315"/>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Co-Syndicate Managers (in alphabetical</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 King &amp; Associates, Inc.</w:t>
            </w: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order):</w:t>
            </w:r>
          </w:p>
        </w:tc>
        <w:tc>
          <w:tcPr>
            <w:tcW w:w="140" w:type="dxa"/>
            <w:vAlign w:val="bottom"/>
          </w:tcPr>
          <w:p>
            <w:pPr>
              <w:spacing w:after="0"/>
              <w:rPr>
                <w:sz w:val="20"/>
                <w:szCs w:val="20"/>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 Seelaus &amp; Co., LLC</w:t>
            </w:r>
          </w:p>
        </w:tc>
      </w:tr>
      <w:tr>
        <w:trPr>
          <w:trHeight w:val="621"/>
        </w:trPr>
        <w:tc>
          <w:tcPr>
            <w:tcW w:w="3260" w:type="dxa"/>
            <w:vAlign w:val="bottom"/>
          </w:tcPr>
          <w:p>
            <w:pPr>
              <w:spacing w:after="0"/>
              <w:rPr>
                <w:sz w:val="24"/>
                <w:szCs w:val="24"/>
                <w:color w:val="auto"/>
              </w:rPr>
            </w:pPr>
          </w:p>
        </w:tc>
        <w:tc>
          <w:tcPr>
            <w:tcW w:w="7640" w:type="dxa"/>
            <w:vAlign w:val="bottom"/>
            <w:gridSpan w:val="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Terms Applicable to the 4.750% Senior Notes due 2031</w:t>
            </w:r>
          </w:p>
        </w:tc>
      </w:tr>
      <w:tr>
        <w:trPr>
          <w:trHeight w:val="480"/>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140" w:type="dxa"/>
            <w:vAlign w:val="bottom"/>
          </w:tcPr>
          <w:p>
            <w:pPr>
              <w:spacing w:after="0"/>
              <w:rPr>
                <w:sz w:val="24"/>
                <w:szCs w:val="24"/>
                <w:color w:val="auto"/>
              </w:rPr>
            </w:pPr>
          </w:p>
        </w:tc>
        <w:tc>
          <w:tcPr>
            <w:tcW w:w="4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4.750% Senior Notes due 2031 (the “2031 Notes”)</w:t>
            </w:r>
          </w:p>
        </w:tc>
        <w:tc>
          <w:tcPr>
            <w:tcW w:w="32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$1,000,000,000</w:t>
            </w:r>
          </w:p>
        </w:tc>
        <w:tc>
          <w:tcPr>
            <w:tcW w:w="32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July 15, 2031</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140" w:type="dxa"/>
            <w:vAlign w:val="bottom"/>
          </w:tcPr>
          <w:p>
            <w:pPr>
              <w:spacing w:after="0"/>
              <w:rPr>
                <w:sz w:val="24"/>
                <w:szCs w:val="24"/>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99.563% of the principal amount plus accrued interest, if any, from June 16, 2026</w:t>
            </w: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4.750%</w:t>
            </w:r>
          </w:p>
        </w:tc>
        <w:tc>
          <w:tcPr>
            <w:tcW w:w="32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4.847%</w:t>
            </w:r>
          </w:p>
        </w:tc>
        <w:tc>
          <w:tcPr>
            <w:tcW w:w="3280" w:type="dxa"/>
            <w:vAlign w:val="bottom"/>
          </w:tcPr>
          <w:p>
            <w:pPr>
              <w:spacing w:after="0"/>
              <w:rPr>
                <w:sz w:val="24"/>
                <w:szCs w:val="24"/>
                <w:color w:val="auto"/>
              </w:rPr>
            </w:pPr>
          </w:p>
        </w:tc>
      </w:tr>
      <w:tr>
        <w:trPr>
          <w:trHeight w:val="365"/>
        </w:trPr>
        <w:tc>
          <w:tcPr>
            <w:tcW w:w="3260" w:type="dxa"/>
            <w:vAlign w:val="bottom"/>
          </w:tcPr>
          <w:p>
            <w:pPr>
              <w:spacing w:after="0"/>
              <w:rPr>
                <w:sz w:val="24"/>
                <w:szCs w:val="24"/>
                <w:color w:val="auto"/>
              </w:rPr>
            </w:pPr>
          </w:p>
        </w:tc>
        <w:tc>
          <w:tcPr>
            <w:tcW w:w="436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-2-</w:t>
            </w:r>
          </w:p>
        </w:tc>
        <w:tc>
          <w:tcPr>
            <w:tcW w:w="3280" w:type="dxa"/>
            <w:vAlign w:val="bottom"/>
          </w:tcPr>
          <w:p>
            <w:pPr>
              <w:spacing w:after="0"/>
              <w:rPr>
                <w:sz w:val="24"/>
                <w:szCs w:val="24"/>
                <w:color w:val="auto"/>
              </w:rPr>
            </w:pPr>
          </w:p>
        </w:tc>
      </w:tr>
    </w:tbl>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Gross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CUSIP/ISIN:</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$995,630,000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-213360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T+65 basis points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4.125% UST due May 31, 2031</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99-21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xml:space="preserve"> / 4.197%</w:t>
      </w:r>
    </w:p>
    <w:p>
      <w:pPr>
        <w:spacing w:after="0" w:line="100" w:lineRule="exact"/>
        <w:rPr>
          <w:sz w:val="20"/>
          <w:szCs w:val="20"/>
          <w:color w:val="auto"/>
        </w:rPr>
      </w:pPr>
    </w:p>
    <w:p>
      <w:pPr>
        <w:ind w:left="140" w:right="1619"/>
        <w:spacing w:after="0" w:line="364" w:lineRule="auto"/>
        <w:rPr>
          <w:sz w:val="20"/>
          <w:szCs w:val="20"/>
          <w:color w:val="auto"/>
        </w:rPr>
      </w:pPr>
      <w:r>
        <w:rPr>
          <w:rFonts w:ascii="Times New Roman" w:cs="Times New Roman" w:eastAsia="Times New Roman" w:hAnsi="Times New Roman"/>
          <w:sz w:val="18"/>
          <w:szCs w:val="18"/>
          <w:color w:val="auto"/>
        </w:rPr>
        <w:t>January 15 and July 15 of each year, commencing January 15, 2027 January 1 and July 1 of each year</w:t>
      </w:r>
    </w:p>
    <w:p>
      <w:pPr>
        <w:ind w:left="140"/>
        <w:spacing w:after="0"/>
        <w:rPr>
          <w:sz w:val="20"/>
          <w:szCs w:val="20"/>
          <w:color w:val="auto"/>
        </w:rPr>
      </w:pPr>
      <w:r>
        <w:rPr>
          <w:rFonts w:ascii="Times New Roman" w:cs="Times New Roman" w:eastAsia="Times New Roman" w:hAnsi="Times New Roman"/>
          <w:sz w:val="18"/>
          <w:szCs w:val="18"/>
          <w:color w:val="auto"/>
        </w:rPr>
        <w:t>Make-whole call @ T+10 bps prior to June 15, 2031 (one month prior to maturity)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 call on or after June 15, 2031 (one month prior to maturity)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24703D BV2 / US24703DBV29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Terms Applicable to the 5.000% Senior Notes due 2034</w:t>
      </w: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5.000% Senior Notes due 2034 (the “2034 Notes”)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February 15, 2034</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99.404% of the principal amount plus accrued interest, if any, from June 16, 2026</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5.000%</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5.096%</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$745,530,000</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T+77 basis points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4.250% UST due May 31, 2033</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99-17+ / 4.326%</w:t>
      </w:r>
    </w:p>
    <w:p>
      <w:pPr>
        <w:spacing w:after="0" w:line="117" w:lineRule="exact"/>
        <w:rPr>
          <w:sz w:val="20"/>
          <w:szCs w:val="20"/>
          <w:color w:val="auto"/>
        </w:rPr>
      </w:pPr>
    </w:p>
    <w:p>
      <w:pPr>
        <w:ind w:left="140" w:right="1319"/>
        <w:spacing w:after="0" w:line="375" w:lineRule="auto"/>
        <w:rPr>
          <w:sz w:val="20"/>
          <w:szCs w:val="20"/>
          <w:color w:val="auto"/>
        </w:rPr>
      </w:pPr>
      <w:r>
        <w:rPr>
          <w:rFonts w:ascii="Times New Roman" w:cs="Times New Roman" w:eastAsia="Times New Roman" w:hAnsi="Times New Roman"/>
          <w:sz w:val="18"/>
          <w:szCs w:val="18"/>
          <w:color w:val="auto"/>
        </w:rPr>
        <w:t>February 15 and August 15 of each year, commencing August 15, 2026 February 1 and August 1 of each year</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Make-whole call @ T+15 bps prior to December 15, 2033 (two months prior to maturity)</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 call on or after December 15, 2033 (two months prior to maturity)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24703D BW0 / US24703DBW02</w:t>
      </w:r>
    </w:p>
    <w:p>
      <w:pPr>
        <w:spacing w:after="0" w:line="1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680" w:space="720"/>
            <w:col w:w="6619"/>
          </w:cols>
          <w:pgMar w:left="440" w:top="26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75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Terms Applicable to the 5.250% Senior Notes due 2037</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tc>
        <w:tc>
          <w:tcPr>
            <w:tcW w:w="36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5.250% Senior Notes due 2037 (the “2037 Notes” and, together with the 2031 Notes and the 2034</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the “Notes”)</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$1,250,000,000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15, 2037</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99.259% of the principal amount plus accrued interest, if any, from June 16, 2026</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5.250%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5.343%</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$1,240,737,500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T+87 basis points</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4.375% UST due May 15, 2036</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 Yield:</w:t>
            </w:r>
          </w:p>
        </w:tc>
        <w:tc>
          <w:tcPr>
            <w:tcW w:w="4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99-07 / 4.473%</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15 and August 15 of each year, commencing August 15, 2026</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1 and August 1 of each year</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Make-whole call @ T+15 bps prior to November 15, 2036 (three months prior to maturity)</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 call on or after November 15, 2036 (three months prior to maturity)</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360" w:type="dxa"/>
            <w:vAlign w:val="bottom"/>
          </w:tcPr>
          <w:p>
            <w:pPr>
              <w:spacing w:after="0"/>
              <w:rPr>
                <w:sz w:val="24"/>
                <w:szCs w:val="24"/>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24703D BX8 / US24703DBX84</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Issuers have filed a registration statement (including a prospectus) and a preliminary prospectus supplement with the SEC for the offering to which this communication relates. Before you invest, you should read the prospectus and the preliminary prospectus supplement in that registration statement and other documents the Issuers have filed with the SEC for more complete information about the Issuers and this offering. You may obtain these documents for free by visiting EDGAR on the SEC website at www.sec.gov. Alternatively, the Issuers, any underwriter or any dealer participating in the offering will arrange to send you the prospectus and the prospectus supplement if you request them by calling Barclays Capital Inc., by telephone toll free: 1-888-603-5847, BofA Securities, Inc., by telephone toll free: 1-800-294-1322, Goldman Sachs &amp; Co. LLC, by telephone toll free: 1-866-471-2526, HSBC Securities (USA) Inc., by telephone toll free: 1-866-811-8049, J.P. Morgan Securities LLC, by telephone collect: 1-212-834-4533, and PNC Capital Markets LLC, by telephone toll free: 1-855-881-0697.</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57"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Note: A securities rating is not a recommendation to buy, sell or hold securities and may be subject to revision or withdrawal at any time.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disclaimers or other notices that may appear below are not applicable to this communication and should be disregarded. Such disclaimers were automatically generated as a result of this communication being sent via Bloomberg email or another communication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2026-06-11T16:21:51Z</dcterms:created>
  <dcterms:modified xsi:type="dcterms:W3CDTF">2026-06-11T16:21:51Z</dcterms:modified>
</cp:coreProperties>
</file>