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212"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SL SPV-2,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212"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460" w:type="dxa"/>
            <w:vAlign w:val="bottom"/>
            <w:gridSpan w:val="5"/>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5"/>
          </w:tcPr>
          <w:p>
            <w:pPr>
              <w:ind w:left="52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ind w:left="52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20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5400" w:type="dxa"/>
            <w:vAlign w:val="bottom"/>
            <w:tcBorders>
              <w:bottom w:val="single" w:sz="8" w:color="2C2C2C"/>
            </w:tcBorders>
            <w:gridSpan w:val="7"/>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8"/>
          </w:tcPr>
          <w:p>
            <w:pPr>
              <w:jc w:val="center"/>
              <w:ind w:right="17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2040" w:type="dxa"/>
            <w:vAlign w:val="bottom"/>
            <w:gridSpan w:val="2"/>
          </w:tcPr>
          <w:p>
            <w:pPr>
              <w:ind w:left="10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ind w:left="10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gridSpan w:val="2"/>
          </w:tcPr>
          <w:p>
            <w:pPr>
              <w:jc w:val="center"/>
              <w:ind w:left="92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33,396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33,396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2,325</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380.49</w:t>
            </w:r>
            <w:r>
              <w:rPr>
                <w:rFonts w:ascii="Times New Roman" w:cs="Times New Roman" w:eastAsia="Times New Roman" w:hAnsi="Times New Roman"/>
                <w:sz w:val="20"/>
                <w:szCs w:val="20"/>
                <w:color w:val="008000"/>
                <w:w w:val="93"/>
                <w:vertAlign w:val="superscript"/>
              </w:rPr>
              <w:t>(10)</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31,071</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5,243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381.74</w:t>
            </w:r>
            <w:r>
              <w:rPr>
                <w:rFonts w:ascii="Times New Roman" w:cs="Times New Roman" w:eastAsia="Times New Roman" w:hAnsi="Times New Roman"/>
                <w:sz w:val="20"/>
                <w:szCs w:val="20"/>
                <w:color w:val="008000"/>
                <w:w w:val="93"/>
                <w:vertAlign w:val="superscript"/>
              </w:rPr>
              <w:t>(11)</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25,828</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437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382.63</w:t>
            </w:r>
            <w:r>
              <w:rPr>
                <w:rFonts w:ascii="Times New Roman" w:cs="Times New Roman" w:eastAsia="Times New Roman" w:hAnsi="Times New Roman"/>
                <w:sz w:val="20"/>
                <w:szCs w:val="20"/>
                <w:color w:val="008000"/>
                <w:w w:val="93"/>
                <w:vertAlign w:val="superscript"/>
              </w:rPr>
              <w:t>(12)</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25,391</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199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383.02</w:t>
            </w:r>
            <w:r>
              <w:rPr>
                <w:rFonts w:ascii="Times New Roman" w:cs="Times New Roman" w:eastAsia="Times New Roman" w:hAnsi="Times New Roman"/>
                <w:sz w:val="20"/>
                <w:szCs w:val="20"/>
                <w:color w:val="008000"/>
                <w:w w:val="93"/>
                <w:vertAlign w:val="superscript"/>
              </w:rPr>
              <w:t>(13)</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25,193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79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384.15</w:t>
            </w:r>
            <w:r>
              <w:rPr>
                <w:rFonts w:ascii="Times New Roman" w:cs="Times New Roman" w:eastAsia="Times New Roman" w:hAnsi="Times New Roman"/>
                <w:sz w:val="20"/>
                <w:szCs w:val="20"/>
                <w:color w:val="008000"/>
                <w:w w:val="93"/>
                <w:vertAlign w:val="superscript"/>
              </w:rPr>
              <w:t>(14)</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25,113</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556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386.25</w:t>
            </w:r>
            <w:r>
              <w:rPr>
                <w:rFonts w:ascii="Times New Roman" w:cs="Times New Roman" w:eastAsia="Times New Roman" w:hAnsi="Times New Roman"/>
                <w:sz w:val="20"/>
                <w:szCs w:val="20"/>
                <w:color w:val="008000"/>
                <w:w w:val="93"/>
                <w:vertAlign w:val="superscript"/>
              </w:rPr>
              <w:t>(15)</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24,558</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397</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387.41</w:t>
            </w:r>
            <w:r>
              <w:rPr>
                <w:rFonts w:ascii="Times New Roman" w:cs="Times New Roman" w:eastAsia="Times New Roman" w:hAnsi="Times New Roman"/>
                <w:sz w:val="20"/>
                <w:szCs w:val="20"/>
                <w:color w:val="008000"/>
                <w:w w:val="93"/>
                <w:vertAlign w:val="superscript"/>
              </w:rPr>
              <w:t>(16)</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24,160</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556</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388.67</w:t>
            </w:r>
            <w:r>
              <w:rPr>
                <w:rFonts w:ascii="Times New Roman" w:cs="Times New Roman" w:eastAsia="Times New Roman" w:hAnsi="Times New Roman"/>
                <w:sz w:val="20"/>
                <w:szCs w:val="20"/>
                <w:color w:val="008000"/>
                <w:w w:val="93"/>
                <w:vertAlign w:val="superscript"/>
              </w:rPr>
              <w:t>(17)</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23,605</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040" w:type="dxa"/>
            <w:vAlign w:val="bottom"/>
            <w:gridSpan w:val="2"/>
            <w:vMerge w:val="restart"/>
          </w:tcPr>
          <w:p>
            <w:pPr>
              <w:jc w:val="center"/>
              <w:ind w:left="945"/>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vMerge w:val="restart"/>
          </w:tcPr>
          <w:p>
            <w:pPr>
              <w:jc w:val="center"/>
              <w:ind w:left="5"/>
              <w:spacing w:after="0"/>
              <w:rPr>
                <w:sz w:val="20"/>
                <w:szCs w:val="20"/>
                <w:color w:val="auto"/>
              </w:rPr>
            </w:pPr>
            <w:r>
              <w:rPr>
                <w:rFonts w:ascii="Times New Roman" w:cs="Times New Roman" w:eastAsia="Times New Roman" w:hAnsi="Times New Roman"/>
                <w:sz w:val="16"/>
                <w:szCs w:val="16"/>
                <w:color w:val="0000FF"/>
                <w:w w:val="99"/>
              </w:rPr>
              <w:t>3,849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390.54</w:t>
            </w:r>
            <w:r>
              <w:rPr>
                <w:rFonts w:ascii="Times New Roman" w:cs="Times New Roman" w:eastAsia="Times New Roman" w:hAnsi="Times New Roman"/>
                <w:sz w:val="20"/>
                <w:szCs w:val="20"/>
                <w:color w:val="008000"/>
                <w:w w:val="93"/>
                <w:vertAlign w:val="superscript"/>
              </w:rPr>
              <w:t>(18)</w:t>
            </w: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6"/>
                <w:szCs w:val="16"/>
                <w:color w:val="0000FF"/>
              </w:rPr>
              <w:t>19,756</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4" w:right="459" w:bottom="212" w:gutter="0" w:footer="0" w:header="0"/>
          <w:type w:val="continuous"/>
        </w:sectPr>
      </w:pPr>
    </w:p>
    <w:bookmarkStart w:id="1" w:name="page2"/>
    <w:bookmarkEnd w:id="1"/>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2,515</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391.43</w:t>
            </w:r>
            <w:r>
              <w:rPr>
                <w:rFonts w:ascii="Times New Roman" w:cs="Times New Roman" w:eastAsia="Times New Roman" w:hAnsi="Times New Roman"/>
                <w:sz w:val="20"/>
                <w:szCs w:val="20"/>
                <w:color w:val="008000"/>
                <w:vertAlign w:val="superscript"/>
              </w:rPr>
              <w:t>(19)</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17,241</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40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392.04</w:t>
            </w:r>
            <w:r>
              <w:rPr>
                <w:rFonts w:ascii="Times New Roman" w:cs="Times New Roman" w:eastAsia="Times New Roman" w:hAnsi="Times New Roman"/>
                <w:sz w:val="20"/>
                <w:szCs w:val="20"/>
                <w:color w:val="008000"/>
                <w:vertAlign w:val="superscript"/>
              </w:rPr>
              <w:t>(20)</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17,200</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337</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395.11</w:t>
            </w:r>
            <w:r>
              <w:rPr>
                <w:rFonts w:ascii="Times New Roman" w:cs="Times New Roman" w:eastAsia="Times New Roman" w:hAnsi="Times New Roman"/>
                <w:sz w:val="20"/>
                <w:szCs w:val="20"/>
                <w:color w:val="008000"/>
                <w:vertAlign w:val="superscript"/>
              </w:rPr>
              <w:t>(21)</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16,863</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1,332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396.18</w:t>
            </w:r>
            <w:r>
              <w:rPr>
                <w:rFonts w:ascii="Times New Roman" w:cs="Times New Roman" w:eastAsia="Times New Roman" w:hAnsi="Times New Roman"/>
                <w:sz w:val="20"/>
                <w:szCs w:val="20"/>
                <w:color w:val="008000"/>
                <w:vertAlign w:val="superscript"/>
              </w:rPr>
              <w:t>(22)</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15,531</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2,391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396.99</w:t>
            </w:r>
            <w:r>
              <w:rPr>
                <w:rFonts w:ascii="Times New Roman" w:cs="Times New Roman" w:eastAsia="Times New Roman" w:hAnsi="Times New Roman"/>
                <w:sz w:val="20"/>
                <w:szCs w:val="20"/>
                <w:color w:val="008000"/>
                <w:vertAlign w:val="superscript"/>
              </w:rPr>
              <w:t>(23)</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13,140</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1,903</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398.17</w:t>
            </w:r>
            <w:r>
              <w:rPr>
                <w:rFonts w:ascii="Times New Roman" w:cs="Times New Roman" w:eastAsia="Times New Roman" w:hAnsi="Times New Roman"/>
                <w:sz w:val="20"/>
                <w:szCs w:val="20"/>
                <w:color w:val="008000"/>
                <w:vertAlign w:val="superscript"/>
              </w:rPr>
              <w:t>(24)</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11,237</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758</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399.01</w:t>
            </w:r>
            <w:r>
              <w:rPr>
                <w:rFonts w:ascii="Times New Roman" w:cs="Times New Roman" w:eastAsia="Times New Roman" w:hAnsi="Times New Roman"/>
                <w:sz w:val="20"/>
                <w:szCs w:val="20"/>
                <w:color w:val="008000"/>
                <w:vertAlign w:val="superscript"/>
              </w:rPr>
              <w:t>(25)</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10,478</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1,242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400.07</w:t>
            </w:r>
            <w:r>
              <w:rPr>
                <w:rFonts w:ascii="Times New Roman" w:cs="Times New Roman" w:eastAsia="Times New Roman" w:hAnsi="Times New Roman"/>
                <w:sz w:val="20"/>
                <w:szCs w:val="20"/>
                <w:color w:val="008000"/>
                <w:vertAlign w:val="superscript"/>
              </w:rPr>
              <w:t>(26)</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9,236</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521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401.09</w:t>
            </w:r>
            <w:r>
              <w:rPr>
                <w:rFonts w:ascii="Times New Roman" w:cs="Times New Roman" w:eastAsia="Times New Roman" w:hAnsi="Times New Roman"/>
                <w:sz w:val="20"/>
                <w:szCs w:val="20"/>
                <w:color w:val="008000"/>
                <w:vertAlign w:val="superscript"/>
              </w:rPr>
              <w:t>(27)</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8,715</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756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402.24</w:t>
            </w:r>
            <w:r>
              <w:rPr>
                <w:rFonts w:ascii="Times New Roman" w:cs="Times New Roman" w:eastAsia="Times New Roman" w:hAnsi="Times New Roman"/>
                <w:sz w:val="20"/>
                <w:szCs w:val="20"/>
                <w:color w:val="008000"/>
                <w:vertAlign w:val="superscript"/>
              </w:rPr>
              <w:t>(28)</w:t>
            </w: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7,960</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SL SPV-2,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400" w:type="dxa"/>
            <w:vAlign w:val="bottom"/>
            <w:tcBorders>
              <w:bottom w:val="single" w:sz="8" w:color="2C2C2C"/>
            </w:tcBorders>
          </w:tcPr>
          <w:p>
            <w:pPr>
              <w:spacing w:after="0"/>
              <w:rPr>
                <w:sz w:val="23"/>
                <w:szCs w:val="23"/>
                <w:color w:val="auto"/>
              </w:rPr>
            </w:pPr>
          </w:p>
        </w:tc>
        <w:tc>
          <w:tcPr>
            <w:tcW w:w="224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w w:val="99"/>
              </w:rPr>
              <w:t>9,359</w:t>
            </w:r>
          </w:p>
        </w:tc>
        <w:tc>
          <w:tcPr>
            <w:tcW w:w="70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11"/>
        </w:trPr>
        <w:tc>
          <w:tcPr>
            <w:tcW w:w="24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100"/>
        </w:trPr>
        <w:tc>
          <w:tcPr>
            <w:tcW w:w="24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4,845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164,214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0"/>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47,234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2"/>
            <w:vMerge w:val="restart"/>
          </w:tcPr>
          <w:p>
            <w:pPr>
              <w:jc w:val="center"/>
              <w:ind w:right="244"/>
              <w:spacing w:after="0"/>
              <w:rPr>
                <w:sz w:val="20"/>
                <w:szCs w:val="20"/>
                <w:color w:val="auto"/>
              </w:rPr>
            </w:pPr>
            <w:r>
              <w:rPr>
                <w:rFonts w:ascii="Times New Roman" w:cs="Times New Roman" w:eastAsia="Times New Roman" w:hAnsi="Times New Roman"/>
                <w:sz w:val="16"/>
                <w:szCs w:val="16"/>
                <w:color w:val="0000FF"/>
                <w:w w:val="99"/>
              </w:rPr>
              <w:t>5,322</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5"/>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8"/>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7"/>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9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8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-1445895</wp:posOffset>
            </wp:positionV>
            <wp:extent cx="28575" cy="1454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 cy="1454785"/>
                    </a:xfrm>
                    <a:prstGeom prst="rect">
                      <a:avLst/>
                    </a:prstGeom>
                    <a:noFill/>
                  </pic:spPr>
                </pic:pic>
              </a:graphicData>
            </a:graphic>
          </wp:anchor>
        </w:drawing>
      </w:r>
    </w:p>
    <w:p>
      <w:pPr>
        <w:sectPr>
          <w:pgSz w:w="11900" w:h="16898" w:orient="portrait"/>
          <w:cols w:equalWidth="0" w:num="1">
            <w:col w:w="11080"/>
          </w:cols>
          <w:pgMar w:left="460" w:top="189" w:right="359" w:bottom="0" w:gutter="0" w:footer="0" w:header="0"/>
        </w:sectPr>
      </w:pPr>
    </w:p>
    <w:bookmarkStart w:id="2" w:name="page3"/>
    <w:bookmarkEnd w:id="2"/>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restart"/>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5"/>
                <w:szCs w:val="5"/>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33,396</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through SL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2"/>
                <w:szCs w:val="12"/>
                <w:color w:val="0000FF"/>
              </w:rPr>
              <w:t>06/09/2026</w:t>
            </w:r>
          </w:p>
        </w:tc>
        <w:tc>
          <w:tcPr>
            <w:tcW w:w="10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33,396</w:t>
            </w: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ind w:left="28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17,314,068</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SPV-2, L.P.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8000"/>
              </w:rPr>
              <w:t>(3)(4)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27,774,110</w:t>
            </w: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5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restart"/>
          </w:tcPr>
          <w:p>
            <w:pPr>
              <w:ind w:left="180"/>
              <w:spacing w:after="0" w:line="101" w:lineRule="exact"/>
              <w:rPr>
                <w:sz w:val="20"/>
                <w:szCs w:val="20"/>
                <w:color w:val="auto"/>
              </w:rPr>
            </w:pPr>
            <w:r>
              <w:rPr>
                <w:rFonts w:ascii="Times New Roman" w:cs="Times New Roman" w:eastAsia="Times New Roman" w:hAnsi="Times New Roman"/>
                <w:sz w:val="11"/>
                <w:szCs w:val="11"/>
                <w:color w:val="0000FF"/>
              </w:rPr>
              <w:t>27,774,110</w:t>
            </w:r>
          </w:p>
        </w:tc>
        <w:tc>
          <w:tcPr>
            <w:tcW w:w="72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gridSpan w:val="2"/>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10"/>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SL SPV-2, L.P.</w:t>
              </w:r>
            </w:hyperlink>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SPV-2, L.P.</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SPV-2 (GP), L.L.C.</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40" w:type="dxa"/>
            <w:vAlign w:val="bottom"/>
          </w:tcPr>
          <w:p>
            <w:pPr>
              <w:ind w:left="420"/>
              <w:spacing w:after="0"/>
              <w:rPr>
                <w:sz w:val="20"/>
                <w:szCs w:val="20"/>
                <w:color w:val="auto"/>
              </w:rPr>
            </w:pPr>
            <w:r>
              <w:rPr>
                <w:rFonts w:ascii="Arial" w:cs="Arial" w:eastAsia="Arial" w:hAnsi="Arial"/>
                <w:sz w:val="12"/>
                <w:szCs w:val="12"/>
                <w:color w:val="auto"/>
              </w:rPr>
              <w:t>(Zip)</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10"/>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4"/>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40" w:type="dxa"/>
            <w:vAlign w:val="bottom"/>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74" w:orient="portrait"/>
          <w:cols w:equalWidth="0" w:num="1">
            <w:col w:w="11080"/>
          </w:cols>
          <w:pgMar w:left="460" w:top="189" w:right="359" w:bottom="0" w:gutter="0" w:footer="0" w:header="0"/>
        </w:sectPr>
      </w:pPr>
    </w:p>
    <w:p>
      <w:pPr>
        <w:spacing w:after="0" w:line="89"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74" w:orient="portrait"/>
          <w:cols w:equalWidth="0" w:num="1">
            <w:col w:w="11080"/>
          </w:cols>
          <w:pgMar w:left="460" w:top="189" w:right="359" w:bottom="0" w:gutter="0" w:footer="0" w:header="0"/>
          <w:type w:val="continuous"/>
        </w:sectPr>
      </w:pPr>
    </w:p>
    <w:bookmarkStart w:id="3" w:name="page4"/>
    <w:bookmarkEnd w:id="3"/>
    <w:p>
      <w:pPr>
        <w:ind w:left="3"/>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67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14320" cy="67945"/>
                    </a:xfrm>
                    <a:prstGeom prst="rect">
                      <a:avLst/>
                    </a:prstGeom>
                    <a:noFill/>
                  </pic:spPr>
                </pic:pic>
              </a:graphicData>
            </a:graphic>
          </wp:anchor>
        </w:drawing>
        <w:t>Explanation of Responses:</w:t>
      </w:r>
    </w:p>
    <w:p>
      <w:pPr>
        <w:spacing w:after="0" w:line="49" w:lineRule="exact"/>
        <w:rPr>
          <w:sz w:val="20"/>
          <w:szCs w:val="20"/>
          <w:color w:val="auto"/>
        </w:rPr>
      </w:pPr>
    </w:p>
    <w:p>
      <w:pPr>
        <w:jc w:val="both"/>
        <w:ind w:left="3" w:right="40" w:hanging="3"/>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3" w:right="20" w:hanging="3"/>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p>
      <w:pPr>
        <w:spacing w:after="0" w:line="13"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SL SPV-2, L.P. The general partner of SL SPV-2, L.P. is SLTA SPV-2, L.P. and the general partner of SLTA SPV-2, L.P. is SLTA SPV-2 (GP), L.L.C.</w:t>
      </w:r>
    </w:p>
    <w:p>
      <w:pPr>
        <w:spacing w:after="0" w:line="49" w:lineRule="exact"/>
        <w:rPr>
          <w:rFonts w:ascii="Times New Roman" w:cs="Times New Roman" w:eastAsia="Times New Roman" w:hAnsi="Times New Roman"/>
          <w:sz w:val="12"/>
          <w:szCs w:val="12"/>
          <w:color w:val="008000"/>
        </w:rPr>
      </w:pPr>
    </w:p>
    <w:p>
      <w:pPr>
        <w:ind w:left="3" w:right="12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SPV-2 (GP), L.L.C. Egon Durban, who serves as a director of the Issuer, also serves as a Co-CEO and Managing Member of SLG. Each of the Reporting Persons may be deemed a director by deputization of the Issuer.</w:t>
      </w:r>
    </w:p>
    <w:p>
      <w:pPr>
        <w:ind w:left="3" w:right="28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p>
      <w:pPr>
        <w:ind w:left="3"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3" w:right="40" w:hanging="3"/>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3" w:right="22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by Mr. Durban including shares received in connection with the distributions of shares of Class C Common Stock on June 9, 2026. The receipt of such shares of Class C Common Stock was exempt from reporting pursuant to Rule 16a-13 of the Exchange Act. Mr. Durban has filed a separate Form 4 reporting transactions in securities of the Issuer on June 9, 2026.</w:t>
      </w:r>
    </w:p>
    <w:p>
      <w:pPr>
        <w:ind w:left="3" w:right="120" w:hanging="3"/>
        <w:spacing w:after="0" w:line="282"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$380.0000 to $380.9800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$381.0000 to $381.9300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$382.0500 to $382.8500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$383.0000 to $383.1200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$384.1200 to $384.1800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$385.7600 to $386.7000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$386.9900 to $387.9300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8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$388.3200 to $389.1100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$390.0000 to $390.9983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$391.0000 to $391.9818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$392.0187 to $392.0794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$394.4800 to $395.4268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$395.5264 to $396.4800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$396.5300 to $397.5167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$397.5900 to $398.5700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$398.5900 to $399.5097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$399.6000 to $400.5786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$400.7600 to $401.7224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60"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$401.8262 to $402.7200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3" w:right="200"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0 shares of Class C Common Stock, Silver Lake Partners V DE (AIV), L.P. directly holds 5,322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3" w:right="40"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Silver Lake Partners IV, L.P. directly holds 17,773,759 shares of Class B Common Stock, Silver Lake Partners V DE (AIV), L.P. directly holds 9,620,914 shares of Class B Common Stock, Silver Lake Technology Investors IV, L.P. directly holds 261,510 shares of Class B Common Stock and Silver Lake Technology Investors V, L.P. directly holds 117,927 shares of Class B Common Stock, which securities are reported on separate Form 4 filings.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right="6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83"/>
          </w:cols>
          <w:pgMar w:left="497" w:top="252" w:right="519" w:bottom="0" w:gutter="0" w:footer="0" w:header="0"/>
        </w:sectPr>
      </w:pP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-4445</wp:posOffset>
            </wp:positionV>
            <wp:extent cx="13208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SPV-2, L.P.,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604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6047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6229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2293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5"/>
          <w:szCs w:val="15"/>
          <w:color w:val="0000FF"/>
        </w:rPr>
        <w:t>L.L.C., general partner of SLTA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-4445</wp:posOffset>
            </wp:positionV>
            <wp:extent cx="13208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4768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7688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573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ectPr>
          <w:pgSz w:w="11900" w:h="16838" w:orient="portrait"/>
          <w:cols w:equalWidth="0" w:num="2">
            <w:col w:w="8643" w:space="120"/>
            <w:col w:w="2120"/>
          </w:cols>
          <w:pgMar w:left="497" w:top="252" w:right="519" w:bottom="0" w:gutter="0" w:footer="0" w:header="0"/>
          <w:type w:val="continuous"/>
        </w:sectPr>
      </w:pPr>
    </w:p>
    <w:bookmarkStart w:id="4" w:name="page5"/>
    <w:bookmarkEnd w:id="4"/>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1703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tabs>
          <w:tab w:leader="none" w:pos="8742" w:val="left"/>
        </w:tabs>
        <w:rPr>
          <w:sz w:val="20"/>
          <w:szCs w:val="20"/>
          <w:color w:val="auto"/>
        </w:rPr>
      </w:pPr>
      <w:r>
        <w:rPr>
          <w:rFonts w:ascii="Times New Roman" w:cs="Times New Roman" w:eastAsia="Times New Roman" w:hAnsi="Times New Roman"/>
          <w:sz w:val="16"/>
          <w:szCs w:val="16"/>
          <w:color w:val="0000FF"/>
        </w:rPr>
        <w:t>Attorney-in-fact for Egon</w:t>
      </w:r>
      <w:r>
        <w:rPr>
          <w:sz w:val="20"/>
          <w:szCs w:val="20"/>
          <w:color w:val="auto"/>
        </w:rPr>
        <w:tab/>
      </w: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8599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13" Type="http://schemas.openxmlformats.org/officeDocument/2006/relationships/hyperlink" Target="http://www.sec.gov/cgi-bin/browse-edgar?action=getcompany&amp;CIK=0001767114"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767115" TargetMode="External"/><Relationship Id="rId20" Type="http://schemas.openxmlformats.org/officeDocument/2006/relationships/hyperlink" Target="http://www.sec.gov/cgi-bin/browse-edgar?action=getcompany&amp;CIK=0001767116"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2026-06-11T16:25:29Z</dcterms:created>
  <dcterms:modified xsi:type="dcterms:W3CDTF">2026-06-11T16:25:29Z</dcterms:modified>
</cp:coreProperties>
</file>