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44"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SLTA IV (GP), L.L.C.</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Dell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DELL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below)</w:t>
            </w:r>
          </w:p>
        </w:tc>
        <w:tc>
          <w:tcPr>
            <w:tcW w:w="1740" w:type="dxa"/>
            <w:vAlign w:val="bottom"/>
            <w:gridSpan w:val="3"/>
          </w:tcPr>
          <w:p>
            <w:pPr>
              <w:ind w:left="5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640" w:type="dxa"/>
            <w:vAlign w:val="bottom"/>
          </w:tcPr>
          <w:p>
            <w:pPr>
              <w:spacing w:after="0"/>
              <w:rPr>
                <w:sz w:val="19"/>
                <w:szCs w:val="19"/>
                <w:color w:val="auto"/>
              </w:rPr>
            </w:pPr>
          </w:p>
        </w:tc>
        <w:tc>
          <w:tcPr>
            <w:tcW w:w="16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6"/>
                <w:szCs w:val="6"/>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3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380" w:type="dxa"/>
            <w:vAlign w:val="bottom"/>
            <w:vMerge w:val="restart"/>
          </w:tcPr>
          <w:p>
            <w:pPr>
              <w:ind w:left="80"/>
              <w:spacing w:after="0"/>
              <w:rPr>
                <w:sz w:val="20"/>
                <w:szCs w:val="20"/>
                <w:color w:val="auto"/>
              </w:rPr>
            </w:pPr>
            <w:r>
              <w:rPr>
                <w:rFonts w:ascii="Arial" w:cs="Arial" w:eastAsia="Arial" w:hAnsi="Arial"/>
                <w:sz w:val="13"/>
                <w:szCs w:val="13"/>
                <w:color w:val="auto"/>
                <w:w w:val="96"/>
              </w:rPr>
              <w:t>Line)</w:t>
            </w:r>
          </w:p>
        </w:tc>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640" w:type="dxa"/>
            <w:vAlign w:val="bottom"/>
          </w:tcPr>
          <w:p>
            <w:pPr>
              <w:ind w:left="44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gridSpan w:val="2"/>
          </w:tcPr>
          <w:p>
            <w:pPr>
              <w:ind w:left="400"/>
              <w:spacing w:after="0"/>
              <w:rPr>
                <w:sz w:val="20"/>
                <w:szCs w:val="20"/>
                <w:color w:val="auto"/>
              </w:rPr>
            </w:pPr>
            <w:r>
              <w:rPr>
                <w:rFonts w:ascii="Arial" w:cs="Arial" w:eastAsia="Arial" w:hAnsi="Arial"/>
                <w:sz w:val="13"/>
                <w:szCs w:val="13"/>
                <w:color w:val="auto"/>
              </w:rPr>
              <w:t>(State)</w:t>
            </w:r>
          </w:p>
        </w:tc>
        <w:tc>
          <w:tcPr>
            <w:tcW w:w="1640" w:type="dxa"/>
            <w:vAlign w:val="bottom"/>
          </w:tcPr>
          <w:p>
            <w:pPr>
              <w:ind w:left="4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3"/>
          </w:tcPr>
          <w:p>
            <w:pPr>
              <w:spacing w:after="0"/>
              <w:rPr>
                <w:sz w:val="10"/>
                <w:szCs w:val="10"/>
                <w:color w:val="auto"/>
              </w:rPr>
            </w:pPr>
          </w:p>
        </w:tc>
        <w:tc>
          <w:tcPr>
            <w:tcW w:w="1820" w:type="dxa"/>
            <w:vAlign w:val="bottom"/>
            <w:tcBorders>
              <w:bottom w:val="single" w:sz="8" w:color="2C2C2C"/>
            </w:tcBorders>
            <w:gridSpan w:val="4"/>
          </w:tcPr>
          <w:p>
            <w:pPr>
              <w:spacing w:after="0"/>
              <w:rPr>
                <w:sz w:val="10"/>
                <w:szCs w:val="10"/>
                <w:color w:val="auto"/>
              </w:rPr>
            </w:pPr>
          </w:p>
        </w:tc>
        <w:tc>
          <w:tcPr>
            <w:tcW w:w="158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2"/>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00" w:type="dxa"/>
            <w:vAlign w:val="bottom"/>
            <w:gridSpan w:val="4"/>
          </w:tcPr>
          <w:p>
            <w:pPr>
              <w:ind w:left="10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ind w:left="10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4"/>
          </w:tcPr>
          <w:p>
            <w:pPr>
              <w:jc w:val="center"/>
              <w:ind w:left="9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6"/>
                <w:szCs w:val="6"/>
                <w:color w:val="auto"/>
              </w:rPr>
            </w:pPr>
          </w:p>
        </w:tc>
        <w:tc>
          <w:tcPr>
            <w:tcW w:w="8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jc w:val="right"/>
              <w:ind w:right="173"/>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2100" w:type="dxa"/>
            <w:vAlign w:val="bottom"/>
            <w:gridSpan w:val="4"/>
            <w:vMerge w:val="restart"/>
          </w:tcPr>
          <w:p>
            <w:pPr>
              <w:jc w:val="center"/>
              <w:ind w:left="925"/>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91,809</w:t>
            </w:r>
          </w:p>
        </w:tc>
        <w:tc>
          <w:tcPr>
            <w:tcW w:w="52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vMerge w:val="restart"/>
          </w:tcPr>
          <w:p>
            <w:pPr>
              <w:jc w:val="right"/>
              <w:ind w:right="173"/>
              <w:spacing w:after="0"/>
              <w:rPr>
                <w:sz w:val="20"/>
                <w:szCs w:val="20"/>
                <w:color w:val="auto"/>
              </w:rPr>
            </w:pPr>
            <w:r>
              <w:rPr>
                <w:rFonts w:ascii="Times New Roman" w:cs="Times New Roman" w:eastAsia="Times New Roman" w:hAnsi="Times New Roman"/>
                <w:sz w:val="11"/>
                <w:szCs w:val="11"/>
                <w:color w:val="008000"/>
              </w:rPr>
              <w:t>(1)</w:t>
            </w:r>
          </w:p>
        </w:tc>
        <w:tc>
          <w:tcPr>
            <w:tcW w:w="120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0</w:t>
            </w:r>
          </w:p>
        </w:tc>
        <w:tc>
          <w:tcPr>
            <w:tcW w:w="86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gridSpan w:val="4"/>
            <w:vMerge w:val="continue"/>
          </w:tcPr>
          <w:p>
            <w:pPr>
              <w:spacing w:after="0"/>
              <w:rPr>
                <w:sz w:val="11"/>
                <w:szCs w:val="11"/>
                <w:color w:val="auto"/>
              </w:rPr>
            </w:pPr>
          </w:p>
        </w:tc>
        <w:tc>
          <w:tcPr>
            <w:tcW w:w="2100" w:type="dxa"/>
            <w:vAlign w:val="bottom"/>
            <w:gridSpan w:val="4"/>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SL SPV-</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5"/>
              </w:rPr>
              <w:t>2, L.P.</w:t>
            </w:r>
            <w:r>
              <w:rPr>
                <w:rFonts w:ascii="Times New Roman" w:cs="Times New Roman" w:eastAsia="Times New Roman" w:hAnsi="Times New Roman"/>
                <w:sz w:val="22"/>
                <w:szCs w:val="22"/>
                <w:color w:val="008000"/>
                <w:w w:val="95"/>
                <w:vertAlign w:val="superscript"/>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2100" w:type="dxa"/>
            <w:vAlign w:val="bottom"/>
            <w:gridSpan w:val="4"/>
            <w:vMerge w:val="restart"/>
          </w:tcPr>
          <w:p>
            <w:pPr>
              <w:jc w:val="center"/>
              <w:ind w:left="925"/>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69,916</w:t>
            </w:r>
          </w:p>
        </w:tc>
        <w:tc>
          <w:tcPr>
            <w:tcW w:w="52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vMerge w:val="restart"/>
          </w:tcPr>
          <w:p>
            <w:pPr>
              <w:jc w:val="right"/>
              <w:ind w:right="173"/>
              <w:spacing w:after="0"/>
              <w:rPr>
                <w:sz w:val="20"/>
                <w:szCs w:val="20"/>
                <w:color w:val="auto"/>
              </w:rPr>
            </w:pPr>
            <w:r>
              <w:rPr>
                <w:rFonts w:ascii="Times New Roman" w:cs="Times New Roman" w:eastAsia="Times New Roman" w:hAnsi="Times New Roman"/>
                <w:sz w:val="11"/>
                <w:szCs w:val="11"/>
                <w:color w:val="008000"/>
              </w:rPr>
              <w:t>(1)</w:t>
            </w:r>
          </w:p>
        </w:tc>
        <w:tc>
          <w:tcPr>
            <w:tcW w:w="120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0</w:t>
            </w:r>
          </w:p>
        </w:tc>
        <w:tc>
          <w:tcPr>
            <w:tcW w:w="86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2100" w:type="dxa"/>
            <w:vAlign w:val="bottom"/>
            <w:gridSpan w:val="4"/>
          </w:tcPr>
          <w:p>
            <w:pPr>
              <w:jc w:val="center"/>
              <w:ind w:left="925"/>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0"/>
                <w:szCs w:val="20"/>
                <w:color w:val="auto"/>
              </w:rPr>
            </w:pPr>
          </w:p>
        </w:tc>
        <w:tc>
          <w:tcPr>
            <w:tcW w:w="800" w:type="dxa"/>
            <w:vAlign w:val="bottom"/>
            <w:gridSpan w:val="2"/>
          </w:tcPr>
          <w:p>
            <w:pPr>
              <w:ind w:left="120"/>
              <w:spacing w:after="0" w:line="233" w:lineRule="exact"/>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50,381</w:t>
            </w:r>
          </w:p>
        </w:tc>
        <w:tc>
          <w:tcPr>
            <w:tcW w:w="52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tcPr>
          <w:p>
            <w:pPr>
              <w:jc w:val="right"/>
              <w:ind w:right="173"/>
              <w:spacing w:after="0"/>
              <w:rPr>
                <w:sz w:val="20"/>
                <w:szCs w:val="20"/>
                <w:color w:val="auto"/>
              </w:rPr>
            </w:pPr>
            <w:r>
              <w:rPr>
                <w:rFonts w:ascii="Times New Roman" w:cs="Times New Roman" w:eastAsia="Times New Roman" w:hAnsi="Times New Roman"/>
                <w:sz w:val="11"/>
                <w:szCs w:val="11"/>
                <w:color w:val="008000"/>
              </w:rPr>
              <w:t>(1)</w:t>
            </w:r>
          </w:p>
        </w:tc>
        <w:tc>
          <w:tcPr>
            <w:tcW w:w="120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0</w:t>
            </w:r>
          </w:p>
        </w:tc>
        <w:tc>
          <w:tcPr>
            <w:tcW w:w="8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7"/>
          <w:szCs w:val="17"/>
          <w:color w:val="0000FF"/>
        </w:rPr>
        <w:t>Partners</w:t>
      </w:r>
    </w:p>
    <w:p>
      <w:pPr>
        <w:spacing w:after="0" w:line="1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V DE</w:t>
      </w:r>
    </w:p>
    <w:p>
      <w:pPr>
        <w:spacing w:after="0" w:line="1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(AIV),</w:t>
      </w:r>
    </w:p>
    <w:p>
      <w:pPr>
        <w:ind w:left="10180"/>
        <w:spacing w:after="0" w:line="185" w:lineRule="auto"/>
        <w:rPr>
          <w:sz w:val="20"/>
          <w:szCs w:val="20"/>
          <w:color w:val="auto"/>
        </w:rPr>
      </w:pPr>
      <w:r>
        <w:rPr>
          <w:rFonts w:ascii="Times New Roman" w:cs="Times New Roman" w:eastAsia="Times New Roman" w:hAnsi="Times New Roman"/>
          <w:sz w:val="26"/>
          <w:szCs w:val="26"/>
          <w:color w:val="0000FF"/>
          <w:vertAlign w:val="subscript"/>
        </w:rPr>
        <w:t>L.P.</w:t>
      </w:r>
      <w:r>
        <w:rPr>
          <w:rFonts w:ascii="Times New Roman" w:cs="Times New Roman" w:eastAsia="Times New Roman" w:hAnsi="Times New Roman"/>
          <w:sz w:val="10"/>
          <w:szCs w:val="10"/>
          <w:color w:val="008000"/>
        </w:rPr>
        <w:t>(4)(5)</w:t>
      </w:r>
    </w:p>
    <w:p>
      <w:pPr>
        <w:spacing w:after="0" w:line="12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Held</w:t>
      </w:r>
    </w:p>
    <w:p>
      <w:pPr>
        <w:spacing w:after="0" w:line="3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through</w:t>
      </w:r>
    </w:p>
    <w:p>
      <w:pPr>
        <w:spacing w:after="0" w:line="18" w:lineRule="exact"/>
        <w:rPr>
          <w:sz w:val="20"/>
          <w:szCs w:val="20"/>
          <w:color w:val="auto"/>
        </w:rPr>
      </w:pPr>
    </w:p>
    <w:p>
      <w:pPr>
        <w:ind w:left="8380" w:right="500" w:hanging="10086"/>
        <w:spacing w:after="0"/>
        <w:tabs>
          <w:tab w:leader="none" w:pos="8360" w:val="left"/>
        </w:tabs>
        <w:rPr>
          <w:sz w:val="20"/>
          <w:szCs w:val="20"/>
          <w:color w:val="auto"/>
        </w:rPr>
      </w:pPr>
      <w:r>
        <w:rPr>
          <w:rFonts w:ascii="Times New Roman" w:cs="Times New Roman" w:eastAsia="Times New Roman" w:hAnsi="Times New Roman"/>
          <w:sz w:val="17"/>
          <w:szCs w:val="17"/>
          <w:color w:val="0000FF"/>
        </w:rPr>
        <w:t>Class C Common Stock</w:t>
      </w:r>
      <w:r>
        <w:rPr>
          <w:sz w:val="20"/>
          <w:szCs w:val="20"/>
          <w:color w:val="auto"/>
        </w:rPr>
        <w:tab/>
      </w:r>
      <w:r>
        <w:rPr>
          <w:rFonts w:ascii="Times New Roman" w:cs="Times New Roman" w:eastAsia="Times New Roman" w:hAnsi="Times New Roman"/>
          <w:sz w:val="17"/>
          <w:szCs w:val="17"/>
          <w:color w:val="0000FF"/>
        </w:rPr>
        <w:t xml:space="preserve">10,765 I </w:t>
      </w:r>
      <w:r>
        <w:rPr>
          <w:rFonts w:ascii="Times New Roman" w:cs="Times New Roman" w:eastAsia="Times New Roman" w:hAnsi="Times New Roman"/>
          <w:sz w:val="34"/>
          <w:szCs w:val="34"/>
          <w:color w:val="0000FF"/>
          <w:vertAlign w:val="superscript"/>
        </w:rPr>
        <w:t>Silver</w:t>
      </w:r>
      <w:r>
        <w:rPr>
          <w:rFonts w:ascii="Times New Roman" w:cs="Times New Roman" w:eastAsia="Times New Roman" w:hAnsi="Times New Roman"/>
          <w:sz w:val="17"/>
          <w:szCs w:val="17"/>
          <w:color w:val="0000FF"/>
        </w:rPr>
        <w:t xml:space="preserve"> Lake</w:t>
      </w:r>
    </w:p>
    <w:p>
      <w:pPr>
        <w:spacing w:after="0" w:line="42"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Group,</w:t>
      </w:r>
    </w:p>
    <w:p>
      <w:pPr>
        <w:spacing w:after="0" w:line="1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(5)(6)</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4240" w:type="dxa"/>
            <w:vAlign w:val="bottom"/>
            <w:vMerge w:val="restart"/>
          </w:tcPr>
          <w:p>
            <w:pPr>
              <w:jc w:val="center"/>
              <w:ind w:left="2893"/>
              <w:spacing w:after="0"/>
              <w:rPr>
                <w:sz w:val="20"/>
                <w:szCs w:val="20"/>
                <w:color w:val="auto"/>
              </w:rPr>
            </w:pPr>
            <w:r>
              <w:rPr>
                <w:rFonts w:ascii="Times New Roman" w:cs="Times New Roman" w:eastAsia="Times New Roman" w:hAnsi="Times New Roman"/>
                <w:sz w:val="17"/>
                <w:szCs w:val="17"/>
                <w:color w:val="0000FF"/>
                <w:w w:val="99"/>
              </w:rPr>
              <w:t>5,914</w:t>
            </w:r>
          </w:p>
        </w:tc>
        <w:tc>
          <w:tcPr>
            <w:tcW w:w="740" w:type="dxa"/>
            <w:vAlign w:val="bottom"/>
            <w:vMerge w:val="restart"/>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80" w:type="dxa"/>
            <w:vAlign w:val="bottom"/>
            <w:vMerge w:val="continue"/>
          </w:tcPr>
          <w:p>
            <w:pPr>
              <w:spacing w:after="0"/>
              <w:rPr>
                <w:sz w:val="10"/>
                <w:szCs w:val="10"/>
                <w:color w:val="auto"/>
              </w:rPr>
            </w:pPr>
          </w:p>
        </w:tc>
        <w:tc>
          <w:tcPr>
            <w:tcW w:w="4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tcBorders>
              <w:bottom w:val="single" w:sz="8" w:color="2C2C2C"/>
            </w:tcBorders>
          </w:tcPr>
          <w:p>
            <w:pPr>
              <w:spacing w:after="0"/>
              <w:rPr>
                <w:sz w:val="14"/>
                <w:szCs w:val="14"/>
                <w:color w:val="auto"/>
              </w:rPr>
            </w:pPr>
          </w:p>
        </w:tc>
        <w:tc>
          <w:tcPr>
            <w:tcW w:w="42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4240" w:type="dxa"/>
            <w:vAlign w:val="bottom"/>
            <w:vMerge w:val="restart"/>
          </w:tcPr>
          <w:p>
            <w:pPr>
              <w:jc w:val="center"/>
              <w:ind w:left="2913"/>
              <w:spacing w:after="0"/>
              <w:rPr>
                <w:sz w:val="20"/>
                <w:szCs w:val="20"/>
                <w:color w:val="auto"/>
              </w:rPr>
            </w:pPr>
            <w:r>
              <w:rPr>
                <w:rFonts w:ascii="Times New Roman" w:cs="Times New Roman" w:eastAsia="Times New Roman" w:hAnsi="Times New Roman"/>
                <w:sz w:val="17"/>
                <w:szCs w:val="17"/>
                <w:color w:val="0000FF"/>
              </w:rPr>
              <w:t>150,338</w:t>
            </w:r>
          </w:p>
        </w:tc>
        <w:tc>
          <w:tcPr>
            <w:tcW w:w="740" w:type="dxa"/>
            <w:vAlign w:val="bottom"/>
            <w:vMerge w:val="restart"/>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80" w:type="dxa"/>
            <w:vAlign w:val="bottom"/>
            <w:vMerge w:val="continue"/>
          </w:tcPr>
          <w:p>
            <w:pPr>
              <w:spacing w:after="0"/>
              <w:rPr>
                <w:sz w:val="10"/>
                <w:szCs w:val="10"/>
                <w:color w:val="auto"/>
              </w:rPr>
            </w:pPr>
          </w:p>
        </w:tc>
        <w:tc>
          <w:tcPr>
            <w:tcW w:w="4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tcBorders>
              <w:bottom w:val="single" w:sz="8" w:color="2C2C2C"/>
            </w:tcBorders>
          </w:tcPr>
          <w:p>
            <w:pPr>
              <w:spacing w:after="0"/>
              <w:rPr>
                <w:sz w:val="14"/>
                <w:szCs w:val="14"/>
                <w:color w:val="auto"/>
              </w:rPr>
            </w:pPr>
          </w:p>
        </w:tc>
        <w:tc>
          <w:tcPr>
            <w:tcW w:w="42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49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4240" w:type="dxa"/>
            <w:vAlign w:val="bottom"/>
            <w:tcBorders>
              <w:bottom w:val="single" w:sz="8" w:color="2C2C2C"/>
            </w:tcBorders>
          </w:tcPr>
          <w:p>
            <w:pPr>
              <w:jc w:val="center"/>
              <w:ind w:left="2893"/>
              <w:spacing w:after="0"/>
              <w:rPr>
                <w:sz w:val="20"/>
                <w:szCs w:val="20"/>
                <w:color w:val="auto"/>
              </w:rPr>
            </w:pPr>
            <w:r>
              <w:rPr>
                <w:rFonts w:ascii="Times New Roman" w:cs="Times New Roman" w:eastAsia="Times New Roman" w:hAnsi="Times New Roman"/>
                <w:sz w:val="17"/>
                <w:szCs w:val="17"/>
                <w:color w:val="0000FF"/>
              </w:rPr>
              <w:t>1,374,245</w:t>
            </w:r>
          </w:p>
        </w:tc>
        <w:tc>
          <w:tcPr>
            <w:tcW w:w="740" w:type="dxa"/>
            <w:vAlign w:val="bottom"/>
            <w:tcBorders>
              <w:bottom w:val="single" w:sz="8" w:color="2C2C2C"/>
            </w:tcBorders>
          </w:tcPr>
          <w:p>
            <w:pPr>
              <w:jc w:val="center"/>
              <w:ind w:left="1"/>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(8)</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4240" w:type="dxa"/>
            <w:vAlign w:val="bottom"/>
            <w:vMerge w:val="restart"/>
          </w:tcPr>
          <w:p>
            <w:pPr>
              <w:jc w:val="center"/>
              <w:ind w:left="2913"/>
              <w:spacing w:after="0"/>
              <w:rPr>
                <w:sz w:val="20"/>
                <w:szCs w:val="20"/>
                <w:color w:val="auto"/>
              </w:rPr>
            </w:pPr>
            <w:r>
              <w:rPr>
                <w:rFonts w:ascii="Times New Roman" w:cs="Times New Roman" w:eastAsia="Times New Roman" w:hAnsi="Times New Roman"/>
                <w:sz w:val="17"/>
                <w:szCs w:val="17"/>
                <w:color w:val="0000FF"/>
              </w:rPr>
              <w:t>49,237</w:t>
            </w:r>
          </w:p>
        </w:tc>
        <w:tc>
          <w:tcPr>
            <w:tcW w:w="740" w:type="dxa"/>
            <w:vAlign w:val="bottom"/>
            <w:vMerge w:val="restart"/>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80" w:type="dxa"/>
            <w:vAlign w:val="bottom"/>
            <w:vMerge w:val="continue"/>
          </w:tcPr>
          <w:p>
            <w:pPr>
              <w:spacing w:after="0"/>
              <w:rPr>
                <w:sz w:val="10"/>
                <w:szCs w:val="10"/>
                <w:color w:val="auto"/>
              </w:rPr>
            </w:pPr>
          </w:p>
        </w:tc>
        <w:tc>
          <w:tcPr>
            <w:tcW w:w="4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2C2C2C"/>
            </w:tcBorders>
          </w:tcPr>
          <w:p>
            <w:pPr>
              <w:spacing w:after="0"/>
              <w:rPr>
                <w:sz w:val="16"/>
                <w:szCs w:val="16"/>
                <w:color w:val="auto"/>
              </w:rPr>
            </w:pPr>
          </w:p>
        </w:tc>
        <w:tc>
          <w:tcPr>
            <w:tcW w:w="4980" w:type="dxa"/>
            <w:vAlign w:val="bottom"/>
            <w:tcBorders>
              <w:bottom w:val="single" w:sz="8" w:color="2C2C2C"/>
            </w:tcBorders>
          </w:tcPr>
          <w:p>
            <w:pPr>
              <w:spacing w:after="0"/>
              <w:rPr>
                <w:sz w:val="16"/>
                <w:szCs w:val="16"/>
                <w:color w:val="auto"/>
              </w:rPr>
            </w:pPr>
          </w:p>
        </w:tc>
        <w:tc>
          <w:tcPr>
            <w:tcW w:w="42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vMerge w:val="continue"/>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4980" w:type="dxa"/>
            <w:vAlign w:val="bottom"/>
            <w:tcBorders>
              <w:top w:val="single" w:sz="8" w:color="808080"/>
            </w:tcBorders>
            <w:shd w:val="clear" w:color="auto" w:fill="2C2C2C"/>
          </w:tcPr>
          <w:p>
            <w:pPr>
              <w:spacing w:after="0" w:line="20" w:lineRule="exact"/>
              <w:rPr>
                <w:sz w:val="1"/>
                <w:szCs w:val="1"/>
                <w:color w:val="auto"/>
              </w:rPr>
            </w:pPr>
          </w:p>
        </w:tc>
        <w:tc>
          <w:tcPr>
            <w:tcW w:w="42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54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4"/>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 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4"/>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7"/>
          </w:tcPr>
          <w:p>
            <w:pPr>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4"/>
          </w:tcPr>
          <w:p>
            <w:pPr>
              <w:ind w:left="40"/>
              <w:spacing w:after="0" w:line="80" w:lineRule="exact"/>
              <w:rPr>
                <w:sz w:val="20"/>
                <w:szCs w:val="20"/>
                <w:color w:val="auto"/>
              </w:rPr>
            </w:pPr>
            <w:r>
              <w:rPr>
                <w:rFonts w:ascii="Arial" w:cs="Arial" w:eastAsia="Arial" w:hAnsi="Arial"/>
                <w:sz w:val="8"/>
                <w:szCs w:val="8"/>
                <w:b w:val="1"/>
                <w:bCs w:val="1"/>
                <w:color w:val="auto"/>
              </w:rPr>
              <w:t>Execution Date,</w:t>
            </w:r>
          </w:p>
        </w:tc>
        <w:tc>
          <w:tcPr>
            <w:tcW w:w="760" w:type="dxa"/>
            <w:vAlign w:val="bottom"/>
            <w:gridSpan w:val="4"/>
          </w:tcPr>
          <w:p>
            <w:pPr>
              <w:spacing w:after="0" w:line="80" w:lineRule="exact"/>
              <w:rPr>
                <w:sz w:val="20"/>
                <w:szCs w:val="20"/>
                <w:color w:val="auto"/>
              </w:rPr>
            </w:pPr>
            <w:r>
              <w:rPr>
                <w:rFonts w:ascii="Arial" w:cs="Arial" w:eastAsia="Arial" w:hAnsi="Arial"/>
                <w:sz w:val="8"/>
                <w:szCs w:val="8"/>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gridSpan w:val="3"/>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80" w:type="dxa"/>
            <w:vAlign w:val="bottom"/>
            <w:gridSpan w:val="6"/>
          </w:tcPr>
          <w:p>
            <w:pPr>
              <w:ind w:left="100"/>
              <w:spacing w:after="0"/>
              <w:rPr>
                <w:sz w:val="20"/>
                <w:szCs w:val="20"/>
                <w:color w:val="auto"/>
              </w:rPr>
            </w:pPr>
            <w:r>
              <w:rPr>
                <w:rFonts w:ascii="Arial" w:cs="Arial" w:eastAsia="Arial" w:hAnsi="Arial"/>
                <w:sz w:val="2"/>
                <w:szCs w:val="2"/>
                <w:b w:val="1"/>
                <w:bCs w:val="1"/>
                <w:color w:val="auto"/>
              </w:rPr>
              <w:t>(Month/Day/Year)</w:t>
            </w:r>
          </w:p>
        </w:tc>
        <w:tc>
          <w:tcPr>
            <w:tcW w:w="5260" w:type="dxa"/>
            <w:vAlign w:val="bottom"/>
            <w:gridSpan w:val="13"/>
          </w:tcPr>
          <w:p>
            <w:pPr>
              <w:ind w:left="40"/>
              <w:spacing w:after="0"/>
              <w:rPr>
                <w:sz w:val="20"/>
                <w:szCs w:val="20"/>
                <w:color w:val="auto"/>
              </w:rPr>
            </w:pPr>
            <w:r>
              <w:rPr>
                <w:rFonts w:ascii="Arial" w:cs="Arial" w:eastAsia="Arial" w:hAnsi="Arial"/>
                <w:sz w:val="1"/>
                <w:szCs w:val="1"/>
                <w:b w:val="1"/>
                <w:bCs w:val="1"/>
                <w:color w:val="auto"/>
              </w:rPr>
              <w:t xml:space="preserve">if any  </w:t>
            </w: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4"/>
          </w:tcPr>
          <w:p>
            <w:pPr>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4"/>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w w:val="90"/>
              </w:rPr>
              <w:t>7. Title Amountand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Amountorof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SecuritiesNumber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Code</w:t>
            </w: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(A)Acquired(D)</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80"/>
              </w:rPr>
              <w:t>TitleDerivativeShares</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ind w:left="60"/>
              <w:spacing w:after="0" w:line="100" w:lineRule="exact"/>
              <w:rPr>
                <w:sz w:val="20"/>
                <w:szCs w:val="20"/>
                <w:color w:val="auto"/>
              </w:rPr>
            </w:pPr>
            <w:r>
              <w:rPr>
                <w:rFonts w:ascii="Arial" w:cs="Arial" w:eastAsia="Arial" w:hAnsi="Arial"/>
                <w:sz w:val="11"/>
                <w:szCs w:val="11"/>
                <w:b w:val="1"/>
                <w:bCs w:val="1"/>
                <w:color w:val="auto"/>
              </w:rPr>
              <w:t>Security</w:t>
            </w: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00" w:lineRule="exact"/>
              <w:rPr>
                <w:sz w:val="20"/>
                <w:szCs w:val="20"/>
                <w:color w:val="auto"/>
              </w:rPr>
            </w:pPr>
            <w:r>
              <w:rPr>
                <w:rFonts w:ascii="Arial" w:cs="Arial" w:eastAsia="Arial" w:hAnsi="Arial"/>
                <w:sz w:val="11"/>
                <w:szCs w:val="11"/>
                <w:b w:val="1"/>
                <w:bCs w:val="1"/>
                <w:color w:val="auto"/>
              </w:rPr>
              <w:t>(A) or</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00" w:lineRule="exact"/>
              <w:rPr>
                <w:sz w:val="20"/>
                <w:szCs w:val="20"/>
                <w:color w:val="auto"/>
              </w:rPr>
            </w:pPr>
            <w:r>
              <w:rPr>
                <w:rFonts w:ascii="Arial" w:cs="Arial" w:eastAsia="Arial" w:hAnsi="Arial"/>
                <w:sz w:val="11"/>
                <w:szCs w:val="11"/>
                <w:b w:val="1"/>
                <w:bCs w:val="1"/>
                <w:color w:val="auto"/>
              </w:rPr>
              <w:t>Security (Instr.</w:t>
            </w:r>
          </w:p>
        </w:tc>
        <w:tc>
          <w:tcPr>
            <w:tcW w:w="640" w:type="dxa"/>
            <w:vAlign w:val="bottom"/>
          </w:tcPr>
          <w:p>
            <w:pPr>
              <w:spacing w:after="0"/>
              <w:rPr>
                <w:sz w:val="10"/>
                <w:szCs w:val="10"/>
                <w:color w:val="auto"/>
              </w:rPr>
            </w:pPr>
          </w:p>
        </w:tc>
        <w:tc>
          <w:tcPr>
            <w:tcW w:w="960" w:type="dxa"/>
            <w:vAlign w:val="bottom"/>
          </w:tcPr>
          <w:p>
            <w:pPr>
              <w:ind w:left="80"/>
              <w:spacing w:after="0" w:line="100" w:lineRule="exact"/>
              <w:rPr>
                <w:sz w:val="20"/>
                <w:szCs w:val="20"/>
                <w:color w:val="auto"/>
              </w:rPr>
            </w:pPr>
            <w:r>
              <w:rPr>
                <w:rFonts w:ascii="Arial" w:cs="Arial" w:eastAsia="Arial" w:hAnsi="Arial"/>
                <w:sz w:val="11"/>
                <w:szCs w:val="11"/>
                <w:b w:val="1"/>
                <w:bCs w:val="1"/>
                <w:color w:val="auto"/>
              </w:rPr>
              <w:t>Following</w:t>
            </w:r>
          </w:p>
        </w:tc>
        <w:tc>
          <w:tcPr>
            <w:tcW w:w="760" w:type="dxa"/>
            <w:vAlign w:val="bottom"/>
          </w:tcPr>
          <w:p>
            <w:pPr>
              <w:ind w:left="80"/>
              <w:spacing w:after="0" w:line="100"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gridSpan w:val="10"/>
            <w:vMerge w:val="restart"/>
          </w:tcPr>
          <w:p>
            <w:pPr>
              <w:ind w:left="60"/>
              <w:spacing w:after="0" w:line="246"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0"/>
                <w:szCs w:val="10"/>
                <w:color w:val="auto"/>
              </w:rPr>
            </w:pPr>
          </w:p>
        </w:tc>
        <w:tc>
          <w:tcPr>
            <w:tcW w:w="96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60" w:type="dxa"/>
            <w:vAlign w:val="bottom"/>
            <w:gridSpan w:val="10"/>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gridSpan w:val="6"/>
          </w:tcPr>
          <w:p>
            <w:pPr>
              <w:spacing w:after="0"/>
              <w:rPr>
                <w:sz w:val="20"/>
                <w:szCs w:val="20"/>
                <w:color w:val="auto"/>
              </w:rPr>
            </w:pPr>
            <w:r>
              <w:rPr>
                <w:rFonts w:ascii="Times New Roman" w:cs="Times New Roman" w:eastAsia="Times New Roman" w:hAnsi="Times New Roman"/>
                <w:sz w:val="2"/>
                <w:szCs w:val="2"/>
                <w:color w:val="0000EE"/>
              </w:rPr>
              <w:t>SLTA IV (GP), L.L.C.</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and 5)</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54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32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13"/>
                <w:szCs w:val="13"/>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C/O SILVER LAKE</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tcPr>
          <w:p>
            <w:pPr>
              <w:ind w:left="460"/>
              <w:spacing w:after="0" w:line="106"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70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2775 SAND HILL ROAD, SUITE 100</w:t>
            </w:r>
          </w:p>
        </w:tc>
        <w:tc>
          <w:tcPr>
            <w:tcW w:w="9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vMerge w:val="continue"/>
          </w:tcPr>
          <w:p>
            <w:pPr>
              <w:spacing w:after="0"/>
              <w:rPr>
                <w:sz w:val="14"/>
                <w:szCs w:val="14"/>
                <w:color w:val="auto"/>
              </w:rPr>
            </w:pPr>
          </w:p>
        </w:tc>
        <w:tc>
          <w:tcPr>
            <w:tcW w:w="380" w:type="dxa"/>
            <w:vAlign w:val="bottom"/>
            <w:tcBorders>
              <w:bottom w:val="single" w:sz="8" w:color="808080"/>
            </w:tcBorders>
            <w:gridSpan w:val="3"/>
            <w:vMerge w:val="continue"/>
          </w:tcPr>
          <w:p>
            <w:pPr>
              <w:spacing w:after="0"/>
              <w:rPr>
                <w:sz w:val="14"/>
                <w:szCs w:val="14"/>
                <w:color w:val="auto"/>
              </w:rPr>
            </w:pPr>
          </w:p>
        </w:tc>
        <w:tc>
          <w:tcPr>
            <w:tcW w:w="740" w:type="dxa"/>
            <w:vAlign w:val="bottom"/>
            <w:tcBorders>
              <w:bottom w:val="single" w:sz="8" w:color="808080"/>
            </w:tcBorders>
            <w:vMerge w:val="continue"/>
          </w:tcPr>
          <w:p>
            <w:pPr>
              <w:spacing w:after="0"/>
              <w:rPr>
                <w:sz w:val="14"/>
                <w:szCs w:val="14"/>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tcBorders>
              <w:bottom w:val="single" w:sz="8" w:color="808080"/>
            </w:tcBorders>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gridSpan w:val="9"/>
            <w:vMerge w:val="continue"/>
          </w:tcPr>
          <w:p>
            <w:pPr>
              <w:spacing w:after="0"/>
              <w:rPr>
                <w:sz w:val="11"/>
                <w:szCs w:val="11"/>
                <w:color w:val="auto"/>
              </w:rPr>
            </w:pPr>
          </w:p>
        </w:tc>
        <w:tc>
          <w:tcPr>
            <w:tcW w:w="9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Silver Lake Group, L.L.C.</w:t>
              </w:r>
            </w:hyperlink>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00" w:type="dxa"/>
            <w:vAlign w:val="bottom"/>
            <w:gridSpan w:val="12"/>
          </w:tcPr>
          <w:p>
            <w:pPr>
              <w:spacing w:after="0" w:line="227" w:lineRule="exact"/>
              <w:rPr>
                <w:rFonts w:ascii="Times New Roman" w:cs="Times New Roman" w:eastAsia="Times New Roman" w:hAnsi="Times New Roman"/>
                <w:sz w:val="21"/>
                <w:szCs w:val="21"/>
                <w:color w:val="0000EE"/>
                <w:w w:val="99"/>
              </w:rPr>
            </w:pPr>
            <w:hyperlink r:id="rId16">
              <w:r>
                <w:rPr>
                  <w:rFonts w:ascii="Times New Roman" w:cs="Times New Roman" w:eastAsia="Times New Roman" w:hAnsi="Times New Roman"/>
                  <w:sz w:val="21"/>
                  <w:szCs w:val="21"/>
                  <w:color w:val="0000EE"/>
                  <w:w w:val="99"/>
                </w:rPr>
                <w:t>Silver Lake Technology Associates IV, L.P.</w:t>
              </w:r>
            </w:hyperlink>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8"/>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Silver Lake Partners IV, L.P.</w:t>
              </w:r>
            </w:hyperlink>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SLTA SPV-2 (GP), L.L.C.</w:t>
              </w:r>
            </w:hyperlink>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460" w:top="175" w:right="359" w:bottom="0" w:gutter="0" w:footer="0" w:header="0"/>
        </w:sect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175" w:right="359" w:bottom="0" w:gutter="0" w:footer="0" w:header="0"/>
          <w:type w:val="continuous"/>
        </w:sectPr>
      </w:pPr>
    </w:p>
    <w:bookmarkStart w:id="2" w:name="page3"/>
    <w:bookmarkEnd w:id="2"/>
    <w:p>
      <w:pPr>
        <w:spacing w:after="0" w:line="3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5335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09240" cy="533527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SLTA SPV-2,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6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SL SPV-2, L.P.</w:t>
              </w:r>
            </w:hyperlink>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Durban Egon</w:t>
              </w:r>
            </w:hyperlink>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SL SPV-2, L.P., Silver Lake Partners IV, L.P., Silver Lake Partners V DE (AIV), L.P. and certain of their respective affiliates initiated in-kind distributions of Class C Common Stock, par value $0.01 per share ("Class C Common Stock") of Dell Technologies Inc. (the "Issuer") on June 15, 2026. The receipt of shares of Class C Common Stock by each of the Reporting Persons in connection with such distributions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SL SPV-2, L.P. The general partner of SL SPV-2, L.P. is SLTA SPV-2, L.P. ("SLTA SPV") and the general partner of SLTA SPV is SLTA SPV-2 (GP), L.L.C ("SLTA SPV GP").</w:t>
      </w:r>
    </w:p>
    <w:p>
      <w:pPr>
        <w:spacing w:after="0" w:line="7"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Partners IV, L.P. The general partner of Silver Lake Partners IV, L.P. is Silver Lake Technology Associates IV, L.P. ("SLTA IV") and the general partner of ("SLTA IV"). is SLTA IV (GP), L.L.C ("SLTA IV GP").</w:t>
      </w:r>
    </w:p>
    <w:p>
      <w:pPr>
        <w:spacing w:after="0" w:line="7" w:lineRule="exact"/>
        <w:rPr>
          <w:rFonts w:ascii="Times New Roman" w:cs="Times New Roman" w:eastAsia="Times New Roman" w:hAnsi="Times New Roman"/>
          <w:sz w:val="13"/>
          <w:szCs w:val="13"/>
          <w:color w:val="008000"/>
        </w:rPr>
      </w:pPr>
    </w:p>
    <w:p>
      <w:pPr>
        <w:ind w:left="20" w:right="1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Partners V DE (AIV), L.P. The general partner of Silver Lake Partners V DE (AIV), L.P. is Silver Lake Technology Associates V, L.P. ("SLTA V") and the general partner of SLTA V is SLTA V (GP), L.L.C ("SLTA V GP").</w:t>
      </w:r>
    </w:p>
    <w:p>
      <w:pPr>
        <w:spacing w:after="0" w:line="7" w:lineRule="exact"/>
        <w:rPr>
          <w:rFonts w:ascii="Times New Roman" w:cs="Times New Roman" w:eastAsia="Times New Roman" w:hAnsi="Times New Roman"/>
          <w:sz w:val="13"/>
          <w:szCs w:val="13"/>
          <w:color w:val="008000"/>
        </w:rPr>
      </w:pPr>
    </w:p>
    <w:p>
      <w:pPr>
        <w:ind w:left="20" w:right="4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SPV GP, SLTA IV GP and SLTA V GP.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left="20" w:right="40" w:firstLine="7"/>
        <w:spacing w:after="0" w:line="258"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by entities in which Mr. Egon Durban may be deemed to have an indirect pecuniary interest. Shares held include shares of Class C Common Stock received in connection with the distributions described herein on June 15, 2026. The receipt of such shares of Class C Common Stock was exempt from reporting pursuant to Rule 16a-13 of the Exchange Act.</w:t>
      </w:r>
    </w:p>
    <w:p>
      <w:pPr>
        <w:spacing w:after="0" w:line="171"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distributions described in footnote (1) above, distributions of certain shares were initiated to certain employees and managing members of SLG or its affiliates, including Mr. Durban. This amount reflects 29,494, 11,109, 28,109, 81,500 and 126 shares held by SLTA SPV-2, L.P., SLTA IV, SLTA V, SLG and Silver Lake Secondary Holdings L.P., respectively, on behalf of such individuals, including shares distributed in the June 15, 2026 distributions. The receipt of such shares of Class C Common Stock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directly by Mr. Egon Durban immediately following the receipt of shares in connection with the distributions of shares of Class C Common Stock on June 15, 2026.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left="20" w:right="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 including shares received in connection with the distributions of shares of Class C Common Stock on June 15, 2026. The receipt of such shares of Class C Common Stock indirectly by Mr. Durban was exempt from reporting pursuant to Rule 16a-13 of the Exchange Act.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0"/>
        <w:spacing w:after="0" w:line="247"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Because no more than 10 reporting persons can file any one Form 4 through the Securities and Exchange Commission's EDGAR system, certain affiliates of the Reporting Persons have filed a separate Form 4.</w:t>
      </w:r>
    </w:p>
    <w:p>
      <w:pPr>
        <w:sectPr>
          <w:pgSz w:w="11900" w:h="16871" w:orient="portrait"/>
          <w:cols w:equalWidth="0" w:num="1">
            <w:col w:w="10900"/>
          </w:cols>
          <w:pgMar w:left="480" w:top="110" w:right="51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9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7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0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261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9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7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03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50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53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901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96" w:lineRule="exact"/>
        <w:rPr>
          <w:sz w:val="20"/>
          <w:szCs w:val="20"/>
          <w:color w:val="auto"/>
        </w:rPr>
      </w:pPr>
    </w:p>
    <w:p>
      <w:pPr>
        <w:sectPr>
          <w:pgSz w:w="11900" w:h="16871" w:orient="portrait"/>
          <w:cols w:equalWidth="0" w:num="2">
            <w:col w:w="8620" w:space="140"/>
            <w:col w:w="2140"/>
          </w:cols>
          <w:pgMar w:left="480" w:top="110" w:right="519" w:bottom="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 Justin G. Hamill,</w:t>
            </w:r>
          </w:p>
        </w:tc>
        <w:tc>
          <w:tcPr>
            <w:tcW w:w="5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06/17/2026</w:t>
            </w:r>
          </w:p>
        </w:tc>
      </w:tr>
    </w:tbl>
    <w:p>
      <w:pPr>
        <w:spacing w:after="0" w:line="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97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0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50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53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sectPr>
          <w:pgSz w:w="11900" w:h="16871" w:orient="portrait"/>
          <w:cols w:equalWidth="0" w:num="1">
            <w:col w:w="10900"/>
          </w:cols>
          <w:pgMar w:left="480" w:top="110" w:right="51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27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61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IV,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4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Silver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82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0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0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SLTA 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3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0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SLTA SPV-2,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SL 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3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Justin G. Hamill,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79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Egon 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98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13" Type="http://schemas.openxmlformats.org/officeDocument/2006/relationships/hyperlink" Target="http://www.sec.gov/cgi-bin/browse-edgar?action=getcompany&amp;CIK=0001672568" TargetMode="External"/><Relationship Id="rId14" Type="http://schemas.openxmlformats.org/officeDocument/2006/relationships/hyperlink" Target="http://www.sec.gov/cgi-bin/browse-edgar?action=getcompany&amp;CIK=0001571996" TargetMode="External"/><Relationship Id="rId15" Type="http://schemas.openxmlformats.org/officeDocument/2006/relationships/hyperlink" Target="http://www.sec.gov/cgi-bin/browse-edgar?action=getcompany&amp;CIK=0001418226" TargetMode="External"/><Relationship Id="rId16" Type="http://schemas.openxmlformats.org/officeDocument/2006/relationships/hyperlink" Target="http://www.sec.gov/cgi-bin/browse-edgar?action=getcompany&amp;CIK=0001672566" TargetMode="External"/><Relationship Id="rId17" Type="http://schemas.openxmlformats.org/officeDocument/2006/relationships/hyperlink" Target="http://www.sec.gov/cgi-bin/browse-edgar?action=getcompany&amp;CIK=0001552054" TargetMode="External"/><Relationship Id="rId18" Type="http://schemas.openxmlformats.org/officeDocument/2006/relationships/hyperlink" Target="http://www.sec.gov/cgi-bin/browse-edgar?action=getcompany&amp;CIK=0001767116" TargetMode="External"/><Relationship Id="rId21" Type="http://schemas.openxmlformats.org/officeDocument/2006/relationships/hyperlink" Target="http://www.sec.gov/cgi-bin/browse-edgar?action=getcompany&amp;CIK=0001767115" TargetMode="External"/><Relationship Id="rId22" Type="http://schemas.openxmlformats.org/officeDocument/2006/relationships/hyperlink" Target="http://www.sec.gov/cgi-bin/browse-edgar?action=getcompany&amp;CIK=0001767114" TargetMode="External"/><Relationship Id="rId23"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2026-06-17T15:31:36Z</dcterms:created>
  <dcterms:modified xsi:type="dcterms:W3CDTF">2026-06-17T15:31:36Z</dcterms:modified>
</cp:coreProperties>
</file>