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8"/>
        <w:gridCol w:w="926"/>
        <w:gridCol w:w="796"/>
        <w:gridCol w:w="674"/>
        <w:gridCol w:w="281"/>
        <w:gridCol w:w="804"/>
        <w:gridCol w:w="413"/>
        <w:gridCol w:w="901"/>
        <w:gridCol w:w="1246"/>
        <w:gridCol w:w="960"/>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534.09</w:t>
            </w:r>
            <w:r>
              <w:rPr>
                <w:rFonts w:ascii="Times;serif" w:hAnsi="Times;serif"/>
                <w:color w:val="008000"/>
                <w:position w:val="7"/>
                <w:sz w:val="16"/>
                <w:sz w:val="20"/>
                <w:shd w:fill="FFFFFF" w:val="clear"/>
              </w:rPr>
              <w:t>(10)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535.13</w:t>
            </w:r>
            <w:r>
              <w:rPr>
                <w:rFonts w:ascii="Times;serif" w:hAnsi="Times;serif"/>
                <w:color w:val="008000"/>
                <w:position w:val="7"/>
                <w:sz w:val="16"/>
                <w:sz w:val="20"/>
                <w:shd w:fill="FFFFFF" w:val="clear"/>
              </w:rPr>
              <w:t>(11)</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535.97</w:t>
            </w:r>
            <w:r>
              <w:rPr>
                <w:rFonts w:ascii="Times;serif" w:hAnsi="Times;serif"/>
                <w:color w:val="008000"/>
                <w:position w:val="7"/>
                <w:sz w:val="16"/>
                <w:sz w:val="20"/>
                <w:shd w:fill="FFFFFF" w:val="clear"/>
              </w:rPr>
              <w:t>(12)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536.89</w:t>
            </w:r>
            <w:r>
              <w:rPr>
                <w:rFonts w:ascii="Times;serif" w:hAnsi="Times;serif"/>
                <w:color w:val="008000"/>
                <w:position w:val="7"/>
                <w:sz w:val="16"/>
                <w:sz w:val="20"/>
                <w:shd w:fill="FFFFFF" w:val="clear"/>
              </w:rPr>
              <w:t>(13)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538.03</w:t>
            </w:r>
            <w:r>
              <w:rPr>
                <w:rFonts w:ascii="Times;serif" w:hAnsi="Times;serif"/>
                <w:color w:val="008000"/>
                <w:position w:val="7"/>
                <w:sz w:val="16"/>
                <w:sz w:val="20"/>
                <w:shd w:fill="FFFFFF" w:val="clear"/>
              </w:rPr>
              <w:t>(14)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538.63</w:t>
            </w:r>
            <w:r>
              <w:rPr>
                <w:rFonts w:ascii="Times;serif" w:hAnsi="Times;serif"/>
                <w:color w:val="008000"/>
                <w:position w:val="7"/>
                <w:sz w:val="16"/>
                <w:sz w:val="20"/>
                <w:shd w:fill="FFFFFF" w:val="clear"/>
              </w:rPr>
              <w:t>(15)</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540.56</w:t>
            </w:r>
            <w:r>
              <w:rPr>
                <w:rFonts w:ascii="Times;serif" w:hAnsi="Times;serif"/>
                <w:color w:val="008000"/>
                <w:position w:val="7"/>
                <w:sz w:val="16"/>
                <w:sz w:val="20"/>
                <w:shd w:fill="FFFFFF" w:val="clear"/>
              </w:rPr>
              <w:t>(16)</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541.33</w:t>
            </w:r>
            <w:r>
              <w:rPr>
                <w:rFonts w:ascii="Times;serif" w:hAnsi="Times;serif"/>
                <w:color w:val="008000"/>
                <w:position w:val="7"/>
                <w:sz w:val="16"/>
                <w:sz w:val="20"/>
                <w:shd w:fill="FFFFFF" w:val="clear"/>
              </w:rPr>
              <w:t>(17)</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542.47</w:t>
            </w:r>
            <w:r>
              <w:rPr>
                <w:rFonts w:ascii="Times;serif" w:hAnsi="Times;serif"/>
                <w:color w:val="008000"/>
                <w:position w:val="7"/>
                <w:sz w:val="16"/>
                <w:sz w:val="20"/>
                <w:shd w:fill="FFFFFF" w:val="clear"/>
              </w:rPr>
              <w:t>(18)</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398</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543.5</w:t>
            </w:r>
            <w:r>
              <w:rPr>
                <w:rFonts w:ascii="Times;serif" w:hAnsi="Times;serif"/>
                <w:color w:val="008000"/>
                <w:position w:val="7"/>
                <w:sz w:val="16"/>
                <w:sz w:val="20"/>
                <w:shd w:fill="FFFFFF" w:val="clear"/>
              </w:rPr>
              <w:t>(19)</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544.42</w:t>
            </w:r>
            <w:r>
              <w:rPr>
                <w:rFonts w:ascii="Times;serif" w:hAnsi="Times;serif"/>
                <w:color w:val="008000"/>
                <w:position w:val="7"/>
                <w:sz w:val="16"/>
                <w:sz w:val="20"/>
                <w:shd w:fill="FFFFFF" w:val="clear"/>
              </w:rPr>
              <w:t>(20)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545.4</w:t>
            </w:r>
            <w:r>
              <w:rPr>
                <w:rFonts w:ascii="Times;serif" w:hAnsi="Times;serif"/>
                <w:color w:val="008000"/>
                <w:position w:val="7"/>
                <w:sz w:val="16"/>
                <w:sz w:val="20"/>
                <w:shd w:fill="FFFFFF" w:val="clear"/>
              </w:rPr>
              <w:t>(21)</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546.53</w:t>
            </w:r>
            <w:r>
              <w:rPr>
                <w:rFonts w:ascii="Times;serif" w:hAnsi="Times;serif"/>
                <w:color w:val="008000"/>
                <w:position w:val="7"/>
                <w:sz w:val="16"/>
                <w:sz w:val="20"/>
                <w:shd w:fill="FFFFFF" w:val="clear"/>
              </w:rPr>
              <w:t>(22)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547.31</w:t>
            </w:r>
            <w:r>
              <w:rPr>
                <w:rFonts w:ascii="Times;serif" w:hAnsi="Times;serif"/>
                <w:color w:val="008000"/>
                <w:position w:val="7"/>
                <w:sz w:val="16"/>
                <w:sz w:val="20"/>
                <w:shd w:fill="FFFFFF" w:val="clear"/>
              </w:rPr>
              <w:t>(23)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548.78</w:t>
            </w:r>
            <w:r>
              <w:rPr>
                <w:rFonts w:ascii="Times;serif" w:hAnsi="Times;serif"/>
                <w:color w:val="008000"/>
                <w:position w:val="7"/>
                <w:sz w:val="16"/>
                <w:sz w:val="20"/>
                <w:shd w:fill="FFFFFF" w:val="clear"/>
              </w:rPr>
              <w:t>(24)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549.74</w:t>
            </w:r>
            <w:r>
              <w:rPr>
                <w:rFonts w:ascii="Times;serif" w:hAnsi="Times;serif"/>
                <w:color w:val="008000"/>
                <w:position w:val="7"/>
                <w:sz w:val="16"/>
                <w:sz w:val="20"/>
                <w:shd w:fill="FFFFFF" w:val="clear"/>
              </w:rPr>
              <w:t>(25)</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w:t>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550.71</w:t>
            </w:r>
            <w:r>
              <w:rPr>
                <w:rFonts w:ascii="Times;serif" w:hAnsi="Times;serif"/>
                <w:color w:val="008000"/>
                <w:position w:val="7"/>
                <w:sz w:val="16"/>
                <w:sz w:val="20"/>
                <w:shd w:fill="FFFFFF" w:val="clear"/>
              </w:rPr>
              <w:t>(26)</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Technology Investors IV, L.P.</w:t>
            </w:r>
            <w:r>
              <w:rPr>
                <w:rFonts w:ascii="Times;serif" w:hAnsi="Times;serif"/>
                <w:color w:val="008000"/>
                <w:position w:val="7"/>
                <w:sz w:val="16"/>
                <w:sz w:val="20"/>
                <w:shd w:fill="FFFFFF" w:val="clear"/>
              </w:rPr>
              <w:t>(3)(4)</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(4)(5)</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1,390</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214,632</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1,397,035</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(8)</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51,173</w:t>
            </w:r>
          </w:p>
        </w:tc>
        <w:tc>
          <w:tcPr>
            <w:tcW w:w="9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18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113,723</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(27)</w:t>
            </w:r>
          </w:p>
        </w:tc>
      </w:tr>
    </w:tbl>
    <w:tbl>
      <w:tblPr>
        <w:tblW w:w="12869" w:type="dxa"/>
        <w:jc w:val="left"/>
        <w:tblInd w:w="-7" w:type="dxa"/>
        <w:tblLayout w:type="fixed"/>
        <w:tblCellMar>
          <w:top w:w="60" w:type="dxa"/>
          <w:left w:w="60" w:type="dxa"/>
          <w:bottom w:w="60" w:type="dxa"/>
          <w:right w:w="60" w:type="dxa"/>
        </w:tblCellMar>
      </w:tblPr>
      <w:tblGrid>
        <w:gridCol w:w="905"/>
        <w:gridCol w:w="861"/>
        <w:gridCol w:w="891"/>
        <w:gridCol w:w="771"/>
        <w:gridCol w:w="660"/>
        <w:gridCol w:w="231"/>
        <w:gridCol w:w="276"/>
        <w:gridCol w:w="606"/>
        <w:gridCol w:w="906"/>
        <w:gridCol w:w="801"/>
        <w:gridCol w:w="891"/>
        <w:gridCol w:w="1221"/>
        <w:gridCol w:w="801"/>
        <w:gridCol w:w="1071"/>
        <w:gridCol w:w="831"/>
        <w:gridCol w:w="1146"/>
      </w:tblGrid>
      <w:tr>
        <w:trPr>
          <w:tblHeader w:val="true"/>
        </w:trPr>
        <w:tc>
          <w:tcPr>
            <w:tcW w:w="128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(1)(2)</w:t>
            </w:r>
          </w:p>
        </w:tc>
        <w:tc>
          <w:tcPr>
            <w:tcW w:w="2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246,373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Held through Silver Lake Technology Investors IV,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C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42,232,027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42,232,027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(28)</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Silver Lake Technology Investors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Silver Lake Technology Investors V, L.P., SL SPV-2, L.P., Silver Lake Partners IV, L.P., Silver Lake Partners V DE (AIV), L.P., Silver Lake Technology Investors IV, L.P. and certain of their respective affiliates sold certain shares of Class C Common Stock, par value $0.01 per share ("Class C Common Stock") of Dell Technologies Inc. (the "Issuer") on September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share of Class B Common Stock, par value $0.01 per share of the Issuer (the "Class B Common Stock") is convertible into one share of Class C Common Stock at any time, at the election of the holder or automatically upon certain transfers, and has no expiration date. On September 9, 2026, certain of the Reporting Persons converted shares of Class B Common Stock into an equal number of shares of Class C Common Stock in connection with the sales described in footnote (1)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Technology Investors IV, L.P. The general partner of Silver Lake Technology Investors IV, L.P. is Silver Lake Technology Associates IV, L.P. and the general partner of Silver Lake Technology Associates IV, L.P. is SLTA IV (GP),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Silver Lake Group, L.L.C. ("SLG") is the managing member of SLTA IV (GP), L.L.C. Egon Durban, who serves as a director of the Issuer, also serves as the CEO and a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Class C Common Stock held directly by SLG.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by entities in which Mr. Egon Durban may be deemed to have an indirect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amount reflects 38,913, 123,469, 33,939 and 18,311 shares held by SLTA SPV-2, L.P., Silver Lake Technology Associates IV, L.P., Silver Lake Technology Associates V, L.P. and SLG, respectively, on behalf of certain employees and managing members of SLG or its affiliates.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shares of Class C Common Stock held directly by Mr. Durban.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beneficially owned indirectly by Mr. Durban through a trust for the benefit of certain family members.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$533.4301 to $534.4162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$534.4320 to $535.4300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$535.4590 to $536.4549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$536.4600 to $537.4450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$537.4642 to $538.4300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$538.4360 to $538.8850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at prices ranging from $539.8860 to $540.8854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$540.9289 to $541.9097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$541.9512 to $542.9400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$542.9600 to $543.9473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$543.9600 to $544.9552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$544.9700 to $545.9444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$545.9700 to $546.9470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$547.0000 to $547.8400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$548.0000 to $548.8700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$549.5090 to $549.9400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$550.4100 to $551.0000 per share, inclusive. The Reporting Persons undertake to provide to the Issuer, any security holder of the Issuer, or the staff of the SEC,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Following the transactions described in footnote (1), SL SPV-2, L.P. directly holds 47,386 shares of Class C Common Stock, Silver Lake Partners IV, L.P. directly holds 41,849 shares of Class C Common Stock, Silver Lake Partners V DE (AIV), L.P. directly holds 24,488 shares of Class C Common Stock and Silver Lake Technology Investors V, L.P. directly holds 0 shares of Class C Common Stock, which securities and transactions are reported on separate Form 4 filings.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Following the transactions described in footnote (1), SL SPV-2, L.P. directly holds 16,311,902 shares of Class B Common Stock, Silver Lake Partners IV, L.P. directly holds 16,744,985 shares of Class B Common Stock, Silver Lake Partners V DE (AIV), L.P. directly holds 9,064,039 shares of Class B Common Stock and Silver Lake Technology Investors V, L.P. directly holds 111,101 shares of Class B Common Stock, which securities and transactions are reported on separate Form 4 filings.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Due to certain reporting restrictions including that no more than 30 transactions can be listed on each Table of the Form 4 filing and no more than 10 reporting persons can file any one Form 4 through the Securities and Exchange Commission's EDGAR system, certain affiliates of the Reporting Persons have filed separate Forms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 gen. partner of Silver Lake Technology Associates IV, L.P., gen. partner of Silver Lake Technology Investors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565"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72565" TargetMode="External"/><Relationship Id="rId10" Type="http://schemas.openxmlformats.org/officeDocument/2006/relationships/hyperlink" Target="http://www.sec.gov/cgi-bin/browse-edgar?action=getcompany&amp;CIK=0001672566" TargetMode="External"/><Relationship Id="rId11" Type="http://schemas.openxmlformats.org/officeDocument/2006/relationships/hyperlink" Target="http://www.sec.gov/cgi-bin/browse-edgar?action=getcompany&amp;CIK=0001672568" TargetMode="External"/><Relationship Id="rId12" Type="http://schemas.openxmlformats.org/officeDocument/2006/relationships/hyperlink" Target="http://www.sec.gov/cgi-bin/browse-edgar?action=getcompany&amp;CIK=0001418226" TargetMode="External"/><Relationship Id="rId13" Type="http://schemas.openxmlformats.org/officeDocument/2006/relationships/hyperlink" Target="http://www.sec.gov/cgi-bin/browse-edgar?action=getcompany&amp;CIK=000165140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3132</Words>
  <Characters>16067</Characters>
  <CharactersWithSpaces>18826</CharactersWithSpaces>
  <Paragraphs>402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