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25, 2024</w:t>
      </w:r>
    </w:p>
    <w:p>
      <w:pPr>
        <w:spacing w:after="0" w:line="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00"/>
          </w:cols>
          <w:pgMar w:left="320" w:top="1051" w:right="379" w:bottom="1440" w:gutter="0" w:footer="0" w:header="0"/>
        </w:sectPr>
      </w:pPr>
    </w:p>
    <w:p>
      <w:pPr>
        <w:spacing w:after="0" w:line="11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80-0890963</w:t>
      </w:r>
    </w:p>
    <w:p>
      <w:pPr>
        <w:spacing w:after="0" w:line="12" w:lineRule="exact"/>
        <w:rPr>
          <w:sz w:val="24"/>
          <w:szCs w:val="24"/>
          <w:color w:val="auto"/>
        </w:rPr>
      </w:pPr>
    </w:p>
    <w:p>
      <w:pPr>
        <w:sectPr>
          <w:pgSz w:w="11900" w:h="16838" w:orient="portrait"/>
          <w:cols w:equalWidth="0" w:num="3">
            <w:col w:w="4500" w:space="720"/>
            <w:col w:w="3020" w:space="720"/>
            <w:col w:w="2240"/>
          </w:cols>
          <w:pgMar w:left="320" w:top="1051" w:right="37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920" w:space="720"/>
            <w:col w:w="2360"/>
          </w:cols>
          <w:pgMar w:left="320" w:top="1051"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3" w:lineRule="exact"/>
        <w:rPr>
          <w:sz w:val="24"/>
          <w:szCs w:val="24"/>
          <w:color w:val="auto"/>
        </w:rPr>
      </w:pPr>
    </w:p>
    <w:p>
      <w:pPr>
        <w:sectPr>
          <w:pgSz w:w="11900" w:h="16838" w:orient="portrait"/>
          <w:cols w:equalWidth="0" w:num="2">
            <w:col w:w="7600" w:space="720"/>
            <w:col w:w="2880"/>
          </w:cols>
          <w:pgMar w:left="320" w:top="1051" w:right="37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480" w:space="720"/>
            <w:col w:w="300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980" w:type="dxa"/>
            <w:vAlign w:val="bottom"/>
            <w:gridSpan w:val="2"/>
          </w:tcPr>
          <w:p>
            <w:pPr>
              <w:jc w:val="center"/>
              <w:ind w:right="168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620" w:type="dxa"/>
            <w:vAlign w:val="bottom"/>
            <w:gridSpan w:val="2"/>
          </w:tcPr>
          <w:p>
            <w:pPr>
              <w:jc w:val="center"/>
              <w:ind w:left="33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6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Material Definitive Agreement.</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25, 2024, Dell Technologies Inc. (the “Company”) delivered to Broadcom Inc. written notice of termination of the Commercial Framework Agreement, dated as of November 1, 2021 (the “Agreement”), by and between the Company and VMware, Inc. (“VMware”). The Agreement provides that</w:t>
      </w:r>
    </w:p>
    <w:p>
      <w:pPr>
        <w:ind w:right="420"/>
        <w:spacing w:after="0" w:line="266" w:lineRule="auto"/>
        <w:rPr>
          <w:sz w:val="20"/>
          <w:szCs w:val="20"/>
          <w:color w:val="auto"/>
        </w:rPr>
      </w:pPr>
      <w:r>
        <w:rPr>
          <w:rFonts w:ascii="Times New Roman" w:cs="Times New Roman" w:eastAsia="Times New Roman" w:hAnsi="Times New Roman"/>
          <w:sz w:val="18"/>
          <w:szCs w:val="18"/>
          <w:color w:val="auto"/>
        </w:rPr>
        <w:t>upon a Change in Control of either party (as defined in the Agreement), the other party may terminate the Agreement upon 60 days’ written notice. A Change in Control of VMware occurred upon the acquisition on November 22, 2023 of VMware’s successor, VMware LLC, by Broadcom Inc.</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Agreement provides a framework for various commercial activities between the two parties, including how the Company will act as a distributor of VMware products and services as well as how the parties collaborate on certain solutions and go-to-market activities.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87" w:right="37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Dell Technologies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17145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4900" w:space="720"/>
            <w:col w:w="1720" w:space="400"/>
            <w:col w:w="3460"/>
          </w:cols>
          <w:pgMar w:left="320" w:top="887"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Christopher A. Garcia</w:t>
      </w:r>
    </w:p>
    <w:p>
      <w:pPr>
        <w:jc w:val="center"/>
        <w:ind w:left="6040"/>
        <w:spacing w:after="0"/>
        <w:rPr>
          <w:sz w:val="20"/>
          <w:szCs w:val="20"/>
          <w:color w:val="auto"/>
        </w:rPr>
      </w:pPr>
      <w:r>
        <w:rPr>
          <w:rFonts w:ascii="Times New Roman" w:cs="Times New Roman" w:eastAsia="Times New Roman" w:hAnsi="Times New Roman"/>
          <w:sz w:val="17"/>
          <w:szCs w:val="17"/>
          <w:color w:val="auto"/>
        </w:rPr>
        <w:t>Senior Vice President and Assistant Secretary</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00"/>
      </w:cols>
      <w:pgMar w:left="320" w:top="88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2024-01-30T15:20:52Z</dcterms:created>
  <dcterms:modified xsi:type="dcterms:W3CDTF">2024-01-30T15:20:52Z</dcterms:modified>
</cp:coreProperties>
</file>