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00"/>
          </w:cols>
          <w:pgMar w:left="460" w:top="219" w:right="47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SLTA V (GP),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SILVER LAKE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2775 SAND HILL ROAD, SUITE 100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Dell Technologies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DELL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07/10/2024</w:t>
            </w: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0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20"/>
          </w:cols>
          <w:pgMar w:left="460" w:top="219" w:right="4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ectPr>
          <w:pgSz w:w="11900" w:h="16838" w:orient="portrait"/>
          <w:cols w:equalWidth="0" w:num="1">
            <w:col w:w="10960"/>
          </w:cols>
          <w:pgMar w:left="460" w:top="219" w:right="479" w:bottom="0" w:gutter="0" w:footer="0" w:header="0"/>
          <w:type w:val="continuous"/>
        </w:sectPr>
      </w:pPr>
    </w:p>
    <w:p>
      <w:pPr>
        <w:spacing w:after="0" w:line="123"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2160" w:type="dxa"/>
            <w:vAlign w:val="bottom"/>
          </w:tcPr>
          <w:p>
            <w:pPr>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21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r>
      <w:tr>
        <w:trPr>
          <w:trHeight w:val="133"/>
        </w:trPr>
        <w:tc>
          <w:tcPr>
            <w:tcW w:w="2160" w:type="dxa"/>
            <w:vAlign w:val="bottom"/>
          </w:tcPr>
          <w:p>
            <w:pPr>
              <w:spacing w:after="0"/>
              <w:rPr>
                <w:sz w:val="11"/>
                <w:szCs w:val="11"/>
                <w:color w:val="auto"/>
              </w:rPr>
            </w:pPr>
          </w:p>
        </w:tc>
        <w:tc>
          <w:tcPr>
            <w:tcW w:w="150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 8)</w:t>
            </w:r>
          </w:p>
        </w:tc>
        <w:tc>
          <w:tcPr>
            <w:tcW w:w="2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r>
      <w:tr>
        <w:trPr>
          <w:trHeight w:val="133"/>
        </w:trPr>
        <w:tc>
          <w:tcPr>
            <w:tcW w:w="2160" w:type="dxa"/>
            <w:vAlign w:val="bottom"/>
          </w:tcPr>
          <w:p>
            <w:pPr>
              <w:spacing w:after="0"/>
              <w:rPr>
                <w:sz w:val="11"/>
                <w:szCs w:val="11"/>
                <w:color w:val="auto"/>
              </w:rPr>
            </w:pPr>
          </w:p>
        </w:tc>
        <w:tc>
          <w:tcPr>
            <w:tcW w:w="150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1"/>
        </w:trPr>
        <w:tc>
          <w:tcPr>
            <w:tcW w:w="2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5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r>
      <w:tr>
        <w:trPr>
          <w:trHeight w:val="320"/>
        </w:trPr>
        <w:tc>
          <w:tcPr>
            <w:tcW w:w="2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2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 or</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r>
      <w:tr>
        <w:trPr>
          <w:trHeight w:val="165"/>
        </w:trPr>
        <w:tc>
          <w:tcPr>
            <w:tcW w:w="2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90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98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w w:val="96"/>
              </w:rPr>
              <w:t>7. Nature of</w:t>
            </w: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5"/>
        </w:trPr>
        <w:tc>
          <w:tcPr>
            <w:tcW w:w="980" w:type="dxa"/>
            <w:vAlign w:val="bottom"/>
          </w:tcPr>
          <w:p>
            <w:pPr>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bl>
    <w:p>
      <w:pPr>
        <w:spacing w:after="0" w:line="1" w:lineRule="exact"/>
        <w:rPr>
          <w:sz w:val="24"/>
          <w:szCs w:val="24"/>
          <w:color w:val="auto"/>
        </w:rPr>
      </w:pPr>
    </w:p>
    <w:p>
      <w:pPr>
        <w:sectPr>
          <w:pgSz w:w="11900" w:h="16838" w:orient="portrait"/>
          <w:cols w:equalWidth="0" w:num="2">
            <w:col w:w="8000" w:space="60"/>
            <w:col w:w="2900"/>
          </w:cols>
          <w:pgMar w:left="460" w:top="219" w:right="479" w:bottom="0" w:gutter="0" w:footer="0" w:header="0"/>
          <w:type w:val="continuous"/>
        </w:sectPr>
      </w:pPr>
    </w:p>
    <w:tbl>
      <w:tblPr>
        <w:tblLayout w:type="fixed"/>
        <w:tblInd w:w="20" w:type="dxa"/>
        <w:tblCellMar>
          <w:top w:w="0" w:type="dxa"/>
          <w:left w:w="0" w:type="dxa"/>
          <w:bottom w:w="0" w:type="dxa"/>
          <w:right w:w="0" w:type="dxa"/>
        </w:tblCellMar>
      </w:tblPr>
      <w:tr>
        <w:trPr>
          <w:trHeight w:val="389"/>
        </w:trPr>
        <w:tc>
          <w:tcPr>
            <w:tcW w:w="22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80" w:type="dxa"/>
            <w:vAlign w:val="bottom"/>
            <w:tcBorders>
              <w:bottom w:val="single" w:sz="8" w:color="2C2C2C"/>
            </w:tcBorders>
          </w:tcPr>
          <w:p>
            <w:pPr>
              <w:jc w:val="right"/>
              <w:ind w:right="573"/>
              <w:spacing w:after="0"/>
              <w:rPr>
                <w:sz w:val="20"/>
                <w:szCs w:val="20"/>
                <w:color w:val="auto"/>
              </w:rPr>
            </w:pPr>
            <w:r>
              <w:rPr>
                <w:rFonts w:ascii="Times New Roman" w:cs="Times New Roman" w:eastAsia="Times New Roman" w:hAnsi="Times New Roman"/>
                <w:sz w:val="17"/>
                <w:szCs w:val="17"/>
                <w:color w:val="0000FF"/>
              </w:rPr>
              <w:t>07/10/2024</w:t>
            </w:r>
          </w:p>
        </w:tc>
        <w:tc>
          <w:tcPr>
            <w:tcW w:w="1500" w:type="dxa"/>
            <w:vAlign w:val="bottom"/>
            <w:tcBorders>
              <w:bottom w:val="single" w:sz="8" w:color="2C2C2C"/>
            </w:tcBorders>
          </w:tcPr>
          <w:p>
            <w:pPr>
              <w:jc w:val="center"/>
              <w:ind w:left="381"/>
              <w:spacing w:after="0"/>
              <w:rPr>
                <w:sz w:val="20"/>
                <w:szCs w:val="20"/>
                <w:color w:val="auto"/>
              </w:rPr>
            </w:pPr>
            <w:r>
              <w:rPr>
                <w:rFonts w:ascii="Times New Roman" w:cs="Times New Roman" w:eastAsia="Times New Roman" w:hAnsi="Times New Roman"/>
                <w:sz w:val="13"/>
                <w:szCs w:val="13"/>
                <w:color w:val="0000FF"/>
                <w:w w:val="82"/>
              </w:rPr>
              <w:t>S</w:t>
            </w:r>
          </w:p>
        </w:tc>
        <w:tc>
          <w:tcPr>
            <w:tcW w:w="940" w:type="dxa"/>
            <w:vAlign w:val="bottom"/>
            <w:tcBorders>
              <w:bottom w:val="single" w:sz="8" w:color="2C2C2C"/>
            </w:tcBorders>
          </w:tcPr>
          <w:p>
            <w:pPr>
              <w:jc w:val="center"/>
              <w:ind w:left="13"/>
              <w:spacing w:after="0"/>
              <w:rPr>
                <w:sz w:val="20"/>
                <w:szCs w:val="20"/>
                <w:color w:val="auto"/>
              </w:rPr>
            </w:pPr>
            <w:r>
              <w:rPr>
                <w:rFonts w:ascii="Times New Roman" w:cs="Times New Roman" w:eastAsia="Times New Roman" w:hAnsi="Times New Roman"/>
                <w:sz w:val="17"/>
                <w:szCs w:val="17"/>
                <w:color w:val="0000FF"/>
              </w:rPr>
              <w:t>14,087</w:t>
            </w:r>
          </w:p>
        </w:tc>
        <w:tc>
          <w:tcPr>
            <w:tcW w:w="3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146.04</w:t>
            </w:r>
            <w:r>
              <w:rPr>
                <w:rFonts w:ascii="Times New Roman" w:cs="Times New Roman" w:eastAsia="Times New Roman" w:hAnsi="Times New Roman"/>
                <w:sz w:val="22"/>
                <w:szCs w:val="22"/>
                <w:color w:val="008000"/>
                <w:w w:val="94"/>
                <w:vertAlign w:val="superscript"/>
              </w:rPr>
              <w:t>(16)</w:t>
            </w:r>
          </w:p>
        </w:tc>
        <w:tc>
          <w:tcPr>
            <w:tcW w:w="110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w w:val="92"/>
              </w:rPr>
              <w:t>790,469</w:t>
            </w:r>
            <w:r>
              <w:rPr>
                <w:rFonts w:ascii="Times New Roman" w:cs="Times New Roman" w:eastAsia="Times New Roman" w:hAnsi="Times New Roman"/>
                <w:sz w:val="22"/>
                <w:szCs w:val="22"/>
                <w:color w:val="008000"/>
                <w:w w:val="92"/>
                <w:vertAlign w:val="superscript"/>
              </w:rPr>
              <w:t>(14)</w:t>
            </w:r>
          </w:p>
        </w:tc>
        <w:tc>
          <w:tcPr>
            <w:tcW w:w="720" w:type="dxa"/>
            <w:vAlign w:val="bottom"/>
            <w:tcBorders>
              <w:bottom w:val="single" w:sz="8" w:color="2C2C2C"/>
            </w:tcBorders>
          </w:tcPr>
          <w:p>
            <w:pPr>
              <w:jc w:val="center"/>
              <w:spacing w:after="0" w:line="382" w:lineRule="exact"/>
              <w:rPr>
                <w:sz w:val="20"/>
                <w:szCs w:val="20"/>
                <w:color w:val="auto"/>
              </w:rPr>
            </w:pPr>
            <w:r>
              <w:rPr>
                <w:rFonts w:ascii="Times New Roman" w:cs="Times New Roman" w:eastAsia="Times New Roman" w:hAnsi="Times New Roman"/>
                <w:sz w:val="34"/>
                <w:szCs w:val="34"/>
                <w:color w:val="0000FF"/>
                <w:w w:val="86"/>
                <w:vertAlign w:val="subscript"/>
              </w:rPr>
              <w:t>D</w:t>
            </w:r>
            <w:r>
              <w:rPr>
                <w:rFonts w:ascii="Times New Roman" w:cs="Times New Roman" w:eastAsia="Times New Roman" w:hAnsi="Times New Roman"/>
                <w:sz w:val="11"/>
                <w:szCs w:val="11"/>
                <w:color w:val="008000"/>
                <w:w w:val="86"/>
              </w:rPr>
              <w:t>(14)</w:t>
            </w:r>
          </w:p>
        </w:tc>
        <w:tc>
          <w:tcPr>
            <w:tcW w:w="10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80" w:type="dxa"/>
            <w:vAlign w:val="bottom"/>
            <w:tcBorders>
              <w:bottom w:val="single" w:sz="8" w:color="2C2C2C"/>
            </w:tcBorders>
          </w:tcPr>
          <w:p>
            <w:pPr>
              <w:jc w:val="right"/>
              <w:ind w:right="573"/>
              <w:spacing w:after="0"/>
              <w:rPr>
                <w:sz w:val="20"/>
                <w:szCs w:val="20"/>
                <w:color w:val="auto"/>
              </w:rPr>
            </w:pPr>
            <w:r>
              <w:rPr>
                <w:rFonts w:ascii="Times New Roman" w:cs="Times New Roman" w:eastAsia="Times New Roman" w:hAnsi="Times New Roman"/>
                <w:sz w:val="17"/>
                <w:szCs w:val="17"/>
                <w:color w:val="0000FF"/>
              </w:rPr>
              <w:t>07/10/2024</w:t>
            </w:r>
          </w:p>
        </w:tc>
        <w:tc>
          <w:tcPr>
            <w:tcW w:w="1500" w:type="dxa"/>
            <w:vAlign w:val="bottom"/>
            <w:tcBorders>
              <w:bottom w:val="single" w:sz="8" w:color="2C2C2C"/>
            </w:tcBorders>
          </w:tcPr>
          <w:p>
            <w:pPr>
              <w:jc w:val="center"/>
              <w:ind w:left="381"/>
              <w:spacing w:after="0"/>
              <w:rPr>
                <w:sz w:val="20"/>
                <w:szCs w:val="20"/>
                <w:color w:val="auto"/>
              </w:rPr>
            </w:pPr>
            <w:r>
              <w:rPr>
                <w:rFonts w:ascii="Times New Roman" w:cs="Times New Roman" w:eastAsia="Times New Roman" w:hAnsi="Times New Roman"/>
                <w:sz w:val="13"/>
                <w:szCs w:val="13"/>
                <w:color w:val="0000FF"/>
                <w:w w:val="82"/>
              </w:rPr>
              <w:t>S</w:t>
            </w:r>
          </w:p>
        </w:tc>
        <w:tc>
          <w:tcPr>
            <w:tcW w:w="940" w:type="dxa"/>
            <w:vAlign w:val="bottom"/>
            <w:tcBorders>
              <w:bottom w:val="single" w:sz="8" w:color="2C2C2C"/>
            </w:tcBorders>
          </w:tcPr>
          <w:p>
            <w:pPr>
              <w:jc w:val="center"/>
              <w:ind w:left="13"/>
              <w:spacing w:after="0"/>
              <w:rPr>
                <w:sz w:val="20"/>
                <w:szCs w:val="20"/>
                <w:color w:val="auto"/>
              </w:rPr>
            </w:pPr>
            <w:r>
              <w:rPr>
                <w:rFonts w:ascii="Times New Roman" w:cs="Times New Roman" w:eastAsia="Times New Roman" w:hAnsi="Times New Roman"/>
                <w:sz w:val="17"/>
                <w:szCs w:val="17"/>
                <w:color w:val="0000FF"/>
              </w:rPr>
              <w:t>2,800</w:t>
            </w:r>
          </w:p>
        </w:tc>
        <w:tc>
          <w:tcPr>
            <w:tcW w:w="3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147.02</w:t>
            </w:r>
            <w:r>
              <w:rPr>
                <w:rFonts w:ascii="Times New Roman" w:cs="Times New Roman" w:eastAsia="Times New Roman" w:hAnsi="Times New Roman"/>
                <w:sz w:val="22"/>
                <w:szCs w:val="22"/>
                <w:color w:val="008000"/>
                <w:w w:val="94"/>
                <w:vertAlign w:val="superscript"/>
              </w:rPr>
              <w:t>(17)</w:t>
            </w:r>
          </w:p>
        </w:tc>
        <w:tc>
          <w:tcPr>
            <w:tcW w:w="1100" w:type="dxa"/>
            <w:vAlign w:val="bottom"/>
            <w:tcBorders>
              <w:bottom w:val="single" w:sz="8" w:color="2C2C2C"/>
            </w:tcBorders>
          </w:tcPr>
          <w:p>
            <w:pPr>
              <w:jc w:val="center"/>
              <w:ind w:right="13"/>
              <w:spacing w:after="0"/>
              <w:rPr>
                <w:sz w:val="20"/>
                <w:szCs w:val="20"/>
                <w:color w:val="auto"/>
              </w:rPr>
            </w:pPr>
            <w:r>
              <w:rPr>
                <w:rFonts w:ascii="Times New Roman" w:cs="Times New Roman" w:eastAsia="Times New Roman" w:hAnsi="Times New Roman"/>
                <w:sz w:val="17"/>
                <w:szCs w:val="17"/>
                <w:color w:val="0000FF"/>
              </w:rPr>
              <w:t>787,669</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6"/>
                <w:vertAlign w:val="subscript"/>
              </w:rPr>
              <w:t>D</w:t>
            </w:r>
            <w:r>
              <w:rPr>
                <w:rFonts w:ascii="Times New Roman" w:cs="Times New Roman" w:eastAsia="Times New Roman" w:hAnsi="Times New Roman"/>
                <w:sz w:val="11"/>
                <w:szCs w:val="11"/>
                <w:color w:val="008000"/>
                <w:w w:val="86"/>
              </w:rPr>
              <w:t>(14)</w:t>
            </w:r>
          </w:p>
        </w:tc>
        <w:tc>
          <w:tcPr>
            <w:tcW w:w="10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2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41"/>
        </w:trPr>
        <w:tc>
          <w:tcPr>
            <w:tcW w:w="2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0000FF"/>
              </w:rPr>
              <w:t>07/12/2024</w:t>
            </w:r>
          </w:p>
        </w:tc>
        <w:tc>
          <w:tcPr>
            <w:tcW w:w="1500" w:type="dxa"/>
            <w:vAlign w:val="bottom"/>
          </w:tcPr>
          <w:p>
            <w:pPr>
              <w:jc w:val="center"/>
              <w:ind w:left="381"/>
              <w:spacing w:after="0" w:line="241" w:lineRule="exact"/>
              <w:rPr>
                <w:sz w:val="20"/>
                <w:szCs w:val="20"/>
                <w:color w:val="auto"/>
              </w:rPr>
            </w:pPr>
            <w:r>
              <w:rPr>
                <w:rFonts w:ascii="Times New Roman" w:cs="Times New Roman" w:eastAsia="Times New Roman" w:hAnsi="Times New Roman"/>
                <w:sz w:val="26"/>
                <w:szCs w:val="26"/>
                <w:color w:val="0000FF"/>
                <w:w w:val="99"/>
                <w:vertAlign w:val="subscript"/>
              </w:rPr>
              <w:t>J</w:t>
            </w:r>
            <w:r>
              <w:rPr>
                <w:rFonts w:ascii="Times New Roman" w:cs="Times New Roman" w:eastAsia="Times New Roman" w:hAnsi="Times New Roman"/>
                <w:sz w:val="11"/>
                <w:szCs w:val="11"/>
                <w:color w:val="008000"/>
                <w:w w:val="99"/>
              </w:rPr>
              <w:t>(1)(2)(6)(7)</w:t>
            </w:r>
          </w:p>
        </w:tc>
        <w:tc>
          <w:tcPr>
            <w:tcW w:w="940" w:type="dxa"/>
            <w:vAlign w:val="bottom"/>
          </w:tcPr>
          <w:p>
            <w:pPr>
              <w:jc w:val="center"/>
              <w:ind w:left="13"/>
              <w:spacing w:after="0"/>
              <w:rPr>
                <w:sz w:val="20"/>
                <w:szCs w:val="20"/>
                <w:color w:val="auto"/>
              </w:rPr>
            </w:pPr>
            <w:r>
              <w:rPr>
                <w:rFonts w:ascii="Times New Roman" w:cs="Times New Roman" w:eastAsia="Times New Roman" w:hAnsi="Times New Roman"/>
                <w:sz w:val="17"/>
                <w:szCs w:val="17"/>
                <w:color w:val="0000FF"/>
              </w:rPr>
              <w:t>161,416</w:t>
            </w:r>
          </w:p>
        </w:tc>
        <w:tc>
          <w:tcPr>
            <w:tcW w:w="3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10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0000FF"/>
                <w:w w:val="93"/>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through SL</w:t>
            </w:r>
          </w:p>
        </w:tc>
        <w:tc>
          <w:tcPr>
            <w:tcW w:w="0" w:type="dxa"/>
            <w:vAlign w:val="bottom"/>
          </w:tcPr>
          <w:p>
            <w:pPr>
              <w:spacing w:after="0"/>
              <w:rPr>
                <w:sz w:val="1"/>
                <w:szCs w:val="1"/>
                <w:color w:val="auto"/>
              </w:rPr>
            </w:pPr>
          </w:p>
        </w:tc>
      </w:tr>
      <w:tr>
        <w:trPr>
          <w:trHeight w:val="182"/>
        </w:trPr>
        <w:tc>
          <w:tcPr>
            <w:tcW w:w="22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tcPr>
          <w:p>
            <w:pPr>
              <w:ind w:left="180"/>
              <w:spacing w:after="0" w:line="182" w:lineRule="exact"/>
              <w:rPr>
                <w:sz w:val="20"/>
                <w:szCs w:val="20"/>
                <w:color w:val="auto"/>
              </w:rPr>
            </w:pPr>
            <w:r>
              <w:rPr>
                <w:rFonts w:ascii="Times New Roman" w:cs="Times New Roman" w:eastAsia="Times New Roman" w:hAnsi="Times New Roman"/>
                <w:sz w:val="17"/>
                <w:szCs w:val="17"/>
                <w:color w:val="0000FF"/>
              </w:rPr>
              <w:t>SPV-2, L.P.</w:t>
            </w:r>
          </w:p>
        </w:tc>
        <w:tc>
          <w:tcPr>
            <w:tcW w:w="0" w:type="dxa"/>
            <w:vAlign w:val="bottom"/>
          </w:tcPr>
          <w:p>
            <w:pPr>
              <w:spacing w:after="0"/>
              <w:rPr>
                <w:sz w:val="1"/>
                <w:szCs w:val="1"/>
                <w:color w:val="auto"/>
              </w:rPr>
            </w:pPr>
          </w:p>
        </w:tc>
      </w:tr>
      <w:tr>
        <w:trPr>
          <w:trHeight w:val="143"/>
        </w:trPr>
        <w:tc>
          <w:tcPr>
            <w:tcW w:w="2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1"/>
                <w:szCs w:val="11"/>
                <w:color w:val="008000"/>
              </w:rPr>
              <w:t>(3)(13)</w:t>
            </w:r>
          </w:p>
        </w:tc>
        <w:tc>
          <w:tcPr>
            <w:tcW w:w="0" w:type="dxa"/>
            <w:vAlign w:val="bottom"/>
          </w:tcPr>
          <w:p>
            <w:pPr>
              <w:spacing w:after="0"/>
              <w:rPr>
                <w:sz w:val="1"/>
                <w:szCs w:val="1"/>
                <w:color w:val="auto"/>
              </w:rPr>
            </w:pPr>
          </w:p>
        </w:tc>
      </w:tr>
      <w:tr>
        <w:trPr>
          <w:trHeight w:val="81"/>
        </w:trPr>
        <w:tc>
          <w:tcPr>
            <w:tcW w:w="224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2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0000FF"/>
              </w:rPr>
              <w:t>07/12/2024</w:t>
            </w:r>
          </w:p>
        </w:tc>
        <w:tc>
          <w:tcPr>
            <w:tcW w:w="1500" w:type="dxa"/>
            <w:vAlign w:val="bottom"/>
          </w:tcPr>
          <w:p>
            <w:pPr>
              <w:jc w:val="center"/>
              <w:ind w:left="381"/>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(1)(2)(6)(7)</w:t>
            </w:r>
          </w:p>
        </w:tc>
        <w:tc>
          <w:tcPr>
            <w:tcW w:w="940" w:type="dxa"/>
            <w:vAlign w:val="bottom"/>
          </w:tcPr>
          <w:p>
            <w:pPr>
              <w:jc w:val="center"/>
              <w:ind w:left="13"/>
              <w:spacing w:after="0"/>
              <w:rPr>
                <w:sz w:val="20"/>
                <w:szCs w:val="20"/>
                <w:color w:val="auto"/>
              </w:rPr>
            </w:pPr>
            <w:r>
              <w:rPr>
                <w:rFonts w:ascii="Times New Roman" w:cs="Times New Roman" w:eastAsia="Times New Roman" w:hAnsi="Times New Roman"/>
                <w:sz w:val="17"/>
                <w:szCs w:val="17"/>
                <w:color w:val="0000FF"/>
              </w:rPr>
              <w:t>121,954</w:t>
            </w:r>
          </w:p>
        </w:tc>
        <w:tc>
          <w:tcPr>
            <w:tcW w:w="3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10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0000FF"/>
                <w:w w:val="93"/>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213"/>
        </w:trPr>
        <w:tc>
          <w:tcPr>
            <w:tcW w:w="2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Partners IV,</w:t>
            </w:r>
          </w:p>
        </w:tc>
        <w:tc>
          <w:tcPr>
            <w:tcW w:w="0" w:type="dxa"/>
            <w:vAlign w:val="bottom"/>
          </w:tcPr>
          <w:p>
            <w:pPr>
              <w:spacing w:after="0"/>
              <w:rPr>
                <w:sz w:val="1"/>
                <w:szCs w:val="1"/>
                <w:color w:val="auto"/>
              </w:rPr>
            </w:pPr>
          </w:p>
        </w:tc>
      </w:tr>
      <w:tr>
        <w:trPr>
          <w:trHeight w:val="288"/>
        </w:trPr>
        <w:tc>
          <w:tcPr>
            <w:tcW w:w="22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1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(4)(13)</w:t>
            </w:r>
          </w:p>
        </w:tc>
        <w:tc>
          <w:tcPr>
            <w:tcW w:w="0" w:type="dxa"/>
            <w:vAlign w:val="bottom"/>
          </w:tcPr>
          <w:p>
            <w:pPr>
              <w:spacing w:after="0"/>
              <w:rPr>
                <w:sz w:val="1"/>
                <w:szCs w:val="1"/>
                <w:color w:val="auto"/>
              </w:rPr>
            </w:pPr>
          </w:p>
        </w:tc>
      </w:tr>
      <w:tr>
        <w:trPr>
          <w:trHeight w:val="252"/>
        </w:trPr>
        <w:tc>
          <w:tcPr>
            <w:tcW w:w="22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2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80" w:type="dxa"/>
            <w:vAlign w:val="bottom"/>
            <w:vMerge w:val="restart"/>
          </w:tcPr>
          <w:p>
            <w:pPr>
              <w:jc w:val="right"/>
              <w:ind w:right="573"/>
              <w:spacing w:after="0"/>
              <w:rPr>
                <w:sz w:val="20"/>
                <w:szCs w:val="20"/>
                <w:color w:val="auto"/>
              </w:rPr>
            </w:pPr>
            <w:r>
              <w:rPr>
                <w:rFonts w:ascii="Times New Roman" w:cs="Times New Roman" w:eastAsia="Times New Roman" w:hAnsi="Times New Roman"/>
                <w:sz w:val="17"/>
                <w:szCs w:val="17"/>
                <w:color w:val="0000FF"/>
              </w:rPr>
              <w:t>07/12/2024</w:t>
            </w:r>
          </w:p>
        </w:tc>
        <w:tc>
          <w:tcPr>
            <w:tcW w:w="1500" w:type="dxa"/>
            <w:vAlign w:val="bottom"/>
            <w:vMerge w:val="restart"/>
          </w:tcPr>
          <w:p>
            <w:pPr>
              <w:jc w:val="center"/>
              <w:ind w:left="381"/>
              <w:spacing w:after="0"/>
              <w:rPr>
                <w:sz w:val="20"/>
                <w:szCs w:val="20"/>
                <w:color w:val="auto"/>
              </w:rPr>
            </w:pPr>
            <w:r>
              <w:rPr>
                <w:rFonts w:ascii="Times New Roman" w:cs="Times New Roman" w:eastAsia="Times New Roman" w:hAnsi="Times New Roman"/>
                <w:sz w:val="26"/>
                <w:szCs w:val="26"/>
                <w:color w:val="0000FF"/>
                <w:w w:val="99"/>
                <w:vertAlign w:val="subscript"/>
              </w:rPr>
              <w:t>J</w:t>
            </w:r>
            <w:r>
              <w:rPr>
                <w:rFonts w:ascii="Times New Roman" w:cs="Times New Roman" w:eastAsia="Times New Roman" w:hAnsi="Times New Roman"/>
                <w:sz w:val="11"/>
                <w:szCs w:val="11"/>
                <w:color w:val="008000"/>
                <w:w w:val="99"/>
              </w:rPr>
              <w:t>(1)(2)(6)(7)</w:t>
            </w:r>
          </w:p>
        </w:tc>
        <w:tc>
          <w:tcPr>
            <w:tcW w:w="940" w:type="dxa"/>
            <w:vAlign w:val="bottom"/>
            <w:vMerge w:val="restart"/>
          </w:tcPr>
          <w:p>
            <w:pPr>
              <w:jc w:val="center"/>
              <w:ind w:left="13"/>
              <w:spacing w:after="0"/>
              <w:rPr>
                <w:sz w:val="20"/>
                <w:szCs w:val="20"/>
                <w:color w:val="auto"/>
              </w:rPr>
            </w:pPr>
            <w:r>
              <w:rPr>
                <w:rFonts w:ascii="Times New Roman" w:cs="Times New Roman" w:eastAsia="Times New Roman" w:hAnsi="Times New Roman"/>
                <w:sz w:val="17"/>
                <w:szCs w:val="17"/>
                <w:color w:val="0000FF"/>
              </w:rPr>
              <w:t>78,097</w:t>
            </w:r>
          </w:p>
        </w:tc>
        <w:tc>
          <w:tcPr>
            <w:tcW w:w="3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100" w:type="dxa"/>
            <w:vAlign w:val="bottom"/>
            <w:vMerge w:val="restart"/>
          </w:tcPr>
          <w:p>
            <w:pPr>
              <w:jc w:val="center"/>
              <w:ind w:right="13"/>
              <w:spacing w:after="0"/>
              <w:rPr>
                <w:sz w:val="20"/>
                <w:szCs w:val="20"/>
                <w:color w:val="auto"/>
              </w:rPr>
            </w:pPr>
            <w:r>
              <w:rPr>
                <w:rFonts w:ascii="Times New Roman" w:cs="Times New Roman" w:eastAsia="Times New Roman" w:hAnsi="Times New Roman"/>
                <w:sz w:val="17"/>
                <w:szCs w:val="17"/>
                <w:color w:val="0000FF"/>
                <w:w w:val="93"/>
              </w:rPr>
              <w:t>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138"/>
        </w:trPr>
        <w:tc>
          <w:tcPr>
            <w:tcW w:w="2240" w:type="dxa"/>
            <w:vAlign w:val="bottom"/>
            <w:vMerge w:val="continue"/>
          </w:tcPr>
          <w:p>
            <w:pPr>
              <w:spacing w:after="0"/>
              <w:rPr>
                <w:sz w:val="11"/>
                <w:szCs w:val="11"/>
                <w:color w:val="auto"/>
              </w:rPr>
            </w:pPr>
          </w:p>
        </w:tc>
        <w:tc>
          <w:tcPr>
            <w:tcW w:w="198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0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Partners V</w:t>
            </w:r>
          </w:p>
        </w:tc>
        <w:tc>
          <w:tcPr>
            <w:tcW w:w="0" w:type="dxa"/>
            <w:vAlign w:val="bottom"/>
          </w:tcPr>
          <w:p>
            <w:pPr>
              <w:spacing w:after="0"/>
              <w:rPr>
                <w:sz w:val="1"/>
                <w:szCs w:val="1"/>
                <w:color w:val="auto"/>
              </w:rPr>
            </w:pPr>
          </w:p>
        </w:tc>
      </w:tr>
      <w:tr>
        <w:trPr>
          <w:trHeight w:val="76"/>
        </w:trPr>
        <w:tc>
          <w:tcPr>
            <w:tcW w:w="224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9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DE (AIV),</w:t>
            </w:r>
          </w:p>
        </w:tc>
        <w:tc>
          <w:tcPr>
            <w:tcW w:w="0" w:type="dxa"/>
            <w:vAlign w:val="bottom"/>
          </w:tcPr>
          <w:p>
            <w:pPr>
              <w:spacing w:after="0"/>
              <w:rPr>
                <w:sz w:val="1"/>
                <w:szCs w:val="1"/>
                <w:color w:val="auto"/>
              </w:rPr>
            </w:pPr>
          </w:p>
        </w:tc>
      </w:tr>
      <w:tr>
        <w:trPr>
          <w:trHeight w:val="288"/>
        </w:trPr>
        <w:tc>
          <w:tcPr>
            <w:tcW w:w="22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1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(5)(13)</w:t>
            </w:r>
          </w:p>
        </w:tc>
        <w:tc>
          <w:tcPr>
            <w:tcW w:w="0" w:type="dxa"/>
            <w:vAlign w:val="bottom"/>
          </w:tcPr>
          <w:p>
            <w:pPr>
              <w:spacing w:after="0"/>
              <w:rPr>
                <w:sz w:val="1"/>
                <w:szCs w:val="1"/>
                <w:color w:val="auto"/>
              </w:rPr>
            </w:pPr>
          </w:p>
        </w:tc>
      </w:tr>
      <w:tr>
        <w:trPr>
          <w:trHeight w:val="252"/>
        </w:trPr>
        <w:tc>
          <w:tcPr>
            <w:tcW w:w="22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2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vMerge w:val="restart"/>
          </w:tcPr>
          <w:p>
            <w:pPr>
              <w:jc w:val="center"/>
              <w:ind w:right="33"/>
              <w:spacing w:after="0"/>
              <w:rPr>
                <w:sz w:val="20"/>
                <w:szCs w:val="20"/>
                <w:color w:val="auto"/>
              </w:rPr>
            </w:pPr>
            <w:r>
              <w:rPr>
                <w:rFonts w:ascii="Times New Roman" w:cs="Times New Roman" w:eastAsia="Times New Roman" w:hAnsi="Times New Roman"/>
                <w:sz w:val="17"/>
                <w:szCs w:val="17"/>
                <w:color w:val="0000FF"/>
                <w:w w:val="96"/>
              </w:rPr>
              <w:t>136,942</w:t>
            </w:r>
            <w:r>
              <w:rPr>
                <w:rFonts w:ascii="Times New Roman" w:cs="Times New Roman" w:eastAsia="Times New Roman" w:hAnsi="Times New Roman"/>
                <w:sz w:val="22"/>
                <w:szCs w:val="22"/>
                <w:color w:val="008000"/>
                <w:w w:val="96"/>
                <w:vertAlign w:val="superscript"/>
              </w:rPr>
              <w:t>(8)</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240" w:type="dxa"/>
            <w:vAlign w:val="bottom"/>
            <w:vMerge w:val="continue"/>
          </w:tcPr>
          <w:p>
            <w:pPr>
              <w:spacing w:after="0"/>
              <w:rPr>
                <w:sz w:val="15"/>
                <w:szCs w:val="15"/>
                <w:color w:val="auto"/>
              </w:rPr>
            </w:pPr>
          </w:p>
        </w:tc>
        <w:tc>
          <w:tcPr>
            <w:tcW w:w="1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0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SLTA SPV-</w:t>
            </w:r>
          </w:p>
        </w:tc>
        <w:tc>
          <w:tcPr>
            <w:tcW w:w="0" w:type="dxa"/>
            <w:vAlign w:val="bottom"/>
          </w:tcPr>
          <w:p>
            <w:pPr>
              <w:spacing w:after="0"/>
              <w:rPr>
                <w:sz w:val="1"/>
                <w:szCs w:val="1"/>
                <w:color w:val="auto"/>
              </w:rPr>
            </w:pPr>
          </w:p>
        </w:tc>
      </w:tr>
      <w:tr>
        <w:trPr>
          <w:trHeight w:val="39"/>
        </w:trPr>
        <w:tc>
          <w:tcPr>
            <w:tcW w:w="22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2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180"/>
              <w:spacing w:after="0" w:line="281" w:lineRule="exact"/>
              <w:rPr>
                <w:sz w:val="20"/>
                <w:szCs w:val="20"/>
                <w:color w:val="auto"/>
              </w:rPr>
            </w:pPr>
            <w:r>
              <w:rPr>
                <w:rFonts w:ascii="Times New Roman" w:cs="Times New Roman" w:eastAsia="Times New Roman" w:hAnsi="Times New Roman"/>
                <w:sz w:val="32"/>
                <w:szCs w:val="32"/>
                <w:color w:val="0000FF"/>
                <w:w w:val="99"/>
                <w:vertAlign w:val="subscript"/>
              </w:rPr>
              <w:t>2, L.P.</w:t>
            </w:r>
            <w:r>
              <w:rPr>
                <w:rFonts w:ascii="Times New Roman" w:cs="Times New Roman" w:eastAsia="Times New Roman" w:hAnsi="Times New Roman"/>
                <w:sz w:val="11"/>
                <w:szCs w:val="11"/>
                <w:color w:val="008000"/>
                <w:w w:val="99"/>
              </w:rPr>
              <w:t>(8)(13)</w:t>
            </w:r>
          </w:p>
        </w:tc>
        <w:tc>
          <w:tcPr>
            <w:tcW w:w="0" w:type="dxa"/>
            <w:vAlign w:val="bottom"/>
          </w:tcPr>
          <w:p>
            <w:pPr>
              <w:spacing w:after="0"/>
              <w:rPr>
                <w:sz w:val="1"/>
                <w:szCs w:val="1"/>
                <w:color w:val="auto"/>
              </w:rPr>
            </w:pPr>
          </w:p>
        </w:tc>
      </w:tr>
      <w:tr>
        <w:trPr>
          <w:trHeight w:val="252"/>
        </w:trPr>
        <w:tc>
          <w:tcPr>
            <w:tcW w:w="22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2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vMerge w:val="restart"/>
          </w:tcPr>
          <w:p>
            <w:pPr>
              <w:jc w:val="center"/>
              <w:ind w:right="13"/>
              <w:spacing w:after="0"/>
              <w:rPr>
                <w:sz w:val="20"/>
                <w:szCs w:val="20"/>
                <w:color w:val="auto"/>
              </w:rPr>
            </w:pPr>
            <w:r>
              <w:rPr>
                <w:rFonts w:ascii="Times New Roman" w:cs="Times New Roman" w:eastAsia="Times New Roman" w:hAnsi="Times New Roman"/>
                <w:sz w:val="17"/>
                <w:szCs w:val="17"/>
                <w:color w:val="0000FF"/>
                <w:w w:val="93"/>
              </w:rPr>
              <w:t>81,026</w:t>
            </w:r>
            <w:r>
              <w:rPr>
                <w:rFonts w:ascii="Times New Roman" w:cs="Times New Roman" w:eastAsia="Times New Roman" w:hAnsi="Times New Roman"/>
                <w:sz w:val="22"/>
                <w:szCs w:val="22"/>
                <w:color w:val="008000"/>
                <w:w w:val="93"/>
                <w:vertAlign w:val="superscript"/>
              </w:rPr>
              <w:t>(9)</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174"/>
        </w:trPr>
        <w:tc>
          <w:tcPr>
            <w:tcW w:w="2240" w:type="dxa"/>
            <w:vAlign w:val="bottom"/>
            <w:vMerge w:val="continue"/>
          </w:tcPr>
          <w:p>
            <w:pPr>
              <w:spacing w:after="0"/>
              <w:rPr>
                <w:sz w:val="15"/>
                <w:szCs w:val="15"/>
                <w:color w:val="auto"/>
              </w:rPr>
            </w:pPr>
          </w:p>
        </w:tc>
        <w:tc>
          <w:tcPr>
            <w:tcW w:w="1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0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Technology</w:t>
            </w:r>
          </w:p>
        </w:tc>
        <w:tc>
          <w:tcPr>
            <w:tcW w:w="0" w:type="dxa"/>
            <w:vAlign w:val="bottom"/>
          </w:tcPr>
          <w:p>
            <w:pPr>
              <w:spacing w:after="0"/>
              <w:rPr>
                <w:sz w:val="1"/>
                <w:szCs w:val="1"/>
                <w:color w:val="auto"/>
              </w:rPr>
            </w:pPr>
          </w:p>
        </w:tc>
      </w:tr>
      <w:tr>
        <w:trPr>
          <w:trHeight w:val="39"/>
        </w:trPr>
        <w:tc>
          <w:tcPr>
            <w:tcW w:w="22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Associates</w:t>
            </w:r>
          </w:p>
        </w:tc>
        <w:tc>
          <w:tcPr>
            <w:tcW w:w="0" w:type="dxa"/>
            <w:vAlign w:val="bottom"/>
          </w:tcPr>
          <w:p>
            <w:pPr>
              <w:spacing w:after="0"/>
              <w:rPr>
                <w:sz w:val="1"/>
                <w:szCs w:val="1"/>
                <w:color w:val="auto"/>
              </w:rPr>
            </w:pPr>
          </w:p>
        </w:tc>
      </w:tr>
      <w:tr>
        <w:trPr>
          <w:trHeight w:val="288"/>
        </w:trPr>
        <w:tc>
          <w:tcPr>
            <w:tcW w:w="22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180"/>
              <w:spacing w:after="0" w:line="281" w:lineRule="exact"/>
              <w:rPr>
                <w:sz w:val="20"/>
                <w:szCs w:val="20"/>
                <w:color w:val="auto"/>
              </w:rPr>
            </w:pPr>
            <w:r>
              <w:rPr>
                <w:rFonts w:ascii="Times New Roman" w:cs="Times New Roman" w:eastAsia="Times New Roman" w:hAnsi="Times New Roman"/>
                <w:sz w:val="32"/>
                <w:szCs w:val="32"/>
                <w:color w:val="0000FF"/>
                <w:w w:val="94"/>
                <w:vertAlign w:val="subscript"/>
              </w:rPr>
              <w:t>V, L.P.</w:t>
            </w:r>
            <w:r>
              <w:rPr>
                <w:rFonts w:ascii="Times New Roman" w:cs="Times New Roman" w:eastAsia="Times New Roman" w:hAnsi="Times New Roman"/>
                <w:sz w:val="11"/>
                <w:szCs w:val="11"/>
                <w:color w:val="008000"/>
                <w:w w:val="94"/>
              </w:rPr>
              <w:t>(9)(13)</w:t>
            </w:r>
          </w:p>
        </w:tc>
        <w:tc>
          <w:tcPr>
            <w:tcW w:w="0" w:type="dxa"/>
            <w:vAlign w:val="bottom"/>
          </w:tcPr>
          <w:p>
            <w:pPr>
              <w:spacing w:after="0"/>
              <w:rPr>
                <w:sz w:val="1"/>
                <w:szCs w:val="1"/>
                <w:color w:val="auto"/>
              </w:rPr>
            </w:pPr>
          </w:p>
        </w:tc>
      </w:tr>
      <w:tr>
        <w:trPr>
          <w:trHeight w:val="252"/>
        </w:trPr>
        <w:tc>
          <w:tcPr>
            <w:tcW w:w="22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2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vMerge w:val="restart"/>
          </w:tcPr>
          <w:p>
            <w:pPr>
              <w:jc w:val="center"/>
              <w:ind w:right="33"/>
              <w:spacing w:after="0"/>
              <w:rPr>
                <w:sz w:val="20"/>
                <w:szCs w:val="20"/>
                <w:color w:val="auto"/>
              </w:rPr>
            </w:pPr>
            <w:r>
              <w:rPr>
                <w:rFonts w:ascii="Times New Roman" w:cs="Times New Roman" w:eastAsia="Times New Roman" w:hAnsi="Times New Roman"/>
                <w:sz w:val="17"/>
                <w:szCs w:val="17"/>
                <w:color w:val="0000FF"/>
                <w:w w:val="92"/>
              </w:rPr>
              <w:t>5,017</w:t>
            </w:r>
            <w:r>
              <w:rPr>
                <w:rFonts w:ascii="Times New Roman" w:cs="Times New Roman" w:eastAsia="Times New Roman" w:hAnsi="Times New Roman"/>
                <w:sz w:val="22"/>
                <w:szCs w:val="22"/>
                <w:color w:val="008000"/>
                <w:w w:val="92"/>
                <w:vertAlign w:val="superscript"/>
              </w:rPr>
              <w:t>(10)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213"/>
        </w:trPr>
        <w:tc>
          <w:tcPr>
            <w:tcW w:w="2240" w:type="dxa"/>
            <w:vAlign w:val="bottom"/>
            <w:vMerge w:val="continue"/>
          </w:tcPr>
          <w:p>
            <w:pPr>
              <w:spacing w:after="0"/>
              <w:rPr>
                <w:sz w:val="18"/>
                <w:szCs w:val="18"/>
                <w:color w:val="auto"/>
              </w:rPr>
            </w:pP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Technology</w:t>
            </w:r>
          </w:p>
        </w:tc>
        <w:tc>
          <w:tcPr>
            <w:tcW w:w="0" w:type="dxa"/>
            <w:vAlign w:val="bottom"/>
          </w:tcPr>
          <w:p>
            <w:pPr>
              <w:spacing w:after="0"/>
              <w:rPr>
                <w:sz w:val="1"/>
                <w:szCs w:val="1"/>
                <w:color w:val="auto"/>
              </w:rPr>
            </w:pPr>
          </w:p>
        </w:tc>
      </w:tr>
      <w:tr>
        <w:trPr>
          <w:trHeight w:val="213"/>
        </w:trPr>
        <w:tc>
          <w:tcPr>
            <w:tcW w:w="2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Associates</w:t>
            </w: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ind w:left="180"/>
              <w:spacing w:after="0" w:line="210" w:lineRule="exact"/>
              <w:rPr>
                <w:sz w:val="20"/>
                <w:szCs w:val="20"/>
                <w:color w:val="auto"/>
              </w:rPr>
            </w:pPr>
            <w:r>
              <w:rPr>
                <w:rFonts w:ascii="Times New Roman" w:cs="Times New Roman" w:eastAsia="Times New Roman" w:hAnsi="Times New Roman"/>
                <w:sz w:val="17"/>
                <w:szCs w:val="17"/>
                <w:color w:val="0000FF"/>
              </w:rPr>
              <w:t>IV, L.P.</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43"/>
        </w:trPr>
        <w:tc>
          <w:tcPr>
            <w:tcW w:w="2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1"/>
                <w:szCs w:val="11"/>
                <w:color w:val="008000"/>
              </w:rPr>
              <w:t>(13)</w:t>
            </w:r>
          </w:p>
        </w:tc>
        <w:tc>
          <w:tcPr>
            <w:tcW w:w="0" w:type="dxa"/>
            <w:vAlign w:val="bottom"/>
          </w:tcPr>
          <w:p>
            <w:pPr>
              <w:spacing w:after="0"/>
              <w:rPr>
                <w:sz w:val="1"/>
                <w:szCs w:val="1"/>
                <w:color w:val="auto"/>
              </w:rPr>
            </w:pPr>
          </w:p>
        </w:tc>
      </w:tr>
      <w:tr>
        <w:trPr>
          <w:trHeight w:val="81"/>
        </w:trPr>
        <w:tc>
          <w:tcPr>
            <w:tcW w:w="224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2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jc w:val="center"/>
              <w:ind w:right="33"/>
              <w:spacing w:after="0" w:line="213" w:lineRule="exact"/>
              <w:rPr>
                <w:sz w:val="20"/>
                <w:szCs w:val="20"/>
                <w:color w:val="auto"/>
              </w:rPr>
            </w:pPr>
            <w:r>
              <w:rPr>
                <w:rFonts w:ascii="Times New Roman" w:cs="Times New Roman" w:eastAsia="Times New Roman" w:hAnsi="Times New Roman"/>
                <w:sz w:val="17"/>
                <w:szCs w:val="17"/>
                <w:color w:val="0000FF"/>
                <w:w w:val="92"/>
              </w:rPr>
              <w:t>232,446</w:t>
            </w:r>
            <w:r>
              <w:rPr>
                <w:rFonts w:ascii="Times New Roman" w:cs="Times New Roman" w:eastAsia="Times New Roman" w:hAnsi="Times New Roman"/>
                <w:sz w:val="22"/>
                <w:szCs w:val="22"/>
                <w:color w:val="008000"/>
                <w:w w:val="92"/>
                <w:vertAlign w:val="superscript"/>
              </w:rPr>
              <w:t>(11)</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213"/>
        </w:trPr>
        <w:tc>
          <w:tcPr>
            <w:tcW w:w="2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Group,</w:t>
            </w:r>
          </w:p>
        </w:tc>
        <w:tc>
          <w:tcPr>
            <w:tcW w:w="0" w:type="dxa"/>
            <w:vAlign w:val="bottom"/>
          </w:tcPr>
          <w:p>
            <w:pPr>
              <w:spacing w:after="0"/>
              <w:rPr>
                <w:sz w:val="1"/>
                <w:szCs w:val="1"/>
                <w:color w:val="auto"/>
              </w:rPr>
            </w:pPr>
          </w:p>
        </w:tc>
      </w:tr>
      <w:tr>
        <w:trPr>
          <w:trHeight w:val="288"/>
        </w:trPr>
        <w:tc>
          <w:tcPr>
            <w:tcW w:w="22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180"/>
              <w:spacing w:after="0" w:line="281" w:lineRule="exact"/>
              <w:rPr>
                <w:sz w:val="20"/>
                <w:szCs w:val="20"/>
                <w:color w:val="auto"/>
              </w:rPr>
            </w:pPr>
            <w:r>
              <w:rPr>
                <w:rFonts w:ascii="Times New Roman" w:cs="Times New Roman" w:eastAsia="Times New Roman" w:hAnsi="Times New Roman"/>
                <w:sz w:val="32"/>
                <w:szCs w:val="32"/>
                <w:color w:val="0000FF"/>
                <w:w w:val="94"/>
                <w:vertAlign w:val="subscript"/>
              </w:rPr>
              <w:t>L.L.C.</w:t>
            </w:r>
            <w:r>
              <w:rPr>
                <w:rFonts w:ascii="Times New Roman" w:cs="Times New Roman" w:eastAsia="Times New Roman" w:hAnsi="Times New Roman"/>
                <w:sz w:val="11"/>
                <w:szCs w:val="11"/>
                <w:color w:val="008000"/>
                <w:w w:val="94"/>
              </w:rPr>
              <w:t>(11)(13)</w:t>
            </w:r>
          </w:p>
        </w:tc>
        <w:tc>
          <w:tcPr>
            <w:tcW w:w="0" w:type="dxa"/>
            <w:vAlign w:val="bottom"/>
          </w:tcPr>
          <w:p>
            <w:pPr>
              <w:spacing w:after="0"/>
              <w:rPr>
                <w:sz w:val="1"/>
                <w:szCs w:val="1"/>
                <w:color w:val="auto"/>
              </w:rPr>
            </w:pPr>
          </w:p>
        </w:tc>
      </w:tr>
      <w:tr>
        <w:trPr>
          <w:trHeight w:val="252"/>
        </w:trPr>
        <w:tc>
          <w:tcPr>
            <w:tcW w:w="22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00" w:type="dxa"/>
            <w:vAlign w:val="bottom"/>
            <w:vMerge w:val="restart"/>
          </w:tcPr>
          <w:p>
            <w:pPr>
              <w:jc w:val="center"/>
              <w:ind w:right="33"/>
              <w:spacing w:after="0"/>
              <w:rPr>
                <w:sz w:val="20"/>
                <w:szCs w:val="20"/>
                <w:color w:val="auto"/>
              </w:rPr>
            </w:pPr>
            <w:r>
              <w:rPr>
                <w:rFonts w:ascii="Times New Roman" w:cs="Times New Roman" w:eastAsia="Times New Roman" w:hAnsi="Times New Roman"/>
                <w:sz w:val="17"/>
                <w:szCs w:val="17"/>
                <w:color w:val="0000FF"/>
                <w:w w:val="92"/>
              </w:rPr>
              <w:t>1,474</w:t>
            </w:r>
            <w:r>
              <w:rPr>
                <w:rFonts w:ascii="Times New Roman" w:cs="Times New Roman" w:eastAsia="Times New Roman" w:hAnsi="Times New Roman"/>
                <w:sz w:val="22"/>
                <w:szCs w:val="22"/>
                <w:color w:val="008000"/>
                <w:w w:val="92"/>
                <w:vertAlign w:val="superscript"/>
              </w:rPr>
              <w:t>(12)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240" w:type="dxa"/>
            <w:vAlign w:val="bottom"/>
            <w:vMerge w:val="continue"/>
          </w:tcPr>
          <w:p>
            <w:pPr>
              <w:spacing w:after="0"/>
              <w:rPr>
                <w:sz w:val="15"/>
                <w:szCs w:val="15"/>
                <w:color w:val="auto"/>
              </w:rPr>
            </w:pPr>
          </w:p>
        </w:tc>
        <w:tc>
          <w:tcPr>
            <w:tcW w:w="1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0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07"/>
        </w:trPr>
        <w:tc>
          <w:tcPr>
            <w:tcW w:w="224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10302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89445" cy="10302240"/>
                    </a:xfrm>
                    <a:prstGeom prst="rect">
                      <a:avLst/>
                    </a:prstGeom>
                    <a:noFill/>
                  </pic:spPr>
                </pic:pic>
              </a:graphicData>
            </a:graphic>
          </wp:anchor>
        </w:drawing>
        <w:t>Table I - Non-Derivative Securities Acquired, Disposed of, or Beneficially Owned</w:t>
      </w:r>
    </w:p>
    <w:p>
      <w:pPr>
        <w:sectPr>
          <w:pgSz w:w="11900" w:h="16838" w:orient="portrait"/>
          <w:cols w:equalWidth="0" w:num="1">
            <w:col w:w="11080"/>
          </w:cols>
          <w:pgMar w:left="460" w:top="191" w:right="359" w:bottom="0" w:gutter="0" w:footer="0" w:header="0"/>
        </w:sectPr>
      </w:pPr>
    </w:p>
    <w:p>
      <w:pPr>
        <w:spacing w:after="0" w:line="123"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2160" w:type="dxa"/>
            <w:vAlign w:val="bottom"/>
          </w:tcPr>
          <w:p>
            <w:pPr>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21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r>
      <w:tr>
        <w:trPr>
          <w:trHeight w:val="133"/>
        </w:trPr>
        <w:tc>
          <w:tcPr>
            <w:tcW w:w="2160" w:type="dxa"/>
            <w:vAlign w:val="bottom"/>
          </w:tcPr>
          <w:p>
            <w:pPr>
              <w:spacing w:after="0"/>
              <w:rPr>
                <w:sz w:val="11"/>
                <w:szCs w:val="11"/>
                <w:color w:val="auto"/>
              </w:rPr>
            </w:pPr>
          </w:p>
        </w:tc>
        <w:tc>
          <w:tcPr>
            <w:tcW w:w="150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 8)</w:t>
            </w:r>
          </w:p>
        </w:tc>
        <w:tc>
          <w:tcPr>
            <w:tcW w:w="2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r>
      <w:tr>
        <w:trPr>
          <w:trHeight w:val="133"/>
        </w:trPr>
        <w:tc>
          <w:tcPr>
            <w:tcW w:w="2160" w:type="dxa"/>
            <w:vAlign w:val="bottom"/>
          </w:tcPr>
          <w:p>
            <w:pPr>
              <w:spacing w:after="0"/>
              <w:rPr>
                <w:sz w:val="11"/>
                <w:szCs w:val="11"/>
                <w:color w:val="auto"/>
              </w:rPr>
            </w:pPr>
          </w:p>
        </w:tc>
        <w:tc>
          <w:tcPr>
            <w:tcW w:w="150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1"/>
        </w:trPr>
        <w:tc>
          <w:tcPr>
            <w:tcW w:w="2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5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r>
      <w:tr>
        <w:trPr>
          <w:trHeight w:val="320"/>
        </w:trPr>
        <w:tc>
          <w:tcPr>
            <w:tcW w:w="2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2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 or</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r>
      <w:tr>
        <w:trPr>
          <w:trHeight w:val="165"/>
        </w:trPr>
        <w:tc>
          <w:tcPr>
            <w:tcW w:w="2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9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98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w w:val="96"/>
              </w:rPr>
              <w:t>7. Nature of</w:t>
            </w: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5"/>
        </w:trPr>
        <w:tc>
          <w:tcPr>
            <w:tcW w:w="980" w:type="dxa"/>
            <w:vAlign w:val="bottom"/>
          </w:tcPr>
          <w:p>
            <w:pPr>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bl>
    <w:p>
      <w:pPr>
        <w:spacing w:after="0" w:line="101" w:lineRule="exact"/>
        <w:rPr>
          <w:sz w:val="20"/>
          <w:szCs w:val="20"/>
          <w:color w:val="auto"/>
        </w:rPr>
      </w:pPr>
    </w:p>
    <w:p>
      <w:pPr>
        <w:sectPr>
          <w:pgSz w:w="11900" w:h="16838" w:orient="portrait"/>
          <w:cols w:equalWidth="0" w:num="2">
            <w:col w:w="8000" w:space="60"/>
            <w:col w:w="3020"/>
          </w:cols>
          <w:pgMar w:left="460" w:top="191" w:right="359" w:bottom="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29,013</w:t>
            </w:r>
            <w:r>
              <w:rPr>
                <w:rFonts w:ascii="Times New Roman" w:cs="Times New Roman" w:eastAsia="Times New Roman" w:hAnsi="Times New Roman"/>
                <w:sz w:val="22"/>
                <w:szCs w:val="22"/>
                <w:color w:val="008000"/>
                <w:vertAlign w:val="superscript"/>
              </w:rPr>
              <w:t>(15)</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74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5"/>
            <w:vMerge w:val="continue"/>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48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540" w:type="dxa"/>
            <w:vAlign w:val="bottom"/>
            <w:gridSpan w:val="16"/>
          </w:tcPr>
          <w:p>
            <w:pPr>
              <w:ind w:left="4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10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40" w:type="dxa"/>
            <w:vAlign w:val="bottom"/>
            <w:tcBorders>
              <w:right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2"/>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40" w:type="dxa"/>
            <w:vAlign w:val="bottom"/>
            <w:tcBorders>
              <w:right w:val="single" w:sz="8" w:color="2C2C2C"/>
            </w:tcBorders>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0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10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10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4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SLTA V (GP), L.L.C.</w:t>
              </w:r>
            </w:hyperlink>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7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8"/>
          </w:tcPr>
          <w:p>
            <w:pPr>
              <w:spacing w:after="0" w:line="227" w:lineRule="exact"/>
              <w:rPr>
                <w:rFonts w:ascii="Times New Roman" w:cs="Times New Roman" w:eastAsia="Times New Roman" w:hAnsi="Times New Roman"/>
                <w:sz w:val="21"/>
                <w:szCs w:val="21"/>
                <w:color w:val="0000EE"/>
                <w:w w:val="99"/>
              </w:rPr>
            </w:pPr>
            <w:hyperlink r:id="rId15">
              <w:r>
                <w:rPr>
                  <w:rFonts w:ascii="Times New Roman" w:cs="Times New Roman" w:eastAsia="Times New Roman" w:hAnsi="Times New Roman"/>
                  <w:sz w:val="21"/>
                  <w:szCs w:val="21"/>
                  <w:color w:val="0000EE"/>
                  <w:w w:val="99"/>
                </w:rPr>
                <w:t>Silver Lake Technology Associates V,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7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8"/>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Silver Lake Partners V DE (AIV),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7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8"/>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Silver Lake Technology Investors V,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7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-8889365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80"/>
          </w:cols>
          <w:pgMar w:left="460" w:top="191" w:right="359" w:bottom="0" w:gutter="0" w:footer="0" w:header="0"/>
          <w:type w:val="continuous"/>
        </w:sectPr>
      </w:pPr>
    </w:p>
    <w:bookmarkStart w:id="2" w:name="page3"/>
    <w:bookmarkEnd w:id="2"/>
    <w:p>
      <w:pPr>
        <w:ind w:right="12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SL SPV-2, L.P. ("SPV-2"), Silver Lake Partners IV, L.P. ("SLP IV") and Silver Lake Partners V DE (AIV), L.P. ("SLP V") initiated in-kind distributions of shares of Class C Common Stock, par value $0.01 per share ("Class C Common Stock") of Dell Technologies Inc. (the "Issuer") on July 12, 2024.</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par value $0.01 per share of the Issuer (the "Class B Common Stock") is convertible into one share of Class C Common Stock at any time, at the election of the holder or automatically upon certain transfers, and has no expiration date.</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SPV-2. The general partner of SPV-2 is SLTA SPV-2, L.P. ("SLTA SPV") and the general partner of SLTA SPV is SLTA SPV-2 (GP), L.L.C. ("SLTA SPV GP").</w:t>
      </w:r>
    </w:p>
    <w:p>
      <w:pPr>
        <w:spacing w:after="0" w:line="50" w:lineRule="exact"/>
        <w:rPr>
          <w:rFonts w:ascii="Times New Roman" w:cs="Times New Roman" w:eastAsia="Times New Roman" w:hAnsi="Times New Roman"/>
          <w:sz w:val="13"/>
          <w:szCs w:val="13"/>
          <w:color w:val="008000"/>
        </w:rPr>
      </w:pPr>
    </w:p>
    <w:p>
      <w:pPr>
        <w:ind w:right="26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SLP IV. The general partner of SLP IV is Silver Lake Technology Associates IV, L.P. ("SLTA IV") and the general partner of SLTA IV is SLTA IV (GP), L.L.C. ("SLTA IV GP").</w:t>
      </w:r>
    </w:p>
    <w:p>
      <w:pPr>
        <w:spacing w:after="0" w:line="7" w:lineRule="exact"/>
        <w:rPr>
          <w:rFonts w:ascii="Times New Roman" w:cs="Times New Roman" w:eastAsia="Times New Roman" w:hAnsi="Times New Roman"/>
          <w:sz w:val="13"/>
          <w:szCs w:val="13"/>
          <w:color w:val="008000"/>
        </w:rPr>
      </w:pPr>
    </w:p>
    <w:p>
      <w:pPr>
        <w:ind w:right="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SLP V. The general partner of SLP V is Silver Lake Technology Associates V, L.P. ("SLTA V") and the general partner of SLTA V is SLTA V (GP), L.L.C. ("SLTA V GP").</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receipt of shares of Class C Common Stock by each of the Reporting Persons was exempt from reporting pursuant to Rule 16a-13 of the Exchange Act.</w:t>
      </w:r>
    </w:p>
    <w:p>
      <w:pPr>
        <w:spacing w:after="0" w:line="50" w:lineRule="exact"/>
        <w:rPr>
          <w:rFonts w:ascii="Times New Roman" w:cs="Times New Roman" w:eastAsia="Times New Roman" w:hAnsi="Times New Roman"/>
          <w:sz w:val="13"/>
          <w:szCs w:val="13"/>
          <w:color w:val="008000"/>
        </w:rPr>
      </w:pPr>
    </w:p>
    <w:p>
      <w:pPr>
        <w:ind w:right="2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9, 2024 certain of the Reporting Persons converted shares of Class B Common Stock into an equal number of shares of Class C Common Stock in connection with the distributions described in footnote (1) above.</w:t>
      </w:r>
    </w:p>
    <w:p>
      <w:pPr>
        <w:spacing w:after="0" w:line="7" w:lineRule="exact"/>
        <w:rPr>
          <w:rFonts w:ascii="Times New Roman" w:cs="Times New Roman" w:eastAsia="Times New Roman" w:hAnsi="Times New Roman"/>
          <w:sz w:val="13"/>
          <w:szCs w:val="13"/>
          <w:color w:val="008000"/>
        </w:rPr>
      </w:pPr>
    </w:p>
    <w:p>
      <w:pPr>
        <w:ind w:right="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C Common Stock are held by SLTA SPV, including shares received in connection with pro rata distributions made by SPV-2 on July 12, 2024. The receipt of such shares of Class C Common Stock was exempt from reporting pursuant to Rule 16a-13 of the Exchange Act.</w:t>
      </w:r>
    </w:p>
    <w:p>
      <w:pPr>
        <w:spacing w:after="0" w:line="7" w:lineRule="exact"/>
        <w:rPr>
          <w:rFonts w:ascii="Times New Roman" w:cs="Times New Roman" w:eastAsia="Times New Roman" w:hAnsi="Times New Roman"/>
          <w:sz w:val="13"/>
          <w:szCs w:val="13"/>
          <w:color w:val="008000"/>
        </w:rPr>
      </w:pPr>
    </w:p>
    <w:p>
      <w:pPr>
        <w:ind w:right="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C Common Stock are held by SLTA V, including shares received in connection with pro rata distributions made by SLP V on July 12, 2024. The receipt of such shares of Class C Common Stock was exempt from reporting pursuant to Rule 16a-13 of the Exchange Act.</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C Common Stock are held by SLTA IV, including shares received in connection with pro rata distributions made by SLP IV on July 12, 2024. The receipt of such shares of Class C Common Stock was exempt from reporting pursuant to Rule 16a-13 of the Exchange Act.</w:t>
      </w:r>
    </w:p>
    <w:p>
      <w:pPr>
        <w:spacing w:after="0" w:line="7" w:lineRule="exact"/>
        <w:rPr>
          <w:rFonts w:ascii="Times New Roman" w:cs="Times New Roman" w:eastAsia="Times New Roman" w:hAnsi="Times New Roman"/>
          <w:sz w:val="13"/>
          <w:szCs w:val="13"/>
          <w:color w:val="008000"/>
        </w:rPr>
      </w:pPr>
    </w:p>
    <w:p>
      <w:pPr>
        <w:ind w:right="160" w:firstLine="7"/>
        <w:spacing w:after="0" w:line="272" w:lineRule="auto"/>
        <w:tabs>
          <w:tab w:leader="none" w:pos="19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held by Silver Lake Group, L.L.C. ("SLG"). Shares held includes additional shares of Class C Common Stock received in connection with pro rata distributions made by SPV-2, SLP IV and SLP V on July 12, 2024. The receipt of such shares of Class C Common Stock was exempt from reporting pursuant to Rule 16a-13 of the Exchange Act.</w:t>
      </w:r>
    </w:p>
    <w:p>
      <w:pPr>
        <w:spacing w:after="0" w:line="7" w:lineRule="exact"/>
        <w:rPr>
          <w:rFonts w:ascii="Times New Roman" w:cs="Times New Roman" w:eastAsia="Times New Roman" w:hAnsi="Times New Roman"/>
          <w:sz w:val="13"/>
          <w:szCs w:val="13"/>
          <w:color w:val="008000"/>
        </w:rPr>
      </w:pPr>
    </w:p>
    <w:p>
      <w:pPr>
        <w:ind w:right="440"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are held by entities in which Mr. Egon Durban may be deemed to have an indirect pecuniary interest, including shares received in connection with the pro rata distributions made by SPV-2, SLP IV and SLP V and their respective affiliates on July 12, 2024. The receipt of such shares of Common Stock indirectly by Mr. Durban was exempt from reporting pursuant to Rule 16a-13 of the Exchange Act.</w:t>
      </w:r>
    </w:p>
    <w:p>
      <w:pPr>
        <w:spacing w:after="0" w:line="20" w:lineRule="exact"/>
        <w:rPr>
          <w:rFonts w:ascii="Times New Roman" w:cs="Times New Roman" w:eastAsia="Times New Roman" w:hAnsi="Times New Roman"/>
          <w:sz w:val="13"/>
          <w:szCs w:val="13"/>
          <w:color w:val="008000"/>
        </w:rPr>
      </w:pPr>
    </w:p>
    <w:p>
      <w:pPr>
        <w:ind w:right="80" w:firstLine="7"/>
        <w:spacing w:after="0" w:line="272"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SLG is the managing member of SLTA SPV GP, SLTA IV GP and SLTA V GP. Egon Durban, who serves as a director of the Issuer, also serves as a Co-CEO and Managing Member of SLG. Each of the reporting persons may be deemed a director by deputization of the Issuer.</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held by Mr. Egon Durban immediately following the receipt of shares in connection with the distributions of shares of Class C Common Stock on July 12, 2024. The receipt of such shares of Class C Common Stock was exempt from reporting pursuant to Rule 16a-13 of the Exchange Act.</w:t>
      </w:r>
    </w:p>
    <w:p>
      <w:pPr>
        <w:spacing w:after="0" w:line="7" w:lineRule="exact"/>
        <w:rPr>
          <w:rFonts w:ascii="Times New Roman" w:cs="Times New Roman" w:eastAsia="Times New Roman" w:hAnsi="Times New Roman"/>
          <w:sz w:val="13"/>
          <w:szCs w:val="13"/>
          <w:color w:val="008000"/>
        </w:rPr>
      </w:pPr>
    </w:p>
    <w:p>
      <w:pPr>
        <w:ind w:right="100"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beneficially owned indirectly by Mr. Durban through a trust for the benefit of certain family members, including shares received in connection with the distributions of shares of Class C Common Stock on July 12, 2024. The receipt of such shares of Class C Common Stock indirectly by Mr. Durban was exempt from reporting pursuant to Rule 16a-13 of the Exchange Act.</w:t>
      </w:r>
    </w:p>
    <w:p>
      <w:pPr>
        <w:spacing w:after="0" w:line="20" w:lineRule="exact"/>
        <w:rPr>
          <w:rFonts w:ascii="Times New Roman" w:cs="Times New Roman" w:eastAsia="Times New Roman" w:hAnsi="Times New Roman"/>
          <w:sz w:val="13"/>
          <w:szCs w:val="13"/>
          <w:color w:val="008000"/>
        </w:rPr>
      </w:pPr>
    </w:p>
    <w:p>
      <w:pPr>
        <w:jc w:val="both"/>
        <w:ind w:right="160"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$146.00 to $146.18,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right="160"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$147.00 to $147.22,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3"/>
          <w:szCs w:val="13"/>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Because no more than 10 reporting persons can file any one Form 4 through the Securities and Exchange Commission's EDGAR system, certain affiliates of the Reporting Persons have filed a separate Form 4.</w:t>
      </w:r>
    </w:p>
    <w:p>
      <w:pPr>
        <w:sectPr>
          <w:pgSz w:w="11900" w:h="16838" w:orient="portrait"/>
          <w:cols w:equalWidth="0" w:num="1">
            <w:col w:w="10880"/>
          </w:cols>
          <w:pgMar w:left="500" w:top="127" w:right="519" w:bottom="433" w:gutter="0" w:footer="0" w:header="0"/>
        </w:sectPr>
      </w:pPr>
    </w:p>
    <w:p>
      <w:pPr>
        <w:spacing w:after="0" w:line="4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74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6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Counsel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55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620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1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901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2901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747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6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Counsel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55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620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1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1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Silver Lake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53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93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893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747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6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Counsel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55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620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1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1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Silver Lake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53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V, L.P.,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77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1677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of Silver Lake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 DE (AIV),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334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334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747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Counsel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55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620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1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gen.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9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Technology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3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 L.P., gen.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07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12807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Technology Investors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708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032" w:lineRule="exact"/>
        <w:rPr>
          <w:sz w:val="20"/>
          <w:szCs w:val="20"/>
          <w:color w:val="auto"/>
        </w:rPr>
      </w:pPr>
    </w:p>
    <w:p>
      <w:pPr>
        <w:sectPr>
          <w:pgSz w:w="11900" w:h="16838" w:orient="portrait"/>
          <w:cols w:equalWidth="0" w:num="2">
            <w:col w:w="8700" w:space="40"/>
            <w:col w:w="2140"/>
          </w:cols>
          <w:pgMar w:left="500" w:top="127" w:right="519" w:bottom="433"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4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12" Type="http://schemas.openxmlformats.org/officeDocument/2006/relationships/hyperlink" Target="http://www.sec.gov/cgi-bin/browse-edgar?action=getcompany&amp;CIK=0001737652" TargetMode="External"/><Relationship Id="rId13" Type="http://schemas.openxmlformats.org/officeDocument/2006/relationships/hyperlink" Target="http://www.sec.gov/cgi-bin/browse-edgar?action=getcompany&amp;CIK=0001571996" TargetMode="External"/><Relationship Id="rId15" Type="http://schemas.openxmlformats.org/officeDocument/2006/relationships/hyperlink" Target="http://www.sec.gov/cgi-bin/browse-edgar?action=getcompany&amp;CIK=0001737657" TargetMode="External"/><Relationship Id="rId16" Type="http://schemas.openxmlformats.org/officeDocument/2006/relationships/hyperlink" Target="http://www.sec.gov/cgi-bin/browse-edgar?action=getcompany&amp;CIK=0001737659" TargetMode="External"/><Relationship Id="rId17" Type="http://schemas.openxmlformats.org/officeDocument/2006/relationships/hyperlink" Target="http://www.sec.gov/cgi-bin/browse-edgar?action=getcompany&amp;CIK=00017358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2024-07-12T15:39:46Z</dcterms:created>
  <dcterms:modified xsi:type="dcterms:W3CDTF">2024-07-12T15:39:46Z</dcterms:modified>
</cp:coreProperties>
</file>