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Dell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C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Justin G. Hamill, Esq</w:t>
              <w:br/>
              <w:t>c/o Silver Lake 55 Hudson Yards, 550 West 34th Street, 40th Floor</w:t>
              <w:br/>
              <w:t>New York, NY, 10001</w:t>
              <w:br/>
              <w:t>212-981-5600</w:t>
            </w:r>
          </w:p>
          <w:p>
            <w:pPr>
              <w:pStyle w:val="TableContents"/>
              <w:bidi w:val="0"/>
              <w:jc w:val="left"/>
              <w:rPr/>
            </w:pPr>
            <w:r>
              <w:rPr/>
            </w:r>
          </w:p>
          <w:p>
            <w:pPr>
              <w:pStyle w:val="TableContents"/>
              <w:bidi w:val="0"/>
              <w:spacing w:before="0" w:after="0"/>
              <w:jc w:val="center"/>
              <w:rPr>
                <w:b/>
                <w:color w:val="0000FF"/>
              </w:rPr>
            </w:pPr>
            <w:r>
              <w:rPr>
                <w:b/>
                <w:color w:val="0000FF"/>
              </w:rPr>
              <w:t>Kenneth B. Wallach, Esq.</w:t>
              <w:br/>
              <w:t>Simpson Thacher &amp; Bartlett LLP, 425 Lexington Avenue</w:t>
              <w:br/>
              <w:t>New York, NY, 10017</w:t>
              <w:br/>
              <w:t>212-455-2000</w:t>
            </w:r>
          </w:p>
          <w:p>
            <w:pPr>
              <w:pStyle w:val="TableContents"/>
              <w:bidi w:val="0"/>
              <w:jc w:val="left"/>
              <w:rPr/>
            </w:pPr>
            <w:r>
              <w:rPr/>
            </w:r>
          </w:p>
          <w:p>
            <w:pPr>
              <w:pStyle w:val="TableContents"/>
              <w:bidi w:val="0"/>
              <w:spacing w:before="0" w:after="0"/>
              <w:jc w:val="center"/>
              <w:rPr>
                <w:b/>
                <w:color w:val="0000FF"/>
              </w:rPr>
            </w:pPr>
            <w:r>
              <w:rPr>
                <w:b/>
                <w:color w:val="0000FF"/>
              </w:rPr>
              <w:t>Hui Lin, Esq.</w:t>
              <w:br/>
              <w:t>Simpson Thacher &amp; Bartlett LLP, 425 Lexington Avenue</w:t>
              <w:br/>
              <w:t>New York, NY, 10017</w:t>
              <w:br/>
              <w:t>212-455-2000</w:t>
            </w:r>
          </w:p>
          <w:p>
            <w:pPr>
              <w:pStyle w:val="TableContents"/>
              <w:bidi w:val="0"/>
              <w:jc w:val="left"/>
              <w:rPr/>
            </w:pPr>
            <w:r>
              <w:rPr/>
            </w:r>
          </w:p>
          <w:p>
            <w:pPr>
              <w:pStyle w:val="TableContents"/>
              <w:bidi w:val="0"/>
              <w:spacing w:before="0" w:after="0"/>
              <w:jc w:val="center"/>
              <w:rPr>
                <w:b/>
                <w:color w:val="0000FF"/>
              </w:rPr>
            </w:pPr>
            <w:r>
              <w:rPr>
                <w:b/>
                <w:color w:val="0000FF"/>
              </w:rPr>
              <w:t>Jessica Asrat, Esq</w:t>
              <w:br/>
              <w:t>Simpson Thacher &amp; Bartlett LLP, 425 Lexington Avenue</w:t>
              <w:br/>
              <w:t>New York, NY, 10017</w:t>
              <w:br/>
              <w:t>212-455-2000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SL SPV-2,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16,359,288.00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16,359,288.00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16,359,288.00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SLTA SPV-2,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16,398,201.00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16,359,288.00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16,398,201.00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SLTA SPV-2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16,398,201.00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16,359,288.00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16,398,201.00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Silver Lake Partners IV,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16,786,834.00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16,786,834.00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16,786,834.00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Silver Lake Technology Investors IV,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246,373.00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246,373.00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246,373.00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above beneficial ownership reflects less than 0.1% of the outstanding shares of Class C Common Stock outstanding.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Silver Lake Technology Associates IV,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17,156,676.00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17,033,207.00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17,156,676.00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SLTA IV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17,156,676.00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17,033,207.00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17,156,676.00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Silver Lake Partners V DE (AIV),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9,088,527.00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9,088,527.00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9,088,527.00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Silver Lake Technology Investors V,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111,101.00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111,101.00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111,101.00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above beneficial ownership reflects less than 0.1% of the outstanding shares of Class C Common Stock outstanding.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Silver Lake Technology Associates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9,233,567.00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9,199,628.00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9,233,567.00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SLTA V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9,233,567.00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9,199,628.00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9,233,567.00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Silver Lake Group,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42,809,317.00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42,594,685.00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42,809,317.00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item1to7"/>
      <w:bookmarkStart w:id="55" w:name="item1to7"/>
      <w:bookmarkEnd w:id="55"/>
    </w:p>
    <w:tbl>
      <w:tblPr>
        <w:tblW w:w="10205" w:type="dxa"/>
        <w:jc w:val="left"/>
        <w:tblInd w:w="0" w:type="dxa"/>
        <w:tblLayout w:type="fixed"/>
        <w:tblCellMar>
          <w:top w:w="28" w:type="dxa"/>
          <w:left w:w="28" w:type="dxa"/>
          <w:bottom w:w="28" w:type="dxa"/>
          <w:right w:w="28" w:type="dxa"/>
        </w:tblCellMar>
      </w:tblPr>
      <w:tblGrid>
        <w:gridCol w:w="1179"/>
        <w:gridCol w:w="8871"/>
        <w:gridCol w:w="155"/>
      </w:tblGrid>
      <w:tr>
        <w:trPr/>
        <w:tc>
          <w:tcPr>
            <w:tcW w:w="1179" w:type="dxa"/>
            <w:tcBorders/>
            <w:vAlign w:val="center"/>
          </w:tcPr>
          <w:p>
            <w:pPr>
              <w:pStyle w:val="TableContents"/>
              <w:bidi w:val="0"/>
              <w:spacing w:before="0" w:after="283"/>
              <w:jc w:val="left"/>
              <w:rPr/>
            </w:pPr>
            <w:r>
              <w:rPr/>
              <w:t>Item 1.</w:t>
            </w:r>
          </w:p>
        </w:tc>
        <w:tc>
          <w:tcPr>
            <w:tcW w:w="887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C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jc w:val="left"/>
              <w:rPr/>
            </w:pPr>
            <w:r>
              <w:rPr/>
              <w:t xml:space="preserve">Name of Issuer: </w:t>
            </w:r>
          </w:p>
          <w:p>
            <w:pPr>
              <w:pStyle w:val="TableContents"/>
              <w:bidi w:val="0"/>
              <w:spacing w:before="0" w:after="0"/>
              <w:jc w:val="left"/>
              <w:rPr/>
            </w:pPr>
            <w:r>
              <w:rPr/>
              <w:t>Dell Technologies Inc.</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Dell Way, Round Rock, TEXAS , 78682.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15 (the "Amendment No. 15"), being filed by SL SPV-2, L.P. (SPV-2), SLTA SPV-2, L.P. (SLTA GP), SLTA SPV-2 (GP), L.L.C. (SLTA SPV GP), Silver Lake Partners IV, L.P. (SLP IV), Silver Lake Technology Investors IV, L.P. (SLTI IV), Silver Lake Technology Associates IV, L.P. (SLTA IV), SLTA IV (GP), L.L.C. (SLTA IV GP), Silver Lake Partners V DE (AIV), L.P. (SLP V), Silver Lake Technology Investors V, L.P. (SLTI V), Silver Lake Technology Associates V, L.P. (SLTA V), SLTA V (GP), L.L.C. (SLTA V GP), and Silver Lake Group, L.L.C. (SLG, and collectively, the Reporting Persons) amends the Schedule 13D initially filed on February 19, 2019, as amended by Amendment No. 1 filed on July 2, 2019, Amendment No. 2 filed on January 2, 2020, Amendment No. 3 filed on July 1, 2021, Amendment No. 4 filed on July 13, 2023, Amendment No. 5 filed on January 18, 2024, Amendment No. 6 filed on March 6, 2024, Amendment No. 7 filed on March 22, 2024, Amendment No. 8 filed on June 5, 2024, Amendment No. 9 filed on July 10, 2024, Amendment No. 10 filed on January 13, 2025, Amendment No. 11 filed on July 17, 2025, Amendment No. 12 filed on October 3, 2025, Amendment No. 13 filed on March 19, 2026 and Amendment No. 14 filed on June 5, 2026 (as amended, the Schedule 13D). The Items below amend the information disclosed under the corresponding Items of the Schedule 13D as described below. Except as specifically provided herein, this Amendment No. 15 does not modify any of the information previously reported in the Schedule 13D. Capitalized terms used herein and not otherwise defined have the meanings ascribed to them in the Schedule 13D. Unless otherwise set forth herein, the beneficial ownership information set forth in this Schedule 13D is as of market close on September 9, 2026.</w:t>
            </w:r>
          </w:p>
        </w:tc>
      </w:tr>
      <w:tr>
        <w:trPr/>
        <w:tc>
          <w:tcPr>
            <w:tcW w:w="1179" w:type="dxa"/>
            <w:tcBorders/>
            <w:vAlign w:val="center"/>
          </w:tcPr>
          <w:p>
            <w:pPr>
              <w:pStyle w:val="TableContents"/>
              <w:bidi w:val="0"/>
              <w:spacing w:before="0" w:after="283"/>
              <w:jc w:val="left"/>
              <w:rPr/>
            </w:pPr>
            <w:r>
              <w:rPr/>
              <w:t>Item 2.</w:t>
            </w:r>
          </w:p>
        </w:tc>
        <w:tc>
          <w:tcPr>
            <w:tcW w:w="887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spacing w:before="0" w:after="0"/>
              <w:jc w:val="left"/>
              <w:rPr/>
            </w:pPr>
            <w:r>
              <w:rPr/>
              <w:t>Item 2(a) of the Schedule 13D is hereby amended and supplemented as follows: The information set forth in the amended and restated Annex A attached hereto as Exhibit 99.2 is incorporated herein by reference in this amended Item 2.</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5.</w:t>
            </w:r>
          </w:p>
        </w:tc>
        <w:tc>
          <w:tcPr>
            <w:tcW w:w="887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spacing w:before="0" w:after="0"/>
              <w:jc w:val="left"/>
              <w:rPr/>
            </w:pPr>
            <w:r>
              <w:rPr/>
              <w:t xml:space="preserve">Items 5(a) - (c) of the Schedule 13D are hereby amended and restated as follows: The information contained in rows 7, 8, 9, 10, 11 and 13 on each of the cover pages of this Schedule 13D and the information set forth or incorporated in Item 2 is incorporated by reference in its entirety into this Item 5. As of September 9, 2026, the Reporting Persons may be deemed to beneficially own an aggregate of 42,809,317 shares of the Issuer's Class C Common Stock, which constitutes approximately 6.7% of the total outstanding common stock of the Issuer, based on 635,812,750 shares of common stock outstanding in the aggregate as of September 9, 2026. Subject to the terms of the Issuer's amended and restated certificate of incorporation, each holder of record of: (1) Class A Common Stock is entitled to 10 votes per share of Class A Common Stock; (2) Class B Common Stock is entitled to 10 votes per share of Class B Common Stock; (3) Class C Common Stock is entitled to one vote per share of Class C Common Stock; and (4) Class D Common Stock is not entitled to any vote on any matter except to the extent required by provisions of Delaware law (in which case such holder is entitled to one vote per share of Class D Common Stock), in the case of each of (1) through (4), which is outstanding in such holder's name on the books of the Issuer and which is entitled to vote. The board of directors of the Issuer has a class consisting of the Group I Directors and a class consisting of the Group IV Directors (each as defined in the Issuer's certificate of incorporation, as amended). The holders of shares of all series of common stock outstanding will vote as one class with respect to the election of all Group I Directors and the holders of Class C Common Stock will vote separately as a series with respect to the election of the Group IV Director. Except as may otherwise be provided in the Issuer's certificate of incorporation, as amended, or as may otherwise be required by Delaware law, with respect to all other matters to be voted on by stockholders of the Issuer, the holders of shares of all series of common stock outstanding will vote as one class. As a result of the above, the 42,809,317 shares of Class C Common Stock beneficially owned in the aggregate by the Reporting Persons is entitled to approximately 12.1% of the combined voting power of the common stock of the Issuer, based on 635,812,750 shares of common stock outstanding in the aggregate, including 276,744,341 shares of Class A Common Stock, 42,478,400 shares of Class B Common Stock (which reflects the Class B conversions disclosed below) and 316,590,009 shares of Class C Common Stock outstanding (which reflects the Class B conversions disclosed below), calculated as follows: 315,433,188 shares of Class C Common Stock outstanding as of September 1, 2026, as set forth in the Issuer's Quarterly Report on Form 10-Q, filed with the SEC on September 8, 2026, plus the additional 585,193, 192,905, 192,921 and 185,802 shares of Class C Common Stock issued upon the conversion by the Reporting Persons of an equal number of shares of Class B Common Stock on September 3, 2026, September 4, 2026, September 8, 2026 and September 9, 2026, respectively, in connection with the transactions described in this Schedule 13D and as described further in Exhibit 99.3 attached hereto and assuming conversion of all outstanding shares of Class B Common Stock which may be deemed to be beneficially owned by the Reporting Persons into shares of Class C Common Stock. As of September 9, 2026, the Reporting Persons may be deemed to beneficially own an aggregate of 42,809,317 shares of the Issuer's Class C Common Stock, including 116,285 shares of the Issuer's Class C Common Stock held by the Reporting Persons, 214,632 shares of the Issuer's Class C Common Stock held by the Reporting Persons on behalf of certain of their employees and certain managing members of SLG over which the Reporting Persons may be deemed to have voting power but no dispositive power, and an aggregate of 42,478,400 shares of the Issuer's Class B Common Stock held by the Reporting Persons, which are convertible into shares of Class C Common Stock on a one-for-one basis at any time at the holder's election, representing approximately 11.9% of the issued and outstanding shares of the Issuer's Class C Common Stock calculated on the basis of Rule 13d-3 of the Exchange Act. The percentages of beneficial ownership in this Schedule 13D are based on 316,590,009 shares of Class C Common Stock outstanding as of September 9, 2026 calculated as set forth in the above paragraph and assumes the conversion of all outstanding shares of Class B Common Stock which may be deemed to be beneficially owned by the Reporting Persons into shares of Class C Common Stock. Information with respect to the beneficial ownership of Class C Common Stock by the individuals listed in Annex 2 attached hereto as Exhibit 99.2 is incorporated herein by reference in response to this Item 5. The references to and description of the Issuer's amended and restated certificate of incorporation set forth above is not intended to be complete and is qualified in its entirety by reference to the full text of such certificate, which is filed as Exhibit 3.1 to the Issuer's Current Report on Form 8-K filed with the Securities and Exchange Commission on June 29, 2022. </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spacing w:before="0" w:after="0"/>
              <w:jc w:val="left"/>
              <w:rPr/>
            </w:pPr>
            <w:r>
              <w:rPr/>
              <w:t>Except as set forth in this Schedule 13D, including Exhibit 99.3 and in Annex A attached hereto as Exhibit 99.2, none of the Reporting Persons, or, to the best knowledge of the Reporting Persons, any other person listed in Annex A, have effected any transaction in Class C Common Stock during the prior 60 day period ending September 9, 2026. During the 60 day period ending September 9, 2026, certain of the Reporting Persons converted an aggregate of 1,156,821 shares of Class B Common Stock into Class C Common Stock on September 3, 2026, September 4, 2026, September 8, 2026, and September 9, 2026 of which an aggregate of 810,000 shares of Class C Common Stock were sold as set forth on Annex B. On September 8, 2026 certain of the Reporting Persons initiated distributions of an aggregate of 233,098 shares of Class C Common Stock to certain of their respective direct and indirect equity holders, with SL SPV-2, L.P. distributing 97,315 shares, SLP IV distributing 85,520 shares and SLP V distributing 50,263 shares which distributed shares were received on September 3, 2026 and September 4, 2026 pursuant to the conversions described above. The Class B Common Stock is convertible into an equal number of shares of Class C Common Stock, at any time.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7.</w:t>
            </w:r>
          </w:p>
        </w:tc>
        <w:tc>
          <w:tcPr>
            <w:tcW w:w="887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 xml:space="preserve">Exhibit No. Description 99.1 Signature Pages 99.2 Annex A Managing Members of Silver Lake Group, L.L.C. 99.3 Annex B Sales of Class C Common Stock by Reporting Persons during the 60 day period ending September 9, 2026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signatureInfo"/>
      <w:bookmarkStart w:id="57" w:name="signatureInfo"/>
      <w:bookmarkEnd w:id="5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SL SPV-2, L.P.</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SLTA SPV-2, 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SLTA SPV-2 (GP),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Silver Lake Partners IV, L.P.</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Silver Lake Technology Investors IV, L.P.</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Silver Lake Technology Associates IV,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SLTA IV (GP),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Silver Lake Partners V DE (AIV), L.P.</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Silver Lake Technology Investors V, L.P.</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Silver Lake Technology Associates V, L.P.</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SLTA V (GP),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Silver Lake Group, L.L.C.</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Justin G. Hamill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Justin G. Hamill, Chief Legal Officer of Silver Lake Group, L.L.C.,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3875</Words>
  <Characters>19371</Characters>
  <CharactersWithSpaces>22965</CharactersWithSpaces>
  <Paragraphs>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