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52"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1980" w:right="3160" w:hanging="540"/>
        <w:spacing w:after="0" w:line="196" w:lineRule="auto"/>
        <w:tabs>
          <w:tab w:leader="none" w:pos="198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May 4, 2018</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1980" w:right="3140" w:hanging="540"/>
        <w:spacing w:after="0" w:line="196" w:lineRule="auto"/>
        <w:tabs>
          <w:tab w:leader="none" w:pos="1980" w:val="left"/>
        </w:tabs>
        <w:numPr>
          <w:ilvl w:val="0"/>
          <w:numId w:val="2"/>
        </w:numPr>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40" w:lineRule="exact"/>
        <w:rPr>
          <w:sz w:val="24"/>
          <w:szCs w:val="24"/>
          <w:color w:val="auto"/>
        </w:rPr>
      </w:pPr>
    </w:p>
    <w:tbl>
      <w:tblPr>
        <w:tblLayout w:type="fixed"/>
        <w:tblInd w:w="820" w:type="dxa"/>
        <w:tblCellMar>
          <w:top w:w="0" w:type="dxa"/>
          <w:left w:w="0" w:type="dxa"/>
          <w:bottom w:w="0" w:type="dxa"/>
          <w:right w:w="0" w:type="dxa"/>
        </w:tblCellMar>
      </w:tblPr>
      <w:tr>
        <w:trPr>
          <w:trHeight w:val="184"/>
        </w:trPr>
        <w:tc>
          <w:tcPr>
            <w:tcW w:w="5440" w:type="dxa"/>
            <w:vAlign w:val="bottom"/>
          </w:tcPr>
          <w:p>
            <w:pPr>
              <w:ind w:left="3320"/>
              <w:spacing w:after="0"/>
              <w:rPr>
                <w:sz w:val="20"/>
                <w:szCs w:val="20"/>
                <w:color w:val="auto"/>
              </w:rPr>
            </w:pPr>
            <w:r>
              <w:rPr>
                <w:rFonts w:ascii="Arial" w:cs="Arial" w:eastAsia="Arial" w:hAnsi="Arial"/>
                <w:sz w:val="16"/>
                <w:szCs w:val="16"/>
                <w:b w:val="1"/>
                <w:bCs w:val="1"/>
                <w:color w:val="auto"/>
                <w:w w:val="93"/>
              </w:rPr>
              <w:t>For the transition period from</w:t>
            </w:r>
          </w:p>
        </w:tc>
        <w:tc>
          <w:tcPr>
            <w:tcW w:w="42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c>
          <w:tcPr>
            <w:tcW w:w="420" w:type="dxa"/>
            <w:vAlign w:val="bottom"/>
            <w:tcBorders>
              <w:bottom w:val="single" w:sz="8" w:color="auto"/>
            </w:tcBorders>
          </w:tcPr>
          <w:p>
            <w:pPr>
              <w:spacing w:after="0"/>
              <w:rPr>
                <w:sz w:val="16"/>
                <w:szCs w:val="16"/>
                <w:color w:val="auto"/>
              </w:rPr>
            </w:pPr>
          </w:p>
        </w:tc>
        <w:tc>
          <w:tcPr>
            <w:tcW w:w="2500" w:type="dxa"/>
            <w:vAlign w:val="bottom"/>
          </w:tcPr>
          <w:p>
            <w:pPr>
              <w:spacing w:after="0"/>
              <w:rPr>
                <w:sz w:val="16"/>
                <w:szCs w:val="16"/>
                <w:color w:val="auto"/>
              </w:rPr>
            </w:pPr>
          </w:p>
        </w:tc>
      </w:tr>
      <w:tr>
        <w:trPr>
          <w:trHeight w:val="312"/>
        </w:trPr>
        <w:tc>
          <w:tcPr>
            <w:tcW w:w="8980" w:type="dxa"/>
            <w:vAlign w:val="bottom"/>
            <w:gridSpan w:val="5"/>
          </w:tcPr>
          <w:p>
            <w:pPr>
              <w:jc w:val="center"/>
              <w:ind w:left="710"/>
              <w:spacing w:after="0"/>
              <w:rPr>
                <w:sz w:val="20"/>
                <w:szCs w:val="20"/>
                <w:color w:val="auto"/>
              </w:rPr>
            </w:pPr>
            <w:r>
              <w:rPr>
                <w:rFonts w:ascii="Arial" w:cs="Arial" w:eastAsia="Arial" w:hAnsi="Arial"/>
                <w:sz w:val="16"/>
                <w:szCs w:val="16"/>
                <w:b w:val="1"/>
                <w:bCs w:val="1"/>
                <w:color w:val="auto"/>
                <w:w w:val="92"/>
              </w:rPr>
              <w:t>Commission File Number: 001-37867</w:t>
            </w:r>
          </w:p>
        </w:tc>
      </w:tr>
      <w:tr>
        <w:trPr>
          <w:trHeight w:val="403"/>
        </w:trPr>
        <w:tc>
          <w:tcPr>
            <w:tcW w:w="8980" w:type="dxa"/>
            <w:vAlign w:val="bottom"/>
            <w:gridSpan w:val="5"/>
          </w:tcPr>
          <w:p>
            <w:pPr>
              <w:jc w:val="center"/>
              <w:ind w:left="730"/>
              <w:spacing w:after="0"/>
              <w:rPr>
                <w:sz w:val="20"/>
                <w:szCs w:val="20"/>
                <w:color w:val="auto"/>
              </w:rPr>
            </w:pPr>
            <w:r>
              <w:rPr>
                <w:rFonts w:ascii="Arial" w:cs="Arial" w:eastAsia="Arial" w:hAnsi="Arial"/>
                <w:sz w:val="29"/>
                <w:szCs w:val="29"/>
                <w:b w:val="1"/>
                <w:bCs w:val="1"/>
                <w:color w:val="auto"/>
                <w:w w:val="87"/>
              </w:rPr>
              <w:t>Dell Technologies Inc.</w:t>
            </w:r>
          </w:p>
        </w:tc>
      </w:tr>
      <w:tr>
        <w:trPr>
          <w:trHeight w:val="321"/>
        </w:trPr>
        <w:tc>
          <w:tcPr>
            <w:tcW w:w="8980" w:type="dxa"/>
            <w:vAlign w:val="bottom"/>
            <w:gridSpan w:val="5"/>
          </w:tcPr>
          <w:p>
            <w:pPr>
              <w:jc w:val="center"/>
              <w:ind w:left="710"/>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654"/>
        </w:trPr>
        <w:tc>
          <w:tcPr>
            <w:tcW w:w="5440" w:type="dxa"/>
            <w:vAlign w:val="bottom"/>
          </w:tcPr>
          <w:p>
            <w:pPr>
              <w:jc w:val="center"/>
              <w:ind w:right="1490"/>
              <w:spacing w:after="0"/>
              <w:rPr>
                <w:sz w:val="20"/>
                <w:szCs w:val="20"/>
                <w:color w:val="auto"/>
              </w:rPr>
            </w:pPr>
            <w:r>
              <w:rPr>
                <w:rFonts w:ascii="Arial" w:cs="Arial" w:eastAsia="Arial" w:hAnsi="Arial"/>
                <w:sz w:val="16"/>
                <w:szCs w:val="16"/>
                <w:b w:val="1"/>
                <w:bCs w:val="1"/>
                <w:color w:val="auto"/>
                <w:w w:val="93"/>
              </w:rPr>
              <w:t>Delaware</w:t>
            </w:r>
          </w:p>
        </w:tc>
        <w:tc>
          <w:tcPr>
            <w:tcW w:w="35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80-0890963</w:t>
            </w:r>
          </w:p>
        </w:tc>
      </w:tr>
      <w:tr>
        <w:trPr>
          <w:trHeight w:val="257"/>
        </w:trPr>
        <w:tc>
          <w:tcPr>
            <w:tcW w:w="5440" w:type="dxa"/>
            <w:vAlign w:val="bottom"/>
          </w:tcPr>
          <w:p>
            <w:pPr>
              <w:jc w:val="center"/>
              <w:ind w:right="149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500" w:type="dxa"/>
            <w:vAlign w:val="bottom"/>
          </w:tcPr>
          <w:p>
            <w:pPr>
              <w:jc w:val="center"/>
              <w:ind w:left="59"/>
              <w:spacing w:after="0"/>
              <w:rPr>
                <w:sz w:val="20"/>
                <w:szCs w:val="20"/>
                <w:color w:val="auto"/>
              </w:rPr>
            </w:pPr>
            <w:r>
              <w:rPr>
                <w:rFonts w:ascii="Arial" w:cs="Arial" w:eastAsia="Arial" w:hAnsi="Arial"/>
                <w:sz w:val="16"/>
                <w:szCs w:val="16"/>
                <w:color w:val="auto"/>
                <w:w w:val="95"/>
              </w:rPr>
              <w:t>(I.R.S. Employer Identification No.)</w:t>
            </w:r>
          </w:p>
        </w:tc>
      </w:tr>
    </w:tbl>
    <w:p>
      <w:pPr>
        <w:spacing w:after="0" w:line="12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One Dell Way, Round Rock, Texas 78682</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1-800-289-3355</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180"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4"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4" w:lineRule="exact"/>
        <w:rPr>
          <w:sz w:val="24"/>
          <w:szCs w:val="24"/>
          <w:color w:val="auto"/>
        </w:rPr>
      </w:pPr>
    </w:p>
    <w:p>
      <w:pPr>
        <w:ind w:right="2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33" w:right="279" w:bottom="1440" w:gutter="0" w:footer="0" w:header="0"/>
        </w:sectPr>
      </w:pPr>
    </w:p>
    <w:p>
      <w:pPr>
        <w:spacing w:after="0" w:line="153"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96" w:lineRule="exact"/>
        <w:rPr>
          <w:sz w:val="24"/>
          <w:szCs w:val="24"/>
          <w:color w:val="auto"/>
        </w:rPr>
      </w:pPr>
    </w:p>
    <w:p>
      <w:pPr>
        <w:sectPr>
          <w:pgSz w:w="11900" w:h="16838" w:orient="portrait"/>
          <w:cols w:equalWidth="0" w:num="2">
            <w:col w:w="6980" w:space="720"/>
            <w:col w:w="3680"/>
          </w:cols>
          <w:pgMar w:left="240" w:top="233" w:right="279" w:bottom="1440" w:gutter="0" w:footer="0" w:header="0"/>
          <w:type w:val="continuous"/>
        </w:sectPr>
      </w:pPr>
    </w:p>
    <w:p>
      <w:pPr>
        <w:ind w:left="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8" w:lineRule="exact"/>
        <w:rPr>
          <w:sz w:val="24"/>
          <w:szCs w:val="24"/>
          <w:color w:val="auto"/>
        </w:rPr>
      </w:pPr>
    </w:p>
    <w:p>
      <w:pPr>
        <w:sectPr>
          <w:pgSz w:w="11900" w:h="16838" w:orient="portrait"/>
          <w:cols w:equalWidth="0" w:num="3">
            <w:col w:w="1600" w:space="40"/>
            <w:col w:w="5340" w:space="720"/>
            <w:col w:w="3680"/>
          </w:cols>
          <w:pgMar w:left="240" w:top="233" w:right="279" w:bottom="1440" w:gutter="0" w:footer="0" w:header="0"/>
          <w:type w:val="continuous"/>
        </w:sectPr>
      </w:pPr>
    </w:p>
    <w:p>
      <w:pPr>
        <w:ind w:left="770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380"/>
          </w:cols>
          <w:pgMar w:left="240" w:top="233" w:right="279" w:bottom="1440" w:gutter="0" w:footer="0" w:header="0"/>
          <w:type w:val="continuous"/>
        </w:sectPr>
      </w:pPr>
    </w:p>
    <w:p>
      <w:pPr>
        <w:spacing w:after="0" w:line="153" w:lineRule="exact"/>
        <w:rPr>
          <w:sz w:val="24"/>
          <w:szCs w:val="24"/>
          <w:color w:val="auto"/>
        </w:rPr>
      </w:pPr>
    </w:p>
    <w:p>
      <w:pPr>
        <w:ind w:right="1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4" w:lineRule="exact"/>
        <w:rPr>
          <w:sz w:val="24"/>
          <w:szCs w:val="24"/>
          <w:color w:val="auto"/>
        </w:rPr>
      </w:pPr>
    </w:p>
    <w:p>
      <w:pPr>
        <w:ind w:right="320"/>
        <w:spacing w:after="0" w:line="261" w:lineRule="auto"/>
        <w:rPr>
          <w:sz w:val="20"/>
          <w:szCs w:val="20"/>
          <w:color w:val="auto"/>
        </w:rPr>
      </w:pPr>
      <w:r>
        <w:rPr>
          <w:rFonts w:ascii="Arial" w:cs="Arial" w:eastAsia="Arial" w:hAnsi="Arial"/>
          <w:sz w:val="16"/>
          <w:szCs w:val="16"/>
          <w:color w:val="auto"/>
        </w:rPr>
        <w:t>As of June 6, 2018, there were 767,883,914 shares of the registrant's common stock outstanding, consisting of 199,354,950 outstanding shares of Class V Common Stock, 409,538,423 outstanding shares of Class A Common Stock, 136,986,858 outstanding shares of Class B Common Stock, and 22,003,683 outstanding shares of Class C Common Stock.</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This report contains </w:t>
      </w:r>
      <w:r>
        <w:rPr>
          <w:rFonts w:ascii="Arial" w:cs="Arial" w:eastAsia="Arial" w:hAnsi="Arial"/>
          <w:sz w:val="14"/>
          <w:szCs w:val="14"/>
          <w:color w:val="auto"/>
        </w:rPr>
        <w:t>"</w:t>
      </w:r>
      <w:r>
        <w:rPr>
          <w:rFonts w:ascii="Arial" w:cs="Arial" w:eastAsia="Arial" w:hAnsi="Arial"/>
          <w:sz w:val="16"/>
          <w:szCs w:val="16"/>
          <w:color w:val="auto"/>
        </w:rPr>
        <w:t>forward-looking statements</w:t>
      </w:r>
      <w:r>
        <w:rPr>
          <w:rFonts w:ascii="Arial" w:cs="Arial" w:eastAsia="Arial" w:hAnsi="Arial"/>
          <w:sz w:val="14"/>
          <w:szCs w:val="14"/>
          <w:color w:val="auto"/>
        </w:rPr>
        <w:t>"</w:t>
      </w:r>
      <w:r>
        <w:rPr>
          <w:rFonts w:ascii="Arial" w:cs="Arial" w:eastAsia="Arial" w:hAnsi="Arial"/>
          <w:sz w:val="16"/>
          <w:szCs w:val="16"/>
          <w:color w:val="auto"/>
        </w:rPr>
        <w:t xml:space="preserve"> within the meaning of Section 27A of the Securities Act of 1933 and Section 21E of the Securities Exchange Act of 1934. The words </w:t>
      </w:r>
      <w:r>
        <w:rPr>
          <w:rFonts w:ascii="Arial" w:cs="Arial" w:eastAsia="Arial" w:hAnsi="Arial"/>
          <w:sz w:val="14"/>
          <w:szCs w:val="14"/>
          <w:color w:val="auto"/>
        </w:rPr>
        <w:t>"</w:t>
      </w:r>
      <w:r>
        <w:rPr>
          <w:rFonts w:ascii="Arial" w:cs="Arial" w:eastAsia="Arial" w:hAnsi="Arial"/>
          <w:sz w:val="16"/>
          <w:szCs w:val="16"/>
          <w:color w:val="auto"/>
        </w:rPr>
        <w:t>may,</w:t>
      </w:r>
      <w:r>
        <w:rPr>
          <w:rFonts w:ascii="Arial" w:cs="Arial" w:eastAsia="Arial" w:hAnsi="Arial"/>
          <w:sz w:val="14"/>
          <w:szCs w:val="14"/>
          <w:color w:val="auto"/>
        </w:rPr>
        <w:t>" "</w:t>
      </w:r>
      <w:r>
        <w:rPr>
          <w:rFonts w:ascii="Arial" w:cs="Arial" w:eastAsia="Arial" w:hAnsi="Arial"/>
          <w:sz w:val="16"/>
          <w:szCs w:val="16"/>
          <w:color w:val="auto"/>
        </w:rPr>
        <w:t>will,</w:t>
      </w:r>
      <w:r>
        <w:rPr>
          <w:rFonts w:ascii="Arial" w:cs="Arial" w:eastAsia="Arial" w:hAnsi="Arial"/>
          <w:sz w:val="14"/>
          <w:szCs w:val="14"/>
          <w:color w:val="auto"/>
        </w:rPr>
        <w:t>" "</w:t>
      </w:r>
      <w:r>
        <w:rPr>
          <w:rFonts w:ascii="Arial" w:cs="Arial" w:eastAsia="Arial" w:hAnsi="Arial"/>
          <w:sz w:val="16"/>
          <w:szCs w:val="16"/>
          <w:color w:val="auto"/>
        </w:rPr>
        <w:t>anticipate,</w:t>
      </w:r>
      <w:r>
        <w:rPr>
          <w:rFonts w:ascii="Arial" w:cs="Arial" w:eastAsia="Arial" w:hAnsi="Arial"/>
          <w:sz w:val="14"/>
          <w:szCs w:val="14"/>
          <w:color w:val="auto"/>
        </w:rPr>
        <w:t>" "</w:t>
      </w:r>
      <w:r>
        <w:rPr>
          <w:rFonts w:ascii="Arial" w:cs="Arial" w:eastAsia="Arial" w:hAnsi="Arial"/>
          <w:sz w:val="16"/>
          <w:szCs w:val="16"/>
          <w:color w:val="auto"/>
        </w:rPr>
        <w:t>estimate,</w:t>
      </w:r>
      <w:r>
        <w:rPr>
          <w:rFonts w:ascii="Arial" w:cs="Arial" w:eastAsia="Arial" w:hAnsi="Arial"/>
          <w:sz w:val="14"/>
          <w:szCs w:val="14"/>
          <w:color w:val="auto"/>
        </w:rPr>
        <w:t>" "</w:t>
      </w:r>
      <w:r>
        <w:rPr>
          <w:rFonts w:ascii="Arial" w:cs="Arial" w:eastAsia="Arial" w:hAnsi="Arial"/>
          <w:sz w:val="16"/>
          <w:szCs w:val="16"/>
          <w:color w:val="auto"/>
        </w:rPr>
        <w:t>expect,</w:t>
      </w:r>
      <w:r>
        <w:rPr>
          <w:rFonts w:ascii="Arial" w:cs="Arial" w:eastAsia="Arial" w:hAnsi="Arial"/>
          <w:sz w:val="14"/>
          <w:szCs w:val="14"/>
          <w:color w:val="auto"/>
        </w:rPr>
        <w:t>" "</w:t>
      </w:r>
      <w:r>
        <w:rPr>
          <w:rFonts w:ascii="Arial" w:cs="Arial" w:eastAsia="Arial" w:hAnsi="Arial"/>
          <w:sz w:val="16"/>
          <w:szCs w:val="16"/>
          <w:color w:val="auto"/>
        </w:rPr>
        <w:t>intend,</w:t>
      </w:r>
      <w:r>
        <w:rPr>
          <w:rFonts w:ascii="Arial" w:cs="Arial" w:eastAsia="Arial" w:hAnsi="Arial"/>
          <w:sz w:val="14"/>
          <w:szCs w:val="14"/>
          <w:color w:val="auto"/>
        </w:rPr>
        <w:t>" "</w:t>
      </w:r>
      <w:r>
        <w:rPr>
          <w:rFonts w:ascii="Arial" w:cs="Arial" w:eastAsia="Arial" w:hAnsi="Arial"/>
          <w:sz w:val="16"/>
          <w:szCs w:val="16"/>
          <w:color w:val="auto"/>
        </w:rPr>
        <w:t>plan,</w:t>
      </w:r>
      <w:r>
        <w:rPr>
          <w:rFonts w:ascii="Arial" w:cs="Arial" w:eastAsia="Arial" w:hAnsi="Arial"/>
          <w:sz w:val="14"/>
          <w:szCs w:val="14"/>
          <w:color w:val="auto"/>
        </w:rPr>
        <w:t>" "</w:t>
      </w:r>
      <w:r>
        <w:rPr>
          <w:rFonts w:ascii="Arial" w:cs="Arial" w:eastAsia="Arial" w:hAnsi="Arial"/>
          <w:sz w:val="16"/>
          <w:szCs w:val="16"/>
          <w:color w:val="auto"/>
        </w:rPr>
        <w:t>aim,</w:t>
      </w:r>
      <w:r>
        <w:rPr>
          <w:rFonts w:ascii="Arial" w:cs="Arial" w:eastAsia="Arial" w:hAnsi="Arial"/>
          <w:sz w:val="14"/>
          <w:szCs w:val="14"/>
          <w:color w:val="auto"/>
        </w:rPr>
        <w:t>" "</w:t>
      </w:r>
      <w:r>
        <w:rPr>
          <w:rFonts w:ascii="Arial" w:cs="Arial" w:eastAsia="Arial" w:hAnsi="Arial"/>
          <w:sz w:val="16"/>
          <w:szCs w:val="16"/>
          <w:color w:val="auto"/>
        </w:rPr>
        <w:t>seek,</w:t>
      </w:r>
      <w:r>
        <w:rPr>
          <w:rFonts w:ascii="Arial" w:cs="Arial" w:eastAsia="Arial" w:hAnsi="Arial"/>
          <w:sz w:val="14"/>
          <w:szCs w:val="14"/>
          <w:color w:val="auto"/>
        </w:rPr>
        <w:t>"</w:t>
      </w:r>
      <w:r>
        <w:rPr>
          <w:rFonts w:ascii="Arial" w:cs="Arial" w:eastAsia="Arial" w:hAnsi="Arial"/>
          <w:sz w:val="16"/>
          <w:szCs w:val="16"/>
          <w:color w:val="auto"/>
        </w:rPr>
        <w:t xml:space="preserve">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in our Annual Report on Form 10-K for the fiscal year ended February 2, 2018 and in our other periodic and current reports filed with the Securities and Exchange Commission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25"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88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5"/>
          </w:tcPr>
          <w:p>
            <w:pPr>
              <w:jc w:val="center"/>
              <w:ind w:right="2480"/>
              <w:spacing w:after="0"/>
              <w:rPr>
                <w:sz w:val="20"/>
                <w:szCs w:val="20"/>
                <w:color w:val="auto"/>
              </w:rPr>
            </w:pPr>
            <w:r>
              <w:rPr>
                <w:rFonts w:ascii="Arial" w:cs="Arial" w:eastAsia="Arial" w:hAnsi="Arial"/>
                <w:sz w:val="18"/>
                <w:szCs w:val="18"/>
                <w:b w:val="1"/>
                <w:bCs w:val="1"/>
                <w:color w:val="auto"/>
              </w:rPr>
              <w:t>DELL TECHNOLOGIES INC.</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5"/>
          </w:tcPr>
          <w:p>
            <w:pPr>
              <w:jc w:val="center"/>
              <w:ind w:right="2460"/>
              <w:spacing w:after="0"/>
              <w:rPr>
                <w:sz w:val="20"/>
                <w:szCs w:val="20"/>
                <w:color w:val="auto"/>
              </w:rPr>
            </w:pPr>
            <w:r>
              <w:rPr>
                <w:rFonts w:ascii="Arial" w:cs="Arial" w:eastAsia="Arial" w:hAnsi="Arial"/>
                <w:sz w:val="18"/>
                <w:szCs w:val="18"/>
                <w:b w:val="1"/>
                <w:bCs w:val="1"/>
                <w:color w:val="auto"/>
                <w:w w:val="98"/>
              </w:rPr>
              <w:t>TABLE OF CONTENTS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80" w:type="dxa"/>
            <w:vAlign w:val="bottom"/>
            <w:gridSpan w:val="5"/>
          </w:tcPr>
          <w:p>
            <w:pPr>
              <w:ind w:left="132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4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2300" w:type="dxa"/>
            <w:vAlign w:val="bottom"/>
            <w:gridSpan w:val="2"/>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40" w:type="dxa"/>
            <w:vAlign w:val="bottom"/>
          </w:tcPr>
          <w:p>
            <w:pPr>
              <w:spacing w:after="0"/>
              <w:rPr>
                <w:sz w:val="21"/>
                <w:szCs w:val="21"/>
                <w:color w:val="auto"/>
              </w:rPr>
            </w:pPr>
          </w:p>
        </w:tc>
        <w:tc>
          <w:tcPr>
            <w:tcW w:w="184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76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1580" w:type="dxa"/>
            <w:vAlign w:val="bottom"/>
            <w:gridSpan w:val="4"/>
          </w:tcPr>
          <w:p>
            <w:pPr>
              <w:jc w:val="center"/>
              <w:ind w:left="133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840" w:type="dxa"/>
            <w:vAlign w:val="bottom"/>
            <w:gridSpan w:val="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2.</w:t>
              </w:r>
            </w:hyperlink>
          </w:p>
        </w:tc>
        <w:tc>
          <w:tcPr>
            <w:tcW w:w="7760" w:type="dxa"/>
            <w:vAlign w:val="bottom"/>
            <w:gridSpan w:val="1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Management's Discussion and Analysis of Financial Condition and Results of Operations</w:t>
              </w:r>
            </w:hyperlink>
          </w:p>
        </w:tc>
        <w:tc>
          <w:tcPr>
            <w:tcW w:w="1580" w:type="dxa"/>
            <w:vAlign w:val="bottom"/>
            <w:gridSpan w:val="4"/>
          </w:tcPr>
          <w:p>
            <w:pPr>
              <w:jc w:val="center"/>
              <w:ind w:left="1310"/>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59</w:t>
              </w:r>
            </w:hyperlink>
          </w:p>
        </w:tc>
        <w:tc>
          <w:tcPr>
            <w:tcW w:w="1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840" w:type="dxa"/>
            <w:vAlign w:val="bottom"/>
            <w:gridSpan w:val="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3.</w:t>
              </w:r>
            </w:hyperlink>
          </w:p>
        </w:tc>
        <w:tc>
          <w:tcPr>
            <w:tcW w:w="7760" w:type="dxa"/>
            <w:vAlign w:val="bottom"/>
            <w:gridSpan w:val="1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Quantitative and Qualitative Disclosures About Market Risk</w:t>
              </w:r>
            </w:hyperlink>
          </w:p>
        </w:tc>
        <w:tc>
          <w:tcPr>
            <w:tcW w:w="1580" w:type="dxa"/>
            <w:vAlign w:val="bottom"/>
            <w:gridSpan w:val="4"/>
          </w:tcPr>
          <w:p>
            <w:pPr>
              <w:jc w:val="center"/>
              <w:ind w:left="1310"/>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83</w:t>
              </w:r>
            </w:hyperlink>
          </w:p>
        </w:tc>
        <w:tc>
          <w:tcPr>
            <w:tcW w:w="1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840" w:type="dxa"/>
            <w:vAlign w:val="bottom"/>
            <w:gridSpan w:val="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4.</w:t>
              </w:r>
            </w:hyperlink>
          </w:p>
        </w:tc>
        <w:tc>
          <w:tcPr>
            <w:tcW w:w="7760" w:type="dxa"/>
            <w:vAlign w:val="bottom"/>
            <w:gridSpan w:val="1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Controls and Procedures</w:t>
              </w:r>
            </w:hyperlink>
          </w:p>
        </w:tc>
        <w:tc>
          <w:tcPr>
            <w:tcW w:w="1580" w:type="dxa"/>
            <w:vAlign w:val="bottom"/>
            <w:gridSpan w:val="4"/>
          </w:tcPr>
          <w:p>
            <w:pPr>
              <w:jc w:val="center"/>
              <w:ind w:left="1310"/>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83</w:t>
              </w:r>
            </w:hyperlink>
          </w:p>
        </w:tc>
        <w:tc>
          <w:tcPr>
            <w:tcW w:w="10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380" w:type="dxa"/>
            <w:vAlign w:val="bottom"/>
            <w:gridSpan w:val="5"/>
          </w:tcPr>
          <w:p>
            <w:pPr>
              <w:jc w:val="center"/>
              <w:ind w:right="2460"/>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 — OTHER INFORMATION</w:t>
              </w:r>
            </w:hyperlink>
          </w:p>
        </w:tc>
        <w:tc>
          <w:tcPr>
            <w:tcW w:w="140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840" w:type="dxa"/>
            <w:vAlign w:val="bottom"/>
            <w:gridSpan w:val="5"/>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1.</w:t>
              </w:r>
            </w:hyperlink>
          </w:p>
        </w:tc>
        <w:tc>
          <w:tcPr>
            <w:tcW w:w="2380" w:type="dxa"/>
            <w:vAlign w:val="bottom"/>
            <w:gridSpan w:val="6"/>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Legal Proceedings</w:t>
              </w:r>
            </w:hyperlink>
          </w:p>
        </w:tc>
        <w:tc>
          <w:tcPr>
            <w:tcW w:w="2920" w:type="dxa"/>
            <w:vAlign w:val="bottom"/>
            <w:tcBorders>
              <w:top w:val="single" w:sz="8" w:color="0000EE"/>
            </w:tcBorders>
            <w:gridSpan w:val="2"/>
          </w:tcPr>
          <w:p>
            <w:pPr>
              <w:spacing w:after="0"/>
              <w:rPr>
                <w:sz w:val="21"/>
                <w:szCs w:val="21"/>
                <w:color w:val="auto"/>
              </w:rPr>
            </w:pPr>
          </w:p>
        </w:tc>
        <w:tc>
          <w:tcPr>
            <w:tcW w:w="2460" w:type="dxa"/>
            <w:vAlign w:val="bottom"/>
            <w:gridSpan w:val="3"/>
          </w:tcPr>
          <w:p>
            <w:pPr>
              <w:spacing w:after="0"/>
              <w:rPr>
                <w:sz w:val="21"/>
                <w:szCs w:val="21"/>
                <w:color w:val="auto"/>
              </w:rPr>
            </w:pPr>
          </w:p>
        </w:tc>
        <w:tc>
          <w:tcPr>
            <w:tcW w:w="1580" w:type="dxa"/>
            <w:vAlign w:val="bottom"/>
            <w:gridSpan w:val="4"/>
          </w:tcPr>
          <w:p>
            <w:pPr>
              <w:jc w:val="center"/>
              <w:ind w:left="1310"/>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84</w:t>
              </w:r>
            </w:hyperlink>
          </w:p>
        </w:tc>
        <w:tc>
          <w:tcPr>
            <w:tcW w:w="1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Item 1A.</w:t>
              </w:r>
            </w:hyperlink>
          </w:p>
        </w:tc>
        <w:tc>
          <w:tcPr>
            <w:tcW w:w="1200" w:type="dxa"/>
            <w:vAlign w:val="bottom"/>
            <w:gridSpan w:val="3"/>
          </w:tcPr>
          <w:p>
            <w:pPr>
              <w:spacing w:after="0"/>
              <w:rPr>
                <w:sz w:val="21"/>
                <w:szCs w:val="21"/>
                <w:color w:val="auto"/>
              </w:rPr>
            </w:pP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84">
              <w:r>
                <w:rPr>
                  <w:rFonts w:ascii="Arial" w:cs="Arial" w:eastAsia="Arial" w:hAnsi="Arial"/>
                  <w:sz w:val="18"/>
                  <w:szCs w:val="18"/>
                  <w:color w:val="0000EE"/>
                  <w:w w:val="87"/>
                </w:rPr>
                <w:t>Risk Factors</w:t>
              </w:r>
            </w:hyperlink>
          </w:p>
        </w:tc>
        <w:tc>
          <w:tcPr>
            <w:tcW w:w="6860" w:type="dxa"/>
            <w:vAlign w:val="bottom"/>
            <w:gridSpan w:val="9"/>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84</w:t>
              </w:r>
            </w:hyperlink>
          </w:p>
        </w:tc>
        <w:tc>
          <w:tcPr>
            <w:tcW w:w="10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840" w:type="dxa"/>
            <w:vAlign w:val="bottom"/>
            <w:gridSpan w:val="5"/>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2.</w:t>
              </w:r>
            </w:hyperlink>
          </w:p>
        </w:tc>
        <w:tc>
          <w:tcPr>
            <w:tcW w:w="7760" w:type="dxa"/>
            <w:vAlign w:val="bottom"/>
            <w:gridSpan w:val="11"/>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Unregistered Sales of Equity Securities and Use of Proceeds</w:t>
              </w:r>
            </w:hyperlink>
          </w:p>
        </w:tc>
        <w:tc>
          <w:tcPr>
            <w:tcW w:w="1580" w:type="dxa"/>
            <w:vAlign w:val="bottom"/>
            <w:gridSpan w:val="4"/>
          </w:tcPr>
          <w:p>
            <w:pPr>
              <w:jc w:val="center"/>
              <w:ind w:left="1310"/>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84</w:t>
              </w:r>
            </w:hyperlink>
          </w:p>
        </w:tc>
        <w:tc>
          <w:tcPr>
            <w:tcW w:w="1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840" w:type="dxa"/>
            <w:vAlign w:val="bottom"/>
            <w:gridSpan w:val="5"/>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Item 6.</w:t>
              </w:r>
            </w:hyperlink>
          </w:p>
        </w:tc>
        <w:tc>
          <w:tcPr>
            <w:tcW w:w="7760" w:type="dxa"/>
            <w:vAlign w:val="bottom"/>
            <w:gridSpan w:val="11"/>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Exhibits</w:t>
              </w:r>
            </w:hyperlink>
          </w:p>
        </w:tc>
        <w:tc>
          <w:tcPr>
            <w:tcW w:w="1580" w:type="dxa"/>
            <w:vAlign w:val="bottom"/>
            <w:gridSpan w:val="4"/>
          </w:tcPr>
          <w:p>
            <w:pPr>
              <w:jc w:val="center"/>
              <w:ind w:left="1310"/>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85</w:t>
              </w:r>
            </w:hyperlink>
          </w:p>
        </w:tc>
        <w:tc>
          <w:tcPr>
            <w:tcW w:w="1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840" w:type="dxa"/>
            <w:vAlign w:val="bottom"/>
            <w:gridSpan w:val="5"/>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Signatures</w:t>
              </w:r>
            </w:hyperlink>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80" w:type="dxa"/>
            <w:vAlign w:val="bottom"/>
            <w:gridSpan w:val="4"/>
          </w:tcPr>
          <w:p>
            <w:pPr>
              <w:jc w:val="center"/>
              <w:ind w:left="1310"/>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85</w:t>
              </w:r>
            </w:hyperlink>
          </w:p>
        </w:tc>
        <w:tc>
          <w:tcPr>
            <w:tcW w:w="100" w:type="dxa"/>
            <w:vAlign w:val="bottom"/>
          </w:tcPr>
          <w:p>
            <w:pPr>
              <w:spacing w:after="0"/>
              <w:rPr>
                <w:sz w:val="21"/>
                <w:szCs w:val="21"/>
                <w:color w:val="auto"/>
              </w:rPr>
            </w:pPr>
          </w:p>
        </w:tc>
      </w:tr>
      <w:tr>
        <w:trPr>
          <w:trHeight w:val="939"/>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40" w:type="dxa"/>
            <w:vAlign w:val="bottom"/>
            <w:gridSpan w:val="7"/>
          </w:tcPr>
          <w:p>
            <w:pPr>
              <w:jc w:val="center"/>
              <w:ind w:left="3230"/>
              <w:spacing w:after="0"/>
              <w:rPr>
                <w:sz w:val="20"/>
                <w:szCs w:val="20"/>
                <w:color w:val="auto"/>
              </w:rPr>
            </w:pPr>
            <w:r>
              <w:rPr>
                <w:rFonts w:ascii="Arial" w:cs="Arial" w:eastAsia="Arial" w:hAnsi="Arial"/>
                <w:sz w:val="18"/>
                <w:szCs w:val="18"/>
                <w:color w:val="auto"/>
                <w:w w:val="99"/>
              </w:rPr>
              <w:t>3</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10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20" w:type="dxa"/>
            <w:vAlign w:val="bottom"/>
            <w:gridSpan w:val="2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96"/>
        </w:trPr>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0" w:type="dxa"/>
            <w:vAlign w:val="bottom"/>
            <w:gridSpan w:val="11"/>
          </w:tcPr>
          <w:p>
            <w:pPr>
              <w:jc w:val="center"/>
              <w:ind w:right="2200"/>
              <w:spacing w:after="0"/>
              <w:rPr>
                <w:sz w:val="20"/>
                <w:szCs w:val="20"/>
                <w:color w:val="auto"/>
              </w:rPr>
            </w:pPr>
            <w:r>
              <w:rPr>
                <w:rFonts w:ascii="Arial" w:cs="Arial" w:eastAsia="Arial" w:hAnsi="Arial"/>
                <w:sz w:val="18"/>
                <w:szCs w:val="18"/>
                <w:b w:val="1"/>
                <w:bCs w:val="1"/>
                <w:color w:val="auto"/>
              </w:rPr>
              <w:t>PART I — FINANCIAL INFORMATION</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0120" w:type="dxa"/>
            <w:vAlign w:val="bottom"/>
            <w:gridSpan w:val="26"/>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FINANCIAL STATEMENTS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gridSpan w:val="7"/>
          </w:tcPr>
          <w:p>
            <w:pPr>
              <w:jc w:val="center"/>
              <w:ind w:right="3480"/>
              <w:spacing w:after="0"/>
              <w:rPr>
                <w:sz w:val="20"/>
                <w:szCs w:val="20"/>
                <w:color w:val="auto"/>
              </w:rPr>
            </w:pPr>
            <w:r>
              <w:rPr>
                <w:rFonts w:ascii="Arial" w:cs="Arial" w:eastAsia="Arial" w:hAnsi="Arial"/>
                <w:sz w:val="18"/>
                <w:szCs w:val="18"/>
                <w:b w:val="1"/>
                <w:bCs w:val="1"/>
                <w:color w:val="auto"/>
                <w:w w:val="93"/>
              </w:rPr>
              <w:t>Index</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5"/>
          </w:tcPr>
          <w:p>
            <w:pPr>
              <w:ind w:left="78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40" w:type="dxa"/>
            <w:vAlign w:val="bottom"/>
          </w:tcPr>
          <w:p>
            <w:pPr>
              <w:spacing w:after="0"/>
              <w:rPr>
                <w:sz w:val="19"/>
                <w:szCs w:val="19"/>
                <w:color w:val="auto"/>
              </w:rPr>
            </w:pPr>
          </w:p>
        </w:tc>
        <w:tc>
          <w:tcPr>
            <w:tcW w:w="10080" w:type="dxa"/>
            <w:vAlign w:val="bottom"/>
            <w:gridSpan w:val="2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Financial Position as of May 4, 2018 and February 2, 2018</w:t>
              </w:r>
            </w:hyperlink>
          </w:p>
        </w:tc>
        <w:tc>
          <w:tcPr>
            <w:tcW w:w="1060" w:type="dxa"/>
            <w:vAlign w:val="bottom"/>
            <w:gridSpan w:val="4"/>
          </w:tcPr>
          <w:p>
            <w:pPr>
              <w:jc w:val="center"/>
              <w:ind w:left="77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8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80" w:type="dxa"/>
            <w:vAlign w:val="bottom"/>
            <w:gridSpan w:val="2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 (Loss) for the three months ended May 4, 2018 and May 5, 2017</w:t>
              </w:r>
            </w:hyperlink>
          </w:p>
        </w:tc>
        <w:tc>
          <w:tcPr>
            <w:tcW w:w="1060" w:type="dxa"/>
            <w:vAlign w:val="bottom"/>
            <w:gridSpan w:val="4"/>
          </w:tcPr>
          <w:p>
            <w:pPr>
              <w:jc w:val="center"/>
              <w:ind w:left="77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80" w:type="dxa"/>
            <w:vAlign w:val="bottom"/>
            <w:gridSpan w:val="25"/>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Comprehensive Income (Loss) for the three months ended May 4, 2018 and May 5, 2017</w:t>
              </w:r>
            </w:hyperlink>
          </w:p>
        </w:tc>
        <w:tc>
          <w:tcPr>
            <w:tcW w:w="1060" w:type="dxa"/>
            <w:vAlign w:val="bottom"/>
            <w:gridSpan w:val="4"/>
          </w:tcPr>
          <w:p>
            <w:pPr>
              <w:jc w:val="center"/>
              <w:ind w:left="77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80" w:type="dxa"/>
            <w:vAlign w:val="bottom"/>
            <w:gridSpan w:val="2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months ended May 4, 2018 and May 5, 2017</w:t>
              </w:r>
            </w:hyperlink>
          </w:p>
        </w:tc>
        <w:tc>
          <w:tcPr>
            <w:tcW w:w="800" w:type="dxa"/>
            <w:vAlign w:val="bottom"/>
          </w:tcPr>
          <w:p>
            <w:pPr>
              <w:spacing w:after="0"/>
              <w:rPr>
                <w:sz w:val="21"/>
                <w:szCs w:val="21"/>
                <w:color w:val="auto"/>
              </w:rPr>
            </w:pPr>
          </w:p>
        </w:tc>
        <w:tc>
          <w:tcPr>
            <w:tcW w:w="1060" w:type="dxa"/>
            <w:vAlign w:val="bottom"/>
            <w:gridSpan w:val="4"/>
          </w:tcPr>
          <w:p>
            <w:pPr>
              <w:jc w:val="center"/>
              <w:ind w:left="77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80" w:type="dxa"/>
            <w:vAlign w:val="bottom"/>
            <w:gridSpan w:val="2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Stockholders' Equity for the three months ended May 4, 2018 and May 5, 2017</w:t>
              </w:r>
            </w:hyperlink>
          </w:p>
        </w:tc>
        <w:tc>
          <w:tcPr>
            <w:tcW w:w="1060" w:type="dxa"/>
            <w:vAlign w:val="bottom"/>
            <w:gridSpan w:val="4"/>
          </w:tcPr>
          <w:p>
            <w:pPr>
              <w:jc w:val="center"/>
              <w:ind w:left="79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2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Notes to the Condensed Consolidated Financial Statements</w:t>
              </w:r>
            </w:hyperlink>
          </w:p>
        </w:tc>
        <w:tc>
          <w:tcPr>
            <w:tcW w:w="4300" w:type="dxa"/>
            <w:vAlign w:val="bottom"/>
            <w:tcBorders>
              <w:top w:val="single" w:sz="8" w:color="0000EE"/>
            </w:tcBorders>
            <w:gridSpan w:val="8"/>
          </w:tcPr>
          <w:p>
            <w:pPr>
              <w:spacing w:after="0"/>
              <w:rPr>
                <w:sz w:val="21"/>
                <w:szCs w:val="21"/>
                <w:color w:val="auto"/>
              </w:rPr>
            </w:pPr>
          </w:p>
        </w:tc>
        <w:tc>
          <w:tcPr>
            <w:tcW w:w="152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7"/>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Note 1 — Basis of Presentation</w:t>
              </w:r>
            </w:hyperlink>
          </w:p>
        </w:tc>
        <w:tc>
          <w:tcPr>
            <w:tcW w:w="7580" w:type="dxa"/>
            <w:vAlign w:val="bottom"/>
            <w:gridSpan w:val="17"/>
          </w:tcPr>
          <w:p>
            <w:pPr>
              <w:spacing w:after="0"/>
              <w:rPr>
                <w:sz w:val="21"/>
                <w:szCs w:val="21"/>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12</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40" w:type="dxa"/>
            <w:vAlign w:val="bottom"/>
            <w:gridSpan w:val="2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Note 2 — Interim Update to Summary of Significant Accounting Policies</w:t>
              </w:r>
            </w:hyperlink>
          </w:p>
        </w:tc>
        <w:tc>
          <w:tcPr>
            <w:tcW w:w="1060" w:type="dxa"/>
            <w:vAlign w:val="bottom"/>
            <w:gridSpan w:val="4"/>
          </w:tcPr>
          <w:p>
            <w:pPr>
              <w:jc w:val="center"/>
              <w:ind w:left="79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18</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0" w:type="dxa"/>
            <w:vAlign w:val="bottom"/>
            <w:gridSpan w:val="9"/>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Note 3 — Fair Value Measurements</w:t>
              </w:r>
            </w:hyperlink>
          </w:p>
        </w:tc>
        <w:tc>
          <w:tcPr>
            <w:tcW w:w="2700" w:type="dxa"/>
            <w:vAlign w:val="bottom"/>
            <w:gridSpan w:val="9"/>
          </w:tcPr>
          <w:p>
            <w:pPr>
              <w:spacing w:after="0"/>
              <w:rPr>
                <w:sz w:val="21"/>
                <w:szCs w:val="21"/>
                <w:color w:val="auto"/>
              </w:rPr>
            </w:pPr>
          </w:p>
        </w:tc>
        <w:tc>
          <w:tcPr>
            <w:tcW w:w="4540" w:type="dxa"/>
            <w:vAlign w:val="bottom"/>
            <w:gridSpan w:val="6"/>
          </w:tcPr>
          <w:p>
            <w:pPr>
              <w:spacing w:after="0"/>
              <w:rPr>
                <w:sz w:val="21"/>
                <w:szCs w:val="21"/>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0" w:type="dxa"/>
            <w:vAlign w:val="bottom"/>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Note 4 — Investments</w:t>
              </w:r>
            </w:hyperlink>
          </w:p>
        </w:tc>
        <w:tc>
          <w:tcPr>
            <w:tcW w:w="7240" w:type="dxa"/>
            <w:vAlign w:val="bottom"/>
            <w:gridSpan w:val="15"/>
          </w:tcPr>
          <w:p>
            <w:pPr>
              <w:spacing w:after="0"/>
              <w:rPr>
                <w:sz w:val="21"/>
                <w:szCs w:val="21"/>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5"/>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Note 5 — Financial Services</w:t>
              </w:r>
            </w:hyperlink>
          </w:p>
        </w:tc>
        <w:tc>
          <w:tcPr>
            <w:tcW w:w="7780" w:type="dxa"/>
            <w:vAlign w:val="bottom"/>
            <w:gridSpan w:val="19"/>
          </w:tcPr>
          <w:p>
            <w:pPr>
              <w:spacing w:after="0"/>
              <w:rPr>
                <w:sz w:val="21"/>
                <w:szCs w:val="21"/>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Note 6 — Debt</w:t>
              </w:r>
            </w:hyperlink>
          </w:p>
        </w:tc>
        <w:tc>
          <w:tcPr>
            <w:tcW w:w="7780" w:type="dxa"/>
            <w:vAlign w:val="bottom"/>
            <w:gridSpan w:val="19"/>
          </w:tcPr>
          <w:p>
            <w:pPr>
              <w:spacing w:after="0"/>
              <w:rPr>
                <w:sz w:val="21"/>
                <w:szCs w:val="21"/>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40" w:type="dxa"/>
            <w:vAlign w:val="bottom"/>
            <w:gridSpan w:val="2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Note 7 — Derivative Instruments and Hedging Activities</w:t>
              </w:r>
            </w:hyperlink>
          </w:p>
        </w:tc>
        <w:tc>
          <w:tcPr>
            <w:tcW w:w="1060" w:type="dxa"/>
            <w:vAlign w:val="bottom"/>
            <w:gridSpan w:val="4"/>
          </w:tcPr>
          <w:p>
            <w:pPr>
              <w:jc w:val="center"/>
              <w:ind w:left="79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Note 8 — Goodwill and Intangible Assets</w:t>
              </w:r>
            </w:hyperlink>
          </w:p>
        </w:tc>
        <w:tc>
          <w:tcPr>
            <w:tcW w:w="5720" w:type="dxa"/>
            <w:vAlign w:val="bottom"/>
            <w:gridSpan w:val="9"/>
          </w:tcPr>
          <w:p>
            <w:pPr>
              <w:spacing w:after="0"/>
              <w:rPr>
                <w:sz w:val="21"/>
                <w:szCs w:val="21"/>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20" w:type="dxa"/>
            <w:vAlign w:val="bottom"/>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Note 9 — Deferred Revenue</w:t>
              </w:r>
            </w:hyperlink>
          </w:p>
        </w:tc>
        <w:tc>
          <w:tcPr>
            <w:tcW w:w="6820" w:type="dxa"/>
            <w:vAlign w:val="bottom"/>
            <w:gridSpan w:val="12"/>
          </w:tcPr>
          <w:p>
            <w:pPr>
              <w:spacing w:after="0"/>
              <w:rPr>
                <w:sz w:val="21"/>
                <w:szCs w:val="21"/>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41</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80" w:type="dxa"/>
            <w:vAlign w:val="bottom"/>
            <w:gridSpan w:val="6"/>
          </w:tcPr>
          <w:p>
            <w:pPr>
              <w:spacing w:after="0"/>
              <w:rPr>
                <w:rFonts w:ascii="Arial" w:cs="Arial" w:eastAsia="Arial" w:hAnsi="Arial"/>
                <w:sz w:val="18"/>
                <w:szCs w:val="18"/>
                <w:color w:val="0000EE"/>
                <w:w w:val="94"/>
              </w:rPr>
            </w:pPr>
            <w:hyperlink w:anchor="page42">
              <w:r>
                <w:rPr>
                  <w:rFonts w:ascii="Arial" w:cs="Arial" w:eastAsia="Arial" w:hAnsi="Arial"/>
                  <w:sz w:val="18"/>
                  <w:szCs w:val="18"/>
                  <w:color w:val="0000EE"/>
                  <w:w w:val="94"/>
                </w:rPr>
                <w:t>Note 10 — Warranty Liability</w:t>
              </w:r>
            </w:hyperlink>
          </w:p>
        </w:tc>
        <w:tc>
          <w:tcPr>
            <w:tcW w:w="7660" w:type="dxa"/>
            <w:vAlign w:val="bottom"/>
            <w:gridSpan w:val="18"/>
          </w:tcPr>
          <w:p>
            <w:pPr>
              <w:spacing w:after="0"/>
              <w:rPr>
                <w:sz w:val="21"/>
                <w:szCs w:val="21"/>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gridSpan w:val="13"/>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Note 11 — Commitments and Contingencies</w:t>
              </w:r>
            </w:hyperlink>
          </w:p>
        </w:tc>
        <w:tc>
          <w:tcPr>
            <w:tcW w:w="6600" w:type="dxa"/>
            <w:vAlign w:val="bottom"/>
            <w:gridSpan w:val="11"/>
          </w:tcPr>
          <w:p>
            <w:pPr>
              <w:spacing w:after="0"/>
              <w:rPr>
                <w:sz w:val="21"/>
                <w:szCs w:val="21"/>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gridSpan w:val="1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Note 12 — Income and Other Taxes</w:t>
              </w:r>
            </w:hyperlink>
          </w:p>
        </w:tc>
        <w:tc>
          <w:tcPr>
            <w:tcW w:w="6600" w:type="dxa"/>
            <w:vAlign w:val="bottom"/>
            <w:gridSpan w:val="11"/>
          </w:tcPr>
          <w:p>
            <w:pPr>
              <w:spacing w:after="0"/>
              <w:rPr>
                <w:sz w:val="21"/>
                <w:szCs w:val="21"/>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40" w:type="dxa"/>
            <w:vAlign w:val="bottom"/>
            <w:gridSpan w:val="2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Note 13 — Accumulated Other Comprehensive Income (Loss)</w:t>
              </w:r>
            </w:hyperlink>
          </w:p>
        </w:tc>
        <w:tc>
          <w:tcPr>
            <w:tcW w:w="1060" w:type="dxa"/>
            <w:vAlign w:val="bottom"/>
            <w:gridSpan w:val="4"/>
          </w:tcPr>
          <w:p>
            <w:pPr>
              <w:jc w:val="center"/>
              <w:ind w:left="79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00" w:type="dxa"/>
            <w:vAlign w:val="bottom"/>
            <w:gridSpan w:val="10"/>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Note 14 — Non-Controlling Interests</w:t>
              </w:r>
            </w:hyperlink>
          </w:p>
        </w:tc>
        <w:tc>
          <w:tcPr>
            <w:tcW w:w="1820" w:type="dxa"/>
            <w:vAlign w:val="bottom"/>
            <w:gridSpan w:val="7"/>
          </w:tcPr>
          <w:p>
            <w:pPr>
              <w:spacing w:after="0"/>
              <w:rPr>
                <w:sz w:val="21"/>
                <w:szCs w:val="21"/>
                <w:color w:val="auto"/>
              </w:rPr>
            </w:pPr>
          </w:p>
        </w:tc>
        <w:tc>
          <w:tcPr>
            <w:tcW w:w="5320" w:type="dxa"/>
            <w:vAlign w:val="bottom"/>
            <w:gridSpan w:val="7"/>
          </w:tcPr>
          <w:p>
            <w:pPr>
              <w:spacing w:after="0"/>
              <w:rPr>
                <w:sz w:val="21"/>
                <w:szCs w:val="21"/>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40" w:type="dxa"/>
            <w:vAlign w:val="bottom"/>
            <w:gridSpan w:val="2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Note 15 — Earnings (Loss) Per Share</w:t>
              </w:r>
            </w:hyperlink>
          </w:p>
        </w:tc>
        <w:tc>
          <w:tcPr>
            <w:tcW w:w="1060" w:type="dxa"/>
            <w:vAlign w:val="bottom"/>
            <w:gridSpan w:val="4"/>
          </w:tcPr>
          <w:p>
            <w:pPr>
              <w:jc w:val="center"/>
              <w:ind w:left="79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gridSpan w:val="4"/>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Note 16 — Capitalization</w:t>
              </w:r>
            </w:hyperlink>
          </w:p>
        </w:tc>
        <w:tc>
          <w:tcPr>
            <w:tcW w:w="860" w:type="dxa"/>
            <w:vAlign w:val="bottom"/>
            <w:gridSpan w:val="7"/>
          </w:tcPr>
          <w:p>
            <w:pPr>
              <w:spacing w:after="0"/>
              <w:rPr>
                <w:sz w:val="21"/>
                <w:szCs w:val="21"/>
                <w:color w:val="auto"/>
              </w:rPr>
            </w:pPr>
          </w:p>
        </w:tc>
        <w:tc>
          <w:tcPr>
            <w:tcW w:w="7120" w:type="dxa"/>
            <w:vAlign w:val="bottom"/>
            <w:gridSpan w:val="13"/>
          </w:tcPr>
          <w:p>
            <w:pPr>
              <w:spacing w:after="0"/>
              <w:rPr>
                <w:sz w:val="21"/>
                <w:szCs w:val="21"/>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7"/>
          </w:tcPr>
          <w:p>
            <w:pPr>
              <w:spacing w:after="0"/>
              <w:rPr>
                <w:rFonts w:ascii="Arial" w:cs="Arial" w:eastAsia="Arial" w:hAnsi="Arial"/>
                <w:sz w:val="18"/>
                <w:szCs w:val="18"/>
                <w:color w:val="0000EE"/>
                <w:w w:val="86"/>
              </w:rPr>
            </w:pPr>
            <w:hyperlink w:anchor="page53">
              <w:r>
                <w:rPr>
                  <w:rFonts w:ascii="Arial" w:cs="Arial" w:eastAsia="Arial" w:hAnsi="Arial"/>
                  <w:sz w:val="18"/>
                  <w:szCs w:val="18"/>
                  <w:color w:val="0000EE"/>
                  <w:w w:val="86"/>
                </w:rPr>
                <w:t>Note 17 — Redeemable Shares</w:t>
              </w:r>
            </w:hyperlink>
          </w:p>
        </w:tc>
        <w:tc>
          <w:tcPr>
            <w:tcW w:w="7580" w:type="dxa"/>
            <w:vAlign w:val="bottom"/>
            <w:gridSpan w:val="17"/>
          </w:tcPr>
          <w:p>
            <w:pPr>
              <w:spacing w:after="0"/>
              <w:rPr>
                <w:sz w:val="21"/>
                <w:szCs w:val="21"/>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7"/>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gridSpan w:val="8"/>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Note 18 — Segment Information</w:t>
              </w:r>
            </w:hyperlink>
          </w:p>
        </w:tc>
        <w:tc>
          <w:tcPr>
            <w:tcW w:w="7460" w:type="dxa"/>
            <w:vAlign w:val="bottom"/>
            <w:gridSpan w:val="16"/>
          </w:tcPr>
          <w:p>
            <w:pPr>
              <w:spacing w:after="0"/>
              <w:rPr>
                <w:sz w:val="21"/>
                <w:szCs w:val="21"/>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7"/>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40" w:type="dxa"/>
            <w:vAlign w:val="bottom"/>
            <w:gridSpan w:val="2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Note 19 — Supplemental Consolidated Financial Information</w:t>
              </w:r>
            </w:hyperlink>
          </w:p>
        </w:tc>
        <w:tc>
          <w:tcPr>
            <w:tcW w:w="1060" w:type="dxa"/>
            <w:vAlign w:val="bottom"/>
            <w:gridSpan w:val="4"/>
          </w:tcPr>
          <w:p>
            <w:pPr>
              <w:jc w:val="center"/>
              <w:ind w:left="790"/>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57</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right w:val="single" w:sz="8" w:color="0000EE"/>
            </w:tcBorders>
            <w:gridSpan w:val="7"/>
            <w:shd w:val="clear" w:color="auto" w:fill="0000EE"/>
          </w:tcPr>
          <w:p>
            <w:pPr>
              <w:spacing w:after="0" w:line="20" w:lineRule="exact"/>
              <w:rPr>
                <w:sz w:val="1"/>
                <w:szCs w:val="1"/>
                <w:color w:val="auto"/>
              </w:rPr>
            </w:pPr>
          </w:p>
        </w:tc>
        <w:tc>
          <w:tcPr>
            <w:tcW w:w="2180" w:type="dxa"/>
            <w:vAlign w:val="bottom"/>
            <w:tcBorders>
              <w:left w:val="single" w:sz="8" w:color="0000EE"/>
            </w:tcBorders>
            <w:gridSpan w:val="9"/>
            <w:shd w:val="clear" w:color="auto" w:fill="0000EE"/>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40" w:type="dxa"/>
            <w:vAlign w:val="bottom"/>
            <w:gridSpan w:val="1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Note 20 — Subsequent Events</w:t>
              </w:r>
            </w:hyperlink>
          </w:p>
        </w:tc>
        <w:tc>
          <w:tcPr>
            <w:tcW w:w="5400" w:type="dxa"/>
            <w:vAlign w:val="bottom"/>
            <w:gridSpan w:val="8"/>
          </w:tcPr>
          <w:p>
            <w:pPr>
              <w:spacing w:after="0"/>
              <w:rPr>
                <w:sz w:val="21"/>
                <w:szCs w:val="21"/>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58</w:t>
              </w:r>
            </w:hyperlink>
          </w:p>
        </w:tc>
        <w:tc>
          <w:tcPr>
            <w:tcW w:w="80" w:type="dxa"/>
            <w:vAlign w:val="bottom"/>
          </w:tcPr>
          <w:p>
            <w:pPr>
              <w:spacing w:after="0"/>
              <w:rPr>
                <w:sz w:val="21"/>
                <w:szCs w:val="21"/>
                <w:color w:val="auto"/>
              </w:rPr>
            </w:pPr>
          </w:p>
        </w:tc>
      </w:tr>
      <w:tr>
        <w:trPr>
          <w:trHeight w:val="939"/>
        </w:trPr>
        <w:tc>
          <w:tcPr>
            <w:tcW w:w="280" w:type="dxa"/>
            <w:vAlign w:val="bottom"/>
            <w:gridSpan w:val="2"/>
          </w:tcPr>
          <w:p>
            <w:pPr>
              <w:spacing w:after="0"/>
              <w:rPr>
                <w:sz w:val="24"/>
                <w:szCs w:val="24"/>
                <w:color w:val="auto"/>
              </w:rPr>
            </w:pPr>
          </w:p>
        </w:tc>
        <w:tc>
          <w:tcPr>
            <w:tcW w:w="2260" w:type="dxa"/>
            <w:vAlign w:val="bottom"/>
            <w:tcBorders>
              <w:top w:val="single" w:sz="8" w:color="0000EE"/>
            </w:tcBorders>
            <w:gridSpan w:val="7"/>
          </w:tcPr>
          <w:p>
            <w:pPr>
              <w:spacing w:after="0"/>
              <w:rPr>
                <w:sz w:val="24"/>
                <w:szCs w:val="24"/>
                <w:color w:val="auto"/>
              </w:rPr>
            </w:pPr>
          </w:p>
        </w:tc>
        <w:tc>
          <w:tcPr>
            <w:tcW w:w="4600" w:type="dxa"/>
            <w:vAlign w:val="bottom"/>
            <w:gridSpan w:val="12"/>
          </w:tcPr>
          <w:p>
            <w:pPr>
              <w:jc w:val="center"/>
              <w:ind w:left="1650"/>
              <w:spacing w:after="0"/>
              <w:rPr>
                <w:sz w:val="20"/>
                <w:szCs w:val="20"/>
                <w:color w:val="auto"/>
              </w:rPr>
            </w:pPr>
            <w:r>
              <w:rPr>
                <w:rFonts w:ascii="Arial" w:cs="Arial" w:eastAsia="Arial" w:hAnsi="Arial"/>
                <w:sz w:val="18"/>
                <w:szCs w:val="18"/>
                <w:color w:val="auto"/>
                <w:w w:val="99"/>
              </w:rPr>
              <w:t>4</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60"/>
          </w:cols>
          <w:pgMar w:left="240" w:top="108" w:right="3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380" w:type="dxa"/>
            <w:vAlign w:val="bottom"/>
          </w:tcPr>
          <w:p>
            <w:pPr>
              <w:jc w:val="center"/>
              <w:ind w:left="2390"/>
              <w:spacing w:after="0"/>
              <w:rPr>
                <w:sz w:val="20"/>
                <w:szCs w:val="20"/>
                <w:color w:val="auto"/>
              </w:rPr>
            </w:pPr>
            <w:r>
              <w:rPr>
                <w:rFonts w:ascii="Arial" w:cs="Arial" w:eastAsia="Arial" w:hAnsi="Arial"/>
                <w:sz w:val="18"/>
                <w:szCs w:val="18"/>
                <w:b w:val="1"/>
                <w:bCs w:val="1"/>
                <w:color w:val="auto"/>
              </w:rPr>
              <w:t>DELL TECHNOLOGIES INC.</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752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rPr>
              <w:t>CONDENSED CONSOLIDATED STATEMENTS OF FINANCIAL POSITION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6380" w:type="dxa"/>
            <w:vAlign w:val="bottom"/>
          </w:tcPr>
          <w:p>
            <w:pPr>
              <w:jc w:val="center"/>
              <w:ind w:left="2390"/>
              <w:spacing w:after="0"/>
              <w:rPr>
                <w:sz w:val="20"/>
                <w:szCs w:val="20"/>
                <w:color w:val="auto"/>
              </w:rPr>
            </w:pPr>
            <w:r>
              <w:rPr>
                <w:rFonts w:ascii="Arial" w:cs="Arial" w:eastAsia="Arial" w:hAnsi="Arial"/>
                <w:sz w:val="18"/>
                <w:szCs w:val="18"/>
                <w:color w:val="auto"/>
                <w:w w:val="94"/>
              </w:rPr>
              <w:t>(in millions; unaudited)</w:t>
            </w: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940" w:type="dxa"/>
            <w:vAlign w:val="bottom"/>
            <w:gridSpan w:val="3"/>
          </w:tcPr>
          <w:p>
            <w:pPr>
              <w:ind w:left="440"/>
              <w:spacing w:after="0"/>
              <w:rPr>
                <w:sz w:val="20"/>
                <w:szCs w:val="20"/>
                <w:color w:val="auto"/>
              </w:rPr>
            </w:pPr>
            <w:r>
              <w:rPr>
                <w:rFonts w:ascii="Arial" w:cs="Arial" w:eastAsia="Arial" w:hAnsi="Arial"/>
                <w:sz w:val="18"/>
                <w:szCs w:val="18"/>
                <w:b w:val="1"/>
                <w:bCs w:val="1"/>
                <w:color w:val="auto"/>
              </w:rPr>
              <w:t>May 4, 2018</w:t>
            </w:r>
          </w:p>
        </w:tc>
        <w:tc>
          <w:tcPr>
            <w:tcW w:w="18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vMerge w:val="restart"/>
          </w:tcPr>
          <w:p>
            <w:pPr>
              <w:jc w:val="center"/>
              <w:ind w:left="2390"/>
              <w:spacing w:after="0"/>
              <w:rPr>
                <w:sz w:val="20"/>
                <w:szCs w:val="20"/>
                <w:color w:val="auto"/>
              </w:rPr>
            </w:pPr>
            <w:r>
              <w:rPr>
                <w:rFonts w:ascii="Arial" w:cs="Arial" w:eastAsia="Arial" w:hAnsi="Arial"/>
                <w:sz w:val="18"/>
                <w:szCs w:val="18"/>
                <w:b w:val="1"/>
                <w:bCs w:val="1"/>
                <w:color w:val="auto"/>
                <w:w w:val="91"/>
              </w:rPr>
              <w:t>ASSETS</w:t>
            </w: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15,324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13,942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Accounts receivable, net</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10,561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11,721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financing receivables, net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Inventories, net</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2,933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37"/>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Total current assets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41,231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40,328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Long-term investments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3,943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financing receivables, net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39,656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39,920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28,265</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2,548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123,217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124,193</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20" w:lineRule="exact"/>
              <w:rPr>
                <w:sz w:val="1"/>
                <w:szCs w:val="1"/>
                <w:color w:val="auto"/>
              </w:rPr>
            </w:pPr>
          </w:p>
        </w:tc>
        <w:tc>
          <w:tcPr>
            <w:tcW w:w="6380" w:type="dxa"/>
            <w:vAlign w:val="bottom"/>
            <w:vMerge w:val="restart"/>
          </w:tcPr>
          <w:p>
            <w:pPr>
              <w:ind w:left="1380"/>
              <w:spacing w:after="0"/>
              <w:rPr>
                <w:sz w:val="20"/>
                <w:szCs w:val="20"/>
                <w:color w:val="auto"/>
              </w:rPr>
            </w:pPr>
            <w:r>
              <w:rPr>
                <w:rFonts w:ascii="Arial" w:cs="Arial" w:eastAsia="Arial" w:hAnsi="Arial"/>
                <w:sz w:val="18"/>
                <w:szCs w:val="18"/>
                <w:b w:val="1"/>
                <w:bCs w:val="1"/>
                <w:color w:val="auto"/>
                <w:w w:val="94"/>
              </w:rPr>
              <w:t>LIABILITIES, REDEEMABLE SHARES, AND STOCKHOLDERS’</w:t>
            </w: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280" w:type="dxa"/>
            <w:vAlign w:val="bottom"/>
            <w:vMerge w:val="continue"/>
          </w:tcPr>
          <w:p>
            <w:pPr>
              <w:spacing w:after="0"/>
              <w:rPr>
                <w:sz w:val="19"/>
                <w:szCs w:val="19"/>
                <w:color w:val="auto"/>
              </w:rPr>
            </w:pPr>
          </w:p>
        </w:tc>
        <w:tc>
          <w:tcPr>
            <w:tcW w:w="638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EQUITY</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Short-term debt</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7,133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18,334</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Accrued and other</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6,952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deferred revenue</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11,606</w:t>
            </w:r>
          </w:p>
        </w:tc>
        <w:tc>
          <w:tcPr>
            <w:tcW w:w="0" w:type="dxa"/>
            <w:vAlign w:val="bottom"/>
          </w:tcPr>
          <w:p>
            <w:pPr>
              <w:spacing w:after="0"/>
              <w:rPr>
                <w:sz w:val="1"/>
                <w:szCs w:val="1"/>
                <w:color w:val="auto"/>
              </w:rPr>
            </w:pPr>
          </w:p>
        </w:tc>
      </w:tr>
      <w:tr>
        <w:trPr>
          <w:trHeight w:val="237"/>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Total current liabilities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44,114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45,839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43,998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Long-term deferred revenue</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9,464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7,277</w:t>
            </w:r>
          </w:p>
        </w:tc>
        <w:tc>
          <w:tcPr>
            <w:tcW w:w="0" w:type="dxa"/>
            <w:vAlign w:val="bottom"/>
          </w:tcPr>
          <w:p>
            <w:pPr>
              <w:spacing w:after="0"/>
              <w:rPr>
                <w:sz w:val="1"/>
                <w:szCs w:val="1"/>
                <w:color w:val="auto"/>
              </w:rPr>
            </w:pPr>
          </w:p>
        </w:tc>
      </w:tr>
      <w:tr>
        <w:trPr>
          <w:trHeight w:val="237"/>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105,393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106,324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Redeemable shares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Common stock and capital in excess of $.01 par value (Note 16)</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19,521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19,889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Treasury stock at cost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Accumulated deficit</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Total Dell Technologies Inc. stockholders’ equity</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5,766</w:t>
            </w:r>
          </w:p>
        </w:tc>
        <w:tc>
          <w:tcPr>
            <w:tcW w:w="0" w:type="dxa"/>
            <w:vAlign w:val="bottom"/>
          </w:tcPr>
          <w:p>
            <w:pPr>
              <w:spacing w:after="0"/>
              <w:rPr>
                <w:sz w:val="1"/>
                <w:szCs w:val="1"/>
                <w:color w:val="auto"/>
              </w:rPr>
            </w:pPr>
          </w:p>
        </w:tc>
      </w:tr>
      <w:tr>
        <w:trPr>
          <w:trHeight w:val="237"/>
        </w:trPr>
        <w:tc>
          <w:tcPr>
            <w:tcW w:w="7660" w:type="dxa"/>
            <w:vAlign w:val="bottom"/>
            <w:gridSpan w:val="2"/>
          </w:tcPr>
          <w:p>
            <w:pPr>
              <w:ind w:left="600"/>
              <w:spacing w:after="0"/>
              <w:rPr>
                <w:sz w:val="20"/>
                <w:szCs w:val="20"/>
                <w:color w:val="auto"/>
              </w:rPr>
            </w:pPr>
            <w:r>
              <w:rPr>
                <w:rFonts w:ascii="Arial" w:cs="Arial" w:eastAsia="Arial" w:hAnsi="Arial"/>
                <w:sz w:val="18"/>
                <w:szCs w:val="18"/>
                <w:color w:val="auto"/>
              </w:rPr>
              <w:t>Total stockholders' equity</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16,980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17,485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liabilities, redeemable shares, and stockholders' equity</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123,217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124,193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8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506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rPr>
              <w:t>DELL TECHNOLOGIES INC.</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72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99"/>
              </w:rPr>
              <w:t>CONDENSED CONSOLIDATED STATEMENTS OF INCOME (LOSS)</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0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(in millions, except per share amounts; unaudited)</w:t>
            </w: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378"/>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1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4, 2018</w:t>
            </w:r>
          </w:p>
        </w:tc>
        <w:tc>
          <w:tcPr>
            <w:tcW w:w="280" w:type="dxa"/>
            <w:vAlign w:val="bottom"/>
          </w:tcPr>
          <w:p>
            <w:pPr>
              <w:spacing w:after="0"/>
              <w:rPr>
                <w:sz w:val="20"/>
                <w:szCs w:val="20"/>
                <w:color w:val="auto"/>
              </w:rPr>
            </w:pP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5, 2017</w:t>
            </w:r>
          </w:p>
        </w:tc>
      </w:tr>
      <w:tr>
        <w:trPr>
          <w:trHeight w:val="27"/>
        </w:trPr>
        <w:tc>
          <w:tcPr>
            <w:tcW w:w="12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4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5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16,671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13,634</w:t>
            </w:r>
          </w:p>
        </w:tc>
      </w:tr>
      <w:tr>
        <w:trPr>
          <w:trHeight w:val="27"/>
        </w:trPr>
        <w:tc>
          <w:tcPr>
            <w:tcW w:w="1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47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4,366</w:t>
            </w:r>
          </w:p>
        </w:tc>
      </w:tr>
      <w:tr>
        <w:trPr>
          <w:trHeight w:val="237"/>
        </w:trPr>
        <w:tc>
          <w:tcPr>
            <w:tcW w:w="2880" w:type="dxa"/>
            <w:vAlign w:val="bottom"/>
            <w:gridSpan w:val="2"/>
          </w:tcPr>
          <w:p>
            <w:pPr>
              <w:ind w:left="500"/>
              <w:spacing w:after="0"/>
              <w:rPr>
                <w:sz w:val="20"/>
                <w:szCs w:val="20"/>
                <w:color w:val="auto"/>
              </w:rPr>
            </w:pPr>
            <w:r>
              <w:rPr>
                <w:rFonts w:ascii="Arial" w:cs="Arial" w:eastAsia="Arial" w:hAnsi="Arial"/>
                <w:sz w:val="18"/>
                <w:szCs w:val="18"/>
                <w:color w:val="auto"/>
              </w:rPr>
              <w:t>Total net revenue</w:t>
            </w:r>
          </w:p>
        </w:tc>
        <w:tc>
          <w:tcPr>
            <w:tcW w:w="47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21,356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18,000</w:t>
            </w:r>
          </w:p>
        </w:tc>
      </w:tr>
      <w:tr>
        <w:trPr>
          <w:trHeight w:val="27"/>
        </w:trPr>
        <w:tc>
          <w:tcPr>
            <w:tcW w:w="12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Cost of net revenue:</w:t>
            </w:r>
          </w:p>
        </w:tc>
        <w:tc>
          <w:tcPr>
            <w:tcW w:w="4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4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13,606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11,823</w:t>
            </w:r>
          </w:p>
        </w:tc>
      </w:tr>
      <w:tr>
        <w:trPr>
          <w:trHeight w:val="27"/>
        </w:trPr>
        <w:tc>
          <w:tcPr>
            <w:tcW w:w="1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47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w:t>
            </w:r>
          </w:p>
        </w:tc>
      </w:tr>
      <w:tr>
        <w:trPr>
          <w:trHeight w:val="237"/>
        </w:trPr>
        <w:tc>
          <w:tcPr>
            <w:tcW w:w="2880" w:type="dxa"/>
            <w:vAlign w:val="bottom"/>
            <w:gridSpan w:val="2"/>
          </w:tcPr>
          <w:p>
            <w:pPr>
              <w:ind w:left="500"/>
              <w:spacing w:after="0"/>
              <w:rPr>
                <w:sz w:val="20"/>
                <w:szCs w:val="20"/>
                <w:color w:val="auto"/>
              </w:rPr>
            </w:pPr>
            <w:r>
              <w:rPr>
                <w:rFonts w:ascii="Arial" w:cs="Arial" w:eastAsia="Arial" w:hAnsi="Arial"/>
                <w:sz w:val="18"/>
                <w:szCs w:val="18"/>
                <w:color w:val="auto"/>
              </w:rPr>
              <w:t>Total cost of net revenue</w:t>
            </w:r>
          </w:p>
        </w:tc>
        <w:tc>
          <w:tcPr>
            <w:tcW w:w="47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15,478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13,543</w:t>
            </w:r>
          </w:p>
        </w:tc>
      </w:tr>
      <w:tr>
        <w:trPr>
          <w:trHeight w:val="27"/>
        </w:trPr>
        <w:tc>
          <w:tcPr>
            <w:tcW w:w="12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47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4,457</w:t>
            </w: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8"/>
                <w:szCs w:val="18"/>
                <w:i w:val="1"/>
                <w:iCs w:val="1"/>
                <w:color w:val="auto"/>
              </w:rPr>
              <w:t>Operating expenses:</w:t>
            </w:r>
          </w:p>
        </w:tc>
        <w:tc>
          <w:tcPr>
            <w:tcW w:w="47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2"/>
              </w:rPr>
              <w:t>Selling, general, and administrative</w:t>
            </w:r>
          </w:p>
        </w:tc>
        <w:tc>
          <w:tcPr>
            <w:tcW w:w="4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4,596</w:t>
            </w:r>
          </w:p>
        </w:tc>
      </w:tr>
      <w:tr>
        <w:trPr>
          <w:trHeight w:val="243"/>
        </w:trPr>
        <w:tc>
          <w:tcPr>
            <w:tcW w:w="288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4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1,133</w:t>
            </w:r>
          </w:p>
        </w:tc>
      </w:tr>
      <w:tr>
        <w:trPr>
          <w:trHeight w:val="27"/>
        </w:trPr>
        <w:tc>
          <w:tcPr>
            <w:tcW w:w="12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4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5,729</w:t>
            </w:r>
          </w:p>
        </w:tc>
      </w:tr>
      <w:tr>
        <w:trPr>
          <w:trHeight w:val="20"/>
        </w:trPr>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280"/>
              <w:spacing w:after="0"/>
              <w:rPr>
                <w:sz w:val="20"/>
                <w:szCs w:val="20"/>
                <w:color w:val="auto"/>
              </w:rPr>
            </w:pPr>
            <w:r>
              <w:rPr>
                <w:rFonts w:ascii="Arial" w:cs="Arial" w:eastAsia="Arial" w:hAnsi="Arial"/>
                <w:sz w:val="18"/>
                <w:szCs w:val="18"/>
                <w:color w:val="auto"/>
              </w:rPr>
              <w:t>Operating loss</w:t>
            </w: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(1,272)</w:t>
            </w:r>
          </w:p>
        </w:tc>
      </w:tr>
      <w:tr>
        <w:trPr>
          <w:trHeight w:val="27"/>
        </w:trPr>
        <w:tc>
          <w:tcPr>
            <w:tcW w:w="7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net</w:t>
            </w:r>
          </w:p>
        </w:tc>
        <w:tc>
          <w:tcPr>
            <w:tcW w:w="7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Loss before income taxes</w:t>
            </w:r>
          </w:p>
        </w:tc>
        <w:tc>
          <w:tcPr>
            <w:tcW w:w="7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w:t>
            </w:r>
          </w:p>
        </w:tc>
      </w:tr>
      <w:tr>
        <w:trPr>
          <w:trHeight w:val="27"/>
        </w:trPr>
        <w:tc>
          <w:tcPr>
            <w:tcW w:w="7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7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7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w:t>
            </w:r>
          </w:p>
        </w:tc>
      </w:tr>
      <w:tr>
        <w:trPr>
          <w:trHeight w:val="27"/>
        </w:trPr>
        <w:tc>
          <w:tcPr>
            <w:tcW w:w="7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7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97"/>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loss attributable to Dell Technologies Inc.</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w:t>
            </w:r>
          </w:p>
        </w:tc>
      </w:tr>
      <w:tr>
        <w:trPr>
          <w:trHeight w:val="311"/>
        </w:trPr>
        <w:tc>
          <w:tcPr>
            <w:tcW w:w="76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i w:val="1"/>
                <w:iCs w:val="1"/>
                <w:color w:val="auto"/>
              </w:rPr>
              <w:t>Earnings (loss) per share attributable to Dell Technologies Inc. - basic:</w:t>
            </w: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Class V Common Stock - basic</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DHI Group - basic</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7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76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i w:val="1"/>
                <w:iCs w:val="1"/>
                <w:color w:val="auto"/>
              </w:rPr>
              <w:t>Earnings (loss) per share attributable to Dell Technologies Inc. - diluted:</w:t>
            </w: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Class V Common Stock - diluted</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0.59</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DHI Group - diluted</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rPr>
              <w:t>DELL TECHNOLOGIES INC.</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844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color w:val="auto"/>
                <w:w w:val="94"/>
              </w:rPr>
              <w:t>(in millions; unaudited)</w:t>
            </w: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78"/>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4, 2018</w:t>
            </w:r>
          </w:p>
        </w:tc>
        <w:tc>
          <w:tcPr>
            <w:tcW w:w="24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May 5, 2017</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r>
      <w:tr>
        <w:trPr>
          <w:trHeight w:val="324"/>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Other comprehensive income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Available-for-sale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500"/>
              <w:spacing w:after="0"/>
              <w:rPr>
                <w:sz w:val="20"/>
                <w:szCs w:val="20"/>
                <w:color w:val="auto"/>
              </w:rPr>
            </w:pPr>
            <w:r>
              <w:rPr>
                <w:rFonts w:ascii="Arial" w:cs="Arial" w:eastAsia="Arial" w:hAnsi="Arial"/>
                <w:sz w:val="18"/>
                <w:szCs w:val="18"/>
                <w:color w:val="auto"/>
              </w:rPr>
              <w:t>Change in unrealized gains (losses)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Reclassification adjustment for net (gains) losses realized in net loss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Net change in market value of investments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flow hedges: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500"/>
              <w:spacing w:after="0"/>
              <w:rPr>
                <w:sz w:val="20"/>
                <w:szCs w:val="20"/>
                <w:color w:val="auto"/>
              </w:rPr>
            </w:pPr>
            <w:r>
              <w:rPr>
                <w:rFonts w:ascii="Arial" w:cs="Arial" w:eastAsia="Arial" w:hAnsi="Arial"/>
                <w:sz w:val="18"/>
                <w:szCs w:val="18"/>
                <w:color w:val="auto"/>
              </w:rPr>
              <w:t>Change in unrealized gains (losses)</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Reclassification adjustment for net (gains) losses included in net loss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Net change in cash flow hedges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6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w w:val="96"/>
              </w:rPr>
              <w:t>Total other comprehensive income (loss), net of tax expense (benefit) of $(2) and $15, respectively</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Comprehensive loss,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37"/>
        </w:trPr>
        <w:tc>
          <w:tcPr>
            <w:tcW w:w="7900" w:type="dxa"/>
            <w:vAlign w:val="bottom"/>
            <w:gridSpan w:val="2"/>
          </w:tcPr>
          <w:p>
            <w:pPr>
              <w:ind w:left="500"/>
              <w:spacing w:after="0"/>
              <w:rPr>
                <w:sz w:val="20"/>
                <w:szCs w:val="20"/>
                <w:color w:val="auto"/>
              </w:rPr>
            </w:pPr>
            <w:r>
              <w:rPr>
                <w:rFonts w:ascii="Arial" w:cs="Arial" w:eastAsia="Arial" w:hAnsi="Arial"/>
                <w:sz w:val="18"/>
                <w:szCs w:val="18"/>
                <w:color w:val="auto"/>
              </w:rPr>
              <w:t>Less: Net income (loss) attributable to non-controlling interests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Comprehensive loss attributable to Dell Technologies Inc.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w:t>
            </w:r>
          </w:p>
        </w:tc>
      </w:tr>
      <w:tr>
        <w:trPr>
          <w:trHeight w:val="20"/>
        </w:trPr>
        <w:tc>
          <w:tcPr>
            <w:tcW w:w="12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continued on next page; 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4, 2018</w:t>
            </w:r>
          </w:p>
        </w:tc>
        <w:tc>
          <w:tcPr>
            <w:tcW w:w="24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May 5, 2017</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(1,203)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2,212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Net gain on sale of businesses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Provision for doubtful accounts — including financing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effects from acquisitions and dispositions: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522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Financing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665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Accrued and other liabilities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cash from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Purchases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Maturities and sales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facilities, land,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Capitalized software development costs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Collections on purchased financing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Acquisition of businesses, net</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Divestitures of businesses,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Asset acquisitions,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dispositions, net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Change in cash from investing activities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rPr>
              <w:t>DELL TECHNOLOGIES INC.</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844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color w:val="auto"/>
                <w:w w:val="93"/>
              </w:rPr>
              <w:t>(continued; in millions; unaudited)</w:t>
            </w: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594"/>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4, 2018</w:t>
            </w:r>
          </w:p>
        </w:tc>
        <w:tc>
          <w:tcPr>
            <w:tcW w:w="24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May 5, 2017</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Share repurchases for tax withholdings of equity awards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common stock of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Repurchases of DHI Group Common Stock</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Repurchases of Class V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43"/>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Payments for debt issuance costs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debt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w:t>
            </w:r>
          </w:p>
        </w:tc>
      </w:tr>
      <w:tr>
        <w:trPr>
          <w:trHeight w:val="243"/>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Repayments of debt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(3,116)</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Change in cash from financing activities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Change in cash, cash equivalents, and restricted cash</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9,832</w:t>
            </w:r>
          </w:p>
        </w:tc>
      </w:tr>
      <w:tr>
        <w:trPr>
          <w:trHeight w:val="257"/>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Cash, cash equivalents, and restricted cash at end of the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15,845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9,975</w:t>
            </w:r>
          </w:p>
        </w:tc>
      </w:tr>
      <w:tr>
        <w:trPr>
          <w:trHeight w:val="20"/>
        </w:trPr>
        <w:tc>
          <w:tcPr>
            <w:tcW w:w="12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8"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continued on next page; 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700" w:type="dxa"/>
            <w:vAlign w:val="bottom"/>
            <w:gridSpan w:val="9"/>
          </w:tcPr>
          <w:p>
            <w:pPr>
              <w:ind w:left="40"/>
              <w:spacing w:after="0"/>
              <w:rPr>
                <w:sz w:val="20"/>
                <w:szCs w:val="20"/>
                <w:color w:val="auto"/>
              </w:rPr>
            </w:pPr>
            <w:r>
              <w:rPr>
                <w:rFonts w:ascii="Arial" w:cs="Arial" w:eastAsia="Arial" w:hAnsi="Arial"/>
                <w:sz w:val="14"/>
                <w:szCs w:val="14"/>
                <w:b w:val="1"/>
                <w:bCs w:val="1"/>
                <w:color w:val="auto"/>
                <w:w w:val="89"/>
              </w:rPr>
              <w:t>Common Stock and Capital in Excess of Par</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249"/>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Treasury Stock</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Class V Common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Class V Common</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80" w:type="dxa"/>
            <w:vAlign w:val="bottom"/>
          </w:tcPr>
          <w:p>
            <w:pPr>
              <w:spacing w:after="0"/>
              <w:rPr>
                <w:sz w:val="15"/>
                <w:szCs w:val="15"/>
                <w:color w:val="auto"/>
              </w:rPr>
            </w:pPr>
          </w:p>
        </w:tc>
        <w:tc>
          <w:tcPr>
            <w:tcW w:w="1320" w:type="dxa"/>
            <w:vAlign w:val="bottom"/>
            <w:gridSpan w:val="4"/>
          </w:tcPr>
          <w:p>
            <w:pPr>
              <w:ind w:left="280"/>
              <w:spacing w:after="0"/>
              <w:rPr>
                <w:sz w:val="20"/>
                <w:szCs w:val="20"/>
                <w:color w:val="auto"/>
              </w:rPr>
            </w:pPr>
            <w:r>
              <w:rPr>
                <w:rFonts w:ascii="Arial" w:cs="Arial" w:eastAsia="Arial" w:hAnsi="Arial"/>
                <w:sz w:val="14"/>
                <w:szCs w:val="14"/>
                <w:b w:val="1"/>
                <w:bCs w:val="1"/>
                <w:color w:val="auto"/>
              </w:rPr>
              <w:t>DHI Group</w:t>
            </w:r>
          </w:p>
        </w:tc>
        <w:tc>
          <w:tcPr>
            <w:tcW w:w="480" w:type="dxa"/>
            <w:vAlign w:val="bottom"/>
          </w:tcPr>
          <w:p>
            <w:pPr>
              <w:spacing w:after="0"/>
              <w:rPr>
                <w:sz w:val="15"/>
                <w:szCs w:val="15"/>
                <w:color w:val="auto"/>
              </w:rPr>
            </w:pPr>
          </w:p>
        </w:tc>
        <w:tc>
          <w:tcPr>
            <w:tcW w:w="9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Stock</w:t>
            </w:r>
          </w:p>
        </w:tc>
        <w:tc>
          <w:tcPr>
            <w:tcW w:w="1340" w:type="dxa"/>
            <w:vAlign w:val="bottom"/>
            <w:gridSpan w:val="5"/>
          </w:tcPr>
          <w:p>
            <w:pPr>
              <w:ind w:left="300"/>
              <w:spacing w:after="0"/>
              <w:rPr>
                <w:sz w:val="20"/>
                <w:szCs w:val="20"/>
                <w:color w:val="auto"/>
              </w:rPr>
            </w:pPr>
            <w:r>
              <w:rPr>
                <w:rFonts w:ascii="Arial" w:cs="Arial" w:eastAsia="Arial" w:hAnsi="Arial"/>
                <w:sz w:val="14"/>
                <w:szCs w:val="14"/>
                <w:b w:val="1"/>
                <w:bCs w:val="1"/>
                <w:color w:val="auto"/>
              </w:rPr>
              <w:t>DHI Group</w:t>
            </w:r>
          </w:p>
        </w:tc>
        <w:tc>
          <w:tcPr>
            <w:tcW w:w="460" w:type="dxa"/>
            <w:vAlign w:val="bottom"/>
          </w:tcPr>
          <w:p>
            <w:pPr>
              <w:spacing w:after="0"/>
              <w:rPr>
                <w:sz w:val="15"/>
                <w:szCs w:val="15"/>
                <w:color w:val="auto"/>
              </w:rPr>
            </w:pPr>
          </w:p>
        </w:tc>
        <w:tc>
          <w:tcPr>
            <w:tcW w:w="9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Dell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Technologies</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680" w:type="dxa"/>
            <w:vAlign w:val="bottom"/>
          </w:tcPr>
          <w:p>
            <w:pPr>
              <w:jc w:val="right"/>
              <w:ind w:right="209"/>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6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Issued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Issued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Controlling</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82"/>
        </w:trPr>
        <w:tc>
          <w:tcPr>
            <w:tcW w:w="138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Income/(Loss)</w:t>
            </w:r>
          </w:p>
        </w:tc>
        <w:tc>
          <w:tcPr>
            <w:tcW w:w="16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Interests</w:t>
            </w:r>
          </w:p>
        </w:tc>
        <w:tc>
          <w:tcPr>
            <w:tcW w:w="180" w:type="dxa"/>
            <w:vAlign w:val="bottom"/>
          </w:tcPr>
          <w:p>
            <w:pPr>
              <w:spacing w:after="0"/>
              <w:rPr>
                <w:sz w:val="15"/>
                <w:szCs w:val="15"/>
                <w:color w:val="auto"/>
              </w:rPr>
            </w:pPr>
          </w:p>
        </w:tc>
        <w:tc>
          <w:tcPr>
            <w:tcW w:w="680" w:type="dxa"/>
            <w:vAlign w:val="bottom"/>
          </w:tcPr>
          <w:p>
            <w:pPr>
              <w:jc w:val="right"/>
              <w:ind w:right="16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39"/>
        </w:trPr>
        <w:tc>
          <w:tcPr>
            <w:tcW w:w="138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February 2, 2018</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89"/>
              </w:rPr>
              <w:t>$ 9,848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8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$ 10,041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(1,424)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11,719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17,485</w:t>
            </w:r>
          </w:p>
        </w:tc>
        <w:tc>
          <w:tcPr>
            <w:tcW w:w="0" w:type="dxa"/>
            <w:vAlign w:val="bottom"/>
          </w:tcPr>
          <w:p>
            <w:pPr>
              <w:spacing w:after="0"/>
              <w:rPr>
                <w:sz w:val="1"/>
                <w:szCs w:val="1"/>
                <w:color w:val="auto"/>
              </w:rPr>
            </w:pPr>
          </w:p>
        </w:tc>
      </w:tr>
      <w:tr>
        <w:trPr>
          <w:trHeight w:val="157"/>
        </w:trPr>
        <w:tc>
          <w:tcPr>
            <w:tcW w:w="1380" w:type="dxa"/>
            <w:vAlign w:val="bottom"/>
          </w:tcPr>
          <w:p>
            <w:pPr>
              <w:ind w:left="180"/>
              <w:spacing w:after="0" w:line="157" w:lineRule="exact"/>
              <w:rPr>
                <w:sz w:val="20"/>
                <w:szCs w:val="20"/>
                <w:color w:val="auto"/>
              </w:rPr>
            </w:pPr>
            <w:r>
              <w:rPr>
                <w:rFonts w:ascii="Arial" w:cs="Arial" w:eastAsia="Arial" w:hAnsi="Arial"/>
                <w:sz w:val="14"/>
                <w:szCs w:val="14"/>
                <w:color w:val="auto"/>
              </w:rPr>
              <w:t>Adjustment for</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adoption 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accounting</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80" w:type="dxa"/>
            <w:vAlign w:val="bottom"/>
          </w:tcPr>
          <w:p>
            <w:pPr>
              <w:ind w:left="180"/>
              <w:spacing w:after="0"/>
              <w:rPr>
                <w:sz w:val="20"/>
                <w:szCs w:val="20"/>
                <w:color w:val="auto"/>
              </w:rPr>
            </w:pPr>
            <w:r>
              <w:rPr>
                <w:rFonts w:ascii="Arial" w:cs="Arial" w:eastAsia="Arial" w:hAnsi="Arial"/>
                <w:sz w:val="14"/>
                <w:szCs w:val="14"/>
                <w:color w:val="auto"/>
              </w:rPr>
              <w:t>standards (Note 1)</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57"/>
        </w:trPr>
        <w:tc>
          <w:tcPr>
            <w:tcW w:w="1380" w:type="dxa"/>
            <w:vAlign w:val="bottom"/>
          </w:tcPr>
          <w:p>
            <w:pPr>
              <w:ind w:left="180"/>
              <w:spacing w:after="0" w:line="157" w:lineRule="exact"/>
              <w:rPr>
                <w:sz w:val="20"/>
                <w:szCs w:val="20"/>
                <w:color w:val="auto"/>
              </w:rPr>
            </w:pPr>
            <w:r>
              <w:rPr>
                <w:rFonts w:ascii="Arial" w:cs="Arial" w:eastAsia="Arial" w:hAnsi="Arial"/>
                <w:sz w:val="14"/>
                <w:szCs w:val="14"/>
                <w:color w:val="auto"/>
              </w:rPr>
              <w:t>Foreign currency</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translation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8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63"/>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net</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7"/>
        </w:trPr>
        <w:tc>
          <w:tcPr>
            <w:tcW w:w="1380" w:type="dxa"/>
            <w:vAlign w:val="bottom"/>
          </w:tcPr>
          <w:p>
            <w:pPr>
              <w:ind w:left="180"/>
              <w:spacing w:after="0" w:line="157" w:lineRule="exact"/>
              <w:rPr>
                <w:sz w:val="20"/>
                <w:szCs w:val="20"/>
                <w:color w:val="auto"/>
              </w:rPr>
            </w:pPr>
            <w:r>
              <w:rPr>
                <w:rFonts w:ascii="Arial" w:cs="Arial" w:eastAsia="Arial" w:hAnsi="Arial"/>
                <w:sz w:val="14"/>
                <w:szCs w:val="14"/>
                <w:color w:val="auto"/>
              </w:rPr>
              <w:t>Cash flow hedges,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80" w:type="dxa"/>
            <w:vAlign w:val="bottom"/>
          </w:tcPr>
          <w:p>
            <w:pPr>
              <w:ind w:left="180"/>
              <w:spacing w:after="0"/>
              <w:rPr>
                <w:sz w:val="20"/>
                <w:szCs w:val="20"/>
                <w:color w:val="auto"/>
              </w:rPr>
            </w:pPr>
            <w:r>
              <w:rPr>
                <w:rFonts w:ascii="Arial" w:cs="Arial" w:eastAsia="Arial" w:hAnsi="Arial"/>
                <w:sz w:val="14"/>
                <w:szCs w:val="14"/>
                <w:color w:val="auto"/>
              </w:rPr>
              <w:t>net change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63"/>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7"/>
        </w:trPr>
        <w:tc>
          <w:tcPr>
            <w:tcW w:w="1380" w:type="dxa"/>
            <w:vAlign w:val="bottom"/>
          </w:tcPr>
          <w:p>
            <w:pPr>
              <w:ind w:left="180"/>
              <w:spacing w:after="0" w:line="157" w:lineRule="exact"/>
              <w:rPr>
                <w:sz w:val="20"/>
                <w:szCs w:val="20"/>
                <w:color w:val="auto"/>
              </w:rPr>
            </w:pPr>
            <w:r>
              <w:rPr>
                <w:rFonts w:ascii="Arial" w:cs="Arial" w:eastAsia="Arial" w:hAnsi="Arial"/>
                <w:sz w:val="14"/>
                <w:szCs w:val="14"/>
                <w:color w:val="auto"/>
              </w:rPr>
              <w:t>Stock-based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80" w:type="dxa"/>
            <w:vAlign w:val="bottom"/>
          </w:tcPr>
          <w:p>
            <w:pPr>
              <w:ind w:left="180"/>
              <w:spacing w:after="0"/>
              <w:rPr>
                <w:sz w:val="20"/>
                <w:szCs w:val="20"/>
                <w:color w:val="auto"/>
              </w:rPr>
            </w:pPr>
            <w:r>
              <w:rPr>
                <w:rFonts w:ascii="Arial" w:cs="Arial" w:eastAsia="Arial" w:hAnsi="Arial"/>
                <w:sz w:val="14"/>
                <w:szCs w:val="14"/>
                <w:color w:val="auto"/>
              </w:rPr>
              <w:t>compensation</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63"/>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57"/>
        </w:trPr>
        <w:tc>
          <w:tcPr>
            <w:tcW w:w="1380" w:type="dxa"/>
            <w:vAlign w:val="bottom"/>
          </w:tcPr>
          <w:p>
            <w:pPr>
              <w:ind w:left="180"/>
              <w:spacing w:after="0" w:line="157" w:lineRule="exact"/>
              <w:rPr>
                <w:sz w:val="20"/>
                <w:szCs w:val="20"/>
                <w:color w:val="auto"/>
              </w:rPr>
            </w:pPr>
            <w:r>
              <w:rPr>
                <w:rFonts w:ascii="Arial" w:cs="Arial" w:eastAsia="Arial" w:hAnsi="Arial"/>
                <w:sz w:val="14"/>
                <w:szCs w:val="14"/>
                <w:color w:val="auto"/>
              </w:rPr>
              <w:t>Revaluation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80" w:type="dxa"/>
            <w:vAlign w:val="bottom"/>
          </w:tcPr>
          <w:p>
            <w:pPr>
              <w:ind w:left="180"/>
              <w:spacing w:after="0"/>
              <w:rPr>
                <w:sz w:val="20"/>
                <w:szCs w:val="20"/>
                <w:color w:val="auto"/>
              </w:rPr>
            </w:pPr>
            <w:r>
              <w:rPr>
                <w:rFonts w:ascii="Arial" w:cs="Arial" w:eastAsia="Arial" w:hAnsi="Arial"/>
                <w:sz w:val="14"/>
                <w:szCs w:val="14"/>
                <w:color w:val="auto"/>
                <w:w w:val="98"/>
              </w:rPr>
              <w:t>redeemable shares</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63"/>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from equity</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5"/>
              </w:rPr>
              <w:t>transactions of non-</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controlling interests</w:t>
            </w: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33"/>
        </w:trPr>
        <w:tc>
          <w:tcPr>
            <w:tcW w:w="138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Balances as of May</w:t>
            </w: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11"/>
                <w:szCs w:val="11"/>
                <w:color w:val="auto"/>
              </w:rPr>
            </w:pP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w w:val="89"/>
              </w:rPr>
              <w:t>$ 9,480</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223</w:t>
            </w:r>
          </w:p>
        </w:tc>
        <w:tc>
          <w:tcPr>
            <w:tcW w:w="80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$ 10,041</w:t>
            </w:r>
          </w:p>
        </w:tc>
        <w:tc>
          <w:tcPr>
            <w:tcW w:w="100" w:type="dxa"/>
            <w:vAlign w:val="bottom"/>
          </w:tcPr>
          <w:p>
            <w:pPr>
              <w:spacing w:after="0"/>
              <w:rPr>
                <w:sz w:val="11"/>
                <w:szCs w:val="11"/>
                <w:color w:val="auto"/>
              </w:rPr>
            </w:pP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color w:val="auto"/>
              </w:rPr>
              <w:t>$ (1,424)</w:t>
            </w:r>
          </w:p>
        </w:tc>
        <w:tc>
          <w:tcPr>
            <w:tcW w:w="12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(7,438)</w:t>
            </w:r>
          </w:p>
        </w:tc>
        <w:tc>
          <w:tcPr>
            <w:tcW w:w="100" w:type="dxa"/>
            <w:vAlign w:val="bottom"/>
          </w:tcPr>
          <w:p>
            <w:pPr>
              <w:spacing w:after="0"/>
              <w:rPr>
                <w:sz w:val="11"/>
                <w:szCs w:val="11"/>
                <w:color w:val="auto"/>
              </w:rPr>
            </w:pPr>
          </w:p>
        </w:tc>
        <w:tc>
          <w:tcPr>
            <w:tcW w:w="20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10,485</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6,495</w:t>
            </w:r>
          </w:p>
        </w:tc>
        <w:tc>
          <w:tcPr>
            <w:tcW w:w="100" w:type="dxa"/>
            <w:vAlign w:val="bottom"/>
          </w:tcPr>
          <w:p>
            <w:pPr>
              <w:spacing w:after="0"/>
              <w:rPr>
                <w:sz w:val="11"/>
                <w:szCs w:val="11"/>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16,980</w:t>
            </w:r>
          </w:p>
        </w:tc>
        <w:tc>
          <w:tcPr>
            <w:tcW w:w="0" w:type="dxa"/>
            <w:vAlign w:val="bottom"/>
          </w:tcPr>
          <w:p>
            <w:pPr>
              <w:spacing w:after="0"/>
              <w:rPr>
                <w:sz w:val="1"/>
                <w:szCs w:val="1"/>
                <w:color w:val="auto"/>
              </w:rPr>
            </w:pPr>
          </w:p>
        </w:tc>
      </w:tr>
      <w:tr>
        <w:trPr>
          <w:trHeight w:val="185"/>
        </w:trPr>
        <w:tc>
          <w:tcPr>
            <w:tcW w:w="1380" w:type="dxa"/>
            <w:vAlign w:val="bottom"/>
          </w:tcPr>
          <w:p>
            <w:pPr>
              <w:ind w:left="40"/>
              <w:spacing w:after="0"/>
              <w:rPr>
                <w:sz w:val="20"/>
                <w:szCs w:val="20"/>
                <w:color w:val="auto"/>
              </w:rPr>
            </w:pPr>
            <w:r>
              <w:rPr>
                <w:rFonts w:ascii="Arial" w:cs="Arial" w:eastAsia="Arial" w:hAnsi="Arial"/>
                <w:sz w:val="14"/>
                <w:szCs w:val="14"/>
                <w:b w:val="1"/>
                <w:bCs w:val="1"/>
                <w:color w:val="auto"/>
              </w:rPr>
              <w:t>4, 2018</w:t>
            </w: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in millions; 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2760" w:type="dxa"/>
            <w:vAlign w:val="bottom"/>
            <w:gridSpan w:val="9"/>
          </w:tcPr>
          <w:p>
            <w:pPr>
              <w:ind w:left="60"/>
              <w:spacing w:after="0"/>
              <w:rPr>
                <w:sz w:val="20"/>
                <w:szCs w:val="20"/>
                <w:color w:val="auto"/>
              </w:rPr>
            </w:pPr>
            <w:r>
              <w:rPr>
                <w:rFonts w:ascii="Arial" w:cs="Arial" w:eastAsia="Arial" w:hAnsi="Arial"/>
                <w:sz w:val="14"/>
                <w:szCs w:val="14"/>
                <w:b w:val="1"/>
                <w:bCs w:val="1"/>
                <w:color w:val="auto"/>
                <w:w w:val="91"/>
              </w:rPr>
              <w:t>Common Stock and Capital in Excess of Par</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Treasury Stock</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Class V Common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Class V Common</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380" w:type="dxa"/>
            <w:vAlign w:val="bottom"/>
            <w:gridSpan w:val="4"/>
          </w:tcPr>
          <w:p>
            <w:pPr>
              <w:ind w:left="320"/>
              <w:spacing w:after="0"/>
              <w:rPr>
                <w:sz w:val="20"/>
                <w:szCs w:val="20"/>
                <w:color w:val="auto"/>
              </w:rPr>
            </w:pPr>
            <w:r>
              <w:rPr>
                <w:rFonts w:ascii="Arial" w:cs="Arial" w:eastAsia="Arial" w:hAnsi="Arial"/>
                <w:sz w:val="14"/>
                <w:szCs w:val="14"/>
                <w:b w:val="1"/>
                <w:bCs w:val="1"/>
                <w:color w:val="auto"/>
              </w:rPr>
              <w:t>DHI Group</w:t>
            </w:r>
          </w:p>
        </w:tc>
        <w:tc>
          <w:tcPr>
            <w:tcW w:w="480" w:type="dxa"/>
            <w:vAlign w:val="bottom"/>
          </w:tcPr>
          <w:p>
            <w:pPr>
              <w:spacing w:after="0"/>
              <w:rPr>
                <w:sz w:val="15"/>
                <w:szCs w:val="15"/>
                <w:color w:val="auto"/>
              </w:rPr>
            </w:pPr>
          </w:p>
        </w:tc>
        <w:tc>
          <w:tcPr>
            <w:tcW w:w="9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Stock</w:t>
            </w:r>
          </w:p>
        </w:tc>
        <w:tc>
          <w:tcPr>
            <w:tcW w:w="1340" w:type="dxa"/>
            <w:vAlign w:val="bottom"/>
            <w:gridSpan w:val="5"/>
          </w:tcPr>
          <w:p>
            <w:pPr>
              <w:ind w:left="300"/>
              <w:spacing w:after="0"/>
              <w:rPr>
                <w:sz w:val="20"/>
                <w:szCs w:val="20"/>
                <w:color w:val="auto"/>
              </w:rPr>
            </w:pPr>
            <w:r>
              <w:rPr>
                <w:rFonts w:ascii="Arial" w:cs="Arial" w:eastAsia="Arial" w:hAnsi="Arial"/>
                <w:sz w:val="14"/>
                <w:szCs w:val="14"/>
                <w:b w:val="1"/>
                <w:bCs w:val="1"/>
                <w:color w:val="auto"/>
              </w:rPr>
              <w:t>DHI Group</w:t>
            </w:r>
          </w:p>
        </w:tc>
        <w:tc>
          <w:tcPr>
            <w:tcW w:w="460" w:type="dxa"/>
            <w:vAlign w:val="bottom"/>
          </w:tcPr>
          <w:p>
            <w:pPr>
              <w:spacing w:after="0"/>
              <w:rPr>
                <w:sz w:val="15"/>
                <w:szCs w:val="15"/>
                <w:color w:val="auto"/>
              </w:rPr>
            </w:pPr>
          </w:p>
        </w:tc>
        <w:tc>
          <w:tcPr>
            <w:tcW w:w="9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Dell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9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7"/>
              </w:rPr>
              <w:t>Technologies</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680" w:type="dxa"/>
            <w:vAlign w:val="bottom"/>
          </w:tcPr>
          <w:p>
            <w:pPr>
              <w:jc w:val="right"/>
              <w:ind w:right="209"/>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6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Issued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Issued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Controlling</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Income/(Loss)</w:t>
            </w:r>
          </w:p>
        </w:tc>
        <w:tc>
          <w:tcPr>
            <w:tcW w:w="16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Interests</w:t>
            </w:r>
          </w:p>
        </w:tc>
        <w:tc>
          <w:tcPr>
            <w:tcW w:w="180" w:type="dxa"/>
            <w:vAlign w:val="bottom"/>
          </w:tcPr>
          <w:p>
            <w:pPr>
              <w:spacing w:after="0"/>
              <w:rPr>
                <w:sz w:val="15"/>
                <w:szCs w:val="15"/>
                <w:color w:val="auto"/>
              </w:rPr>
            </w:pPr>
          </w:p>
        </w:tc>
        <w:tc>
          <w:tcPr>
            <w:tcW w:w="680" w:type="dxa"/>
            <w:vAlign w:val="bottom"/>
          </w:tcPr>
          <w:p>
            <w:pPr>
              <w:jc w:val="right"/>
              <w:ind w:right="16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39"/>
        </w:trPr>
        <w:tc>
          <w:tcPr>
            <w:tcW w:w="132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February 3, 2017</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1"/>
              </w:rPr>
              <w:t>$ 10,158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8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$ 10,041</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3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14,757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20,578</w:t>
            </w:r>
          </w:p>
        </w:tc>
        <w:tc>
          <w:tcPr>
            <w:tcW w:w="0" w:type="dxa"/>
            <w:vAlign w:val="bottom"/>
          </w:tcPr>
          <w:p>
            <w:pPr>
              <w:spacing w:after="0"/>
              <w:rPr>
                <w:sz w:val="1"/>
                <w:szCs w:val="1"/>
                <w:color w:val="auto"/>
              </w:rPr>
            </w:pPr>
          </w:p>
        </w:tc>
      </w:tr>
      <w:tr>
        <w:trPr>
          <w:trHeight w:val="157"/>
        </w:trPr>
        <w:tc>
          <w:tcPr>
            <w:tcW w:w="1320" w:type="dxa"/>
            <w:vAlign w:val="bottom"/>
          </w:tcPr>
          <w:p>
            <w:pPr>
              <w:ind w:left="180"/>
              <w:spacing w:after="0" w:line="157" w:lineRule="exact"/>
              <w:rPr>
                <w:sz w:val="20"/>
                <w:szCs w:val="20"/>
                <w:color w:val="auto"/>
              </w:rPr>
            </w:pPr>
            <w:r>
              <w:rPr>
                <w:rFonts w:ascii="Arial" w:cs="Arial" w:eastAsia="Arial" w:hAnsi="Arial"/>
                <w:sz w:val="14"/>
                <w:szCs w:val="14"/>
                <w:color w:val="auto"/>
              </w:rPr>
              <w:t>Adjustment for</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adoption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accounting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tcPr>
          <w:p>
            <w:pPr>
              <w:ind w:left="180"/>
              <w:spacing w:after="0"/>
              <w:rPr>
                <w:sz w:val="20"/>
                <w:szCs w:val="20"/>
                <w:color w:val="auto"/>
              </w:rPr>
            </w:pPr>
            <w:r>
              <w:rPr>
                <w:rFonts w:ascii="Arial" w:cs="Arial" w:eastAsia="Arial" w:hAnsi="Arial"/>
                <w:sz w:val="14"/>
                <w:szCs w:val="14"/>
                <w:color w:val="auto"/>
              </w:rPr>
              <w:t>standard (Note 1)</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6"/>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157"/>
        </w:trPr>
        <w:tc>
          <w:tcPr>
            <w:tcW w:w="1320" w:type="dxa"/>
            <w:vAlign w:val="bottom"/>
          </w:tcPr>
          <w:p>
            <w:pPr>
              <w:ind w:left="180"/>
              <w:spacing w:after="0" w:line="157" w:lineRule="exact"/>
              <w:rPr>
                <w:sz w:val="20"/>
                <w:szCs w:val="20"/>
                <w:color w:val="auto"/>
              </w:rPr>
            </w:pPr>
            <w:r>
              <w:rPr>
                <w:rFonts w:ascii="Arial" w:cs="Arial" w:eastAsia="Arial" w:hAnsi="Arial"/>
                <w:sz w:val="14"/>
                <w:szCs w:val="14"/>
                <w:color w:val="auto"/>
              </w:rPr>
              <w:t>Foreign currency</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translation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3"/>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net</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7"/>
        </w:trPr>
        <w:tc>
          <w:tcPr>
            <w:tcW w:w="1320" w:type="dxa"/>
            <w:vAlign w:val="bottom"/>
          </w:tcPr>
          <w:p>
            <w:pPr>
              <w:ind w:left="180"/>
              <w:spacing w:after="0" w:line="157" w:lineRule="exact"/>
              <w:rPr>
                <w:sz w:val="20"/>
                <w:szCs w:val="20"/>
                <w:color w:val="auto"/>
              </w:rPr>
            </w:pPr>
            <w:r>
              <w:rPr>
                <w:rFonts w:ascii="Arial" w:cs="Arial" w:eastAsia="Arial" w:hAnsi="Arial"/>
                <w:sz w:val="14"/>
                <w:szCs w:val="14"/>
                <w:color w:val="auto"/>
                <w:w w:val="97"/>
              </w:rPr>
              <w:t>Cash flow hedges,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20" w:type="dxa"/>
            <w:vAlign w:val="bottom"/>
          </w:tcPr>
          <w:p>
            <w:pPr>
              <w:ind w:left="180"/>
              <w:spacing w:after="0"/>
              <w:rPr>
                <w:sz w:val="20"/>
                <w:szCs w:val="20"/>
                <w:color w:val="auto"/>
              </w:rPr>
            </w:pPr>
            <w:r>
              <w:rPr>
                <w:rFonts w:ascii="Arial" w:cs="Arial" w:eastAsia="Arial" w:hAnsi="Arial"/>
                <w:sz w:val="14"/>
                <w:szCs w:val="14"/>
                <w:color w:val="auto"/>
              </w:rPr>
              <w:t>net change</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3"/>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7"/>
        </w:trPr>
        <w:tc>
          <w:tcPr>
            <w:tcW w:w="1320" w:type="dxa"/>
            <w:vAlign w:val="bottom"/>
          </w:tcPr>
          <w:p>
            <w:pPr>
              <w:ind w:left="180"/>
              <w:spacing w:after="0" w:line="157" w:lineRule="exact"/>
              <w:rPr>
                <w:sz w:val="20"/>
                <w:szCs w:val="20"/>
                <w:color w:val="auto"/>
              </w:rPr>
            </w:pPr>
            <w:r>
              <w:rPr>
                <w:rFonts w:ascii="Arial" w:cs="Arial" w:eastAsia="Arial" w:hAnsi="Arial"/>
                <w:sz w:val="14"/>
                <w:szCs w:val="14"/>
                <w:color w:val="auto"/>
              </w:rPr>
              <w:t>Stock-based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compensation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tcPr>
          <w:p>
            <w:pPr>
              <w:ind w:left="180"/>
              <w:spacing w:after="0"/>
              <w:rPr>
                <w:sz w:val="20"/>
                <w:szCs w:val="20"/>
                <w:color w:val="auto"/>
              </w:rPr>
            </w:pPr>
            <w:r>
              <w:rPr>
                <w:rFonts w:ascii="Arial" w:cs="Arial" w:eastAsia="Arial" w:hAnsi="Arial"/>
                <w:sz w:val="14"/>
                <w:szCs w:val="14"/>
                <w:color w:val="auto"/>
              </w:rPr>
              <w:t>expense</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63"/>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57"/>
        </w:trPr>
        <w:tc>
          <w:tcPr>
            <w:tcW w:w="1320" w:type="dxa"/>
            <w:vAlign w:val="bottom"/>
          </w:tcPr>
          <w:p>
            <w:pPr>
              <w:ind w:left="180"/>
              <w:spacing w:after="0" w:line="157" w:lineRule="exact"/>
              <w:rPr>
                <w:sz w:val="20"/>
                <w:szCs w:val="20"/>
                <w:color w:val="auto"/>
              </w:rPr>
            </w:pPr>
            <w:r>
              <w:rPr>
                <w:rFonts w:ascii="Arial" w:cs="Arial" w:eastAsia="Arial" w:hAnsi="Arial"/>
                <w:sz w:val="14"/>
                <w:szCs w:val="14"/>
                <w:color w:val="auto"/>
              </w:rPr>
              <w:t>Revaluation of</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20" w:type="dxa"/>
            <w:vAlign w:val="bottom"/>
          </w:tcPr>
          <w:p>
            <w:pPr>
              <w:ind w:left="180"/>
              <w:spacing w:after="0"/>
              <w:rPr>
                <w:sz w:val="20"/>
                <w:szCs w:val="20"/>
                <w:color w:val="auto"/>
              </w:rPr>
            </w:pPr>
            <w:r>
              <w:rPr>
                <w:rFonts w:ascii="Arial" w:cs="Arial" w:eastAsia="Arial" w:hAnsi="Arial"/>
                <w:sz w:val="14"/>
                <w:szCs w:val="14"/>
                <w:color w:val="auto"/>
                <w:w w:val="93"/>
              </w:rPr>
              <w:t>redeemable shares</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3"/>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Impact from equity</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transactions of</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64"/>
        </w:trPr>
        <w:tc>
          <w:tcPr>
            <w:tcW w:w="13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9"/>
        </w:trPr>
        <w:tc>
          <w:tcPr>
            <w:tcW w:w="132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w w:val="97"/>
              </w:rPr>
              <w:t>Balances as of May</w:t>
            </w: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w w:val="91"/>
              </w:rPr>
              <w:t>$ 10,016</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80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$ 10,041</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300" w:type="dxa"/>
            <w:vAlign w:val="bottom"/>
            <w:gridSpan w:val="3"/>
            <w:vMerge w:val="restart"/>
            <w:shd w:val="clear" w:color="auto" w:fill="CCEEFF"/>
          </w:tcPr>
          <w:p>
            <w:pPr>
              <w:ind w:left="220"/>
              <w:spacing w:after="0"/>
              <w:rPr>
                <w:sz w:val="20"/>
                <w:szCs w:val="20"/>
                <w:color w:val="auto"/>
              </w:rPr>
            </w:pPr>
            <w:r>
              <w:rPr>
                <w:rFonts w:ascii="Arial" w:cs="Arial" w:eastAsia="Arial" w:hAnsi="Arial"/>
                <w:sz w:val="14"/>
                <w:szCs w:val="14"/>
                <w:color w:val="auto"/>
                <w:w w:val="76"/>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(1,101)</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(5,182)</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13,209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5,930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19,139</w:t>
            </w:r>
          </w:p>
        </w:tc>
        <w:tc>
          <w:tcPr>
            <w:tcW w:w="0" w:type="dxa"/>
            <w:vAlign w:val="bottom"/>
          </w:tcPr>
          <w:p>
            <w:pPr>
              <w:spacing w:after="0"/>
              <w:rPr>
                <w:sz w:val="1"/>
                <w:szCs w:val="1"/>
                <w:color w:val="auto"/>
              </w:rPr>
            </w:pPr>
          </w:p>
        </w:tc>
      </w:tr>
      <w:tr>
        <w:trPr>
          <w:trHeight w:val="185"/>
        </w:trPr>
        <w:tc>
          <w:tcPr>
            <w:tcW w:w="1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5, 2017</w:t>
            </w: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300" w:type="dxa"/>
            <w:vAlign w:val="bottom"/>
            <w:gridSpan w:val="3"/>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 accompanying unaudited Condensed Consolidated Financial Statements should be read in conjunction with the audited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and accompanying Notes filed with the U.S. Securities and Exchange Commission ("SEC") in the Company's Annual Report on Form 10-K for the fiscal year ended February 2, 2018. These Condensed Consolidated Financial Statements have been prepared in accordance with accounting principles generally accepted in the United States of America ("GAAP"). In the opinion of management, the accompanying Condensed Consolidated Financial Statements reflect all adjustments of a normal recurring nature considered necessary to fairly state the financial position of Dell Technologies Inc. as of May 4, 2018 and February 2, 2018, the results of its operations and corresponding comprehensive income (loss) for the three months ended May 4, 2018 and May 5, 2017, and its cash flows for the three months ended May 4, 2018 and May 5, 2017. References in these Notes to the Condensed Consolidated Financial Statements to the "Company" or "Dell Technologies" means Dell Technologies Inc. individually and together with its consolidated subsidiaries.</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amounts reported in the Condensed Consolidated Financial Statements and the accompanying Notes. Actual results could differ materially from those estimates. The results of operations, comprehensive income (loss), and cash flows for the three months ended May 4, 2018 and May 5, 2017 are not necessarily indicative of the results to be expected for the full fiscal year or for any other fiscal period.</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fiscal year is the 52- or 53-week period ending on the Friday nearest January 31. The fiscal year ended February 2, 2018 ("Fiscal 2018") was a 52-week period, and the fiscal year ending February 1, 2019 ("Fiscal 2019") will be a 52-week period.</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These Condensed Consolidated Financial Statements include the accounts of Dell Technologies and its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as well as the accounts of SecureWorks Corp. (“SecureWorks"), VMware, Inc., and Pivotal Software, Inc. ("Pivotal"), each of which is majority-owned by Dell Technologies. All intercompany transactions have been eliminated.</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Unless the context indicates otherwise, references in these Notes to the Condensed Consolidated Financial Statements to "VMware" mean the VMware reportable segment, which reflects the operations of VMware, Inc. (NYSE: VMW) within Dell Technologies. See Exhibit 99.1 filed with the quarterly report on Form 10-Q for the quarterly period ended May 4, 2018 for information on the differences between VMware reportable segment results and VMware, Inc. results.</w:t>
      </w:r>
    </w:p>
    <w:p>
      <w:pPr>
        <w:spacing w:after="0" w:line="18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i w:val="1"/>
          <w:iCs w:val="1"/>
          <w:color w:val="auto"/>
        </w:rPr>
        <w:t xml:space="preserve">EMC Merger Transaction </w:t>
      </w:r>
      <w:r>
        <w:rPr>
          <w:rFonts w:ascii="Arial" w:cs="Arial" w:eastAsia="Arial" w:hAnsi="Arial"/>
          <w:sz w:val="16"/>
          <w:szCs w:val="16"/>
          <w:color w:val="auto"/>
        </w:rPr>
        <w:t>— On September 7, 2016, the Company completed its acquisition by merger of EMC Corporation ("EMC"), referred to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EMC merger transaction. The consolidated results of EMC are included in Dell Technologies' consolidated results presented in these financial statements.</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Pivotal Initial Public Offering </w:t>
      </w:r>
      <w:r>
        <w:rPr>
          <w:rFonts w:ascii="Arial" w:cs="Arial" w:eastAsia="Arial" w:hAnsi="Arial"/>
          <w:sz w:val="18"/>
          <w:szCs w:val="18"/>
          <w:color w:val="auto"/>
        </w:rPr>
        <w:t>— On April 24, 2018, Pivotal completed a registered underwritten initial public offering ("IPO") of its Class 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 results of Pivotal's operations are included in other businesses. For more information regarding the Company's ownership of Pivotal, see Note 14 of the Notes to the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In February 2016, the Financial Accounting Standards Board ("FASB") issued amended guidance on the accounting for leasing transactions.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objective of this update is to increase transparency and comparability among organizations by requiring lessees to recognize a lease liability for the obligation to make lease payments and a right-of-use asset for the right to use the underlying asset for the lease term. The guidance also makes some changes to lessor accounting and requires additional disclosures about all leasing arrangements. The Company will adopt this standard for the fiscal year beginning February 2, 2019, using a modified retrospective approach. The Company is currently evaluating the impact that the standard will have on the Consolidated Financial Statements. In the area of lessee accounting, the Company anticipates that the most significant change will be recognition of right-of-use assets and lease liabilities on the Consolidated Statements of Financial Position. In the area of lessor accounting, the Company anticipates that the most significant change will be an increase in originations of operating leases due to elimination of the third-party residual value guarantee insurance in the sales-type lease test.</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Measurement of Credit Losses on Financial Instruments — </w:t>
      </w:r>
      <w:r>
        <w:rPr>
          <w:rFonts w:ascii="Arial" w:cs="Arial" w:eastAsia="Arial" w:hAnsi="Arial"/>
          <w:sz w:val="16"/>
          <w:szCs w:val="16"/>
          <w:color w:val="auto"/>
        </w:rPr>
        <w:t>In June 2016, the FASB issued amended guidance which replaces the current incurred loss</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methodology for measurement of credit losses on financial instruments with a methodology that reflects expected credit losses and requires consideration of a broader range of reasonable and supportable information to inform credit loss estimates. Public entities must adopt the new guidance for fiscal years beginning after December 15, 2019, and interim periods within those fiscal years, with early adoption permitted for fiscal periods beginning after December 15, 2018. The Company is currently evaluating the impact that the standard will have on the Consolidated Financial Statements.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Simplifying the Test for Goodwill Impairment — </w:t>
      </w:r>
      <w:r>
        <w:rPr>
          <w:rFonts w:ascii="Arial" w:cs="Arial" w:eastAsia="Arial" w:hAnsi="Arial"/>
          <w:sz w:val="18"/>
          <w:szCs w:val="18"/>
          <w:color w:val="auto"/>
        </w:rPr>
        <w:t>In January 2017, the FASB issued amended guidance to simplify the subsequent measurement of goodwill by</w:t>
      </w:r>
      <w:r>
        <w:rPr>
          <w:rFonts w:ascii="Arial" w:cs="Arial" w:eastAsia="Arial" w:hAnsi="Arial"/>
          <w:sz w:val="18"/>
          <w:szCs w:val="18"/>
          <w:i w:val="1"/>
          <w:iCs w:val="1"/>
          <w:color w:val="auto"/>
        </w:rPr>
        <w:t xml:space="preserve"> </w:t>
      </w:r>
      <w:r>
        <w:rPr>
          <w:rFonts w:ascii="Arial" w:cs="Arial" w:eastAsia="Arial" w:hAnsi="Arial"/>
          <w:sz w:val="18"/>
          <w:szCs w:val="18"/>
          <w:color w:val="auto"/>
        </w:rPr>
        <w:t>removing Step 2 of the goodwill impairment test. Instead, under the amendments in the new guidance, an entity should perform its annual, or interim, goodwill impairment test by comparing the fair value of a reporting unit with its carrying amount. The entity should recognize an impairment charge for the amount by which the carrying amount exceeds the reporting unit's fair value. Public entities must adopt the new guidance in fiscal years beginning after December 15, 2019, with early adoption permitted. The Company is currently evaluating the impact of the new guidance, but does not expect that the standard will have an impact on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Revenue from Contracts with Customers — </w:t>
      </w:r>
      <w:r>
        <w:rPr>
          <w:rFonts w:ascii="Arial" w:cs="Arial" w:eastAsia="Arial" w:hAnsi="Arial"/>
          <w:sz w:val="17"/>
          <w:szCs w:val="17"/>
          <w:color w:val="auto"/>
        </w:rPr>
        <w:t>In May 2014, the FASB issued amended guidance on the recognition of revenue from contracts with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The objective of the new standard is to establish a single comprehensive model for entities to use in accounting for revenue arising from contracts with customers and will supersede substantially all of the existing revenue recognition guidance, including industry-specific guidance. The new standard requires entities to recognize revenue when it transfers promised goods or services to customers in an amount that reflects the consideration to which the entity expects to be entitled in exchange for those goods or services. Further, the new standard requires additional disclosures to help enable users of the financial statements to better understand the nature, amount, timing, risks, and judgments related to revenue recognition and related cash flows from contracts with customers. Concurrently, the FASB issued guidance on the accounting for costs to fulfill or obtain a customer contract. The Company adopted these standards during the three months ended May 4, 2018 using the full retrospective method, which requires the Company to recast each prior period presented consistent with the new guidance. See tables provided below which present the impact of the new accounting standards to the Company's previously reported financial results. See also Note 2 of the Notes to the Condensed Consolidated Financial Statements for a summary of significant policies related to the new accounting standards.</w:t>
      </w:r>
    </w:p>
    <w:p>
      <w:pPr>
        <w:spacing w:after="0" w:line="18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Recognition and Measurement of Financial Assets and Financial Liabilities </w:t>
      </w:r>
      <w:r>
        <w:rPr>
          <w:rFonts w:ascii="Arial" w:cs="Arial" w:eastAsia="Arial" w:hAnsi="Arial"/>
          <w:sz w:val="16"/>
          <w:szCs w:val="16"/>
          <w:color w:val="auto"/>
        </w:rPr>
        <w:t>— In January 2016, the FASB issued amended guidance that generally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the fair value of equity investments, other than those accounted for under the equity method, to be recognized through net income, rather than other comprehensive income. For equity investments without readily determinable fair values, the Company is no longer permitted to use the cost method of accounting. The Company has elected to apply the measurement alternative for those investments. Under the alternative, the Company measures investments without readily determinable fair values at cost, less impairment, adjusted by observable price changes on a prospective basis. The Company must make a separate election to use the alternative for each eligible investment, and is required to reassess at each reporting period whether an investment qualifies for the alternative. The Company adopted this standard during the three months ended May 4, 2018. Adoption of the standard was applied through a cumulative one-time adjustment to accumulated deficit of $56 million for the accumulated unrealized gain previously recorded in other comprehensive income. The impact of the standard on the Condensed Consolidated Statements of Income (Loss) during the three months ended May 4, 2018 was a gain of approximately $100 million, recognized in interest and other, net, and the impact in future periods will depend on the relative changes in market price of the equity investments.</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Classification of Certain Cash Receipts and Cash Payments </w:t>
      </w:r>
      <w:r>
        <w:rPr>
          <w:rFonts w:ascii="Arial" w:cs="Arial" w:eastAsia="Arial" w:hAnsi="Arial"/>
          <w:sz w:val="18"/>
          <w:szCs w:val="18"/>
          <w:color w:val="auto"/>
        </w:rPr>
        <w:t>— In August 2016, the FASB issued amended guidance on the presentation and classification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eight specific cash flow issues with the objective of reducing existing diversity in practice. Companies should reflect any adjustments on a retrospective basis, if practicable; otherwise, adoption is required to be applied as of the earliest date practicable. The Company adopted this standard during the three months ended May 4, 2018. Prior period amounts on the Condensed Consolidated Statements of Cash Flows have been recast to conform with current period presentation as shown in the reconciliation provided below.</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Intra-Entity Transfers of Assets Other Than Inventory </w:t>
      </w:r>
      <w:r>
        <w:rPr>
          <w:rFonts w:ascii="Arial" w:cs="Arial" w:eastAsia="Arial" w:hAnsi="Arial"/>
          <w:sz w:val="16"/>
          <w:szCs w:val="16"/>
          <w:color w:val="auto"/>
        </w:rPr>
        <w:t>— In October 2016, the FASB issued amended guidance on the accounting for income taxes.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requires companies to recognize the income tax effects of intra-entity asset transfers, other than transfers of inventory, when the transfer occurs instead of when the asset is sold to a third party. The new guidance was applied on a modified-retrospective basis with the cumulative-effect adjustment to accumulated deficit as of the beginning of the period of adoption. The Company early adopted this guidance during the three months ended May 5, 2017. At adoption, approximately $84 million was reclassified from other non-current liabilities to accumulated deficit, resulting in a net credit to accumulated deficit.</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Statement of Cash Flows, Restricted Cash </w:t>
      </w:r>
      <w:r>
        <w:rPr>
          <w:rFonts w:ascii="Arial" w:cs="Arial" w:eastAsia="Arial" w:hAnsi="Arial"/>
          <w:sz w:val="17"/>
          <w:szCs w:val="17"/>
          <w:color w:val="auto"/>
        </w:rPr>
        <w:t>— In November 2016, the FASB issued amended guidance requiring entities to include restricted cash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cash equivalents in cash balances on the cash flow statement, and also to provide a supplemental reconciliation of cash, cash equivalents and restricted cash. Public entities must adopt the new guidance for fiscal years, and interim periods within those fiscal years, beginning after December 15, 2017, with early adoption permitted. The Company adopted this standard during the three months ended May 4, 2018. See Note 19 of the Notes to the Condensed Consolidated Financial Statements for supplemental cash flow information. Prior period amounts on the Condensed Consolidated Statements of Cash Flows have been recast to conform with current period presentation as shown in the reconciliation provided below.</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Clarifying the Definition of a Business — </w:t>
      </w:r>
      <w:r>
        <w:rPr>
          <w:rFonts w:ascii="Arial" w:cs="Arial" w:eastAsia="Arial" w:hAnsi="Arial"/>
          <w:sz w:val="16"/>
          <w:szCs w:val="16"/>
          <w:color w:val="auto"/>
        </w:rPr>
        <w:t>In January 2017, the FASB issued amended guidance to clarify the definition of a business with the objective of</w:t>
      </w:r>
      <w:r>
        <w:rPr>
          <w:rFonts w:ascii="Arial" w:cs="Arial" w:eastAsia="Arial" w:hAnsi="Arial"/>
          <w:sz w:val="16"/>
          <w:szCs w:val="16"/>
          <w:i w:val="1"/>
          <w:iCs w:val="1"/>
          <w:color w:val="auto"/>
        </w:rPr>
        <w:t xml:space="preserve"> </w:t>
      </w:r>
      <w:r>
        <w:rPr>
          <w:rFonts w:ascii="Arial" w:cs="Arial" w:eastAsia="Arial" w:hAnsi="Arial"/>
          <w:sz w:val="16"/>
          <w:szCs w:val="16"/>
          <w:color w:val="auto"/>
        </w:rPr>
        <w:t>adding guidance to assist entities with evaluating whether transactions should be accounted for as acquisitions (or disposals) of assets or businesses. Public entities must adopt the new guidance for fiscal years beginning after December 15, 2017, and interim periods within those fiscal years. The new guidance did not have a material impact on the Company's conclusions regarding transactions that were assessed in the current period.</w:t>
      </w:r>
    </w:p>
    <w:p>
      <w:pPr>
        <w:spacing w:after="0" w:line="15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auto"/>
        </w:rPr>
        <w:t xml:space="preserve">Derivatives and Hedging — </w:t>
      </w:r>
      <w:r>
        <w:rPr>
          <w:rFonts w:ascii="Arial" w:cs="Arial" w:eastAsia="Arial" w:hAnsi="Arial"/>
          <w:sz w:val="16"/>
          <w:szCs w:val="16"/>
          <w:color w:val="auto"/>
        </w:rPr>
        <w:t>In August 2017, the FASB issued amended guidance that will make more financial and non-financial hedging strategies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hedge accounting. The amended guidance changes how companies assess effectiveness, and also amends the presentation and disclosure requirements. The guidance is intended to simplify the application of hedge accounting and increase transparency as to the scope and results of hedging programs. Immediate early adoption is permitted in any interim or annual period. The Company elected to early adopt this standard during the three months ended May 4, 2018. The impact of the adoption of the standard was immaterial to the Condensed Consolidated Financial Statements.</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Income Statement - Reporting Comprehensive Income </w:t>
      </w:r>
      <w:r>
        <w:rPr>
          <w:rFonts w:ascii="Arial" w:cs="Arial" w:eastAsia="Arial" w:hAnsi="Arial"/>
          <w:sz w:val="16"/>
          <w:szCs w:val="16"/>
          <w:color w:val="auto"/>
        </w:rPr>
        <w:t>— In February 2018, the FASB issued guidance that will permit entities to reclassify the tax effects</w:t>
      </w:r>
      <w:r>
        <w:rPr>
          <w:rFonts w:ascii="Arial" w:cs="Arial" w:eastAsia="Arial" w:hAnsi="Arial"/>
          <w:sz w:val="16"/>
          <w:szCs w:val="16"/>
          <w:i w:val="1"/>
          <w:iCs w:val="1"/>
          <w:color w:val="auto"/>
        </w:rPr>
        <w:t xml:space="preserve"> </w:t>
      </w:r>
      <w:r>
        <w:rPr>
          <w:rFonts w:ascii="Arial" w:cs="Arial" w:eastAsia="Arial" w:hAnsi="Arial"/>
          <w:sz w:val="16"/>
          <w:szCs w:val="16"/>
          <w:color w:val="auto"/>
        </w:rPr>
        <w:t>stranded in accumulated other comprehensive income to accumulated deficit as a result of U.S. Tax Reform, discussed in Note 12 of the Notes to the Condensed Consolidated Financial Statements. The guidance gives entities the option to reclassify these amounts, but requires new disclosures regardless of whether they elect to do so. The guidance is effective for fiscal years beginning after December 15, 2018, and interim periods within those fiscal years. Early adoption is permitted. The Company elected to early adopt this standard during the three months ended May 4, 2018, and recorded the impact of the adoption as a cumulative adjustment to accumulated deficit. The impact of the adoption was immaterial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Impacts to Previously Reported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impact of the new accounting standards to the Company's previously reported financial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8"/>
              </w:rPr>
              <w:t>Selected Captions from the Condensed Consolidated Statement of Financial Position</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February 2, 2018</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Revenue from</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Contracts with</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As Reported</w:t>
            </w:r>
          </w:p>
        </w:tc>
        <w:tc>
          <w:tcPr>
            <w:tcW w:w="180" w:type="dxa"/>
            <w:vAlign w:val="bottom"/>
          </w:tcPr>
          <w:p>
            <w:pPr>
              <w:spacing w:after="0"/>
              <w:rPr>
                <w:sz w:val="20"/>
                <w:szCs w:val="20"/>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Customers</w:t>
            </w:r>
          </w:p>
        </w:tc>
        <w:tc>
          <w:tcPr>
            <w:tcW w:w="34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As Recast</w:t>
            </w: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color w:val="auto"/>
                <w:w w:val="98"/>
              </w:rPr>
              <w:t>(in millions)</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11,177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544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11,721</w:t>
            </w: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5,881</w:t>
            </w:r>
          </w:p>
        </w:tc>
      </w:tr>
      <w:tr>
        <w:trPr>
          <w:trHeight w:val="243"/>
        </w:trPr>
        <w:tc>
          <w:tcPr>
            <w:tcW w:w="40" w:type="dxa"/>
            <w:vAlign w:val="bottom"/>
          </w:tcPr>
          <w:p>
            <w:pPr>
              <w:spacing w:after="0"/>
              <w:rPr>
                <w:sz w:val="21"/>
                <w:szCs w:val="21"/>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1,862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541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2,403</w:t>
            </w: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Accrued and other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7,661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365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8,026</w:t>
            </w: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deferred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11,606</w:t>
            </w:r>
          </w:p>
        </w:tc>
      </w:tr>
      <w:tr>
        <w:trPr>
          <w:trHeight w:val="243"/>
        </w:trPr>
        <w:tc>
          <w:tcPr>
            <w:tcW w:w="40" w:type="dxa"/>
            <w:vAlign w:val="bottom"/>
          </w:tcPr>
          <w:p>
            <w:pPr>
              <w:spacing w:after="0"/>
              <w:rPr>
                <w:sz w:val="21"/>
                <w:szCs w:val="21"/>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Long-term deferred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10,223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(1,013)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9,210</w:t>
            </w: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7,277</w:t>
            </w:r>
          </w:p>
        </w:tc>
      </w:tr>
      <w:tr>
        <w:trPr>
          <w:trHeight w:val="243"/>
        </w:trPr>
        <w:tc>
          <w:tcPr>
            <w:tcW w:w="40" w:type="dxa"/>
            <w:vAlign w:val="bottom"/>
          </w:tcPr>
          <w:p>
            <w:pPr>
              <w:spacing w:after="0"/>
              <w:rPr>
                <w:sz w:val="21"/>
                <w:szCs w:val="21"/>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(9,253)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2,393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(6,860)</w:t>
            </w: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5,766</w:t>
            </w:r>
          </w:p>
        </w:tc>
      </w:tr>
      <w:tr>
        <w:trPr>
          <w:trHeight w:val="27"/>
        </w:trPr>
        <w:tc>
          <w:tcPr>
            <w:tcW w:w="40" w:type="dxa"/>
            <w:vAlign w:val="bottom"/>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above impacts are summarized as follows: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Accounts receivable, net</w:t>
      </w:r>
      <w:r>
        <w:rPr>
          <w:rFonts w:ascii="Arial" w:cs="Arial" w:eastAsia="Arial" w:hAnsi="Arial"/>
          <w:sz w:val="18"/>
          <w:szCs w:val="18"/>
          <w:color w:val="auto"/>
        </w:rPr>
        <w:t>. The adoption of the new revenue standard resulted in an increase to accounts receivable, net primarily due to the following two</w:t>
      </w:r>
      <w:r>
        <w:rPr>
          <w:rFonts w:ascii="Arial" w:cs="Arial" w:eastAsia="Arial" w:hAnsi="Arial"/>
          <w:sz w:val="18"/>
          <w:szCs w:val="18"/>
          <w:i w:val="1"/>
          <w:iCs w:val="1"/>
          <w:color w:val="auto"/>
        </w:rPr>
        <w:t xml:space="preserve"> </w:t>
      </w:r>
      <w:r>
        <w:rPr>
          <w:rFonts w:ascii="Arial" w:cs="Arial" w:eastAsia="Arial" w:hAnsi="Arial"/>
          <w:sz w:val="18"/>
          <w:szCs w:val="18"/>
          <w:color w:val="auto"/>
        </w:rPr>
        <w:t>factors:</w:t>
      </w:r>
    </w:p>
    <w:p>
      <w:pPr>
        <w:spacing w:after="0" w:line="170" w:lineRule="exact"/>
        <w:rPr>
          <w:sz w:val="20"/>
          <w:szCs w:val="20"/>
          <w:color w:val="auto"/>
        </w:rPr>
      </w:pPr>
    </w:p>
    <w:p>
      <w:pPr>
        <w:ind w:left="340" w:right="10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 the return rights provision, which represents an estimate of expected customer returns, which was previously presented as a reduction of accounts receivable, net, is now being presented outside of accounts receivable, net in two separate balance sheet line items. A liability is recorded in accrued and other for the estimated value of the sales amounts to be returned to the customer, and an asset is recorded in other current assets representing the recoverable cost of the inventory estimated to be returned.</w:t>
      </w:r>
    </w:p>
    <w:p>
      <w:pPr>
        <w:spacing w:after="0" w:line="186" w:lineRule="exact"/>
        <w:rPr>
          <w:rFonts w:ascii="Arial" w:cs="Arial" w:eastAsia="Arial" w:hAnsi="Arial"/>
          <w:sz w:val="18"/>
          <w:szCs w:val="18"/>
          <w:color w:val="auto"/>
        </w:rPr>
      </w:pPr>
    </w:p>
    <w:p>
      <w:pPr>
        <w:ind w:left="340" w:right="260" w:hanging="332"/>
        <w:spacing w:after="0" w:line="286"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Second, the standard provides new guidance regarding transfer of control of goods to the customer. Under these new guidelines, the Company has determined that for certain hardware contracts in the United States, transfer of control and recognition of revenue can occur earlier. This resulted in an increase in accounts receivable, net and a decrease in the in-transit deferral recorded in other current assets.</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Other assets</w:t>
      </w:r>
      <w:r>
        <w:rPr>
          <w:rFonts w:ascii="Arial" w:cs="Arial" w:eastAsia="Arial" w:hAnsi="Arial"/>
          <w:sz w:val="18"/>
          <w:szCs w:val="18"/>
          <w:color w:val="auto"/>
        </w:rPr>
        <w:t>. The adoption of the new revenue standard resulted in an increase in other assets due to capitalization of the costs to obtain a contract,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accounts receivable, net of impacts discussed above.</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The adoption of the new revenue standard resulted in a decline in deferred revenue due to earlier recognition of revenue for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licenses, and less of the aggregate transaction price being allocated to extended warranty. Deferred revenue was also reduced by the impact of variable consideration, i.e., price concessions, rebates, and refunds. The reduction in deferred revenue was partially offset by an increase resulting from the change in presentation of deferred costs on third-party software offerings, which are reported in other assets, and are either sold on a standalone basis or as an attached component of the Company's hardware offering. The Company previously reported the associated deferred revenue net of these deferred costs in deferred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 of Income (Loss)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6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May 5, 2017</w:t>
            </w: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Revenue from</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Contracts with</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As Reported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Customers</w:t>
            </w:r>
          </w:p>
        </w:tc>
        <w:tc>
          <w:tcPr>
            <w:tcW w:w="26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As Recast</w:t>
            </w: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gridSpan w:val="7"/>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80" w:type="dxa"/>
            <w:vAlign w:val="bottom"/>
            <w:gridSpan w:val="7"/>
          </w:tcPr>
          <w:p>
            <w:pPr>
              <w:jc w:val="center"/>
              <w:ind w:right="110"/>
              <w:spacing w:after="0"/>
              <w:rPr>
                <w:sz w:val="20"/>
                <w:szCs w:val="20"/>
                <w:color w:val="auto"/>
              </w:rPr>
            </w:pPr>
            <w:r>
              <w:rPr>
                <w:rFonts w:ascii="Arial" w:cs="Arial" w:eastAsia="Arial" w:hAnsi="Arial"/>
                <w:sz w:val="18"/>
                <w:szCs w:val="18"/>
                <w:color w:val="auto"/>
                <w:w w:val="91"/>
              </w:rPr>
              <w:t>(in millions, except per share amounts)</w:t>
            </w: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Net revenue: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Products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12,968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13,634</w:t>
            </w: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4,366</w:t>
            </w:r>
          </w:p>
        </w:tc>
      </w:tr>
      <w:tr>
        <w:trPr>
          <w:trHeight w:val="237"/>
        </w:trPr>
        <w:tc>
          <w:tcPr>
            <w:tcW w:w="40" w:type="dxa"/>
            <w:vAlign w:val="bottom"/>
          </w:tcPr>
          <w:p>
            <w:pPr>
              <w:spacing w:after="0"/>
              <w:rPr>
                <w:sz w:val="20"/>
                <w:szCs w:val="20"/>
                <w:color w:val="auto"/>
              </w:rPr>
            </w:pPr>
          </w:p>
        </w:tc>
        <w:tc>
          <w:tcPr>
            <w:tcW w:w="6360" w:type="dxa"/>
            <w:vAlign w:val="bottom"/>
          </w:tcPr>
          <w:p>
            <w:pPr>
              <w:ind w:left="480"/>
              <w:spacing w:after="0"/>
              <w:rPr>
                <w:sz w:val="20"/>
                <w:szCs w:val="20"/>
                <w:color w:val="auto"/>
              </w:rPr>
            </w:pPr>
            <w:r>
              <w:rPr>
                <w:rFonts w:ascii="Arial" w:cs="Arial" w:eastAsia="Arial" w:hAnsi="Arial"/>
                <w:sz w:val="18"/>
                <w:szCs w:val="18"/>
                <w:color w:val="auto"/>
              </w:rPr>
              <w:t>Total net revenue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17,816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18,000</w:t>
            </w:r>
          </w:p>
        </w:tc>
      </w:tr>
      <w:tr>
        <w:trPr>
          <w:trHeight w:val="27"/>
        </w:trPr>
        <w:tc>
          <w:tcPr>
            <w:tcW w:w="40" w:type="dxa"/>
            <w:vAlign w:val="bottom"/>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Cost of net revenue: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Products</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11,459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11,823</w:t>
            </w: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1,720</w:t>
            </w:r>
          </w:p>
        </w:tc>
      </w:tr>
      <w:tr>
        <w:trPr>
          <w:trHeight w:val="237"/>
        </w:trPr>
        <w:tc>
          <w:tcPr>
            <w:tcW w:w="40" w:type="dxa"/>
            <w:vAlign w:val="bottom"/>
          </w:tcPr>
          <w:p>
            <w:pPr>
              <w:spacing w:after="0"/>
              <w:rPr>
                <w:sz w:val="20"/>
                <w:szCs w:val="20"/>
                <w:color w:val="auto"/>
              </w:rPr>
            </w:pPr>
          </w:p>
        </w:tc>
        <w:tc>
          <w:tcPr>
            <w:tcW w:w="6360" w:type="dxa"/>
            <w:vAlign w:val="bottom"/>
          </w:tcPr>
          <w:p>
            <w:pPr>
              <w:ind w:left="480"/>
              <w:spacing w:after="0"/>
              <w:rPr>
                <w:sz w:val="20"/>
                <w:szCs w:val="20"/>
                <w:color w:val="auto"/>
              </w:rPr>
            </w:pPr>
            <w:r>
              <w:rPr>
                <w:rFonts w:ascii="Arial" w:cs="Arial" w:eastAsia="Arial" w:hAnsi="Arial"/>
                <w:sz w:val="18"/>
                <w:szCs w:val="18"/>
                <w:color w:val="auto"/>
              </w:rPr>
              <w:t>Total cost of net revenue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13,543</w:t>
            </w:r>
          </w:p>
        </w:tc>
      </w:tr>
      <w:tr>
        <w:trPr>
          <w:trHeight w:val="27"/>
        </w:trPr>
        <w:tc>
          <w:tcPr>
            <w:tcW w:w="40" w:type="dxa"/>
            <w:vAlign w:val="bottom"/>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4,457</w:t>
            </w:r>
          </w:p>
        </w:tc>
      </w:tr>
      <w:tr>
        <w:trPr>
          <w:trHeight w:val="237"/>
        </w:trPr>
        <w:tc>
          <w:tcPr>
            <w:tcW w:w="40" w:type="dxa"/>
            <w:vAlign w:val="bottom"/>
          </w:tcPr>
          <w:p>
            <w:pPr>
              <w:spacing w:after="0"/>
              <w:rPr>
                <w:sz w:val="20"/>
                <w:szCs w:val="20"/>
                <w:color w:val="auto"/>
              </w:rPr>
            </w:pPr>
          </w:p>
        </w:tc>
        <w:tc>
          <w:tcPr>
            <w:tcW w:w="6360" w:type="dxa"/>
            <w:vAlign w:val="bottom"/>
          </w:tcPr>
          <w:p>
            <w:pPr>
              <w:ind w:left="20"/>
              <w:spacing w:after="0"/>
              <w:rPr>
                <w:sz w:val="20"/>
                <w:szCs w:val="20"/>
                <w:color w:val="auto"/>
              </w:rPr>
            </w:pPr>
            <w:r>
              <w:rPr>
                <w:rFonts w:ascii="Arial" w:cs="Arial" w:eastAsia="Arial" w:hAnsi="Arial"/>
                <w:sz w:val="18"/>
                <w:szCs w:val="18"/>
                <w:i w:val="1"/>
                <w:iCs w:val="1"/>
                <w:color w:val="auto"/>
              </w:rPr>
              <w:t>Operating expenses: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4,596</w:t>
            </w:r>
          </w:p>
        </w:tc>
      </w:tr>
      <w:tr>
        <w:trPr>
          <w:trHeight w:val="243"/>
        </w:trPr>
        <w:tc>
          <w:tcPr>
            <w:tcW w:w="40" w:type="dxa"/>
            <w:vAlign w:val="bottom"/>
          </w:tcPr>
          <w:p>
            <w:pPr>
              <w:spacing w:after="0"/>
              <w:rPr>
                <w:sz w:val="21"/>
                <w:szCs w:val="21"/>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1,133</w:t>
            </w:r>
          </w:p>
        </w:tc>
      </w:tr>
      <w:tr>
        <w:trPr>
          <w:trHeight w:val="27"/>
        </w:trPr>
        <w:tc>
          <w:tcPr>
            <w:tcW w:w="40" w:type="dxa"/>
            <w:vAlign w:val="bottom"/>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6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5,729</w:t>
            </w:r>
          </w:p>
        </w:tc>
      </w:tr>
      <w:tr>
        <w:trPr>
          <w:trHeight w:val="237"/>
        </w:trPr>
        <w:tc>
          <w:tcPr>
            <w:tcW w:w="40" w:type="dxa"/>
            <w:vAlign w:val="bottom"/>
          </w:tcPr>
          <w:p>
            <w:pPr>
              <w:spacing w:after="0"/>
              <w:rPr>
                <w:sz w:val="20"/>
                <w:szCs w:val="20"/>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w:t>
            </w: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net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37"/>
        </w:trPr>
        <w:tc>
          <w:tcPr>
            <w:tcW w:w="40" w:type="dxa"/>
            <w:vAlign w:val="bottom"/>
          </w:tcPr>
          <w:p>
            <w:pPr>
              <w:spacing w:after="0"/>
              <w:rPr>
                <w:sz w:val="20"/>
                <w:szCs w:val="20"/>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w:t>
            </w: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37"/>
        </w:trPr>
        <w:tc>
          <w:tcPr>
            <w:tcW w:w="40" w:type="dxa"/>
            <w:vAlign w:val="bottom"/>
          </w:tcPr>
          <w:p>
            <w:pPr>
              <w:spacing w:after="0"/>
              <w:rPr>
                <w:sz w:val="20"/>
                <w:szCs w:val="20"/>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w:t>
            </w: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97"/>
        </w:trPr>
        <w:tc>
          <w:tcPr>
            <w:tcW w:w="40" w:type="dxa"/>
            <w:vAlign w:val="bottom"/>
          </w:tcPr>
          <w:p>
            <w:pPr>
              <w:spacing w:after="0"/>
              <w:rPr>
                <w:sz w:val="24"/>
                <w:szCs w:val="24"/>
                <w:color w:val="auto"/>
              </w:rPr>
            </w:pPr>
          </w:p>
        </w:tc>
        <w:tc>
          <w:tcPr>
            <w:tcW w:w="6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(loss) attributable to Dell Technologies Inc.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w:t>
            </w:r>
          </w:p>
        </w:tc>
      </w:tr>
      <w:tr>
        <w:trPr>
          <w:trHeight w:val="311"/>
        </w:trPr>
        <w:tc>
          <w:tcPr>
            <w:tcW w:w="40" w:type="dxa"/>
            <w:vAlign w:val="bottom"/>
          </w:tcPr>
          <w:p>
            <w:pPr>
              <w:spacing w:after="0"/>
              <w:rPr>
                <w:sz w:val="24"/>
                <w:szCs w:val="24"/>
                <w:color w:val="auto"/>
              </w:rPr>
            </w:pPr>
          </w:p>
        </w:tc>
        <w:tc>
          <w:tcPr>
            <w:tcW w:w="6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6360" w:type="dxa"/>
            <w:vAlign w:val="bottom"/>
          </w:tcPr>
          <w:p>
            <w:pPr>
              <w:ind w:left="20"/>
              <w:spacing w:after="0"/>
              <w:rPr>
                <w:sz w:val="20"/>
                <w:szCs w:val="20"/>
                <w:color w:val="auto"/>
              </w:rPr>
            </w:pPr>
            <w:r>
              <w:rPr>
                <w:rFonts w:ascii="Arial" w:cs="Arial" w:eastAsia="Arial" w:hAnsi="Arial"/>
                <w:sz w:val="18"/>
                <w:szCs w:val="18"/>
                <w:i w:val="1"/>
                <w:iCs w:val="1"/>
                <w:color w:val="auto"/>
              </w:rPr>
              <w:t>Earnings (loss) per share attributable to Dell Technologies Inc. - basic:</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Class V Common Stock - 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0.60</w:t>
            </w:r>
          </w:p>
        </w:tc>
      </w:tr>
      <w:tr>
        <w:trPr>
          <w:trHeight w:val="243"/>
        </w:trPr>
        <w:tc>
          <w:tcPr>
            <w:tcW w:w="40" w:type="dxa"/>
            <w:vAlign w:val="bottom"/>
          </w:tcPr>
          <w:p>
            <w:pPr>
              <w:spacing w:after="0"/>
              <w:rPr>
                <w:sz w:val="21"/>
                <w:szCs w:val="21"/>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DHI Group -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40" w:type="dxa"/>
            <w:vAlign w:val="bottom"/>
          </w:tcPr>
          <w:p>
            <w:pPr>
              <w:spacing w:after="0"/>
              <w:rPr>
                <w:sz w:val="24"/>
                <w:szCs w:val="24"/>
                <w:color w:val="auto"/>
              </w:rPr>
            </w:pPr>
          </w:p>
        </w:tc>
        <w:tc>
          <w:tcPr>
            <w:tcW w:w="6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6360" w:type="dxa"/>
            <w:vAlign w:val="bottom"/>
          </w:tcPr>
          <w:p>
            <w:pPr>
              <w:ind w:left="20"/>
              <w:spacing w:after="0"/>
              <w:rPr>
                <w:sz w:val="20"/>
                <w:szCs w:val="20"/>
                <w:color w:val="auto"/>
              </w:rPr>
            </w:pPr>
            <w:r>
              <w:rPr>
                <w:rFonts w:ascii="Arial" w:cs="Arial" w:eastAsia="Arial" w:hAnsi="Arial"/>
                <w:sz w:val="18"/>
                <w:szCs w:val="18"/>
                <w:i w:val="1"/>
                <w:iCs w:val="1"/>
                <w:color w:val="auto"/>
              </w:rPr>
              <w:t>Earnings (loss) per share attributable to Dell Technologies Inc. - diluted:</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Class V Common Stock -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0.59</w:t>
            </w:r>
          </w:p>
        </w:tc>
      </w:tr>
      <w:tr>
        <w:trPr>
          <w:trHeight w:val="243"/>
        </w:trPr>
        <w:tc>
          <w:tcPr>
            <w:tcW w:w="40" w:type="dxa"/>
            <w:vAlign w:val="bottom"/>
          </w:tcPr>
          <w:p>
            <w:pPr>
              <w:spacing w:after="0"/>
              <w:rPr>
                <w:sz w:val="21"/>
                <w:szCs w:val="21"/>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DHI Group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above impacts are summarized as follows: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Net revenue. </w:t>
      </w:r>
      <w:r>
        <w:rPr>
          <w:rFonts w:ascii="Arial" w:cs="Arial" w:eastAsia="Arial" w:hAnsi="Arial"/>
          <w:sz w:val="18"/>
          <w:szCs w:val="18"/>
          <w:color w:val="auto"/>
        </w:rPr>
        <w:t>The adoption of the new revenue standard resulted in an increase to net revenue due to earlier revenue recognition than permitted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 standard.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Products revenue vs. services revenue. </w:t>
      </w:r>
      <w:r>
        <w:rPr>
          <w:rFonts w:ascii="Arial" w:cs="Arial" w:eastAsia="Arial" w:hAnsi="Arial"/>
          <w:sz w:val="18"/>
          <w:szCs w:val="18"/>
          <w:color w:val="auto"/>
        </w:rPr>
        <w:t>The adoption of the new revenue standard resulted in a change to the classification of products revenue vs.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due to the following factors:</w:t>
      </w:r>
    </w:p>
    <w:p>
      <w:pPr>
        <w:spacing w:after="0" w:line="170" w:lineRule="exact"/>
        <w:rPr>
          <w:sz w:val="20"/>
          <w:szCs w:val="20"/>
          <w:color w:val="auto"/>
        </w:rPr>
      </w:pPr>
    </w:p>
    <w:p>
      <w:pPr>
        <w:ind w:left="340" w:right="300" w:hanging="332"/>
        <w:spacing w:after="0" w:line="29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Under the new revenue standard, amounts within a contract are now allocated to the product and services performance obligations based on their respective standalone selling prices, which generally increases product revenue and decreases services revenue relative to previously reported results.</w:t>
      </w:r>
    </w:p>
    <w:p>
      <w:pPr>
        <w:ind w:left="340" w:right="2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third-party software licenses were previously recognized in services revenue as the Company could not separate the value of the software license from the associated maintenance agreement. Under the new revenue standard, the license value requires separation and will be recognized in product revenue and the value of the software maintenance will continue to be recognized in services revenue.</w:t>
      </w:r>
    </w:p>
    <w:p>
      <w:pPr>
        <w:spacing w:after="0" w:line="1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The adoption of the new revenue standard resulted in a decrease to operating expenses due to the deferral of the incremental 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of obtaining a contract.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gridSpan w:val="7"/>
          </w:tcPr>
          <w:p>
            <w:pPr>
              <w:spacing w:after="0"/>
              <w:rPr>
                <w:sz w:val="20"/>
                <w:szCs w:val="20"/>
                <w:color w:val="auto"/>
              </w:rPr>
            </w:pPr>
            <w:r>
              <w:rPr>
                <w:rFonts w:ascii="Arial" w:cs="Arial" w:eastAsia="Arial" w:hAnsi="Arial"/>
                <w:sz w:val="18"/>
                <w:szCs w:val="18"/>
                <w:b w:val="1"/>
                <w:bCs w:val="1"/>
                <w:color w:val="auto"/>
              </w:rPr>
              <w:t>Selected Captions from the Condensed Consolidated Statement of Cash Flows</w:t>
            </w: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2"/>
              </w:rPr>
              <w:t>Three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9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1"/>
              </w:rPr>
              <w:t>May 5, 2017</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Classification of</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Certain Cash Receipts</w:t>
            </w:r>
          </w:p>
        </w:tc>
        <w:tc>
          <w:tcPr>
            <w:tcW w:w="1920" w:type="dxa"/>
            <w:vAlign w:val="bottom"/>
            <w:gridSpan w:val="3"/>
          </w:tcPr>
          <w:p>
            <w:pPr>
              <w:ind w:left="200"/>
              <w:spacing w:after="0"/>
              <w:rPr>
                <w:sz w:val="20"/>
                <w:szCs w:val="20"/>
                <w:color w:val="auto"/>
              </w:rPr>
            </w:pPr>
            <w:r>
              <w:rPr>
                <w:rFonts w:ascii="Arial" w:cs="Arial" w:eastAsia="Arial" w:hAnsi="Arial"/>
                <w:sz w:val="18"/>
                <w:szCs w:val="18"/>
                <w:b w:val="1"/>
                <w:bCs w:val="1"/>
                <w:color w:val="auto"/>
              </w:rPr>
              <w:t>Statement of Cash</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and Cash Payments</w:t>
            </w:r>
          </w:p>
        </w:tc>
        <w:tc>
          <w:tcPr>
            <w:tcW w:w="19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Flows, Restricted Cash</w:t>
            </w:r>
          </w:p>
        </w:tc>
        <w:tc>
          <w:tcPr>
            <w:tcW w:w="340" w:type="dxa"/>
            <w:vAlign w:val="bottom"/>
          </w:tcPr>
          <w:p>
            <w:pPr>
              <w:spacing w:after="0"/>
              <w:rPr>
                <w:sz w:val="20"/>
                <w:szCs w:val="20"/>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As Recast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3"/>
          </w:tcPr>
          <w:p>
            <w:pPr>
              <w:jc w:val="center"/>
              <w:ind w:left="510"/>
              <w:spacing w:after="0"/>
              <w:rPr>
                <w:sz w:val="20"/>
                <w:szCs w:val="20"/>
                <w:color w:val="auto"/>
              </w:rPr>
            </w:pPr>
            <w:r>
              <w:rPr>
                <w:rFonts w:ascii="Arial" w:cs="Arial" w:eastAsia="Arial" w:hAnsi="Arial"/>
                <w:sz w:val="18"/>
                <w:szCs w:val="18"/>
                <w:color w:val="auto"/>
                <w:w w:val="96"/>
              </w:rPr>
              <w:t>(in millions)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Change in cash from investing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from financing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Change in cash, cash equivalents, and restricted</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beginning of the period</w:t>
            </w:r>
          </w:p>
        </w:tc>
        <w:tc>
          <w:tcPr>
            <w:tcW w:w="26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9,832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Cash, cash equivalents, and restricted cash at end</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9,554</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9,975</w:t>
            </w:r>
          </w:p>
        </w:tc>
        <w:tc>
          <w:tcPr>
            <w:tcW w:w="0" w:type="dxa"/>
            <w:vAlign w:val="bottom"/>
          </w:tcPr>
          <w:p>
            <w:pPr>
              <w:spacing w:after="0"/>
              <w:rPr>
                <w:sz w:val="1"/>
                <w:szCs w:val="1"/>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 the period</w:t>
            </w:r>
          </w:p>
        </w:tc>
        <w:tc>
          <w:tcPr>
            <w:tcW w:w="260" w:type="dxa"/>
            <w:vAlign w:val="bottom"/>
            <w:vMerge w:val="continue"/>
            <w:shd w:val="clear" w:color="auto" w:fill="CCEEFF"/>
          </w:tcPr>
          <w:p>
            <w:pPr>
              <w:spacing w:after="0"/>
              <w:rPr>
                <w:sz w:val="20"/>
                <w:szCs w:val="20"/>
                <w:color w:val="auto"/>
              </w:rPr>
            </w:pPr>
          </w:p>
        </w:tc>
        <w:tc>
          <w:tcPr>
            <w:tcW w:w="1560" w:type="dxa"/>
            <w:vAlign w:val="bottom"/>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80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5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89"/>
              </w:rPr>
              <w:t>17</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INTERIM UPDATE TO SUMMARY OF SIGNIFICANT ACCOUNTING POLICIES</w:t>
      </w:r>
    </w:p>
    <w:p>
      <w:pPr>
        <w:spacing w:after="0" w:line="229"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As mentioned previously in Note 1 of the Notes to the Condensed Consolidated Financial Statements, the Company adopted amended guidance on the recognition of revenue from contracts with customers during the three months ended May 4, 2018, using the full retrospective method. The following accounting policies have been updated as part of the adoption of the new standard.</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enters into a variety of agreements to provide a wide portfolio of products and services offerings to its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These agreements have varying requirements depending on the goods and services being sold, the rights and obligations conveyed, and the legal jurisdiction of the arrangement.</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Revenue is recognized either over time or at a point in time, depending on when the underlying goods or services are transferred to the customer, in an amount that reflects the consideration to which the Company expects to be entitled in exchange for delivering those goods or services. The following five steps are applied to recognize revenue:</w:t>
      </w:r>
    </w:p>
    <w:p>
      <w:pPr>
        <w:spacing w:after="0" w:line="181" w:lineRule="exact"/>
        <w:rPr>
          <w:sz w:val="20"/>
          <w:szCs w:val="20"/>
          <w:color w:val="auto"/>
        </w:rPr>
      </w:pPr>
    </w:p>
    <w:p>
      <w:pPr>
        <w:ind w:left="660" w:right="40" w:hanging="328"/>
        <w:spacing w:after="0" w:line="271" w:lineRule="auto"/>
        <w:tabs>
          <w:tab w:leader="none" w:pos="6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Identify the contract with a customer. </w:t>
      </w:r>
      <w:r>
        <w:rPr>
          <w:rFonts w:ascii="Arial" w:cs="Arial" w:eastAsia="Arial" w:hAnsi="Arial"/>
          <w:sz w:val="17"/>
          <w:szCs w:val="17"/>
          <w:color w:val="auto"/>
        </w:rPr>
        <w:t>The term “contract” refers to the enforceable rights and obligations provided in an agreement between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one or more other parties in exchange for payment. The Company evaluates facts and circumstances regarding sales transactions in order to identify contracts with its customers. An agreement must meet all of the following criteria to qualify as a contract eligible for revenue recognition under the model: (i) the contract must be approved by all parties; (ii) each party's rights regarding the goods and services to be transferred to the customer can be identified; (iii) the payment terms for the good and services can be identified; (iv) the customer has the ability and intent to pay and it is probable that the Company will collect substantially all of the consideration to which it will be entitled; and (v) the contract must have commercial substance. Judgment is used in determining the customer's ability and intent to pay, which is based upon various factors including the customer's historical payment experience or customer credit and financial information.</w:t>
      </w:r>
    </w:p>
    <w:p>
      <w:pPr>
        <w:spacing w:after="0" w:line="178" w:lineRule="exact"/>
        <w:rPr>
          <w:rFonts w:ascii="Arial" w:cs="Arial" w:eastAsia="Arial" w:hAnsi="Arial"/>
          <w:sz w:val="17"/>
          <w:szCs w:val="17"/>
          <w:i w:val="1"/>
          <w:iCs w:val="1"/>
          <w:color w:val="auto"/>
        </w:rPr>
      </w:pPr>
    </w:p>
    <w:p>
      <w:pPr>
        <w:ind w:left="660" w:right="20" w:hanging="328"/>
        <w:spacing w:after="0" w:line="269" w:lineRule="auto"/>
        <w:tabs>
          <w:tab w:leader="none" w:pos="6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Identify the performance obligations in the contract. </w:t>
      </w:r>
      <w:r>
        <w:rPr>
          <w:rFonts w:ascii="Arial" w:cs="Arial" w:eastAsia="Arial" w:hAnsi="Arial"/>
          <w:sz w:val="17"/>
          <w:szCs w:val="17"/>
          <w:color w:val="auto"/>
        </w:rPr>
        <w:t>Distinct promises within a contract are referred to as "performance obligations" and are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as separate units of account. 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Company's promise to transfer the good or service to the customer is separately identifiable from other promises in the contract (that is, the promise to transfer the good or service is distinct within the context of the contract). The Company's performance obligations consist of a variety of products and services offerings which include: computer and enterprise hardware, such as servers, storage, networking, personal computers, workstations, and peripherals; third-party software; proprietary software licenses; support and deployment services, which include hardware support that extends beyond the Company's standard warranties, software maintenance, and installation; professional services; training; software as a service ("SaaS"); and infrastructure as a service ("IaaS").</w:t>
      </w:r>
    </w:p>
    <w:p>
      <w:pPr>
        <w:spacing w:after="0" w:line="179" w:lineRule="exact"/>
        <w:rPr>
          <w:rFonts w:ascii="Arial" w:cs="Arial" w:eastAsia="Arial" w:hAnsi="Arial"/>
          <w:sz w:val="17"/>
          <w:szCs w:val="17"/>
          <w:i w:val="1"/>
          <w:iCs w:val="1"/>
          <w:color w:val="auto"/>
        </w:rPr>
      </w:pPr>
    </w:p>
    <w:p>
      <w:pPr>
        <w:ind w:left="660" w:hanging="328"/>
        <w:spacing w:after="0" w:line="293"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Determine the transaction price. </w:t>
      </w:r>
      <w:r>
        <w:rPr>
          <w:rFonts w:ascii="Arial" w:cs="Arial" w:eastAsia="Arial" w:hAnsi="Arial"/>
          <w:sz w:val="16"/>
          <w:szCs w:val="16"/>
          <w:color w:val="auto"/>
        </w:rPr>
        <w:t>Transaction price reflects the amount of consideration to which the Company expects to be entitled in exchange for</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transferring goods or services to the customer. If the consideration promised in a contract includes a variable amount, the Company estimates the amount to which it expects to be entitled using either the expected value or most likely amount method. The Company’s contracts may include terms that could cause variability in the transaction price, including, for example, rebates, sales returns, and volume discounts. In determining the transaction price, any variable consideration would be considered, to the extent applicable, if it is probable that a significant future reversal of cumulative revenue under the contract will not occur when the uncertainty associated with the variable consideration is resolved.</w:t>
      </w:r>
    </w:p>
    <w:p>
      <w:pPr>
        <w:spacing w:after="0" w:line="164" w:lineRule="exact"/>
        <w:rPr>
          <w:rFonts w:ascii="Arial" w:cs="Arial" w:eastAsia="Arial" w:hAnsi="Arial"/>
          <w:sz w:val="16"/>
          <w:szCs w:val="16"/>
          <w:i w:val="1"/>
          <w:iCs w:val="1"/>
          <w:color w:val="auto"/>
        </w:rPr>
      </w:pPr>
    </w:p>
    <w:p>
      <w:pPr>
        <w:ind w:left="660" w:right="280" w:hanging="328"/>
        <w:spacing w:after="0" w:line="25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Allocate the transaction price to performance obligations in the contract. </w:t>
      </w:r>
      <w:r>
        <w:rPr>
          <w:rFonts w:ascii="Arial" w:cs="Arial" w:eastAsia="Arial" w:hAnsi="Arial"/>
          <w:sz w:val="18"/>
          <w:szCs w:val="18"/>
          <w:color w:val="auto"/>
        </w:rPr>
        <w:t>Many of the Company’s contracts include promises to transfer multiple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to a customer, and the transaction price must be allocated to each performance obligation in an amount that depicts the consideration to which the Company expects to be entitled in exchange for transferring the promised goods or services. For these contracts with multiple performance obligations, the transaction price is allocated in proportion to the standalone selling price ("SSP") of each performance obligation.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contract contains a single performance obligation, the entire transaction price is allocated to that performance obligation.</w:t>
      </w:r>
    </w:p>
    <w:p>
      <w:pPr>
        <w:spacing w:after="0" w:line="239" w:lineRule="exact"/>
        <w:rPr>
          <w:sz w:val="20"/>
          <w:szCs w:val="20"/>
          <w:color w:val="auto"/>
        </w:rPr>
      </w:pPr>
    </w:p>
    <w:p>
      <w:pPr>
        <w:ind w:left="660" w:right="260"/>
        <w:spacing w:after="0" w:line="255" w:lineRule="auto"/>
        <w:rPr>
          <w:sz w:val="20"/>
          <w:szCs w:val="20"/>
          <w:color w:val="auto"/>
        </w:rPr>
      </w:pPr>
      <w:r>
        <w:rPr>
          <w:rFonts w:ascii="Arial" w:cs="Arial" w:eastAsia="Arial" w:hAnsi="Arial"/>
          <w:sz w:val="18"/>
          <w:szCs w:val="18"/>
          <w:color w:val="auto"/>
        </w:rPr>
        <w:t>The best evidence of SSP is the observable price of a good or service when the Company sells that good or service separately in similar circumstances to similar customers. If a directly observable price is available, it must be utilized for the SSP. If a directly observable price is not available, the SSP must be estimated. The Company estimates SSP by considering multiple factors including, but not limited to, pricing practices, internal costs, and profit objectives as well as overall market conditions which include geographic or regional specific factors, competitive positioning, and competitor actions. SSP can include fixed and variable components. Variable components are estimated based on the most likely outcome or expected value of the variable components.</w:t>
      </w:r>
    </w:p>
    <w:p>
      <w:pPr>
        <w:spacing w:after="0" w:line="193" w:lineRule="exact"/>
        <w:rPr>
          <w:sz w:val="20"/>
          <w:szCs w:val="20"/>
          <w:color w:val="auto"/>
        </w:rPr>
      </w:pPr>
    </w:p>
    <w:p>
      <w:pPr>
        <w:ind w:left="660" w:right="20" w:hanging="328"/>
        <w:spacing w:after="0" w:line="259"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Recognize revenue when (or as) the performance obligation is satisfied. </w:t>
      </w:r>
      <w:r>
        <w:rPr>
          <w:rFonts w:ascii="Arial" w:cs="Arial" w:eastAsia="Arial" w:hAnsi="Arial"/>
          <w:sz w:val="18"/>
          <w:szCs w:val="18"/>
          <w:color w:val="auto"/>
        </w:rPr>
        <w:t>Revenue is recognized when obligations under the terms of the contract with</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 are satisfied. Revenue is recognized either over time or at a point in time, depending on when the underlying products or services are transferred to the customer. Revenue is recorded at a point in time for products upon transfer of control. Revenue is recognized over time for support and deployment services, professional services, training, SaaS, and IaaS.</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reports revenue net of any revenue-based taxes assessed by governmental authorities that are imposed on and concurrently with specific revenue-producing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elected the following practical expedients with the adoption of the new revenue standard:</w:t>
      </w:r>
    </w:p>
    <w:p>
      <w:pPr>
        <w:spacing w:after="0" w:line="225" w:lineRule="exact"/>
        <w:rPr>
          <w:sz w:val="20"/>
          <w:szCs w:val="20"/>
          <w:color w:val="auto"/>
        </w:rPr>
      </w:pPr>
    </w:p>
    <w:p>
      <w:pPr>
        <w:ind w:left="660" w:right="14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does not account for significant financing components if the period between revenue recognition and when the customer pays for the product or service will be one year or less.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recognizes revenue equal to the amount it has a right to invoice when the amount corresponds directly with the value to the customer of the Company's performance to date.</w:t>
      </w:r>
    </w:p>
    <w:p>
      <w:pPr>
        <w:ind w:left="660" w:right="44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does not account for shipping and handling activities as a separate performance obligation, but rather as an activity performed to transfer the promised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nature of revenue recognized and the manner in which the Company accounts for sales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Products</w:t>
      </w:r>
    </w:p>
    <w:p>
      <w:pPr>
        <w:spacing w:after="0" w:line="225" w:lineRule="exact"/>
        <w:rPr>
          <w:sz w:val="20"/>
          <w:szCs w:val="20"/>
          <w:color w:val="auto"/>
        </w:rPr>
      </w:pPr>
    </w:p>
    <w:p>
      <w:pPr>
        <w:ind w:left="340" w:right="140"/>
        <w:spacing w:after="0" w:line="279" w:lineRule="auto"/>
        <w:rPr>
          <w:sz w:val="20"/>
          <w:szCs w:val="20"/>
          <w:color w:val="auto"/>
        </w:rPr>
      </w:pPr>
      <w:r>
        <w:rPr>
          <w:rFonts w:ascii="Arial" w:cs="Arial" w:eastAsia="Arial" w:hAnsi="Arial"/>
          <w:sz w:val="17"/>
          <w:szCs w:val="17"/>
          <w:color w:val="auto"/>
        </w:rPr>
        <w:t>Product revenue consists of hardware and software license sales that are delivered, sold as a subscription or sold on a consumption basis. Hardware includes notebooks and desktop PCs, servers, storage hardware, and other hardware-related devices. Software license sales include non-essential, stand-alone software applications. Software applications provide customers with resource management, backup and archiving, information security, information management and intelligence, data analytics, and server virtualization capabilities.</w:t>
      </w:r>
    </w:p>
    <w:p>
      <w:pPr>
        <w:spacing w:after="0" w:line="171"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Revenue from the sale of hardware products is recognized when control has transferred to the customer, which typically occurs when the hardware has been shipped to the customer, risk of loss has transferred to the customer, the Company has a present right to payment, and customer acceptance has been satisfied. Customer acceptance is satisfied if acceptance is obtained from the customer, if all acceptance provisions lapse, or if the Company has evidence that all acceptance provisions will be, or have been, satisfied. Revenue from software license sales is generally recognized when control has transferred to the customer, which is typically upon shipment, electronic delivery, or when the software is available for download by the customer. For certain arrangements, including software subscriptions and certain software license agreements which provide customers control to certain product performance obligations over time, revenue is recognized based on usage or ratably over the term of the arrangement based on the pattern of delivery of the product to the customer.</w:t>
      </w:r>
    </w:p>
    <w:p>
      <w:pPr>
        <w:spacing w:after="0" w:line="192"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Invoices for products are generally issued as control transfers, which is typically upon shipment or electronic delivery. There was no significant revenue in any period presented related to performance obligations satisfied or partially satisfied in prior periods.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Services</w:t>
      </w:r>
    </w:p>
    <w:p>
      <w:pPr>
        <w:spacing w:after="0" w:line="225" w:lineRule="exact"/>
        <w:rPr>
          <w:sz w:val="20"/>
          <w:szCs w:val="20"/>
          <w:color w:val="auto"/>
        </w:rPr>
      </w:pPr>
    </w:p>
    <w:p>
      <w:pPr>
        <w:ind w:left="340" w:right="80"/>
        <w:spacing w:after="0" w:line="297" w:lineRule="auto"/>
        <w:rPr>
          <w:sz w:val="20"/>
          <w:szCs w:val="20"/>
          <w:color w:val="auto"/>
        </w:rPr>
      </w:pPr>
      <w:r>
        <w:rPr>
          <w:rFonts w:ascii="Arial" w:cs="Arial" w:eastAsia="Arial" w:hAnsi="Arial"/>
          <w:sz w:val="16"/>
          <w:szCs w:val="16"/>
          <w:color w:val="auto"/>
        </w:rPr>
        <w:t>Services revenue consists of revenue from sales of support services, including hardware support that extends beyond the Company's standard warranties, software maintenance, and installation; professional services; training; SaaS; and IaaS. Revenue associated with undelivered performance obligations is deferred and recorded as control is transferred to the customer over time. Revenue from fixed-price support or maintenance contracts sold for both hardware and software is recognized on a straight-line basis over the period of performance because the Company is required to provide services at any given time. Other services revenue is recognized when the Company performs the services and the customers receive and consume the benefits.</w:t>
      </w:r>
    </w:p>
    <w:p>
      <w:pPr>
        <w:spacing w:after="0" w:line="158" w:lineRule="exact"/>
        <w:rPr>
          <w:sz w:val="20"/>
          <w:szCs w:val="20"/>
          <w:color w:val="auto"/>
        </w:rPr>
      </w:pPr>
    </w:p>
    <w:p>
      <w:pPr>
        <w:ind w:left="340" w:right="520"/>
        <w:spacing w:after="0" w:line="277" w:lineRule="auto"/>
        <w:rPr>
          <w:sz w:val="20"/>
          <w:szCs w:val="20"/>
          <w:color w:val="auto"/>
        </w:rPr>
      </w:pPr>
      <w:r>
        <w:rPr>
          <w:rFonts w:ascii="Arial" w:cs="Arial" w:eastAsia="Arial" w:hAnsi="Arial"/>
          <w:sz w:val="18"/>
          <w:szCs w:val="18"/>
          <w:color w:val="auto"/>
        </w:rPr>
        <w:t>Invoices for services may be issued at the start of a service term, which is typically the case for support and deployment services, or as services are rendered, which is typically the case for professional services, training, SaaS, and IaaS.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w:t>
      </w:r>
    </w:p>
    <w:p>
      <w:pPr>
        <w:spacing w:after="0" w:line="225" w:lineRule="exact"/>
        <w:rPr>
          <w:sz w:val="20"/>
          <w:szCs w:val="20"/>
          <w:color w:val="auto"/>
        </w:rPr>
      </w:pPr>
    </w:p>
    <w:p>
      <w:pPr>
        <w:ind w:left="340" w:right="100"/>
        <w:spacing w:after="0" w:line="293" w:lineRule="auto"/>
        <w:rPr>
          <w:sz w:val="20"/>
          <w:szCs w:val="20"/>
          <w:color w:val="auto"/>
        </w:rPr>
      </w:pPr>
      <w:r>
        <w:rPr>
          <w:rFonts w:ascii="Arial" w:cs="Arial" w:eastAsia="Arial" w:hAnsi="Arial"/>
          <w:sz w:val="16"/>
          <w:szCs w:val="16"/>
          <w:color w:val="auto"/>
        </w:rPr>
        <w:t>Revenue from leasing arrangements is not subject to the new revenue standard from contracts with customers, and remains separately accounted for under existing lease accounting guidance. The Company records revenue from the sale of equipment under sales-type leases as product revenue in an amount equal to the present value of minimum lease payments at the inception of the lease. Sales-type leases also produce financing income, which is included in net products revenue in the Consolidated Statements of Income (Loss) and is recognized at consistent rates of return over the lease term. The Company also offers qualified customers fixed-term loans and revolving credit lines for the purchase of products and services offered by the Company. Financing income attributable to these loans is recognized in product revenue on an accrual basis.</w:t>
      </w:r>
    </w:p>
    <w:p>
      <w:pPr>
        <w:spacing w:after="0" w:line="16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 xml:space="preserve">Disaggregation of Revenue </w:t>
      </w:r>
      <w:r>
        <w:rPr>
          <w:rFonts w:ascii="Arial" w:cs="Arial" w:eastAsia="Arial" w:hAnsi="Arial"/>
          <w:sz w:val="17"/>
          <w:szCs w:val="17"/>
          <w:color w:val="auto"/>
        </w:rPr>
        <w:t>— The Company's revenue is presented on a disaggregated basis on the Condensed Consolidated Statements of Income (Loss)</w:t>
      </w:r>
      <w:r>
        <w:rPr>
          <w:rFonts w:ascii="Arial" w:cs="Arial" w:eastAsia="Arial" w:hAnsi="Arial"/>
          <w:sz w:val="17"/>
          <w:szCs w:val="17"/>
          <w:i w:val="1"/>
          <w:iCs w:val="1"/>
          <w:color w:val="auto"/>
        </w:rPr>
        <w:t xml:space="preserve"> </w:t>
      </w:r>
      <w:r>
        <w:rPr>
          <w:rFonts w:ascii="Arial" w:cs="Arial" w:eastAsia="Arial" w:hAnsi="Arial"/>
          <w:sz w:val="17"/>
          <w:szCs w:val="17"/>
          <w:color w:val="auto"/>
        </w:rPr>
        <w:t>and in Note 18 of the Notes to the Condensed Consolidated Financial Statements based on an evaluation of disclosures outside of the financial statements, information regularly reviewed by the chief operating decision maker for evaluating the financial performance of operating segments, and other information that is used to evaluate the Company's financial performance or make resource allocations. This information includes revenue from product and services, revenue from reportable segments, and revenue by major product categories within the segments.</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Contract Assets </w:t>
      </w:r>
      <w:r>
        <w:rPr>
          <w:rFonts w:ascii="Arial" w:cs="Arial" w:eastAsia="Arial" w:hAnsi="Arial"/>
          <w:sz w:val="18"/>
          <w:szCs w:val="18"/>
          <w:color w:val="auto"/>
        </w:rPr>
        <w:t>— Contract assets are rights to consideration in exchange for goods or services that the Company has transferred to a customer when such a</w:t>
      </w:r>
      <w:r>
        <w:rPr>
          <w:rFonts w:ascii="Arial" w:cs="Arial" w:eastAsia="Arial" w:hAnsi="Arial"/>
          <w:sz w:val="18"/>
          <w:szCs w:val="18"/>
          <w:i w:val="1"/>
          <w:iCs w:val="1"/>
          <w:color w:val="auto"/>
        </w:rPr>
        <w:t xml:space="preserve"> </w:t>
      </w:r>
      <w:r>
        <w:rPr>
          <w:rFonts w:ascii="Arial" w:cs="Arial" w:eastAsia="Arial" w:hAnsi="Arial"/>
          <w:sz w:val="18"/>
          <w:szCs w:val="18"/>
          <w:color w:val="auto"/>
        </w:rPr>
        <w:t>right is conditional on something other than the passage of time. Such amounts have been insignificant to date.</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 Contract liabilities primarily consist of deferred revenue. Deferred revenue is recorded when the Company has a right to invoice or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have been received for undelivered products or services, or in situations where revenue recognition criteria have not been met. Deferred revenue also represents amounts received in advance for extended warranty services and software maintenance.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are recognized as the Company's performance obligations under the contract are completed. See Note 9 of the Notes to the Condensed Consolidated Financial Statements for additional information about deferred revenue.</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Costs to Obtain a Contract </w:t>
      </w:r>
      <w:r>
        <w:rPr>
          <w:rFonts w:ascii="Arial" w:cs="Arial" w:eastAsia="Arial" w:hAnsi="Arial"/>
          <w:sz w:val="17"/>
          <w:szCs w:val="17"/>
          <w:color w:val="auto"/>
        </w:rPr>
        <w:t>— The incremental direct costs of obtaining a contract primarily consist of sales commissions and employer taxes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payments. The Company has elected, as a practical expedient, to expense as incurred costs to obtain a contract equal to or less than one year in duration. For contracts greater than one year in duration, the associated costs to obtain a contract are deferred and amortized over the period of contract performance or a longer period, generally the estimated life of the customer relationship, if renewals are expected and the renewal commission is not commensurate with the initial commission. Deferred costs to obtain a contract are typically amortized over a period of 3 to 7 years, depending on the contract term and expectation of the period of benefit for the costs, which may exceed the contract term. Amortization expense is recognized on a straight-line basis and included in selling, general, and administrative expenses in the Condensed Consolidated Statements of Income (Loss). The Company periodically reviews these deferred costs to determine whether events or changes in circumstances have occurred that could impact the carrying value or period of benefit of the deferred sales commissions. There were no material impairment losses for deferred sales commissions during the three months ended May 4, 2018 and May 5, 2017.</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costs to obtain a contract as of May 4, 2018 and February 2, 2018 were $909 million and $834 million, respectively. Deferred costs to obtain a contract are classified as current assets and other non-current assets on the Condensed Consolidated Statements of Financial Position, based on when the expense is expected to be recognized. Amortization of costs to obtain a contract during the three months ended May 4, 2018 and May 5, 2017 was $108 million and $54 million,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240" w:top="125" w:right="6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Company's hierarchy for its assets and liabilities measured at fair value on a recurring basis as of May 4,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5"/>
          </w:tcPr>
          <w:p>
            <w:pPr>
              <w:ind w:left="400"/>
              <w:spacing w:after="0"/>
              <w:rPr>
                <w:sz w:val="20"/>
                <w:szCs w:val="20"/>
                <w:color w:val="auto"/>
              </w:rPr>
            </w:pPr>
            <w:r>
              <w:rPr>
                <w:rFonts w:ascii="Arial" w:cs="Arial" w:eastAsia="Arial" w:hAnsi="Arial"/>
                <w:sz w:val="18"/>
                <w:szCs w:val="18"/>
                <w:b w:val="1"/>
                <w:bCs w:val="1"/>
                <w:color w:val="auto"/>
              </w:rPr>
              <w:t>May 4, 2018 (a)</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5"/>
          </w:tcPr>
          <w:p>
            <w:pPr>
              <w:ind w:left="360"/>
              <w:spacing w:after="0"/>
              <w:rPr>
                <w:sz w:val="20"/>
                <w:szCs w:val="20"/>
                <w:color w:val="auto"/>
              </w:rPr>
            </w:pPr>
            <w:r>
              <w:rPr>
                <w:rFonts w:ascii="Arial" w:cs="Arial" w:eastAsia="Arial" w:hAnsi="Arial"/>
                <w:sz w:val="18"/>
                <w:szCs w:val="18"/>
                <w:b w:val="1"/>
                <w:bCs w:val="1"/>
                <w:color w:val="auto"/>
              </w:rPr>
              <w:t>February 2, 2018</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1</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Level 3</w:t>
            </w:r>
          </w:p>
        </w:tc>
        <w:tc>
          <w:tcPr>
            <w:tcW w:w="16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1</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Level 3</w:t>
            </w:r>
          </w:p>
        </w:tc>
        <w:tc>
          <w:tcPr>
            <w:tcW w:w="160" w:type="dxa"/>
            <w:vAlign w:val="bottom"/>
          </w:tcPr>
          <w:p>
            <w:pPr>
              <w:spacing w:after="0"/>
              <w:rPr>
                <w:sz w:val="20"/>
                <w:szCs w:val="20"/>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65" w:lineRule="exact"/>
              <w:rPr>
                <w:sz w:val="20"/>
                <w:szCs w:val="20"/>
                <w:color w:val="auto"/>
              </w:rPr>
            </w:pPr>
            <w:r>
              <w:rPr>
                <w:rFonts w:ascii="Arial" w:cs="Arial" w:eastAsia="Arial" w:hAnsi="Arial"/>
                <w:sz w:val="15"/>
                <w:szCs w:val="15"/>
                <w:b w:val="1"/>
                <w:bCs w:val="1"/>
                <w:color w:val="auto"/>
                <w:w w:val="91"/>
              </w:rPr>
              <w:t>Quoted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5" w:lineRule="exact"/>
              <w:rPr>
                <w:sz w:val="20"/>
                <w:szCs w:val="20"/>
                <w:color w:val="auto"/>
              </w:rPr>
            </w:pPr>
            <w:r>
              <w:rPr>
                <w:rFonts w:ascii="Arial" w:cs="Arial" w:eastAsia="Arial" w:hAnsi="Arial"/>
                <w:sz w:val="15"/>
                <w:szCs w:val="15"/>
                <w:b w:val="1"/>
                <w:bCs w:val="1"/>
                <w:color w:val="auto"/>
                <w:w w:val="91"/>
              </w:rPr>
              <w:t>Quoted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Prices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Prices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in Active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Significant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2"/>
              </w:rPr>
              <w:t>in Active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Significant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06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Other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Other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5"/>
              </w:rPr>
              <w:t>Identical</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Observable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0"/>
              </w:rPr>
              <w:t>Unobservable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5"/>
              </w:rPr>
              <w:t>Identical</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Observable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0"/>
              </w:rPr>
              <w:t>Unobservable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81"/>
              </w:rPr>
              <w:t>Assets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7"/>
              </w:rPr>
              <w:t>Inputs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3"/>
              </w:rPr>
              <w:t>Inputs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81"/>
              </w:rPr>
              <w:t>Assets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7"/>
              </w:rPr>
              <w:t>Inputs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3"/>
              </w:rPr>
              <w:t>Inputs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5"/>
          </w:tcPr>
          <w:p>
            <w:pPr>
              <w:ind w:left="24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10,837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99"/>
              </w:rPr>
              <w:t>10,837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8,641</w:t>
            </w: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U.S. corporate debt securities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Foreign 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U.S. government and agencies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1,074</w:t>
            </w: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U.S. corporate</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1,988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1,988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2,003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2,003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2,442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2,547</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Equity and other securities</w:t>
            </w:r>
          </w:p>
        </w:tc>
        <w:tc>
          <w:tcPr>
            <w:tcW w:w="14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376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386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11,889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5,019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99"/>
              </w:rPr>
              <w:t>16,908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9,559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5,118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99"/>
              </w:rPr>
              <w:t>14,677</w:t>
            </w:r>
          </w:p>
        </w:tc>
        <w:tc>
          <w:tcPr>
            <w:tcW w:w="0" w:type="dxa"/>
            <w:vAlign w:val="bottom"/>
          </w:tcPr>
          <w:p>
            <w:pPr>
              <w:spacing w:after="0"/>
              <w:rPr>
                <w:sz w:val="1"/>
                <w:szCs w:val="1"/>
                <w:color w:val="auto"/>
              </w:rPr>
            </w:pPr>
          </w:p>
        </w:tc>
      </w:tr>
      <w:tr>
        <w:trPr>
          <w:trHeight w:val="22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(a) The Company did not transfer any securities between levels during the three months ended May 4,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 xml:space="preserve">Money Market Funds </w:t>
      </w:r>
      <w:r>
        <w:rPr>
          <w:rFonts w:ascii="Arial" w:cs="Arial" w:eastAsia="Arial" w:hAnsi="Arial"/>
          <w:sz w:val="17"/>
          <w:szCs w:val="17"/>
          <w:color w:val="auto"/>
        </w:rPr>
        <w:t>— The Company's investment in money market funds that are classified as cash equivalents hold underlying investments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May 4, 2018, the Company's U.S. portfolio had no material exposure to money market funds with a fluctuating net asset value.</w:t>
      </w:r>
    </w:p>
    <w:p>
      <w:pPr>
        <w:spacing w:after="0" w:line="17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Equity and Other Securities </w:t>
      </w:r>
      <w:r>
        <w:rPr>
          <w:rFonts w:ascii="Arial" w:cs="Arial" w:eastAsia="Arial" w:hAnsi="Arial"/>
          <w:sz w:val="16"/>
          <w:szCs w:val="16"/>
          <w:color w:val="auto"/>
        </w:rPr>
        <w:t>— The majority of the Company's investments in equity and other securities that are measured at fair value on a recurring basis</w:t>
      </w:r>
      <w:r>
        <w:rPr>
          <w:rFonts w:ascii="Arial" w:cs="Arial" w:eastAsia="Arial" w:hAnsi="Arial"/>
          <w:sz w:val="16"/>
          <w:szCs w:val="16"/>
          <w:i w:val="1"/>
          <w:iCs w:val="1"/>
          <w:color w:val="auto"/>
        </w:rPr>
        <w:t xml:space="preserve"> </w:t>
      </w:r>
      <w:r>
        <w:rPr>
          <w:rFonts w:ascii="Arial" w:cs="Arial" w:eastAsia="Arial" w:hAnsi="Arial"/>
          <w:sz w:val="16"/>
          <w:szCs w:val="16"/>
          <w:color w:val="auto"/>
        </w:rPr>
        <w:t>consist of strategic investments in publicly traded companies. The valuation of these securities is based on quoted prices in active markets.</w:t>
      </w:r>
    </w:p>
    <w:p>
      <w:pPr>
        <w:spacing w:after="0" w:line="12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Debt Securities </w:t>
      </w:r>
      <w:r>
        <w:rPr>
          <w:rFonts w:ascii="Arial" w:cs="Arial" w:eastAsia="Arial" w:hAnsi="Arial"/>
          <w:sz w:val="16"/>
          <w:szCs w:val="16"/>
          <w:color w:val="auto"/>
        </w:rPr>
        <w:t>— The majority of the Company's debt securities consists of various fixed income securities such as U.S. government and agencies, U.S.</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and foreign. Valuation is based on pricing models whereby all significant inputs, including benchmark yields, reported trades, broker-dealer quotes, issue spreads, benchmark securities, bids, offers, and other market related data, are observable or can be derived from or corroborated by observable market data for substantially the full term of the asset. Inputs are documented in accordance with the fair value measurements hierarchy. The Company reviews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security pricing and assesses liquidity on a quarterly basis. See Note 4 of the Notes to the Condensed Consolidated Financial Statements for additional information about investments.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color w:val="auto"/>
        </w:rPr>
        <w:t>— The Company's derivative financial instruments consist primarily of foreign currency forward and purchased option contracts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swaps. The fair value of the portfolio is determined using valuation models based on market observable inputs, including interest rate curves, forward and spot prices for currencies, and implied volatilities. Credit risk is also factored into the fair value calculation of the Company's derivative instrument portfolio. See Note 7 of the Notes to the Condensed Consolidated Financial Statements for a description of the Company's derivative financial instrument activities.</w:t>
      </w:r>
    </w:p>
    <w:p>
      <w:pPr>
        <w:spacing w:after="0" w:line="188"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i w:val="1"/>
          <w:iCs w:val="1"/>
          <w:color w:val="auto"/>
        </w:rPr>
        <w:t xml:space="preserve">Assets and Liabilities Measured at Fair Value on a Nonrecurring Basis </w:t>
      </w:r>
      <w:r>
        <w:rPr>
          <w:rFonts w:ascii="Arial" w:cs="Arial" w:eastAsia="Arial" w:hAnsi="Arial"/>
          <w:sz w:val="16"/>
          <w:szCs w:val="16"/>
          <w:color w:val="auto"/>
        </w:rPr>
        <w:t>— Certain assets are measured at fair value on a nonrecurring basis and therefore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included in the recurring fair value table above. These assets consist primarily of non-financial assets such as goodwill and intangible assets. See Note 8 of the Notes to the Condensed Consolidated Financial Statements for additional information about goodwill and intangible assets.</w:t>
      </w:r>
    </w:p>
    <w:p>
      <w:pPr>
        <w:spacing w:after="0" w:line="14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As of May 4, 2018 and February 2, 2018, the Company held strategic investments of $484 million and $485 million, respectively. As these investments represent early-stage companies without readily determinable fair values, they are not included in the recurring fair value table above.</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has elected to apply the measurement alternative for these investments. Under the alternative, the Company measures investments without readily determinable fair values at cost, less impairment, adjusted by observable price changes. The Company must make a separate election to use the alternative for each eligible investment and is required to reassess at each reporting period whether an investment qualifies for the alternative. In evaluating these investments for impairment or observable price changes, the Company uses inputs including pre- and post-money valuations of recent financing events and the impact of those on its fully diluted ownership percentages, as well as other available information regarding the issuer's historical and forecasted performance.</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Carrying Value and Estimated Fair Value of Outstanding Debt </w:t>
      </w:r>
      <w:r>
        <w:rPr>
          <w:rFonts w:ascii="Arial" w:cs="Arial" w:eastAsia="Arial" w:hAnsi="Arial"/>
          <w:sz w:val="18"/>
          <w:szCs w:val="18"/>
          <w:color w:val="auto"/>
        </w:rPr>
        <w:t>— The following table summarizes the carrying value and estimated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outstanding debt as described in Note 6 of the Notes to the Condensed Consolidated Financial Statements, including the current portion, as of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4"/>
          </w:tcPr>
          <w:p>
            <w:pPr>
              <w:ind w:left="1040"/>
              <w:spacing w:after="0"/>
              <w:rPr>
                <w:sz w:val="20"/>
                <w:szCs w:val="20"/>
                <w:color w:val="auto"/>
              </w:rPr>
            </w:pPr>
            <w:r>
              <w:rPr>
                <w:rFonts w:ascii="Arial" w:cs="Arial" w:eastAsia="Arial" w:hAnsi="Arial"/>
                <w:sz w:val="18"/>
                <w:szCs w:val="18"/>
                <w:b w:val="1"/>
                <w:bCs w:val="1"/>
                <w:color w:val="auto"/>
              </w:rPr>
              <w:t>May 4, 2018</w:t>
            </w:r>
          </w:p>
        </w:tc>
        <w:tc>
          <w:tcPr>
            <w:tcW w:w="160" w:type="dxa"/>
            <w:vAlign w:val="bottom"/>
          </w:tcPr>
          <w:p>
            <w:pPr>
              <w:spacing w:after="0"/>
              <w:rPr>
                <w:sz w:val="20"/>
                <w:szCs w:val="20"/>
                <w:color w:val="auto"/>
              </w:rPr>
            </w:pPr>
          </w:p>
        </w:tc>
        <w:tc>
          <w:tcPr>
            <w:tcW w:w="314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February 2, 2018</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Carrying Value</w:t>
            </w:r>
          </w:p>
        </w:tc>
        <w:tc>
          <w:tcPr>
            <w:tcW w:w="3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Carrying Value</w:t>
            </w:r>
          </w:p>
        </w:tc>
        <w:tc>
          <w:tcPr>
            <w:tcW w:w="34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60" w:type="dxa"/>
            <w:vAlign w:val="bottom"/>
            <w:gridSpan w:val="4"/>
          </w:tcPr>
          <w:p>
            <w:pPr>
              <w:jc w:val="right"/>
              <w:ind w:right="1150"/>
              <w:spacing w:after="0"/>
              <w:rPr>
                <w:sz w:val="20"/>
                <w:szCs w:val="20"/>
                <w:color w:val="auto"/>
              </w:rPr>
            </w:pPr>
            <w:r>
              <w:rPr>
                <w:rFonts w:ascii="Arial" w:cs="Arial" w:eastAsia="Arial" w:hAnsi="Arial"/>
                <w:sz w:val="18"/>
                <w:szCs w:val="18"/>
                <w:color w:val="auto"/>
              </w:rPr>
              <w:t>(in billions)</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Credit Facilities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First Lien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 and Debentures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VMware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Margin Loan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fair values of the outstanding debt shown in the table above, as well as the DFS debt described in Note 5 of the Notes to the Condensed Consolidated Financial Statements, were determined based on observable market prices in a less active market or based on valuation methodologies using observable inputs and were categorized as Level 2 in the fair value hierarchy. The fair value of DFS debt approximates carrying value.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table summarizes, by major security type, the carrying value and amortized cost of the Company's investments. All debt security investments with remaining effective maturities in excess of one year and substantially all equity and other securities are recorded as long-term investments in the Condensed Consolidated Statements of Financial Position.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5"/>
          </w:tcPr>
          <w:p>
            <w:pPr>
              <w:ind w:left="500"/>
              <w:spacing w:after="0"/>
              <w:rPr>
                <w:sz w:val="20"/>
                <w:szCs w:val="20"/>
                <w:color w:val="auto"/>
              </w:rPr>
            </w:pPr>
            <w:r>
              <w:rPr>
                <w:rFonts w:ascii="Arial" w:cs="Arial" w:eastAsia="Arial" w:hAnsi="Arial"/>
                <w:sz w:val="18"/>
                <w:szCs w:val="18"/>
                <w:b w:val="1"/>
                <w:bCs w:val="1"/>
                <w:color w:val="auto"/>
              </w:rPr>
              <w:t>May 4, 2018</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5"/>
          </w:tcPr>
          <w:p>
            <w:pPr>
              <w:ind w:left="320"/>
              <w:spacing w:after="0"/>
              <w:rPr>
                <w:sz w:val="20"/>
                <w:szCs w:val="20"/>
                <w:color w:val="auto"/>
              </w:rPr>
            </w:pPr>
            <w:r>
              <w:rPr>
                <w:rFonts w:ascii="Arial" w:cs="Arial" w:eastAsia="Arial" w:hAnsi="Arial"/>
                <w:sz w:val="18"/>
                <w:szCs w:val="18"/>
                <w:b w:val="1"/>
                <w:bCs w:val="1"/>
                <w:color w:val="auto"/>
              </w:rPr>
              <w:t>February 2, 2018</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Carrying</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60" w:type="dxa"/>
            <w:vAlign w:val="bottom"/>
          </w:tcPr>
          <w:p>
            <w:pPr>
              <w:spacing w:after="0"/>
              <w:rPr>
                <w:sz w:val="18"/>
                <w:szCs w:val="18"/>
                <w:color w:val="auto"/>
              </w:rPr>
            </w:pPr>
          </w:p>
        </w:tc>
        <w:tc>
          <w:tcPr>
            <w:tcW w:w="880" w:type="dxa"/>
            <w:vAlign w:val="bottom"/>
          </w:tcPr>
          <w:p>
            <w:pPr>
              <w:jc w:val="right"/>
              <w:ind w:right="111"/>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Gain</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(Loss)</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24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6"/>
                <w:szCs w:val="16"/>
                <w:b w:val="1"/>
                <w:bCs w:val="1"/>
                <w:color w:val="auto"/>
              </w:rPr>
              <w:t>Gain</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(Loss)</w:t>
            </w:r>
          </w:p>
        </w:tc>
        <w:tc>
          <w:tcPr>
            <w:tcW w:w="160" w:type="dxa"/>
            <w:vAlign w:val="bottom"/>
          </w:tcPr>
          <w:p>
            <w:pPr>
              <w:spacing w:after="0"/>
              <w:rPr>
                <w:sz w:val="18"/>
                <w:szCs w:val="18"/>
                <w:color w:val="auto"/>
              </w:rPr>
            </w:pPr>
          </w:p>
        </w:tc>
        <w:tc>
          <w:tcPr>
            <w:tcW w:w="880" w:type="dxa"/>
            <w:vAlign w:val="bottom"/>
          </w:tcPr>
          <w:p>
            <w:pPr>
              <w:jc w:val="right"/>
              <w:ind w:right="231"/>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5"/>
          </w:tcPr>
          <w:p>
            <w:pPr>
              <w:ind w:left="48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w w:val="95"/>
              </w:rPr>
              <w:t>U.S. government and agencies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U.S. 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Foreign debt securities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Total short-term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w w:val="95"/>
              </w:rPr>
              <w:t>U.S. government and agencies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U.S. 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Foreign debt securities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Equity and other securities (a)</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8"/>
                <w:szCs w:val="18"/>
                <w:color w:val="auto"/>
                <w:w w:val="99"/>
              </w:rPr>
              <w:t>Total long-term investments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3,816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6,312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6,350</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60" w:hanging="332"/>
        <w:spacing w:after="0" w:line="25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$484 million and $485 million of equity and other securities as of May 4, 2018 and February 2, 2018, respectively, are strategic investments without readily determinable fair values, which are recorded at cost, less impairment, and adjusted for observable price changes. The remainder are publicly-traded investments that are measured at fair value on a recurring basis. See Note 3 of the Notes to the Condensed Consolidated Financial Statements for additional information on investments measured at fair value.</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investments in debt securities are classified as available-for-sale securities, which are carried at fair value. As of May 4, 2018, the aggregate fair value of investments held in a continuous unrealized loss position for greater than 12 months was $1.7 billion, and the unrealized loss on these investments was $8 million. As of February 2, 2018, the aggregate fair value of investments held in a continuous unrealized loss position for greater than 12 months was $1.9 billion, and the unrealized loss on these investments was $25 million.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w w:val="95"/>
              </w:rPr>
              <w:t>The maturities of debt securities held as of May 4, 2018 are as follows:</w:t>
            </w: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3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Carrying Value</w:t>
            </w:r>
          </w:p>
        </w:tc>
        <w:tc>
          <w:tcPr>
            <w:tcW w:w="200" w:type="dxa"/>
            <w:vAlign w:val="bottom"/>
          </w:tcPr>
          <w:p>
            <w:pPr>
              <w:spacing w:after="0"/>
              <w:rPr>
                <w:sz w:val="24"/>
                <w:szCs w:val="24"/>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Amortized Cost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4"/>
          </w:tcPr>
          <w:p>
            <w:pPr>
              <w:jc w:val="right"/>
              <w:ind w:right="127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Due after 1 year through 5 years</w:t>
            </w:r>
          </w:p>
        </w:tc>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3,016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5 years through 10 years</w:t>
            </w:r>
          </w:p>
        </w:tc>
        <w:tc>
          <w:tcPr>
            <w:tcW w:w="24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5380" w:type="dxa"/>
            <w:vAlign w:val="bottom"/>
          </w:tcPr>
          <w:p>
            <w:pPr>
              <w:ind w:left="180"/>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5,475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0" w:type="dxa"/>
            <w:vAlign w:val="bottom"/>
            <w:vMerge w:val="restart"/>
          </w:tcPr>
          <w:p>
            <w:pPr>
              <w:jc w:val="right"/>
              <w:ind w:right="1890"/>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FINANCIAL SERVICES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offers or arranges various financing options and services for its customers in North America, Europe, Australia, and New Zealand through Dell Financial Services and its affiliates ("DFS"). The key activities of DFS include originating, collecting, and servicing customer receivables primarily related to the purchase of Dell Technologies products and services. In some cases, DFS also offers financing on the purchase of third-party technology products that complement the Dell Technologies portfolio of products and services. New financing originations were $1.7 billion and $1.1 billion for the three months ended May 4, 2018 and May 5, 2017, respectively. The increases in new financing originations and financing receivables during the three months ended May 4, 2018 were attributable to growth in the DFS offerings related to customer purchases of products and services since the EMC merger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financing receivables are aggregated into the following categories:</w:t>
      </w:r>
    </w:p>
    <w:p>
      <w:pPr>
        <w:spacing w:after="0" w:line="225" w:lineRule="exact"/>
        <w:rPr>
          <w:sz w:val="20"/>
          <w:szCs w:val="20"/>
          <w:color w:val="auto"/>
        </w:rPr>
      </w:pPr>
    </w:p>
    <w:p>
      <w:pPr>
        <w:ind w:left="340" w:right="60" w:hanging="332"/>
        <w:spacing w:after="0" w:line="297"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Revolving loans </w:t>
      </w:r>
      <w:r>
        <w:rPr>
          <w:rFonts w:ascii="Arial" w:cs="Arial" w:eastAsia="Arial" w:hAnsi="Arial"/>
          <w:sz w:val="16"/>
          <w:szCs w:val="16"/>
          <w:color w:val="auto"/>
        </w:rPr>
        <w:t>— Revolving loans offered under private label credit financing programs provide qualified customers with a revolving credit line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of products and services offered by Dell Technologies. These private label credit financing programs are referred to as Dell Preferred Account ("DPA") and Dell Business Credit ("DBC"). The DPA product is primarily offered to individual consumer customers, and the DBC product is primarily offered to small and medium-sized commercial customers. Revolving loans in the United States bear interest at a variable annual percentage rate that is tied to the prime rate. Based on historical payment patterns, revolving loan transactions are typically repaid within twelve months on average.</w:t>
      </w:r>
    </w:p>
    <w:p>
      <w:pPr>
        <w:spacing w:after="0" w:line="158" w:lineRule="exact"/>
        <w:rPr>
          <w:rFonts w:ascii="Arial" w:cs="Arial" w:eastAsia="Arial" w:hAnsi="Arial"/>
          <w:sz w:val="16"/>
          <w:szCs w:val="16"/>
          <w:color w:val="auto"/>
        </w:rPr>
      </w:pPr>
    </w:p>
    <w:p>
      <w:pPr>
        <w:ind w:left="340" w:right="40" w:hanging="332"/>
        <w:spacing w:after="0" w:line="255"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Fixed-term sales-type leases and loans </w:t>
      </w:r>
      <w:r>
        <w:rPr>
          <w:rFonts w:ascii="Arial" w:cs="Arial" w:eastAsia="Arial" w:hAnsi="Arial"/>
          <w:sz w:val="18"/>
          <w:szCs w:val="18"/>
          <w:color w:val="auto"/>
        </w:rPr>
        <w:t>— The Company enters into sales-type lease arrangements with customers who seek lease financing. Leases with</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customers have fixed terms of generally two to four years. Future maturities of minimum lease and associated financing payments as of May 4, 2018 were as follows: Fiscal 2019 - $1,779 million; Fiscal 2020 - $1,677 million; Fiscal 2021 - $945 million; Fiscal 2022 - $300 million; Fiscal 2023 and beyond - $81 million. Future maturities and associated financing payments referenced herein represent the aggregate payments under the customer lease contract. The Company also offers fixed-term loans to qualified small businesses, large commercial accounts, governmental organizations, educational entities, and certain individual consumer customers. These loans are repaid in equal payments including interest and have defined terms of generally three to five years.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the components of the Company's financing receivables segregated by portfolio segment as of May 4, 2018 and February 2,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May 4, 2018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February 2, 2018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Revolving</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Fixed-term</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Revolving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Fixed-term</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67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Financing receivables, net: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Customer receivables, gross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6,434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7,182</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Allowances for losses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Customer receivables, net</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6,372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7,037</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Residual interest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r>
      <w:tr>
        <w:trPr>
          <w:trHeight w:val="297"/>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Financing receivables,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6,992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7,761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6,824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7,643</w:t>
            </w:r>
          </w:p>
        </w:tc>
      </w:tr>
      <w:tr>
        <w:trPr>
          <w:trHeight w:val="237"/>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3,919</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Long-term</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3,799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3,724</w:t>
            </w:r>
          </w:p>
        </w:tc>
      </w:tr>
      <w:tr>
        <w:trPr>
          <w:trHeight w:val="918"/>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changes in the allowance for financing receivable losses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May 4, 2018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May 5, 2017</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Revolving</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Fixed-term</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Revolving</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Fixed-term</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ind w:left="48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Allowance for financing receivable losses: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Balances at beginning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Charge-offs, net of recoveries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Provision charged to income statement</w:t>
            </w:r>
          </w:p>
        </w:tc>
        <w:tc>
          <w:tcPr>
            <w:tcW w:w="1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aging of the Company's customer financing receivables, gross, including accrued interest, as of May 4,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 2018, segregated by class: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5"/>
          </w:tcPr>
          <w:p>
            <w:pPr>
              <w:ind w:left="400"/>
              <w:spacing w:after="0"/>
              <w:rPr>
                <w:sz w:val="20"/>
                <w:szCs w:val="20"/>
                <w:color w:val="auto"/>
              </w:rPr>
            </w:pPr>
            <w:r>
              <w:rPr>
                <w:rFonts w:ascii="Arial" w:cs="Arial" w:eastAsia="Arial" w:hAnsi="Arial"/>
                <w:sz w:val="18"/>
                <w:szCs w:val="18"/>
                <w:b w:val="1"/>
                <w:bCs w:val="1"/>
                <w:color w:val="auto"/>
              </w:rPr>
              <w:t>May 4, 2018</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5"/>
          </w:tcPr>
          <w:p>
            <w:pPr>
              <w:ind w:left="240"/>
              <w:spacing w:after="0"/>
              <w:rPr>
                <w:sz w:val="20"/>
                <w:szCs w:val="20"/>
                <w:color w:val="auto"/>
              </w:rPr>
            </w:pPr>
            <w:r>
              <w:rPr>
                <w:rFonts w:ascii="Arial" w:cs="Arial" w:eastAsia="Arial" w:hAnsi="Arial"/>
                <w:sz w:val="18"/>
                <w:szCs w:val="18"/>
                <w:b w:val="1"/>
                <w:bCs w:val="1"/>
                <w:color w:val="auto"/>
              </w:rPr>
              <w:t>February 2, 2018</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Past Due</w:t>
            </w: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Past Due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Past Due</w:t>
            </w: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Past Due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w:t>
            </w: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rPr>
              <w:t>1 — 90 Days</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&gt;90 Days</w:t>
            </w:r>
          </w:p>
        </w:tc>
        <w:tc>
          <w:tcPr>
            <w:tcW w:w="16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1 — 90 Days</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&gt;90 Days</w:t>
            </w:r>
          </w:p>
        </w:tc>
        <w:tc>
          <w:tcPr>
            <w:tcW w:w="1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Total</w:t>
            </w:r>
          </w:p>
        </w:tc>
      </w:tr>
      <w:tr>
        <w:trPr>
          <w:trHeight w:val="27"/>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5"/>
          </w:tcPr>
          <w:p>
            <w:pPr>
              <w:ind w:left="22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 DPA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Revolving — DBC</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Fixed-term — Consumer and</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6,282</w:t>
            </w:r>
          </w:p>
        </w:tc>
      </w:tr>
      <w:tr>
        <w:trPr>
          <w:trHeight w:val="257"/>
        </w:trPr>
        <w:tc>
          <w:tcPr>
            <w:tcW w:w="3100" w:type="dxa"/>
            <w:vAlign w:val="bottom"/>
          </w:tcPr>
          <w:p>
            <w:pPr>
              <w:ind w:left="180"/>
              <w:spacing w:after="0"/>
              <w:rPr>
                <w:sz w:val="20"/>
                <w:szCs w:val="20"/>
                <w:color w:val="auto"/>
              </w:rPr>
            </w:pPr>
            <w:r>
              <w:rPr>
                <w:rFonts w:ascii="Arial" w:cs="Arial" w:eastAsia="Arial" w:hAnsi="Arial"/>
                <w:sz w:val="18"/>
                <w:szCs w:val="18"/>
                <w:color w:val="auto"/>
              </w:rPr>
              <w:t>Total customer receivables, gross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6,402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7,280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6,209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7,182</w:t>
            </w: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Aging is likely to fluctuate quarter to quarter as a result of the variability in volume of large deals entered into over the period, and the administrative processes that accompany those larger transactions. As such, fluctuations in aging do not necessarily indicate a material change in the credit quality of the portfolio.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following table summarizes customer receivables, gross, including accrued interest, by credit quality indicator segregated by class, as of May 4, 2018 and February 2, 2018. The categories shown in the table below segregate customer receivables based on the relative degrees of credit risk. The credit quality indicators for DPA revolving accounts are measured primarily as of each quarter-end date, while all other indicators are generally updated on a periodic basis.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DPA revolving receivables shown in the table below, the Company makes credit decisions based on proprietary scorecards, which include the customer's credit history, payment history, credit usage, and other credit agency-related elements. The higher quality category includes prime accounts generally of a higher credit quality that are comparable to U.S. customer FICO scores of 720 or above. The mid-category represents the mid-tier accounts that are comparable to U.S. customer FICO scores from 660 to 719. The lower category is generally sub-prime and represents lower credit quality accounts that are comparable to U.S. customer FICO scores below 660. For the DBC revolving receivables and fixed-term commercial receivables shown in the table below, an internal grading system is utilized that assigns a credit level score based on a number of considerations, including liquidity, operating performance, and industry outlook. The grading criteria and classifications for the fixed-term products differ from those for the revolving products as loss experience varies between these product and customer groups. The credit quality categories cannot be compared between the different classes as loss experience varies substantially between the classes.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May 4, 2018</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9"/>
              </w:rPr>
              <w:t>February 2, 2018</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Higher</w:t>
            </w:r>
          </w:p>
        </w:tc>
        <w:tc>
          <w:tcPr>
            <w:tcW w:w="36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Mid</w:t>
            </w:r>
          </w:p>
        </w:tc>
        <w:tc>
          <w:tcPr>
            <w:tcW w:w="26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Lower</w:t>
            </w:r>
          </w:p>
        </w:tc>
        <w:tc>
          <w:tcPr>
            <w:tcW w:w="2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Higher</w:t>
            </w:r>
          </w:p>
        </w:tc>
        <w:tc>
          <w:tcPr>
            <w:tcW w:w="3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Mid</w:t>
            </w:r>
          </w:p>
        </w:tc>
        <w:tc>
          <w:tcPr>
            <w:tcW w:w="24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Lower</w:t>
            </w:r>
          </w:p>
        </w:tc>
        <w:tc>
          <w:tcPr>
            <w:tcW w:w="2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2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4"/>
          </w:tcPr>
          <w:p>
            <w:pPr>
              <w:jc w:val="right"/>
              <w:ind w:right="550"/>
              <w:spacing w:after="0"/>
              <w:rPr>
                <w:sz w:val="20"/>
                <w:szCs w:val="20"/>
                <w:color w:val="auto"/>
              </w:rPr>
            </w:pPr>
            <w:r>
              <w:rPr>
                <w:rFonts w:ascii="Arial" w:cs="Arial" w:eastAsia="Arial" w:hAnsi="Arial"/>
                <w:sz w:val="18"/>
                <w:szCs w:val="18"/>
                <w:color w:val="auto"/>
              </w:rPr>
              <w:t>(in millions)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 DPA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Revolving — DBC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Fixed-term — Consumer and</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3,383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3,334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6,282</w:t>
            </w:r>
          </w:p>
        </w:tc>
      </w:tr>
      <w:tr>
        <w:trPr>
          <w:trHeight w:val="891"/>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DFS Debt</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maintains programs which facilitate the funding of financing receivables in the capital markets in North America, Europe, Australia, and New Zealand. The following table summarizes DFS debt as of the periods indicated. The table excludes the allocated portion of the Company's other borrowings, which represents the additional amount considered to fund the DFS business.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4,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DFS U.S. debt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Securitization facilities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1,498</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Fixed-term securitization offerings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2,034</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DFS U.S. debt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i w:val="1"/>
                <w:iCs w:val="1"/>
                <w:color w:val="auto"/>
              </w:rPr>
              <w:t>DFS international debt</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Securitization facility</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 structured facilities</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628</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 payable</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Total DFS international debt</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DFS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4,796</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0"/>
        </w:trPr>
        <w:tc>
          <w:tcPr>
            <w:tcW w:w="7660" w:type="dxa"/>
            <w:vAlign w:val="bottom"/>
          </w:tcPr>
          <w:p>
            <w:pPr>
              <w:ind w:left="500"/>
              <w:spacing w:after="0"/>
              <w:rPr>
                <w:sz w:val="20"/>
                <w:szCs w:val="20"/>
                <w:color w:val="auto"/>
              </w:rPr>
            </w:pPr>
            <w:r>
              <w:rPr>
                <w:rFonts w:ascii="Arial" w:cs="Arial" w:eastAsia="Arial" w:hAnsi="Arial"/>
                <w:sz w:val="18"/>
                <w:szCs w:val="18"/>
                <w:color w:val="auto"/>
              </w:rPr>
              <w:t>Total short-term DFS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3,019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3,327</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7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long-term DFS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w:t>
            </w:r>
          </w:p>
        </w:tc>
      </w:tr>
      <w:tr>
        <w:trPr>
          <w:trHeight w:val="27"/>
        </w:trPr>
        <w:tc>
          <w:tcPr>
            <w:tcW w:w="7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DFS U.S. Debt</w:t>
      </w:r>
    </w:p>
    <w:p>
      <w:pPr>
        <w:spacing w:after="0" w:line="221"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i w:val="1"/>
          <w:iCs w:val="1"/>
          <w:color w:val="auto"/>
        </w:rPr>
        <w:t xml:space="preserve">Securitization Facilities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maintains separate securitization facilities in the United States for fixed-term leases and loans and revolving loans.</w:t>
      </w:r>
      <w:r>
        <w:rPr>
          <w:rFonts w:ascii="Arial" w:cs="Arial" w:eastAsia="Arial" w:hAnsi="Arial"/>
          <w:sz w:val="17"/>
          <w:szCs w:val="17"/>
          <w:i w:val="1"/>
          <w:iCs w:val="1"/>
          <w:color w:val="auto"/>
        </w:rPr>
        <w:t xml:space="preserve"> </w:t>
      </w:r>
      <w:r>
        <w:rPr>
          <w:rFonts w:ascii="Arial" w:cs="Arial" w:eastAsia="Arial" w:hAnsi="Arial"/>
          <w:sz w:val="17"/>
          <w:szCs w:val="17"/>
          <w:color w:val="auto"/>
        </w:rPr>
        <w:t>This debt is collateralized solely by the U.S. financing receivables in the facilities. The debt has a variable interest rate and the duration of this debt is based on the terms of the underlying financing receivables. As of May 4, 2018, the total debt capacity related to the U.S. securitization facilities was $3.0 billion. The Company enters into interest swap agreements to effectively convert a portion of its securitization debt from a floating rate to a fixed rate. See Note 7 of the Notes to the Condensed Consolidated Financial Statements for additional information about interest rate swaps.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Company's U.S. securitization facility for revolving loans was renewed in June 2018 and is now effective through June 1, 2020. The Company's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facilities for fixed-term leases and loans are effective through February 22, 2020.</w:t>
      </w:r>
    </w:p>
    <w:p>
      <w:pPr>
        <w:spacing w:after="0" w:line="21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securitization facilities contain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facility, no further funding of receivables will be permitted and the timing of the Company's expected cash flows from over-collateralization will be delayed. As of May 4, 2018, these criteria were met.</w:t>
      </w:r>
    </w:p>
    <w:p>
      <w:pPr>
        <w:spacing w:after="0" w:line="18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Fixed-Term Securitization Offerings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periodically issues asset-backed debt securities under fixed-term securitization programs to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The asset-backed debt securities are collateralized solely by the U.S. fixed-term financing receivables in the offerings, which are held by SPEs, as discussed below. The interest rate on these securities is fixed and ranges from 0.53% to 3.61%, and the duration of these securities is based on the terms of the underlying financing receivables.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DFS International Debt</w:t>
      </w:r>
    </w:p>
    <w:p>
      <w:pPr>
        <w:spacing w:after="0" w:line="22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Securitization Facility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maintains a securitization facility in Europe for fixed-term leases and loans. This facility is effective through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13, 2019. As of May 4, 2018, the total debt capacity related to the international securitization facility was $719 million.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securitization facility contains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program, no further funding of receivables will be permitted and the timing of the Company's expected cash flows from over-collateralization will be delayed. As of May 4, 2018, these criteria were met.</w:t>
      </w:r>
    </w:p>
    <w:p>
      <w:pPr>
        <w:spacing w:after="0" w:line="18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i w:val="1"/>
          <w:iCs w:val="1"/>
          <w:color w:val="auto"/>
        </w:rPr>
        <w:t xml:space="preserve">Other Structured Facilities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Company's international financing operations, the Company has entered into revolving structured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debt programs related to its fixed-term lease and loan products sold in Canada, Europe, Australia, and New Zealand. The Canadian facility, which is collateralized solely by Canadian financing receivables, had a total debt capacity of $175 million as of May 4, 2018, and is effective through January 16, 2023. The European facility, which is collateralized solely by European financing receivables, had a total debt capacity of $480 million as of May 4, 2018, and is effective through December 14, 2020. The Australia and New Zealand facility, which is collateralized solely by the Australia and New Zealand financing receivables, had a total debt capacity of $90 million as of May 4, 2018, and is effective through January 29, 2020.</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Note Payable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27, 2017, the Company entered into an unsecured credit agreement to fund receivables in Mexico. As of May 4,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the note payable is $198 million. The note bears interest at either the applicable London interbank offered rate ("LIBOR") plus 2.25%, for the borrowings denominated in U.S. dollars, or the Mexican Interbank Equilibrium Interest Rate ("TIIE") plus 2.00%, for the borrowings denominated in Mexican pesos. The note will mature on December 1, 2020. Although the note is unsecured, the Company intends to manage the note in the same manner as its structured financing programs, so that the collections from financing receivables in Mexico will be used to pay down principal and interest of the 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connection with the securitization facilities discussed above, the Company transfers certain U.S. and European customer financing receivables to Special Purpose Entities ("SPEs") that meet the definition of a Variable Interest Entity ("VIE") and are consolidated, along with the associated debt, into the Consolidated Financial Statements, as the Company is the primary beneficiary of those VIEs. The SPEs are bankruptcy-remote legal entities with separate assets and liabilities. The purpose of the SPEs is to facilitate the funding of customer receivables in the capital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financing receivables held by the consolidated VIEs as of the respective dates:</w:t>
      </w:r>
    </w:p>
    <w:p>
      <w:pPr>
        <w:spacing w:after="0" w:line="275" w:lineRule="exact"/>
        <w:rPr>
          <w:sz w:val="20"/>
          <w:szCs w:val="20"/>
          <w:color w:val="auto"/>
        </w:rPr>
      </w:pPr>
    </w:p>
    <w:p>
      <w:pPr>
        <w:ind w:left="8100"/>
        <w:spacing w:after="0"/>
        <w:tabs>
          <w:tab w:leader="none" w:pos="9840" w:val="left"/>
        </w:tabs>
        <w:rPr>
          <w:sz w:val="20"/>
          <w:szCs w:val="20"/>
          <w:color w:val="auto"/>
        </w:rPr>
      </w:pPr>
      <w:r>
        <w:rPr>
          <w:rFonts w:ascii="Arial" w:cs="Arial" w:eastAsia="Arial" w:hAnsi="Arial"/>
          <w:sz w:val="18"/>
          <w:szCs w:val="18"/>
          <w:b w:val="1"/>
          <w:bCs w:val="1"/>
          <w:color w:val="auto"/>
        </w:rPr>
        <w:t>May 4, 2018</w:t>
      </w:r>
      <w:r>
        <w:rPr>
          <w:sz w:val="20"/>
          <w:szCs w:val="20"/>
          <w:color w:val="auto"/>
        </w:rPr>
        <w:tab/>
      </w:r>
      <w:r>
        <w:rPr>
          <w:rFonts w:ascii="Arial" w:cs="Arial" w:eastAsia="Arial" w:hAnsi="Arial"/>
          <w:sz w:val="16"/>
          <w:szCs w:val="16"/>
          <w:b w:val="1"/>
          <w:bCs w:val="1"/>
          <w:color w:val="auto"/>
        </w:rPr>
        <w:t>February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1"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Financing receivables held by consolidated VIEs, net:</w:t>
            </w:r>
          </w:p>
        </w:tc>
        <w:tc>
          <w:tcPr>
            <w:tcW w:w="7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Short-term, net</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2,737</w:t>
            </w:r>
          </w:p>
        </w:tc>
        <w:tc>
          <w:tcPr>
            <w:tcW w:w="12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2,572</w:t>
            </w:r>
          </w:p>
        </w:tc>
      </w:tr>
      <w:tr>
        <w:trPr>
          <w:trHeight w:val="27"/>
        </w:trPr>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net</w:t>
            </w: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w:t>
            </w: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Financing receivables held by consolidated VIEs, net</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5,012</w:t>
            </w:r>
          </w:p>
        </w:tc>
        <w:tc>
          <w:tcPr>
            <w:tcW w:w="1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4,553</w:t>
            </w:r>
          </w:p>
        </w:tc>
      </w:tr>
      <w:tr>
        <w:trPr>
          <w:trHeight w:val="20"/>
        </w:trPr>
        <w:tc>
          <w:tcPr>
            <w:tcW w:w="7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Financing receivables transferred via securitization through SPEs were $1.3 billion and $0.9 billion for the three months ended May 4, 2018 and May 5, 2017, respectively.</w:t>
      </w:r>
    </w:p>
    <w:p>
      <w:pPr>
        <w:spacing w:after="0" w:line="170"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Some of the SPEs have entered into financing arrangements with multi-seller conduits that, in turn, issue asset-backed debt securities in the capital markets. The DFS debt outstanding, which is collateralized by the financing receivables held by the consolidated VIEs, was $4.4 billion and $3.9 billion as of May 4, 2018 and February 2, 2018, respectively. The Company's risk of loss related to securitized receivables is limited to the amount by which the Company's right to receive collections for assets securitized exceeds the amount required to pay interest, principal, and fees and expenses related to the asset-backed securities. The Company provides credit enhancement to the securitization in the form of over-collateralization.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Receivable Sales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 manage certain concentrations of customer credit exposure, the Company may sell selected fixed-term financing receivables to unrelated third parties on a periodic basis. The amount of financing receivables sold was $101 million and $55 million for the three months ended May 4, 2018 and May 5, 2017,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NOTE 6 — DEBT</w:t>
            </w: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rPr>
              <w:t>The following table summarizes the Company's outstanding debt as of the dates indicated:</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86"/>
        </w:trPr>
        <w:tc>
          <w:tcPr>
            <w:tcW w:w="7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4, 2018</w:t>
            </w:r>
          </w:p>
        </w:tc>
        <w:tc>
          <w:tcPr>
            <w:tcW w:w="18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Secured Debt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Senior Secured Credit Facilities: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3.91% Term Loan B Facility due September 2023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4,988</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3.66% Term Loan A-2 Facility due September 2021</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4,394</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3.41% Term Loan A-3 Facility due December 2018</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First Lien Notes: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3.48% due June 2019</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4.42% due June 2021</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4,500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5.45% due June 2023</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6.02% due June 2026</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4,500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8.10% due July 2036</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8.35% due July 2046</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Unsecured Debt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Unsecured Notes and Debentures: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5.65% due April 2018</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5.875% due June 2019</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4.625% due April 2021</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7.10% due April 2028</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6.50% due April 2038</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5.40% due September 2040</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5.875% due June 2021</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1,625</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7.125% due June 2024</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EMC Notes: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1.875% due June 2018</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2.650% due June 2020</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3.375% due June 2023</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VMware Notes: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2.30% due August 2020</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2.95% due August 2022</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3.90% due August 2027</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DFS Debt (Note 5)</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5,359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4,796</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4.61% Margin Loan Facility due April 2022</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Total debt, principal amount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52,687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52,694</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4,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principal amount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52,694</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Unamortized discount, net of unamortized premium</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97"/>
        </w:trPr>
        <w:tc>
          <w:tcPr>
            <w:tcW w:w="7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 debt, carrying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51,903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51,871</w:t>
            </w:r>
          </w:p>
        </w:tc>
      </w:tr>
      <w:tr>
        <w:trPr>
          <w:trHeight w:val="237"/>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short-term debt, carrying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7,873</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b w:val="1"/>
                <w:bCs w:val="1"/>
                <w:color w:val="auto"/>
              </w:rPr>
              <w:t>Total long-term debt, carrying value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44,770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43,998</w:t>
            </w:r>
          </w:p>
        </w:tc>
      </w:tr>
    </w:tbl>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three months ended May 4, 2018, the Company repaid $500 million principal amount of its 5.65% unsecured notes due April 2018 and $68 million principal amount of its term loan facilities. Further, the Company issued an additional $611 million, net, in DFS debt to support the expansion of its financing receivables portfolio.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Debt</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Senior Secured Credit Facilities </w:t>
      </w:r>
      <w:r>
        <w:rPr>
          <w:rFonts w:ascii="Arial" w:cs="Arial" w:eastAsia="Arial" w:hAnsi="Arial"/>
          <w:sz w:val="17"/>
          <w:szCs w:val="17"/>
          <w:color w:val="auto"/>
        </w:rPr>
        <w:t>— The Company has entered into a credit agreement that provides for senior secured credit facilities (the "Senior Secured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Facilities") in the aggregate principal amount of $17.6 billion comprising (a) term loan facilities and (b) a senior secured Revolving Credit Facility, which includes capacity for up to $0.5 billion of letters of credit and for borrowings of up to $0.4 billion under swing-line loans. As of May 4, 2018, available borrowings under the Revolving Credit Facility totaled $3.3 billion. The Senior Secured Credit Facilities provide that the borrowers have the right at any time, subject to customary conditions, to request incremental term loans or incremental revolving commitments.</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Borrowings under the Senior Secured Credit Facilities bear interest at a rate per annum equal to an applicable margin, plus, at the borrowers' option, either (a) a base rate, which, under the Term Loan B Facility, is subject to an interest rate floor of 1.75% per annum, and under all other borrowings is subject to an interest rate floor of 0% per annum, or (b) a London interbank offered rate ("LIBOR"), which, under the Term Loan B Facility, is subject to an interest rate floor of 0.75% per annum, and under all other borrowings is subject to an interest rate floor of 0% per annum. Interest is payable, in the case of loans bearing interest based on LIBOR, at the end of each interest period (but at least every three months), in arrears and, in the case of loans bearing interest based on the base rate, quarterly in arrears.</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Term Loan A-2 Facility amortizes in equal quarterly installments in aggregate annual amounts equal to 5% of the original principal amount in the first year after the closing date of the refinancing transaction on October 20, 2017, 10% of the original principal amount in each of the second and third years after October 20, 2017, and 70% of the original principal amount in the fourth year after October 20, 2017. The Term Loan B Facility amortizes in equal quarterly installments in aggregate annual amounts equal to 1% of the original principal amount. The Term Loan A-3 Facility and the Revolving Credit Facility have no amortization. The Term Loan A-3 Facility requires the borrowers to prepay outstanding borrowings under these facilities with 100% of the net cash proceeds of certain non-ordinary course asset sales or dispositions. The borrowers may voluntarily repay outstanding loans under the term loan facilities and the Revolving Credit Facility at any time without premium or penalty, other than customary "breakage" costs.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All obligations of the borrowers under the Senior Secured Credit Facilities and certain swap agreements, cash management arrangements, and certain letters of credit provided by any lender or agent party to the Senior Secured Credit Facilities or any of its affiliates and certain other persons are secured by (a) a first-priority security interest in certain tangible and intangible assets of the borrowers and the guarantors and (b) a first-priority pledge of 100% of the capital stock of the borrowers, Dell Inc., and each wholly-owned material restricted subsidiary of the borrowers and the guarantors, in each case subject to certain thresholds, exceptions, and permitted liens.</w:t>
      </w:r>
    </w:p>
    <w:p>
      <w:pPr>
        <w:spacing w:after="0" w:line="188"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i w:val="1"/>
          <w:iCs w:val="1"/>
          <w:color w:val="auto"/>
        </w:rPr>
        <w:t xml:space="preserve">First Lien Notes </w:t>
      </w:r>
      <w:r>
        <w:rPr>
          <w:rFonts w:ascii="Arial" w:cs="Arial" w:eastAsia="Arial" w:hAnsi="Arial"/>
          <w:sz w:val="17"/>
          <w:szCs w:val="17"/>
          <w:color w:val="auto"/>
        </w:rPr>
        <w:t>— The senior secured notes (collectively, the "First Lien Notes") were issued on June 1, 2016 in an aggregate principal amount of $20.0</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Interest on these borrowings is payable semiannually. The First Lien Notes are secured, on a pari passu basis with the Senior Secured Credit Facilities, on a first-priority basis by substantially all of the tangible and intangible assets of the issuers and guarantors that secure obligations under the Senior Secured Credit Facilities, including pledges of all capital stock of the issuers, of Dell Inc., a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Dell Technologies ("Dell"), and of certain wholly-owned material subsidiaries of the issuers and the guarantors,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has agreed to use commercially reasonable efforts to register with the SEC notes having terms substantially identical to the terms of the First Lien Notes as part of an offer to exchange such registered notes for the First Lien Notes. The Company will be obligated to pay additional interest on the First Lien Notes if it fails to consummate such an exchange offer within five years after the closing date of the EMC merger transaction.</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China Revolving Credit Facility </w:t>
      </w:r>
      <w:r>
        <w:rPr>
          <w:rFonts w:ascii="Arial" w:cs="Arial" w:eastAsia="Arial" w:hAnsi="Arial"/>
          <w:sz w:val="18"/>
          <w:szCs w:val="18"/>
          <w:color w:val="auto"/>
        </w:rPr>
        <w:t>— On October 31, 2017, the Company entered into a credit agreement (the "China Revolving Credit Facility") with a bank</w:t>
      </w:r>
      <w:r>
        <w:rPr>
          <w:rFonts w:ascii="Arial" w:cs="Arial" w:eastAsia="Arial" w:hAnsi="Arial"/>
          <w:sz w:val="18"/>
          <w:szCs w:val="18"/>
          <w:i w:val="1"/>
          <w:iCs w:val="1"/>
          <w:color w:val="auto"/>
        </w:rPr>
        <w:t xml:space="preserve"> </w:t>
      </w:r>
      <w:r>
        <w:rPr>
          <w:rFonts w:ascii="Arial" w:cs="Arial" w:eastAsia="Arial" w:hAnsi="Arial"/>
          <w:sz w:val="18"/>
          <w:szCs w:val="18"/>
          <w:color w:val="auto"/>
        </w:rPr>
        <w:t>lender for a secured revolving loan facility in an aggregate principal amount not to exceed $500 million. Borrowings under the China Revolving Credit Facility bear interest at LIBOR plus 0.6% per annum . The Company may voluntarily repay outstanding loans under the China Revolving Credit Facility at any time without premium or penalty, other than customary "breakage" costs. The facility will expire on October 31, 2018. As of May 4, 2018, there were no outstanding borrowings under the China Revolving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Unsecured Debt</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Unsecured Notes and Debentures </w:t>
      </w:r>
      <w:r>
        <w:rPr>
          <w:rFonts w:ascii="Arial" w:cs="Arial" w:eastAsia="Arial" w:hAnsi="Arial"/>
          <w:sz w:val="18"/>
          <w:szCs w:val="18"/>
          <w:color w:val="auto"/>
        </w:rPr>
        <w:t>— The Company has outstanding unsecured notes and debentures (collectively, the "Unsecured Notes and Debentures")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were issued prior to the acquisition of Dell by Dell Technologies Inc. in the going-private transaction that closed in October 2013. Interest on these borrowings is payable semiannually.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 The senior unsecured notes (collectively, the "Senior Notes") were issued on June 22, 2016 in an aggregate principal amount of $3.25 billion.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these borrowings is payable semiannually.</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EMC Notes </w:t>
      </w:r>
      <w:r>
        <w:rPr>
          <w:rFonts w:ascii="Arial" w:cs="Arial" w:eastAsia="Arial" w:hAnsi="Arial"/>
          <w:sz w:val="18"/>
          <w:szCs w:val="18"/>
          <w:color w:val="auto"/>
        </w:rPr>
        <w:t>— On September 7, 2016, EMC had outstanding $2.5 billion aggregate principal amount of its 1.875% Notes due June 2018, $2.0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its 2.650% Notes due June 2020, and $1.0 billion aggregate principal amount of its 3.375% Notes due June 2023 (collectively, the "EMC Notes"). Interest on these borrowings is payable semiannually. The EMC Notes remain outstanding following the closing of the EMC merger transaction.</w:t>
      </w:r>
    </w:p>
    <w:p>
      <w:pPr>
        <w:spacing w:after="0" w:line="18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i w:val="1"/>
          <w:iCs w:val="1"/>
          <w:color w:val="auto"/>
        </w:rPr>
        <w:t xml:space="preserve">VMware Notes </w:t>
      </w:r>
      <w:r>
        <w:rPr>
          <w:rFonts w:ascii="Arial" w:cs="Arial" w:eastAsia="Arial" w:hAnsi="Arial"/>
          <w:sz w:val="17"/>
          <w:szCs w:val="17"/>
          <w:color w:val="auto"/>
        </w:rPr>
        <w:t>— On August 21, 2017, VMware, Inc. completed a public offering of unsecured senior notes in the aggregate amount of $4.0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outstanding principal due on the following dates: $1.25 billion due August 21, 2020, $1.50 billion due August 21, 2022, and $1.25 billion due August 21, 2027 (collectively, the "VMware Notes"). The VMware Notes bear interest, payable semiannually, at annual rates of 2.30%, 2.95%, and 3.90%, respectively. None of the net proceeds of such borrowings will be made available to support the operations or satisfy any corporate purposes of Dell Technologies, other than the operations and corporate purposes of VMware, Inc. and VMware, Inc.’s subsidiaries.</w:t>
      </w:r>
    </w:p>
    <w:p>
      <w:pPr>
        <w:spacing w:after="0" w:line="17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VMware Revolving Credit Facility </w:t>
      </w:r>
      <w:r>
        <w:rPr>
          <w:rFonts w:ascii="Arial" w:cs="Arial" w:eastAsia="Arial" w:hAnsi="Arial"/>
          <w:sz w:val="17"/>
          <w:szCs w:val="17"/>
          <w:color w:val="auto"/>
        </w:rPr>
        <w:t>— On September 12, 2017, VMware, Inc. entered into an unsecured credit agreement, establishing a revolving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(the “VMware Revolving Credit Facility”), with a syndicate of lenders that provides the company with a borrowing capacity of up to $1.0 billion which may be used for VMware, Inc. general corporate purposes. Commitments under the VMware Revolving Credit Facility are available for a period of five years, which may be extended, subject to the satisfaction of certain conditions, by up to two one year periods. The credit agreement contains certain representations, warranties, and covenants. Commitment fees, interest rates, and other terms of borrowing under the VMware Revolving Credit Facility may vary based on VMware, Inc.’s external credit ratings. None of the net proceeds of such borrowings will be made available to support the operations or satisfy any corporate purposes of Dell Technologies, other than the operations and corporate purposes of VMware, Inc. and VMware, Inc.’s subsidiaries. As of May 4, 2018, there were no outstanding borrowings under the VMware Revolving Credit Facility.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DFS Debt</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5 and Note 7 of the Notes to the Condensed Consolidated Financial Statements, respectively, for discussion of DFS debt and the interest rate swap agreements that hedge a portion of that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Margin Loan Facility </w:t>
      </w:r>
      <w:r>
        <w:rPr>
          <w:rFonts w:ascii="Arial" w:cs="Arial" w:eastAsia="Arial" w:hAnsi="Arial"/>
          <w:sz w:val="18"/>
          <w:szCs w:val="18"/>
          <w:color w:val="auto"/>
        </w:rPr>
        <w:t>— On April 12, 2017, the Company entered into the Margin Loan Facility in an aggregate principal amount of $2.0 billion. VMW</w:t>
      </w:r>
      <w:r>
        <w:rPr>
          <w:rFonts w:ascii="Arial" w:cs="Arial" w:eastAsia="Arial" w:hAnsi="Arial"/>
          <w:sz w:val="18"/>
          <w:szCs w:val="18"/>
          <w:i w:val="1"/>
          <w:iCs w:val="1"/>
          <w:color w:val="auto"/>
        </w:rPr>
        <w:t xml:space="preserve"> </w:t>
      </w:r>
      <w:r>
        <w:rPr>
          <w:rFonts w:ascii="Arial" w:cs="Arial" w:eastAsia="Arial" w:hAnsi="Arial"/>
          <w:sz w:val="18"/>
          <w:szCs w:val="18"/>
          <w:color w:val="auto"/>
        </w:rPr>
        <w:t>Holdco LLC, a wholly-owned subsidiary of EMC, is the borrower under the Margin Loan Facility, which is secured by 60 million shares of Class B common stock of VMware, Inc. and 20 million shares of Class A common stock of VMware, Inc. Loans under the Margin Loan Facility bear interest at a rate per annum payable, at the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borrower's option, either at (a) a base rate plus 1.25% per annum or (b) a LIBOR-based rate plus 2.25% per annum. Interest under the Margin Loan Facility is payable quarterly.</w:t>
      </w:r>
    </w:p>
    <w:p>
      <w:pPr>
        <w:spacing w:after="0" w:line="17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Margin Loan Facility will mature in April 2022. The borrower may voluntarily repay outstanding loans under the Margin Loan Facility at any time without premium or penalty, other than customary "breakage" costs, subject to certain minimum threshold amounts for prepayment.</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Pivotal Revolving Credit Facility </w:t>
      </w:r>
      <w:r>
        <w:rPr>
          <w:rFonts w:ascii="Arial" w:cs="Arial" w:eastAsia="Arial" w:hAnsi="Arial"/>
          <w:sz w:val="18"/>
          <w:szCs w:val="18"/>
          <w:color w:val="auto"/>
        </w:rPr>
        <w:t>— On September 7, 2017, Pivotal entered into a credit agreement (the "Pivotal Revolving Credit Facility") that provides for</w:t>
      </w:r>
      <w:r>
        <w:rPr>
          <w:rFonts w:ascii="Arial" w:cs="Arial" w:eastAsia="Arial" w:hAnsi="Arial"/>
          <w:sz w:val="18"/>
          <w:szCs w:val="18"/>
          <w:i w:val="1"/>
          <w:iCs w:val="1"/>
          <w:color w:val="auto"/>
        </w:rPr>
        <w:t xml:space="preserve"> </w:t>
      </w:r>
      <w:r>
        <w:rPr>
          <w:rFonts w:ascii="Arial" w:cs="Arial" w:eastAsia="Arial" w:hAnsi="Arial"/>
          <w:sz w:val="18"/>
          <w:szCs w:val="18"/>
          <w:color w:val="auto"/>
        </w:rPr>
        <w:t>a senior secured revolving loan facility in an aggregate principal amount not to exceed $100 million. The credit facility contains customary representations, warranties, and covenants, including financial covenants. The credit agreement will expire on September 8, 2020, unless it is terminated earlier. None of the net proceeds of borrowings under the facility will be made available to support the operations or satisfy any corporate purposes of Dell Technologies, other than the operations and corporate purposes of Pivotal and Pivotal's subsidiaries. As of May 4, 2018, there were no outstanding borrowings under the Pivotal Revolving Credit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Future Maturities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May 4, 2018, aggregate future maturities of the Company's debt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7"/>
          </w:tcPr>
          <w:p>
            <w:pPr>
              <w:jc w:val="center"/>
              <w:ind w:left="59"/>
              <w:spacing w:after="0"/>
              <w:rPr>
                <w:sz w:val="20"/>
                <w:szCs w:val="20"/>
                <w:color w:val="auto"/>
              </w:rPr>
            </w:pPr>
            <w:r>
              <w:rPr>
                <w:rFonts w:ascii="Arial" w:cs="Arial" w:eastAsia="Arial" w:hAnsi="Arial"/>
                <w:sz w:val="16"/>
                <w:szCs w:val="16"/>
                <w:b w:val="1"/>
                <w:bCs w:val="1"/>
                <w:color w:val="auto"/>
                <w:w w:val="92"/>
              </w:rPr>
              <w:t>Maturities by Fiscal Year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2019 (remaining</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nine months)</w:t>
            </w: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33"/>
        </w:trPr>
        <w:tc>
          <w:tcPr>
            <w:tcW w:w="3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gridSpan w:val="5"/>
          </w:tcPr>
          <w:p>
            <w:pPr>
              <w:jc w:val="center"/>
              <w:ind w:right="400"/>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Senior Secured Credit Facilities and First Lien</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3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16,487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30,527</w:t>
            </w: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Unsecured Notes and Debentures</w:t>
            </w: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1,952</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and EMC Notes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8,750</w:t>
            </w: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VMware Notes</w:t>
            </w: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DFS Debt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5,359</w:t>
            </w: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Margin Loan Facility</w:t>
            </w: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2,000</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217"/>
        </w:trPr>
        <w:tc>
          <w:tcPr>
            <w:tcW w:w="3200" w:type="dxa"/>
            <w:vAlign w:val="bottom"/>
          </w:tcPr>
          <w:p>
            <w:pPr>
              <w:ind w:left="180"/>
              <w:spacing w:after="0"/>
              <w:rPr>
                <w:sz w:val="20"/>
                <w:szCs w:val="20"/>
                <w:color w:val="auto"/>
              </w:rPr>
            </w:pPr>
            <w:r>
              <w:rPr>
                <w:rFonts w:ascii="Arial" w:cs="Arial" w:eastAsia="Arial" w:hAnsi="Arial"/>
                <w:sz w:val="16"/>
                <w:szCs w:val="16"/>
                <w:color w:val="auto"/>
              </w:rPr>
              <w:t>Total maturities, principal amount</w:t>
            </w: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6,549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6,393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4,825</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9,997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3,576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21,347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52,687</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Associated carrying value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w:t>
            </w:r>
          </w:p>
        </w:tc>
      </w:tr>
      <w:tr>
        <w:trPr>
          <w:trHeight w:val="244"/>
        </w:trPr>
        <w:tc>
          <w:tcPr>
            <w:tcW w:w="3200" w:type="dxa"/>
            <w:vAlign w:val="bottom"/>
          </w:tcPr>
          <w:p>
            <w:pPr>
              <w:ind w:left="180"/>
              <w:spacing w:after="0"/>
              <w:rPr>
                <w:sz w:val="20"/>
                <w:szCs w:val="20"/>
                <w:color w:val="auto"/>
              </w:rPr>
            </w:pPr>
            <w:r>
              <w:rPr>
                <w:rFonts w:ascii="Arial" w:cs="Arial" w:eastAsia="Arial" w:hAnsi="Arial"/>
                <w:sz w:val="16"/>
                <w:szCs w:val="16"/>
                <w:color w:val="auto"/>
              </w:rPr>
              <w:t>Total maturities, carrying value amount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6,541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6,366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4,817</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9,819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3,546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20,814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51,903</w:t>
            </w: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Covenants and Unrestricted Net Assets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credit agreement for the Senior Secured Credit Facilities contain customary negative covenants that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limit the ability of Denali Intermediate Inc., a wholly-owned subsidiary of Dell Technologies ("Dell Intermediate"), Dell, and Dell's and Denali Intermediate's other restricted subsidiaries to incur debt, create liens, make fundamental changes, enter into asset sales, make certain investments, pay dividends or distribute or redeem certain equity interests, prepay or redeem certain debt, and enter into certain transactions with affiliates. The indenture governing the Senior Notes contains customary negative covenants that generally limit the ability of Denali Intermediate, Dell, and Dell's and Denali Intermediate's other restricted subsidiaries to incur additional debt or issue certain preferred shares, pay dividends on or make other distributions in respect of capital stock or make other restricted payments, make certain investments, sell or transfer certain assets, create liens on certain assets to secure debt, consolidate, merge, sell, or otherwise dispose of all or substantially all assets, enter into certain transactions with affiliates, and designate subsidiaries as unrestricted subsidiaries. The negative covenants under such credit agreements and indenture are subject to certain exceptions, qualifications, and "baskets." The indentures governing the First Lien Notes, the Unsecured Notes and Debentures, and the EMC Notes variously impose limitations, subject to specified exceptions, on creating certain liens, entering into sale and lease-back transactions, and entering into certain asset sales. The foregoing credit agreements and indentures contain customary events of default, including failure to make required payments, failure to comply with covenants, and the occurrence of certain events of bankruptcy and insolvency.</w:t>
      </w:r>
    </w:p>
    <w:p>
      <w:pPr>
        <w:spacing w:after="0" w:line="16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May 4, 2018, the Company had certain consolidated subsidiaries that were designated as unrestricted subsidiaries for all purposes of the applicable credit agreements and the indentures governing the First Lien Notes and the Senior Notes.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 A-2 Facility, the Term Loan A-3 Facility, and the Revolving Credit Facility are subject to a first lien net leverage ratio covenant that is tested at the end of each fiscal quarter of Dell with respect to Dell's preceding four fiscal quarters. The Company was in compliance with all financial covenants as of May 4, 2018.</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INSTRUMENTS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Instruments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part of its risk management strategy, the Company uses derivative instruments, primarily foreign currency forward and option contracts and interest rate swaps, to hedge certain foreign currency and interest rate exposures, respectively.</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objective is to offset gains and losses resulting from these exposures with gains and losses on the derivative contracts used to hedge the exposures, thereby reducing volatility of earnings and protecting the fair values of assets and liabilities. The earnings effects of the derivative instruments are presented in the same income statement lines items as the earnings effects of the hedged items. For derivatives designated as cash flow hedges, the Company assesses hedge effectiveness both at the onset of the hedge and at regular intervals throughout the life of the derivative. The Company does not have any derivatives designated as fair value hedges.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Exchange Risk</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uses foreign currency forward and option contracts designated as cash flow hedges to protect against the foreign currency exchange rate risks inherent in its forecasted transactions denominated in currencies other than the U.S. dollar. Hedge accounting is applied based upon the criteria established by accounting guidance for derivative instruments and hedging activities. The risk of loss associated with purchased options is limited to premium amounts paid for the option contracts. The risk of loss associated with forward contracts is equal to the exchange rate differential from the time the contract is entered into until the time it is settled. The majority of these contracts typically expire in twelve months or less.</w:t>
      </w:r>
    </w:p>
    <w:p>
      <w:pPr>
        <w:spacing w:after="0" w:line="17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During the three months ended May 4, 2018 and May 5, 2017, the Company did not discontinue any cash flow hedges related to foreign exchange contracts that had a material impact on the Company's results of operations due to the probability that the forecasted cash flows would not occur.</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uses forward contracts to hedge monetary assets and liabilities denominated in a foreign currency. These contracts generally expire in three months or less, are considered economic hedges, and are not designated for hedge accounting. The change in the fair value of these instruments represents a natural hedge as their gains and losses offset the changes in the underlying fair value of the monetary assets and liabilities due to movements in currency exchange rates.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expanded offerings of DFS in Europe, forward contracts are used to hedge financing receivables denominated in foreign currencies.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contracts are not designated for hedge accounting and most expire within three years or less.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uses interest rate swaps to hedge the variability in cash flows related to the interest rate payments on structured financing debt. The interest rate swaps economically convert the variable rate on the structured financing debt to a fixed interest rate to match the underlying fixed rate being received on fixed-term customer leases and loans. These contracts are not designated for hedge accounting and most expire within three years or less.</w:t>
      </w:r>
    </w:p>
    <w:p>
      <w:pPr>
        <w:spacing w:after="0" w:line="14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Interest rate swaps are utilized to manage the interest rate risk, at a portfolio level, associated with DFS operations in Europe. The interest rate swaps economically convert the fixed rate on financing receivables to a three-month Euribor floating rate basis in order to match the floating rate nature of the banks' funding pool. These contracts are not designated for hedge accounting and most expire within three years or less.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0D0D0D"/>
        </w:rPr>
        <w:t>The Company utilizes cross currency amortizing swaps to hedge the currency and interest rate risk exposure associated with the securitization program that was established in Europe in January 2017. The cross currency swaps combine a Euro-based interest rate swap with a British Pound or U.S. Dollar foreign exchange forward contract in which the Company pays a fixed British Pound or U.S. Dollar amount and receives a floating amount in Euro linked to the one-month Euribor. The notional value of the swaps amortizes in line with the expected cash flows and run-off of the securitized assets. The swaps mature within five years or less and are not designated for hedge accounting.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Notional Amounts of Outstanding Derivative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amounts of the Company's outstanding derivative instruments were as follows as of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4, 2018</w:t>
            </w:r>
          </w:p>
        </w:tc>
        <w:tc>
          <w:tcPr>
            <w:tcW w:w="260" w:type="dxa"/>
            <w:vAlign w:val="bottom"/>
          </w:tcPr>
          <w:p>
            <w:pPr>
              <w:spacing w:after="0"/>
              <w:rPr>
                <w:sz w:val="20"/>
                <w:szCs w:val="20"/>
                <w:color w:val="auto"/>
              </w:rPr>
            </w:pP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February 2, 2018</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4"/>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4"/>
          </w:tcPr>
          <w:p>
            <w:pPr>
              <w:jc w:val="center"/>
              <w:ind w:right="170"/>
              <w:spacing w:after="0"/>
              <w:rPr>
                <w:sz w:val="20"/>
                <w:szCs w:val="20"/>
                <w:color w:val="auto"/>
              </w:rPr>
            </w:pPr>
            <w:r>
              <w:rPr>
                <w:rFonts w:ascii="Arial" w:cs="Arial" w:eastAsia="Arial" w:hAnsi="Arial"/>
                <w:sz w:val="18"/>
                <w:szCs w:val="18"/>
                <w:color w:val="auto"/>
                <w:w w:val="96"/>
              </w:rPr>
              <w:t>(in millions)</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Foreign exchange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Designated as cash flow hedging instruments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21"/>
                <w:szCs w:val="21"/>
                <w:color w:val="auto"/>
              </w:rPr>
            </w:pPr>
          </w:p>
        </w:tc>
        <w:tc>
          <w:tcPr>
            <w:tcW w:w="260" w:type="dxa"/>
            <w:vAlign w:val="bottom"/>
          </w:tcPr>
          <w:p>
            <w:pPr>
              <w:jc w:val="center"/>
              <w:ind w:right="1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4,392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Non-designated as hedging instruments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6,223</w:t>
            </w:r>
          </w:p>
        </w:tc>
      </w:tr>
      <w:tr>
        <w:trPr>
          <w:trHeight w:val="297"/>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10,837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10,615</w:t>
            </w:r>
          </w:p>
        </w:tc>
      </w:tr>
      <w:tr>
        <w:trPr>
          <w:trHeight w:val="311"/>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Interest rate contracts: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Non-designated as hedging instruments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r>
      <w:tr>
        <w:trPr>
          <w:trHeight w:val="27"/>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u w:val="single" w:color="auto"/>
          <w:color w:val="auto"/>
        </w:rPr>
        <w:t>Effect of Derivative Instruments Designated as Hedging Instruments on the Condensed Consolidated Statements of Financial Position and the Condensed Consolidated Statements of Income (Loss)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(Loss)</w:t>
            </w:r>
          </w:p>
        </w:tc>
        <w:tc>
          <w:tcPr>
            <w:tcW w:w="1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Recognized</w:t>
            </w:r>
          </w:p>
        </w:tc>
        <w:tc>
          <w:tcPr>
            <w:tcW w:w="1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in Accumulated</w:t>
            </w:r>
          </w:p>
        </w:tc>
        <w:tc>
          <w:tcPr>
            <w:tcW w:w="1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Gain (Loss)</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OCI, Net</w:t>
            </w:r>
          </w:p>
        </w:tc>
        <w:tc>
          <w:tcPr>
            <w:tcW w:w="100" w:type="dxa"/>
            <w:vAlign w:val="bottom"/>
          </w:tcPr>
          <w:p>
            <w:pPr>
              <w:spacing w:after="0"/>
              <w:rPr>
                <w:sz w:val="17"/>
                <w:szCs w:val="17"/>
                <w:color w:val="auto"/>
              </w:rPr>
            </w:pPr>
          </w:p>
        </w:tc>
        <w:tc>
          <w:tcPr>
            <w:tcW w:w="3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Location of Gain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ind w:right="133"/>
              <w:spacing w:after="0"/>
              <w:rPr>
                <w:sz w:val="20"/>
                <w:szCs w:val="20"/>
                <w:color w:val="auto"/>
              </w:rPr>
            </w:pPr>
            <w:r>
              <w:rPr>
                <w:rFonts w:ascii="Arial" w:cs="Arial" w:eastAsia="Arial" w:hAnsi="Arial"/>
                <w:sz w:val="16"/>
                <w:szCs w:val="16"/>
                <w:b w:val="1"/>
                <w:bCs w:val="1"/>
                <w:color w:val="auto"/>
                <w:w w:val="87"/>
              </w:rPr>
              <w:t>Reclassified</w:t>
            </w:r>
          </w:p>
        </w:tc>
        <w:tc>
          <w:tcPr>
            <w:tcW w:w="0" w:type="dxa"/>
            <w:vAlign w:val="bottom"/>
          </w:tcPr>
          <w:p>
            <w:pPr>
              <w:spacing w:after="0"/>
              <w:rPr>
                <w:sz w:val="1"/>
                <w:szCs w:val="1"/>
                <w:color w:val="auto"/>
              </w:rPr>
            </w:pPr>
          </w:p>
        </w:tc>
      </w:tr>
      <w:tr>
        <w:trPr>
          <w:trHeight w:val="203"/>
        </w:trPr>
        <w:tc>
          <w:tcPr>
            <w:tcW w:w="3900" w:type="dxa"/>
            <w:vAlign w:val="bottom"/>
            <w:gridSpan w:val="2"/>
          </w:tcPr>
          <w:p>
            <w:pPr>
              <w:ind w:left="1020"/>
              <w:spacing w:after="0"/>
              <w:rPr>
                <w:sz w:val="20"/>
                <w:szCs w:val="20"/>
                <w:color w:val="auto"/>
              </w:rPr>
            </w:pPr>
            <w:r>
              <w:rPr>
                <w:rFonts w:ascii="Arial" w:cs="Arial" w:eastAsia="Arial" w:hAnsi="Arial"/>
                <w:sz w:val="16"/>
                <w:szCs w:val="16"/>
                <w:b w:val="1"/>
                <w:bCs w:val="1"/>
                <w:color w:val="auto"/>
              </w:rPr>
              <w:t>Derivatives in Cash Flow</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of Tax, on</w:t>
            </w:r>
          </w:p>
        </w:tc>
        <w:tc>
          <w:tcPr>
            <w:tcW w:w="100" w:type="dxa"/>
            <w:vAlign w:val="bottom"/>
          </w:tcPr>
          <w:p>
            <w:pPr>
              <w:spacing w:after="0"/>
              <w:rPr>
                <w:sz w:val="17"/>
                <w:szCs w:val="17"/>
                <w:color w:val="auto"/>
              </w:rPr>
            </w:pPr>
          </w:p>
        </w:tc>
        <w:tc>
          <w:tcPr>
            <w:tcW w:w="3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Reclassified from</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ind w:right="133"/>
              <w:spacing w:after="0"/>
              <w:rPr>
                <w:sz w:val="20"/>
                <w:szCs w:val="20"/>
                <w:color w:val="auto"/>
              </w:rPr>
            </w:pPr>
            <w:r>
              <w:rPr>
                <w:rFonts w:ascii="Arial" w:cs="Arial" w:eastAsia="Arial" w:hAnsi="Arial"/>
                <w:sz w:val="16"/>
                <w:szCs w:val="16"/>
                <w:b w:val="1"/>
                <w:bCs w:val="1"/>
                <w:color w:val="auto"/>
                <w:w w:val="92"/>
              </w:rPr>
              <w:t>from Accumulated</w:t>
            </w:r>
          </w:p>
        </w:tc>
        <w:tc>
          <w:tcPr>
            <w:tcW w:w="0" w:type="dxa"/>
            <w:vAlign w:val="bottom"/>
          </w:tcPr>
          <w:p>
            <w:pPr>
              <w:spacing w:after="0"/>
              <w:rPr>
                <w:sz w:val="1"/>
                <w:szCs w:val="1"/>
                <w:color w:val="auto"/>
              </w:rPr>
            </w:pPr>
          </w:p>
        </w:tc>
      </w:tr>
      <w:tr>
        <w:trPr>
          <w:trHeight w:val="210"/>
        </w:trPr>
        <w:tc>
          <w:tcPr>
            <w:tcW w:w="3900" w:type="dxa"/>
            <w:vAlign w:val="bottom"/>
            <w:gridSpan w:val="2"/>
          </w:tcPr>
          <w:p>
            <w:pPr>
              <w:ind w:left="1120"/>
              <w:spacing w:after="0"/>
              <w:rPr>
                <w:sz w:val="20"/>
                <w:szCs w:val="20"/>
                <w:color w:val="auto"/>
              </w:rPr>
            </w:pPr>
            <w:r>
              <w:rPr>
                <w:rFonts w:ascii="Arial" w:cs="Arial" w:eastAsia="Arial" w:hAnsi="Arial"/>
                <w:sz w:val="16"/>
                <w:szCs w:val="16"/>
                <w:b w:val="1"/>
                <w:bCs w:val="1"/>
                <w:color w:val="auto"/>
              </w:rPr>
              <w:t>Hedging Relationships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Derivatives</w:t>
            </w:r>
          </w:p>
        </w:tc>
        <w:tc>
          <w:tcPr>
            <w:tcW w:w="100" w:type="dxa"/>
            <w:vAlign w:val="bottom"/>
          </w:tcPr>
          <w:p>
            <w:pPr>
              <w:spacing w:after="0"/>
              <w:rPr>
                <w:sz w:val="18"/>
                <w:szCs w:val="18"/>
                <w:color w:val="auto"/>
              </w:rPr>
            </w:pPr>
          </w:p>
        </w:tc>
        <w:tc>
          <w:tcPr>
            <w:tcW w:w="3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Accumulated OCI into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ind w:right="133"/>
              <w:spacing w:after="0"/>
              <w:rPr>
                <w:sz w:val="20"/>
                <w:szCs w:val="20"/>
                <w:color w:val="auto"/>
              </w:rPr>
            </w:pPr>
            <w:r>
              <w:rPr>
                <w:rFonts w:ascii="Arial" w:cs="Arial" w:eastAsia="Arial" w:hAnsi="Arial"/>
                <w:sz w:val="16"/>
                <w:szCs w:val="16"/>
                <w:b w:val="1"/>
                <w:bCs w:val="1"/>
                <w:color w:val="auto"/>
                <w:w w:val="96"/>
              </w:rPr>
              <w:t>OCI into Income</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center"/>
              <w:ind w:right="133"/>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For the three months ended May 4, 2018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20" w:type="dxa"/>
            <w:vAlign w:val="bottom"/>
            <w:gridSpan w:val="3"/>
          </w:tcPr>
          <w:p>
            <w:pPr>
              <w:ind w:left="40"/>
              <w:spacing w:after="0"/>
              <w:rPr>
                <w:sz w:val="20"/>
                <w:szCs w:val="20"/>
                <w:color w:val="auto"/>
              </w:rPr>
            </w:pPr>
            <w:r>
              <w:rPr>
                <w:rFonts w:ascii="Arial" w:cs="Arial" w:eastAsia="Arial" w:hAnsi="Arial"/>
                <w:sz w:val="18"/>
                <w:szCs w:val="18"/>
                <w:color w:val="auto"/>
              </w:rPr>
              <w:t>Total net revenue</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cost of 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520" w:type="dxa"/>
            <w:vAlign w:val="bottom"/>
            <w:gridSpan w:val="3"/>
          </w:tcPr>
          <w:p>
            <w:pPr>
              <w:ind w:left="40"/>
              <w:spacing w:after="0"/>
              <w:rPr>
                <w:sz w:val="20"/>
                <w:szCs w:val="20"/>
                <w:color w:val="auto"/>
              </w:rPr>
            </w:pPr>
            <w:r>
              <w:rPr>
                <w:rFonts w:ascii="Arial" w:cs="Arial" w:eastAsia="Arial" w:hAnsi="Arial"/>
                <w:sz w:val="18"/>
                <w:szCs w:val="18"/>
                <w:color w:val="auto"/>
              </w:rPr>
              <w:t>Interest and other, net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For the three months ended May 5, 2017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20" w:type="dxa"/>
            <w:vAlign w:val="bottom"/>
            <w:gridSpan w:val="3"/>
          </w:tcPr>
          <w:p>
            <w:pPr>
              <w:ind w:left="40"/>
              <w:spacing w:after="0"/>
              <w:rPr>
                <w:sz w:val="20"/>
                <w:szCs w:val="20"/>
                <w:color w:val="auto"/>
              </w:rPr>
            </w:pPr>
            <w:r>
              <w:rPr>
                <w:rFonts w:ascii="Arial" w:cs="Arial" w:eastAsia="Arial" w:hAnsi="Arial"/>
                <w:sz w:val="18"/>
                <w:szCs w:val="18"/>
                <w:color w:val="auto"/>
              </w:rPr>
              <w:t>Total net revenue</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cost of 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520" w:type="dxa"/>
            <w:vAlign w:val="bottom"/>
            <w:gridSpan w:val="3"/>
          </w:tcPr>
          <w:p>
            <w:pPr>
              <w:ind w:left="40"/>
              <w:spacing w:after="0"/>
              <w:rPr>
                <w:sz w:val="20"/>
                <w:szCs w:val="20"/>
                <w:color w:val="auto"/>
              </w:rPr>
            </w:pPr>
            <w:r>
              <w:rPr>
                <w:rFonts w:ascii="Arial" w:cs="Arial" w:eastAsia="Arial" w:hAnsi="Arial"/>
                <w:sz w:val="18"/>
                <w:szCs w:val="18"/>
                <w:color w:val="auto"/>
              </w:rPr>
              <w:t>Interest and other, net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9600" w:type="dxa"/>
            <w:vAlign w:val="bottom"/>
            <w:tcBorders>
              <w:bottom w:val="single" w:sz="8" w:color="auto"/>
            </w:tcBorders>
            <w:gridSpan w:val="10"/>
          </w:tcPr>
          <w:p>
            <w:pPr>
              <w:spacing w:after="0"/>
              <w:rPr>
                <w:sz w:val="20"/>
                <w:szCs w:val="20"/>
                <w:color w:val="auto"/>
              </w:rPr>
            </w:pPr>
            <w:r>
              <w:rPr>
                <w:rFonts w:ascii="Arial" w:cs="Arial" w:eastAsia="Arial" w:hAnsi="Arial"/>
                <w:sz w:val="18"/>
                <w:szCs w:val="18"/>
                <w:i w:val="1"/>
                <w:iCs w:val="1"/>
                <w:color w:val="auto"/>
                <w:w w:val="90"/>
              </w:rPr>
              <w:t>Effect of Derivative Instruments Not Designated as Hedging Instruments on the Condensed Consolidated Statement of Income (Loss)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ind w:left="40"/>
              <w:spacing w:after="0"/>
              <w:rPr>
                <w:sz w:val="20"/>
                <w:szCs w:val="20"/>
                <w:color w:val="auto"/>
              </w:rPr>
            </w:pPr>
            <w:r>
              <w:rPr>
                <w:rFonts w:ascii="Arial" w:cs="Arial" w:eastAsia="Arial" w:hAnsi="Arial"/>
                <w:sz w:val="16"/>
                <w:szCs w:val="16"/>
                <w:b w:val="1"/>
                <w:bCs w:val="1"/>
                <w:color w:val="auto"/>
                <w:w w:val="91"/>
              </w:rPr>
              <w:t>Gain (Loss) Recognized (a)</w:t>
            </w:r>
          </w:p>
        </w:tc>
        <w:tc>
          <w:tcPr>
            <w:tcW w:w="100" w:type="dxa"/>
            <w:vAlign w:val="bottom"/>
          </w:tcPr>
          <w:p>
            <w:pPr>
              <w:spacing w:after="0"/>
              <w:rPr>
                <w:sz w:val="24"/>
                <w:szCs w:val="24"/>
                <w:color w:val="auto"/>
              </w:rPr>
            </w:pPr>
          </w:p>
        </w:tc>
        <w:tc>
          <w:tcPr>
            <w:tcW w:w="5360" w:type="dxa"/>
            <w:vAlign w:val="bottom"/>
            <w:gridSpan w:val="5"/>
          </w:tcPr>
          <w:p>
            <w:pPr>
              <w:jc w:val="right"/>
              <w:ind w:right="1353"/>
              <w:spacing w:after="0"/>
              <w:rPr>
                <w:sz w:val="20"/>
                <w:szCs w:val="20"/>
                <w:color w:val="auto"/>
              </w:rPr>
            </w:pPr>
            <w:r>
              <w:rPr>
                <w:rFonts w:ascii="Arial" w:cs="Arial" w:eastAsia="Arial" w:hAnsi="Arial"/>
                <w:sz w:val="16"/>
                <w:szCs w:val="16"/>
                <w:b w:val="1"/>
                <w:bCs w:val="1"/>
                <w:color w:val="auto"/>
              </w:rPr>
              <w:t>Location of Gain (Loss) Recognized</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52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For the three months ended May 4, 2018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Interest and other, net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net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20" w:hanging="332"/>
        <w:spacing w:after="0" w:line="261"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did not record an effect of derivatives not designated as hedging instruments on the Condensed Consolidated Statement of Income (Loss) during the three months ended May 5, 2017.</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Derivative Instruments in the Condensed Consolidated Statements of Financial Position</w:t>
      </w:r>
    </w:p>
    <w:p>
      <w:pPr>
        <w:spacing w:after="0" w:line="1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presents its foreign exchange derivative instruments on a net basis in the Condensed Consolidated Statements of Financial Position due to the right of offset by its counterparties under master netting arrangements. The fair value of those derivative instruments presented on a gross basis as of each date indicated below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May 4, 2018</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 Non-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526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Non-</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Current</w:t>
            </w:r>
          </w:p>
        </w:tc>
        <w:tc>
          <w:tcPr>
            <w:tcW w:w="160" w:type="dxa"/>
            <w:vAlign w:val="bottom"/>
          </w:tcPr>
          <w:p>
            <w:pPr>
              <w:spacing w:after="0"/>
              <w:rPr>
                <w:sz w:val="17"/>
                <w:szCs w:val="17"/>
                <w:color w:val="auto"/>
              </w:rPr>
            </w:pPr>
          </w:p>
        </w:tc>
        <w:tc>
          <w:tcPr>
            <w:tcW w:w="9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210"/>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Assets</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9"/>
              </w:rPr>
              <w:t>Fair Value</w:t>
            </w:r>
          </w:p>
        </w:tc>
      </w:tr>
      <w:tr>
        <w:trPr>
          <w:trHeight w:val="33"/>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142</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197</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rate contracts in an asset position</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 in a liability position</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derivatives at fair value</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February 2, 2018</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 Non-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526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000" w:type="dxa"/>
            <w:vAlign w:val="bottom"/>
          </w:tcPr>
          <w:p>
            <w:pPr>
              <w:jc w:val="right"/>
              <w:ind w:right="91"/>
              <w:spacing w:after="0"/>
              <w:rPr>
                <w:sz w:val="20"/>
                <w:szCs w:val="20"/>
                <w:color w:val="auto"/>
              </w:rPr>
            </w:pPr>
            <w:r>
              <w:rPr>
                <w:rFonts w:ascii="Arial" w:cs="Arial" w:eastAsia="Arial" w:hAnsi="Arial"/>
                <w:sz w:val="16"/>
                <w:szCs w:val="16"/>
                <w:b w:val="1"/>
                <w:bCs w:val="1"/>
                <w:color w:val="auto"/>
                <w:w w:val="95"/>
              </w:rPr>
              <w:t>Other Non-</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Current</w:t>
            </w:r>
          </w:p>
        </w:tc>
        <w:tc>
          <w:tcPr>
            <w:tcW w:w="160" w:type="dxa"/>
            <w:vAlign w:val="bottom"/>
          </w:tcPr>
          <w:p>
            <w:pPr>
              <w:spacing w:after="0"/>
              <w:rPr>
                <w:sz w:val="17"/>
                <w:szCs w:val="17"/>
                <w:color w:val="auto"/>
              </w:rPr>
            </w:pPr>
          </w:p>
        </w:tc>
        <w:tc>
          <w:tcPr>
            <w:tcW w:w="9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210"/>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Assets</w:t>
            </w: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9"/>
              </w:rPr>
              <w:t>Fair Value</w:t>
            </w:r>
          </w:p>
        </w:tc>
      </w:tr>
      <w:tr>
        <w:trPr>
          <w:trHeight w:val="33"/>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338</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rate contracts in an asset position</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 in a liability position</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derivatives at fair value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gross amounts of the Company's derivative instruments, amounts offset due to master netting agreements with the Company's counterparties, and the net amounts recognized in the Condensed Consolidated Statements of Financial Position.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May 4, 2018</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Amounts of</w:t>
            </w:r>
          </w:p>
        </w:tc>
        <w:tc>
          <w:tcPr>
            <w:tcW w:w="180" w:type="dxa"/>
            <w:vAlign w:val="bottom"/>
          </w:tcPr>
          <w:p>
            <w:pPr>
              <w:spacing w:after="0"/>
              <w:rPr>
                <w:sz w:val="18"/>
                <w:szCs w:val="18"/>
                <w:color w:val="auto"/>
              </w:rPr>
            </w:pPr>
          </w:p>
        </w:tc>
        <w:tc>
          <w:tcPr>
            <w:tcW w:w="276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Gross Amounts not Offset in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0"/>
              </w:rPr>
              <w:t>Assets/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Statement of Financial Position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7"/>
              </w:rPr>
              <w:t>(Liabilities)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Gross Amounts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Offset in the</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Presented in the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Cash Collateral</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Recognized Assets/</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Statement of</w:t>
            </w:r>
          </w:p>
        </w:tc>
        <w:tc>
          <w:tcPr>
            <w:tcW w:w="1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Received or</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(Liabilities)</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Financial Position</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Financial Position</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6"/>
                <w:szCs w:val="16"/>
                <w:color w:val="auto"/>
                <w:w w:val="98"/>
              </w:rPr>
              <w:t>(in millions)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Financial assets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7"/>
        </w:trPr>
        <w:tc>
          <w:tcPr>
            <w:tcW w:w="2740" w:type="dxa"/>
            <w:vAlign w:val="bottom"/>
          </w:tcPr>
          <w:p>
            <w:pPr>
              <w:ind w:left="180"/>
              <w:spacing w:after="0"/>
              <w:rPr>
                <w:sz w:val="20"/>
                <w:szCs w:val="20"/>
                <w:color w:val="auto"/>
              </w:rPr>
            </w:pPr>
            <w:r>
              <w:rPr>
                <w:rFonts w:ascii="Arial" w:cs="Arial" w:eastAsia="Arial" w:hAnsi="Arial"/>
                <w:sz w:val="18"/>
                <w:szCs w:val="18"/>
                <w:color w:val="auto"/>
              </w:rPr>
              <w:t>Total derivative instruments</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February 2, 2018</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Amounts of</w:t>
            </w:r>
          </w:p>
        </w:tc>
        <w:tc>
          <w:tcPr>
            <w:tcW w:w="180" w:type="dxa"/>
            <w:vAlign w:val="bottom"/>
          </w:tcPr>
          <w:p>
            <w:pPr>
              <w:spacing w:after="0"/>
              <w:rPr>
                <w:sz w:val="18"/>
                <w:szCs w:val="18"/>
                <w:color w:val="auto"/>
              </w:rPr>
            </w:pPr>
          </w:p>
        </w:tc>
        <w:tc>
          <w:tcPr>
            <w:tcW w:w="276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Gross Amounts not Offset in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0"/>
              </w:rPr>
              <w:t>Assets/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Statement of Financial Position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7"/>
              </w:rPr>
              <w:t>(Liabilities)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Gross Amounts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Offset in the</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Presented in the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Cash Collateral</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Recognized Assets/</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Statement of</w:t>
            </w:r>
          </w:p>
        </w:tc>
        <w:tc>
          <w:tcPr>
            <w:tcW w:w="1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Received or</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(Liabilities)</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Financial Position</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Financial Position</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6"/>
                <w:szCs w:val="16"/>
                <w:color w:val="auto"/>
                <w:w w:val="98"/>
              </w:rPr>
              <w:t>(in millions)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Financial assets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57"/>
        </w:trPr>
        <w:tc>
          <w:tcPr>
            <w:tcW w:w="2740" w:type="dxa"/>
            <w:vAlign w:val="bottom"/>
          </w:tcPr>
          <w:p>
            <w:pPr>
              <w:ind w:left="180"/>
              <w:spacing w:after="0"/>
              <w:rPr>
                <w:sz w:val="20"/>
                <w:szCs w:val="20"/>
                <w:color w:val="auto"/>
              </w:rPr>
            </w:pPr>
            <w:r>
              <w:rPr>
                <w:rFonts w:ascii="Arial" w:cs="Arial" w:eastAsia="Arial" w:hAnsi="Arial"/>
                <w:sz w:val="18"/>
                <w:szCs w:val="18"/>
                <w:color w:val="auto"/>
              </w:rPr>
              <w:t>Total derivative instruments</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goodwill allocated to the Company's business segments as of May 4, 2018 and February 2, 2018, and changes in the carrying amount of goodwill for the respective periods: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Infrastructure</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Client Solutions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Other Businesses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Solutions Group (a)</w:t>
            </w: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Group</w:t>
            </w: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VMware</w:t>
            </w:r>
          </w:p>
        </w:tc>
        <w:tc>
          <w:tcPr>
            <w:tcW w:w="38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(b)</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(in millions)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February 2,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39,920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Impact of foreign currency translation</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divested</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adjustments (c)</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May 4,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39,656</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Infrastructure Solutions Group is composed of the Core Storage, Servers, and Networking goodwill reporting unit.</w:t>
      </w:r>
    </w:p>
    <w:p>
      <w:pPr>
        <w:spacing w:after="0" w:line="7" w:lineRule="exact"/>
        <w:rPr>
          <w:rFonts w:ascii="Arial" w:cs="Arial" w:eastAsia="Arial" w:hAnsi="Arial"/>
          <w:sz w:val="18"/>
          <w:szCs w:val="18"/>
          <w:color w:val="auto"/>
        </w:rPr>
      </w:pPr>
    </w:p>
    <w:p>
      <w:pPr>
        <w:ind w:left="340" w:right="82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Businesses consists of offerings by RSA Information Security, Pivotal, SecureWorks, Virtustream, Inc. ("Virtustream"), and Boomi, Inc. ("Boomi").</w:t>
      </w:r>
    </w:p>
    <w:p>
      <w:pPr>
        <w:ind w:left="340" w:right="80" w:hanging="332"/>
        <w:spacing w:after="0" w:line="255"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three months ended May 4, 2018, the Company made certain segment reporting changes, which included the movement of the results of Virtustream from the Infrastructure Solutions Group segment to Other businesses. The amount of goodwill attributable to Virtustream was reclassified to Other businesses to align with these reporting changes.</w:t>
      </w:r>
    </w:p>
    <w:p>
      <w:pPr>
        <w:spacing w:after="0" w:line="1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Goodwill and indefinite-lived intangible assets are tested for impairment annually during the third fiscal quarter and whenever events or circumstances may indicate that an impairment has occurred. Based on the results of the annual impairment test, which was a quantitative test for certain goodwill reporting units and a qualitative test for others, no impairment of goodwill or indefinite-lived intangible assets existed for any reporting unit as of November 3, 2017. As a result of this analysis, it was determined that the excess of fair value over carrying amount was greater than 20% for all of the Company's existing goodwill reporting units as of November 3, 2017, with the exception of the Core Storage, Servers, and Networking goodwill reporting unit within the Infrastructure Solutions Group segment, which had an excess of fair value over carrying amount of 18% as of such date. Management will continue to monitor the Core Storage, Servers, and Networking goodwill reporting unit and consider potential impacts to the impairment assessment. Goodwill and indefinite-lived intangible assets were assessed during the three months ended May 4, 2018 to consider the impact of segment reporting changes. No indications of impairment were identified as a result of these changes. The Company did not have any accumulated goodwill impairment charges as of May 4, 2018.</w:t>
      </w:r>
    </w:p>
    <w:p>
      <w:pPr>
        <w:spacing w:after="0" w:line="16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Management exercised significant judgment related to the above assessment, including the identification of goodwill reporting units, assignment of assets and liabilities to goodwill reporting units, assignment of goodwill to reporting units, and determination of the fair value of each goodwill reporting unit. The fair value of each goodwill reporting unit is generally estimated using a combination of public company multiples and discounted cash flow methodologies. This analysis requires significant judgment, including estimation of future cash flows, which is dependent on internal forecasts, the estimation of the long-term growth rate of the Company's business, and the determination of the Company's weighted average cost of capital. Changes in these estimates and assumptions could materially affect the fair value of the goodwill reporting unit, potentially resulting in a non-cash impairment charge.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as of May 4, 2018 and February 2, 2018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May 4, 2018</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February 2, 2018</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26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2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rPr>
              <w:t>Net</w:t>
            </w:r>
          </w:p>
        </w:tc>
      </w:tr>
      <w:tr>
        <w:trPr>
          <w:trHeight w:val="27"/>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5"/>
          </w:tcPr>
          <w:p>
            <w:pPr>
              <w:ind w:left="36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15,591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8,710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15,586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9,390</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Leasehold assets (liabilities)</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Definite-lived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Indefinite-lived trade names</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3,756</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43,477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26,737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43,511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28,265</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Amortization expense related to definite-lived intangible assets was approximately $1.5 billion and $1.8 billion for the three months ended May 4, 2018 and May 5, 2017, respectively. The amortization expense for the fiscal year ended February 2, 2018 was primarily related to the intangible assets acquired in the EMC merger transaction. There were no material impairment charges related to intangible assets during the three months ended May 4, 2018 and May 5, 2017.</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Estimated future annual pre-tax amortization expense of definite-lived intangible assets as of May 4, 2018 over the next five fiscal years and thereafter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Fiscal Years</w:t>
            </w:r>
          </w:p>
        </w:tc>
        <w:tc>
          <w:tcPr>
            <w:tcW w:w="6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(in millions)</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 nine months)</w:t>
            </w:r>
          </w:p>
        </w:tc>
        <w:tc>
          <w:tcPr>
            <w:tcW w:w="6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2020</w:t>
            </w:r>
          </w:p>
        </w:tc>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2022</w:t>
            </w:r>
          </w:p>
        </w:tc>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6,366</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22,982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bottom w:val="single" w:sz="8" w:color="CCEEFF"/>
            </w:tcBorders>
            <w:vMerge w:val="restart"/>
          </w:tcPr>
          <w:p>
            <w:pPr>
              <w:jc w:val="right"/>
              <w:ind w:right="4050"/>
              <w:spacing w:after="0"/>
              <w:rPr>
                <w:sz w:val="20"/>
                <w:szCs w:val="20"/>
                <w:color w:val="auto"/>
              </w:rPr>
            </w:pPr>
            <w:r>
              <w:rPr>
                <w:rFonts w:ascii="Arial" w:cs="Arial" w:eastAsia="Arial" w:hAnsi="Arial"/>
                <w:sz w:val="18"/>
                <w:szCs w:val="18"/>
                <w:color w:val="auto"/>
              </w:rPr>
              <w:t>40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2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DEFERRED REVENUE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 Deferred revenue is recorded when the Company has a right to invoice or payments have been received for undelivered products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 contracts where transfer of control has not occurred. Deferred revenue represents amounts received in advance for support and deployment services, software maintenance, professional services, training, and SaaS.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are recognized as the Company's performance obligations under the contract are completed.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deferred revenue are presented in the following table for the period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20" w:type="dxa"/>
            <w:vAlign w:val="bottom"/>
          </w:tcPr>
          <w:p>
            <w:pPr>
              <w:spacing w:after="0"/>
              <w:rPr>
                <w:sz w:val="23"/>
                <w:szCs w:val="23"/>
                <w:color w:val="auto"/>
              </w:rPr>
            </w:pPr>
          </w:p>
        </w:tc>
        <w:tc>
          <w:tcPr>
            <w:tcW w:w="9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May 4, 2018</w:t>
            </w: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color w:val="auto"/>
                <w:w w:val="96"/>
              </w:rPr>
              <w:t>(in millions)</w:t>
            </w: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Deferred revenue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20,816</w:t>
            </w: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deferrals for new contracts and changes in estimates for pre-existing contracts (a)</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5,337</w:t>
            </w:r>
          </w:p>
        </w:tc>
      </w:tr>
      <w:tr>
        <w:trPr>
          <w:trHeight w:val="243"/>
        </w:trPr>
        <w:tc>
          <w:tcPr>
            <w:tcW w:w="20" w:type="dxa"/>
            <w:vAlign w:val="bottom"/>
          </w:tcPr>
          <w:p>
            <w:pPr>
              <w:spacing w:after="0"/>
              <w:rPr>
                <w:sz w:val="21"/>
                <w:szCs w:val="21"/>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(5,194)</w:t>
            </w:r>
          </w:p>
        </w:tc>
      </w:tr>
      <w:tr>
        <w:trPr>
          <w:trHeight w:val="27"/>
        </w:trPr>
        <w:tc>
          <w:tcPr>
            <w:tcW w:w="20" w:type="dxa"/>
            <w:vAlign w:val="bottom"/>
          </w:tcPr>
          <w:p>
            <w:pPr>
              <w:spacing w:after="0"/>
              <w:rPr>
                <w:sz w:val="2"/>
                <w:szCs w:val="2"/>
                <w:color w:val="auto"/>
              </w:rPr>
            </w:pPr>
          </w:p>
        </w:tc>
        <w:tc>
          <w:tcPr>
            <w:tcW w:w="9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20,959</w:t>
            </w: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tcPr>
          <w:p>
            <w:pPr>
              <w:ind w:left="160"/>
              <w:spacing w:after="0"/>
              <w:rPr>
                <w:sz w:val="20"/>
                <w:szCs w:val="20"/>
                <w:color w:val="auto"/>
              </w:rPr>
            </w:pPr>
            <w:r>
              <w:rPr>
                <w:rFonts w:ascii="Arial" w:cs="Arial" w:eastAsia="Arial" w:hAnsi="Arial"/>
                <w:sz w:val="18"/>
                <w:szCs w:val="18"/>
                <w:color w:val="auto"/>
              </w:rPr>
              <w:t>Short-term deferred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11,495</w:t>
            </w: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deferred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9,464</w:t>
            </w:r>
          </w:p>
        </w:tc>
      </w:tr>
      <w:tr>
        <w:trPr>
          <w:trHeight w:val="175"/>
        </w:trPr>
        <w:tc>
          <w:tcPr>
            <w:tcW w:w="20" w:type="dxa"/>
            <w:vAlign w:val="bottom"/>
          </w:tcPr>
          <w:p>
            <w:pPr>
              <w:spacing w:after="0"/>
              <w:rPr>
                <w:sz w:val="15"/>
                <w:szCs w:val="15"/>
                <w:color w:val="auto"/>
              </w:rPr>
            </w:pPr>
          </w:p>
        </w:tc>
        <w:tc>
          <w:tcPr>
            <w:tcW w:w="9240" w:type="dxa"/>
            <w:vAlign w:val="bottom"/>
          </w:tcPr>
          <w:p>
            <w:pPr>
              <w:spacing w:after="0" w:line="175" w:lineRule="exact"/>
              <w:rPr>
                <w:sz w:val="20"/>
                <w:szCs w:val="20"/>
                <w:color w:val="auto"/>
              </w:rPr>
            </w:pPr>
            <w:r>
              <w:rPr>
                <w:rFonts w:ascii="Arial" w:cs="Arial" w:eastAsia="Arial" w:hAnsi="Arial"/>
                <w:sz w:val="16"/>
                <w:szCs w:val="16"/>
                <w:color w:val="auto"/>
              </w:rPr>
              <w:t>____________________</w:t>
            </w:r>
          </w:p>
        </w:tc>
        <w:tc>
          <w:tcPr>
            <w:tcW w:w="1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(a)  Includes the impact of foreign currency exchange rate fluctuations.</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20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Remaining Performance Obligations </w:t>
      </w:r>
      <w:r>
        <w:rPr>
          <w:rFonts w:ascii="Arial" w:cs="Arial" w:eastAsia="Arial" w:hAnsi="Arial"/>
          <w:sz w:val="17"/>
          <w:szCs w:val="17"/>
          <w:color w:val="auto"/>
        </w:rPr>
        <w:t>— Remaining performance obligations represent the aggregate amount of the transaction price in contracts allocated to</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obligations not delivered, or partially undelivered, as of the end of the reporting period. Remaining performance obligations include deferred revenue plus unbilled amounts not yet recorded in deferred revenue. The aggregate amount of transaction price allocated to remaining performance obligations does not include amounts owed under cancelable contracts where there is no substantive termination penalty.</w:t>
      </w:r>
    </w:p>
    <w:p>
      <w:pPr>
        <w:spacing w:after="0" w:line="17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Company applied the practical expedient to exclude the value of remaining performance obligations for contracts for which revenue is recognized at the amount to which the Company has the right to invoice for services performed. The Company also applied the practical expedient to not disclose the amount of transaction price allocated to remaining performance obligations for the periods prior to adoption of the new revenue standard.</w:t>
      </w:r>
    </w:p>
    <w:p>
      <w:pPr>
        <w:spacing w:after="0" w:line="1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Remaining performance obligation estimates are subject to change and are affected by several factors, including terminations, changes in the scope of contracts, periodic revalidation, adjustments for revenue that has not materialized, and adjustments for currency.</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value of the transaction price allocated to remaining performance obligations as of May 4, 2018 was approximately $29 billion. The Company expects to recognize approximately 65% of remaining performance obligations as revenue in the next 12 months,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WARRANTY LIABILITY</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records a liability for its standard limited warranties at the time of sale for the estimated costs that may be incurred. The liability for standard warranties is included in accrued and other current liabilities and other non-current liabilities in the Condensed Consolidated Statements of Financial Position.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liability for standard limited warranties are presented in the following table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33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May 4, 2018</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May 5, 2017</w:t>
            </w:r>
          </w:p>
        </w:tc>
        <w:tc>
          <w:tcPr>
            <w:tcW w:w="4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940" w:type="dxa"/>
            <w:vAlign w:val="bottom"/>
            <w:gridSpan w:val="3"/>
          </w:tcPr>
          <w:p>
            <w:pPr>
              <w:jc w:val="right"/>
              <w:ind w:right="890"/>
              <w:spacing w:after="0"/>
              <w:rPr>
                <w:sz w:val="20"/>
                <w:szCs w:val="20"/>
                <w:color w:val="auto"/>
              </w:rPr>
            </w:pPr>
            <w:r>
              <w:rPr>
                <w:rFonts w:ascii="Arial" w:cs="Arial" w:eastAsia="Arial" w:hAnsi="Arial"/>
                <w:sz w:val="18"/>
                <w:szCs w:val="18"/>
                <w:color w:val="auto"/>
              </w:rPr>
              <w:t>(in millions)</w:t>
            </w:r>
          </w:p>
        </w:tc>
        <w:tc>
          <w:tcPr>
            <w:tcW w:w="4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Warranty liability:</w:t>
            </w: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Warranty liability at beginning of period</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Costs accrued for new warranty contracts and changes in estimates for pre-existing warranties (a) (b)</w:t>
            </w: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43"/>
        </w:trPr>
        <w:tc>
          <w:tcPr>
            <w:tcW w:w="20" w:type="dxa"/>
            <w:vAlign w:val="bottom"/>
          </w:tcPr>
          <w:p>
            <w:pPr>
              <w:spacing w:after="0"/>
              <w:rPr>
                <w:sz w:val="21"/>
                <w:szCs w:val="21"/>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Service obligations honored</w:t>
            </w:r>
          </w:p>
        </w:tc>
        <w:tc>
          <w:tcPr>
            <w:tcW w:w="13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(206)</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(237)</w:t>
            </w:r>
          </w:p>
        </w:tc>
      </w:tr>
      <w:tr>
        <w:trPr>
          <w:trHeight w:val="27"/>
        </w:trPr>
        <w:tc>
          <w:tcPr>
            <w:tcW w:w="20" w:type="dxa"/>
            <w:vAlign w:val="bottom"/>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liability at end of period</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Current portion</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0"/>
                <w:szCs w:val="20"/>
                <w:color w:val="auto"/>
              </w:rPr>
            </w:pP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420</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Non-current portion</w:t>
            </w: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191"/>
        </w:trPr>
        <w:tc>
          <w:tcPr>
            <w:tcW w:w="20" w:type="dxa"/>
            <w:vAlign w:val="bottom"/>
          </w:tcPr>
          <w:p>
            <w:pPr>
              <w:spacing w:after="0"/>
              <w:rPr>
                <w:sz w:val="16"/>
                <w:szCs w:val="16"/>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____________________</w:t>
            </w: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r>
    </w:tbl>
    <w:p>
      <w:pPr>
        <w:ind w:left="340" w:right="180" w:hanging="332"/>
        <w:spacing w:after="0" w:line="264"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cost estimates related to pre-existing warranties are aggregated with accruals for new standard warranty contracts. The Company's warranty liability process does not differentiate between estimates made for pre-existing warranties and new warranty obligations.</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impact of foreign currency exchange rate fluctuations.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is involved in various claims, suits, assessments, investigations, and legal proceedings that arise from time to time in the ordinary course of its business, including those identified below, consisting of matters involving consumer, antitrust, tax, intellectual property, and other issues on a global basis. The Company accrues a liability when it believes that it is both probable that a liability has been incurred and that it can reasonably estimate the amount of the loss. The Company reviews these accruals at least quarterly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a determination is made. For some matters, the amount of liability is not probable or the amount cannot be reasonably estimated and therefore accruals have not been made. The following is a discussion of the Company's significant legal matters and other proceedings:</w:t>
      </w:r>
    </w:p>
    <w:p>
      <w:pPr>
        <w:spacing w:after="0" w:line="179" w:lineRule="exact"/>
        <w:rPr>
          <w:sz w:val="20"/>
          <w:szCs w:val="20"/>
          <w:color w:val="auto"/>
        </w:rPr>
      </w:pPr>
    </w:p>
    <w:p>
      <w:pPr>
        <w:ind w:left="660"/>
        <w:spacing w:after="0" w:line="285" w:lineRule="auto"/>
        <w:rPr>
          <w:sz w:val="20"/>
          <w:szCs w:val="20"/>
          <w:color w:val="auto"/>
        </w:rPr>
      </w:pPr>
      <w:r>
        <w:rPr>
          <w:rFonts w:ascii="Arial" w:cs="Arial" w:eastAsia="Arial" w:hAnsi="Arial"/>
          <w:sz w:val="16"/>
          <w:szCs w:val="16"/>
          <w:i w:val="1"/>
          <w:iCs w:val="1"/>
          <w:color w:val="auto"/>
        </w:rPr>
        <w:t xml:space="preserve">Appraisal Proceedings </w:t>
      </w:r>
      <w:r>
        <w:rPr>
          <w:rFonts w:ascii="Arial" w:cs="Arial" w:eastAsia="Arial" w:hAnsi="Arial"/>
          <w:sz w:val="16"/>
          <w:szCs w:val="16"/>
          <w:color w:val="auto"/>
        </w:rPr>
        <w:t>— On October 29, 2013, Dell Technologies acquired Dell in a transaction referred to as the going-private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shares of Dell common stock who did not vote on September 12, 2013 in favor of the proposal to adopt the amended going-private transaction agreement and who properly demanded appraisal of their shares and who otherwise comply with the requirements of Section 262 of the Delaware General Corporate Law ("DGCL") are entitled to seek appraisal for, and obtain payment in cash for the judicially determined "fair value" (as defined pursuant to Section 262 of the DGCL) of, their shares in lieu of receiving the going-private transaction consideration. Dell initially recorded a liability of $13.75 for each share with respect to which appraisal has been demanded and as to which the demand has not been withdrawn, together with interest at the statutory rate discussed below. The Court of Chancery ruled that the fair value of the appraisal shares as of October 29, 2013, the date on which the going-private transaction became effective, was $17.62 per share. This ruling would entitle the holders of the remaining 5,505,630 shares subject to the appraisal proceedings to $17.62 per share, plus interest at a statutory rate, compounded quarterly. On November 21, 2016, the Court of Chancery entered final judgment in the appraisal action. On November 22, 2016, Dell filed a notice of appeal to the Delaware Supreme Court, which issued a decision on December 14, 2017. In its decision, the Delaware Supreme Court reversed, in part, and affirmed, in part, the decision of the Delaware Court of Chancery. On January 2, 2018, the Delaware Supreme Court issued its formal mandate remanding the matter to the Court of Chancery for further proceedings consistent with its opinion. In accordance with direction by the Court of Chancery, the parties have submitted proposals to the Court of Chancery outlining the remaining issues to be adjudicated. The liability for the appraisal proceedings was approximately $108 million and $129 million as of May 4, 2018 and February 2, 2018, respectively. The Company believes it was adequately reserved for the appraisal proceedings as of May 4, 2018. On May 8, 2018, the Company entered into an agreement to settle a portion of the liability related to the appraisal proceedings in the amount of approximately $70 million, and on May 18, 2018 this portion of the liability was fully paid.</w:t>
      </w:r>
    </w:p>
    <w:p>
      <w:pPr>
        <w:spacing w:after="0" w:line="175" w:lineRule="exact"/>
        <w:rPr>
          <w:sz w:val="20"/>
          <w:szCs w:val="20"/>
          <w:color w:val="auto"/>
        </w:rPr>
      </w:pPr>
    </w:p>
    <w:p>
      <w:pPr>
        <w:ind w:left="660" w:right="100"/>
        <w:spacing w:after="0" w:line="272" w:lineRule="auto"/>
        <w:rPr>
          <w:sz w:val="20"/>
          <w:szCs w:val="20"/>
          <w:color w:val="auto"/>
        </w:rPr>
      </w:pPr>
      <w:r>
        <w:rPr>
          <w:rFonts w:ascii="Arial" w:cs="Arial" w:eastAsia="Arial" w:hAnsi="Arial"/>
          <w:sz w:val="17"/>
          <w:szCs w:val="17"/>
          <w:i w:val="1"/>
          <w:iCs w:val="1"/>
          <w:color w:val="auto"/>
        </w:rPr>
        <w:t xml:space="preserve">Securities Litigation </w:t>
      </w:r>
      <w:r>
        <w:rPr>
          <w:rFonts w:ascii="Arial" w:cs="Arial" w:eastAsia="Arial" w:hAnsi="Arial"/>
          <w:sz w:val="17"/>
          <w:szCs w:val="17"/>
          <w:color w:val="auto"/>
        </w:rPr>
        <w:t>— On May 22, 2014, a securities class action seeking compensatory damages was filed in the United States District Court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Southern District of New York, captioned the City of Pontiac Employee Retirement System vs. Dell Inc. et. al. (Case No. 1:14-cv-03644). The action names as defendants Dell Inc. and certain current and former executive officers, and alleges that Dell made false and misleading statements about Dell's business operations and products between February 22, 2012 and May 22, 2012, which resulted in artificially inflated stock prices. The case was transferred to the United States District Court for the Western District of Texas, where the defendants filed a motion to dismiss. On September 16, 2016, the Court denied the motion to dismiss and the case is proceeding with discovery. The defendants believe the claims asserted are without merit and the risk of material loss is remote.</w:t>
      </w:r>
    </w:p>
    <w:p>
      <w:pPr>
        <w:spacing w:after="0" w:line="178" w:lineRule="exact"/>
        <w:rPr>
          <w:sz w:val="20"/>
          <w:szCs w:val="20"/>
          <w:color w:val="auto"/>
        </w:rPr>
      </w:pPr>
    </w:p>
    <w:p>
      <w:pPr>
        <w:ind w:left="660" w:right="80"/>
        <w:spacing w:after="0" w:line="273" w:lineRule="auto"/>
        <w:rPr>
          <w:sz w:val="20"/>
          <w:szCs w:val="20"/>
          <w:color w:val="auto"/>
        </w:rPr>
      </w:pPr>
      <w:r>
        <w:rPr>
          <w:rFonts w:ascii="Arial" w:cs="Arial" w:eastAsia="Arial" w:hAnsi="Arial"/>
          <w:sz w:val="17"/>
          <w:szCs w:val="17"/>
          <w:i w:val="1"/>
          <w:iCs w:val="1"/>
          <w:color w:val="auto"/>
        </w:rPr>
        <w:t xml:space="preserve">Copyright Levies </w:t>
      </w:r>
      <w:r>
        <w:rPr>
          <w:rFonts w:ascii="Arial" w:cs="Arial" w:eastAsia="Arial" w:hAnsi="Arial"/>
          <w:sz w:val="17"/>
          <w:szCs w:val="17"/>
          <w:color w:val="auto"/>
        </w:rPr>
        <w:t>— The Company's obligation to collect and remit copyright levies in certain European Union ("EU") countries may be affected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resolution of legal proceedings pending in Germany and other EU member states against various companies, including Dell subsidiaries. The plaintiffs in those proceedings generally seek to impose or modify the levies with respect to sales of such equipment as multifunction devices, phones, personal computers, storage devices, and printers, alleging that such products enable the copying of copyrighted materials. Some of the proceedings also challenge whether the levy schemes in those countries comply with EU law. Certain EU member countries that do not yet impose levies on digital devices are expected to implement legislation to enable them to</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660" w:right="60"/>
        <w:spacing w:after="0" w:line="273" w:lineRule="auto"/>
        <w:rPr>
          <w:sz w:val="20"/>
          <w:szCs w:val="20"/>
          <w:color w:val="auto"/>
        </w:rPr>
      </w:pPr>
      <w:r>
        <w:rPr>
          <w:rFonts w:ascii="Arial" w:cs="Arial" w:eastAsia="Arial" w:hAnsi="Arial"/>
          <w:sz w:val="17"/>
          <w:szCs w:val="17"/>
          <w:color w:val="auto"/>
        </w:rPr>
        <w:t>extend existing levy schemes, while some other EU member countries are expected to limit the scope of levy schemes and their applicability in the digital hardware environment. Dell, other companies, and various industry associations have opposed the extension of levies to the digital environment and have advocated alternative models of compensation to rights holders. The Company continues to collect levies in certain EU countries where it has determined that based on local laws it is probable that it has a payment obligation. The amount of levies is generally based on the number of products sold and the per-product amounts of the levies, which vary. The Company accrues a liability when it believes that it is both probable that a loss has been incurred and when it can reasonably estimate the amount of the loss.</w:t>
      </w:r>
    </w:p>
    <w:p>
      <w:pPr>
        <w:spacing w:after="0" w:line="178" w:lineRule="exact"/>
        <w:rPr>
          <w:sz w:val="20"/>
          <w:szCs w:val="20"/>
          <w:color w:val="auto"/>
        </w:rPr>
      </w:pPr>
    </w:p>
    <w:p>
      <w:pPr>
        <w:ind w:left="660" w:right="200"/>
        <w:spacing w:after="0" w:line="257" w:lineRule="auto"/>
        <w:rPr>
          <w:sz w:val="20"/>
          <w:szCs w:val="20"/>
          <w:color w:val="auto"/>
        </w:rPr>
      </w:pPr>
      <w:r>
        <w:rPr>
          <w:rFonts w:ascii="Arial" w:cs="Arial" w:eastAsia="Arial" w:hAnsi="Arial"/>
          <w:sz w:val="18"/>
          <w:szCs w:val="18"/>
          <w:i w:val="1"/>
          <w:iCs w:val="1"/>
          <w:color w:val="auto"/>
        </w:rPr>
        <w:t xml:space="preserve">Other Litigation </w:t>
      </w:r>
      <w:r>
        <w:rPr>
          <w:rFonts w:ascii="Arial" w:cs="Arial" w:eastAsia="Arial" w:hAnsi="Arial"/>
          <w:sz w:val="18"/>
          <w:szCs w:val="18"/>
          <w:color w:val="auto"/>
        </w:rPr>
        <w:t>— The various legal proceedings in which Dell is involved include commercial litigation and a variety of patent suits. In some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cases, Dell is the sole defendant. More often, particularly in the patent suits, Dell is one of a number of defendants in the electronics and technology industries. Dell is actively defending a number of patent infringement suits, and several pending claims are in various stages of evaluation. While the number of patent cases varies over time, Dell does not currently anticipate that any of these matters will have a material adverse effect on its business, financial condition, results of operations, or cash flows.</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May 4, 2018, the Company does not believe there is a reasonable possibility that a material loss exceeding the amounts already accrued for these or other proceedings or matters has been incurred. However, since the ultimate resolution of any such proceedings and matters is inherently unpredictable, the Company's business, financial condition, results of operations, or cash flows could be materially affected in any particular period by unfavorable outcomes in one or more of these proceedings or matters. Whether the outcome of any claim, suit, assessment, investigation, or legal proceeding, individually or collectively, could have a material adverse effect on the Company's business, financial condition, results of operations, or cash flows will depend on a number of variables, including the nature, timing, and amount of any associated expenses, amounts paid in settlement, damages, or other remedies or consequences.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Indemnifications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ordinary course of business, the Company enters into contractual arrangements under which it may agree to indemnify the third party to such arrangements from any losses incurred relating to the services it performs on behalf of the Company or for losses arising from certain events as defined in the particular contract, such as litigation or claims relating to past performance. Such indemnification obligations may not be subject to maximum loss clauses. Historically, payments related to these indemnifications have not been material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AND OTHER TAXES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three months ended May 4, 2018 and May 5, 2017, the Company's effective income tax rates were 13.6% and 34.8%, respectively, on pre-tax losses of $0.6 billion and $1.8 billion, respectively. The change in the Company's effective income tax rates was primarily attributable to impacts of U.S. Tax Reform, partially off-set by discrete tax benefits resulting from the impact of adopting the new revenue recognition standard.</w:t>
      </w:r>
    </w:p>
    <w:p>
      <w:pPr>
        <w:spacing w:after="0" w:line="16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Tax Cuts and Jobs Act of 2017 ("U.S. Tax Reform" or the "Act") was signed into law on December 22, 2017. Among other things, U.S. Tax Reform lowers the U.S. corporate income tax rate to 21% from 35%, establishes a modified territorial system requiring a mandatory deemed repatriation tax on undistributed earnings of foreign subsidiaries (the "Transition Tax"), requires a minimum tax on certain future earnings generated by foreign subsidiaries while providing for future tax-free repatriation of earnings through a 100% dividends-received deduction, and places limitations on the deductibility of net interest expense.</w:t>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GAAP requires the effect of a change in tax laws to be recognized in the period that includes the enactment date. Due to the complexities involved in accounting for the enactment of U.S. Tax Reform, the SEC staff issued Staff Accounting Bulletin No. 118 ("SAB 118"), which allows companies to record provisional amounts in earnings for the first year following the Act's enactment, with those provisional amounts required to be finalized by the end of that year. In accordance with GAAP and SAB 118, the Company recognized a provisional tax benefit in the fourth quarter of Fiscal 2018 of $0.3 billion related to U.S. Tax Reform, primarily driven by a $1.3 billion tax benefit related to the remeasurement of deferred tax assets and liabilities, offset by $1.0 billion of current and future income tax expenses related to the Transition Tax. The Company’s provisional estimates are based on its initial analysis using available information and estimates. In accordance with SAB 118, the Company’s provisional benefit will be adjusted once the analysis is complete, but no later than the fourth quarter of Fiscal 2019. The Company is still collecting and processing the necessary data to complete the analysis. As a result, no adjustments have been made to the provisional amount recorded in the fourth quarter of Fiscal 2018. In addition, the Company expects further guidance to be issued by the U.S Treasury Department that may affect the provisional calculation. Revisions to the Company’s provisional estimates may be material to the Company.</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differences between the estimated effective income tax rates and the U.S. federal statutory rate of 21% principally result from the Company's geographical distribution of income and differences between the book and tax treatment of certain items. In certain jurisdictions, the Company's tax rate is significantly less than the applicable statutory rate as a result of tax holidays. The majority of the Company's foreign income that is subject to these tax holidays and lower tax rates is attributable to Singapore, China, and Malaysia. A significant portion of these income tax benefits is related to a tax holiday that will expire at the end of Fiscal 2019. The Company is currently seeking new terms for the affected subsidiary beyond Fiscal 2019 and it is uncertain whether any terms will be agreed upon. The Company's other tax holidays will expire in whole or in part during fiscal years 2019 through 2023. Many of these tax holidays and reduced tax rates may be extended when certain conditions are met or may be terminated early if certain conditions are not met.</w:t>
      </w:r>
    </w:p>
    <w:p>
      <w:pPr>
        <w:spacing w:after="0" w:line="16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U.S. federal income tax returns for fiscal years 2007 through 2009 are currently under consideration by the Office of Appeals of the Internal Revenue Service (the "IRS"). The IRS issued a Revenue Agent's Report ("RAR") related to those years during the fiscal year ended February 3, 2017. The IRS has proposed adjustments primarily relating to transfer pricing matters with which the Company disagrees and is contesting through the IRS administrative appeals process. In May 2017, the IRS commenced a federal income tax audit for fiscal years 2010 through 2014, which could take several years to complete. Prior to the EMC merger transaction, EMC received a RAR for its tax years 2009 and 2010. On May 5, 2017, EMC received an RAR for its tax year 2011. The Company also disagrees with certain proposed adjustments in these RARs and is currently contesting the proposed adjustments through the IRS administrative appeals process.</w:t>
      </w:r>
    </w:p>
    <w:p>
      <w:pPr>
        <w:spacing w:after="0" w:line="18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Company is also currently under income tax audits in various state and foreign jurisdictions. The Company is undergoing negotiations, and in some cases contested proceedings, relating to tax matters with the taxing authorities in these jurisdictions. The Company believes that it has provided adequate reserves related to all matters contained in tax periods open to examination. Although the Company believes it has made adequate provisions for the uncertainties surrounding these audits, should the Company experience unfavorable outcomes, such outcomes could have a material impact on its results of operations, financial position, and cash flows. With respect to major U.S. state and foreign taxing jurisdictions, the Company is generally not subject to tax examinations for years prior to fiscal year 2007.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Judgment is required in evaluating the Company's uncertain tax positions and determining the Company's provision for income taxes. The unrecognized tax benefits were $3.2 billion as of both May 4, 2018 and February 2, 2018 and are included in other non-current liabilities in the Condensed Consolidated Statements of Financial Position. The Company does not anticipate a significant change to the total amount of unrecognized tax benefits within the next twelve months.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takes certain non-income tax positions in the jurisdictions in which it operates and has received certain non-income tax assessments from various jurisdictions. The Company believes that a material loss in these matters is not probable and that it is not reasonably possible that a material loss exceeding amounts already accrued has been incurred. The Company believes its positions in these non-income tax litigation matters are supportable and that it ultimately will prevail in the matters. In the normal course of business, the Company's positions and conclusions related to its non-income taxes could be challenged and assessments may be made. To the extent new information is obtained and the Company's views on its positions, probable outcomes of assessments, or litigation change, changes in estimates to the Company's accrued liabilities would be recorded in the period in which such a determination is made. In the resolution process for income tax and non-income tax audits, in certain situations the Company is required to provide collateral guarantees or indemnification to regulators and tax authorities until the matter is resolved.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ACCUMULATED OTHER COMPREHENSIVE INCOME (LOSS)</w:t>
      </w:r>
    </w:p>
    <w:p>
      <w:pPr>
        <w:spacing w:after="0" w:line="229"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Accumulated other comprehensive income (loss) is presented in stockholders' equity in the Condensed Consolidated Statements of Financial Position and consists of amounts related to foreign currency translation adjustments, unrealized net gains (losses) on investments, unrealized net gains (losses) on cash flow hedges, and actuarial net gains (losses) from pension and other postretirement plans.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accumulated other comprehensive income (loss), net of tax, by the following components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b w:val="1"/>
                <w:bCs w:val="1"/>
                <w:color w:val="auto"/>
              </w:rPr>
              <w:t>Foreign Currency</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Accumulated Other</w:t>
            </w:r>
          </w:p>
        </w:tc>
      </w:t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3"/>
              </w:rPr>
              <w:t>Translation</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Cash Flow</w:t>
            </w:r>
          </w:p>
        </w:tc>
        <w:tc>
          <w:tcPr>
            <w:tcW w:w="1700" w:type="dxa"/>
            <w:vAlign w:val="bottom"/>
            <w:gridSpan w:val="3"/>
          </w:tcPr>
          <w:p>
            <w:pPr>
              <w:ind w:left="120"/>
              <w:spacing w:after="0"/>
              <w:rPr>
                <w:sz w:val="20"/>
                <w:szCs w:val="20"/>
                <w:color w:val="auto"/>
              </w:rPr>
            </w:pPr>
            <w:r>
              <w:rPr>
                <w:rFonts w:ascii="Arial" w:cs="Arial" w:eastAsia="Arial" w:hAnsi="Arial"/>
                <w:sz w:val="17"/>
                <w:szCs w:val="17"/>
                <w:b w:val="1"/>
                <w:bCs w:val="1"/>
                <w:color w:val="auto"/>
              </w:rPr>
              <w:t>Pension and Other</w:t>
            </w:r>
          </w:p>
        </w:tc>
        <w:tc>
          <w:tcPr>
            <w:tcW w:w="180" w:type="dxa"/>
            <w:vAlign w:val="bottom"/>
          </w:tcPr>
          <w:p>
            <w:pPr>
              <w:spacing w:after="0"/>
              <w:rPr>
                <w:sz w:val="17"/>
                <w:szCs w:val="17"/>
                <w:color w:val="auto"/>
              </w:rPr>
            </w:pPr>
          </w:p>
        </w:tc>
        <w:tc>
          <w:tcPr>
            <w:tcW w:w="1420" w:type="dxa"/>
            <w:vAlign w:val="bottom"/>
          </w:tcPr>
          <w:p>
            <w:pPr>
              <w:jc w:val="center"/>
              <w:ind w:right="71"/>
              <w:spacing w:after="0"/>
              <w:rPr>
                <w:sz w:val="20"/>
                <w:szCs w:val="20"/>
                <w:color w:val="auto"/>
              </w:rPr>
            </w:pPr>
            <w:r>
              <w:rPr>
                <w:rFonts w:ascii="Arial" w:cs="Arial" w:eastAsia="Arial" w:hAnsi="Arial"/>
                <w:sz w:val="17"/>
                <w:szCs w:val="17"/>
                <w:b w:val="1"/>
                <w:bCs w:val="1"/>
                <w:color w:val="auto"/>
                <w:w w:val="89"/>
              </w:rPr>
              <w:t>Comprehensive</w:t>
            </w:r>
          </w:p>
        </w:tc>
      </w:tr>
      <w:tr>
        <w:trPr>
          <w:trHeight w:val="222"/>
        </w:trPr>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Adjustments</w:t>
            </w:r>
          </w:p>
        </w:tc>
        <w:tc>
          <w:tcPr>
            <w:tcW w:w="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7"/>
                <w:szCs w:val="17"/>
                <w:b w:val="1"/>
                <w:bCs w:val="1"/>
                <w:color w:val="auto"/>
              </w:rPr>
              <w:t>Investments</w:t>
            </w:r>
          </w:p>
        </w:tc>
        <w:tc>
          <w:tcPr>
            <w:tcW w:w="2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7"/>
              </w:rPr>
              <w:t>Hedges</w:t>
            </w:r>
          </w:p>
        </w:tc>
        <w:tc>
          <w:tcPr>
            <w:tcW w:w="1700" w:type="dxa"/>
            <w:vAlign w:val="bottom"/>
            <w:gridSpan w:val="3"/>
          </w:tcPr>
          <w:p>
            <w:pPr>
              <w:ind w:left="40"/>
              <w:spacing w:after="0"/>
              <w:rPr>
                <w:sz w:val="20"/>
                <w:szCs w:val="20"/>
                <w:color w:val="auto"/>
              </w:rPr>
            </w:pPr>
            <w:r>
              <w:rPr>
                <w:rFonts w:ascii="Arial" w:cs="Arial" w:eastAsia="Arial" w:hAnsi="Arial"/>
                <w:sz w:val="17"/>
                <w:szCs w:val="17"/>
                <w:b w:val="1"/>
                <w:bCs w:val="1"/>
                <w:color w:val="auto"/>
                <w:w w:val="96"/>
              </w:rPr>
              <w:t>Postretirement Plans</w:t>
            </w:r>
          </w:p>
        </w:tc>
        <w:tc>
          <w:tcPr>
            <w:tcW w:w="180" w:type="dxa"/>
            <w:vAlign w:val="bottom"/>
          </w:tcPr>
          <w:p>
            <w:pPr>
              <w:spacing w:after="0"/>
              <w:rPr>
                <w:sz w:val="19"/>
                <w:szCs w:val="19"/>
                <w:color w:val="auto"/>
              </w:rPr>
            </w:pPr>
          </w:p>
        </w:tc>
        <w:tc>
          <w:tcPr>
            <w:tcW w:w="1420" w:type="dxa"/>
            <w:vAlign w:val="bottom"/>
          </w:tcPr>
          <w:p>
            <w:pPr>
              <w:jc w:val="center"/>
              <w:ind w:right="91"/>
              <w:spacing w:after="0"/>
              <w:rPr>
                <w:sz w:val="20"/>
                <w:szCs w:val="20"/>
                <w:color w:val="auto"/>
              </w:rPr>
            </w:pPr>
            <w:r>
              <w:rPr>
                <w:rFonts w:ascii="Arial" w:cs="Arial" w:eastAsia="Arial" w:hAnsi="Arial"/>
                <w:sz w:val="17"/>
                <w:szCs w:val="17"/>
                <w:b w:val="1"/>
                <w:bCs w:val="1"/>
                <w:color w:val="auto"/>
                <w:w w:val="90"/>
              </w:rPr>
              <w:t>Income (Loss)</w:t>
            </w:r>
          </w:p>
        </w:tc>
      </w:tr>
      <w:tr>
        <w:trPr>
          <w:trHeight w:val="31"/>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rPr>
              <w:t>(in millions)</w:t>
            </w: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February 2, 2018</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Adjustment for adoption of accounting</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standards (Note 1)</w:t>
            </w:r>
          </w:p>
        </w:tc>
        <w:tc>
          <w:tcPr>
            <w:tcW w:w="1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Other comprehensive income (loss) before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reclassifications</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w w:val="93"/>
              </w:rPr>
              <w:t>Amounts reclassified from accumulated other</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for the period</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Less: Change in comprehensive loss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attributable to 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May 4, 2018</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Amounts related to investments are reclassified to net income when gains and losses are realized. See Note 3 and Note 4 of the Notes to the Condensed Consolidated Financial Statements for more information on the Company's investments. Amounts related to the Company's cash flow hedges are reclassified to net income during the same period in which the items being hedged are recognized in earnings. See Note 7 of the Notes to the Condensed Consolidated Financial Statements for more information on the Company's derivative instruments.</w:t>
      </w:r>
    </w:p>
    <w:p>
      <w:pPr>
        <w:spacing w:after="0" w:line="1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 presents reclassifications out of accumulated other comprehensive income (loss), net of tax, to net income (loss) for the periods presented: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May 4, 2018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May 5, 2017</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Cash Flow</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Cash Flow</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Investments</w:t>
            </w:r>
          </w:p>
        </w:tc>
        <w:tc>
          <w:tcPr>
            <w:tcW w:w="1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Investments</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ind w:left="50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Total reclassifications,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and other, net</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reclassifications, net of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78"/>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NON-CONTROLLING INTERESTS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VMware, Inc. </w:t>
      </w:r>
      <w:r>
        <w:rPr>
          <w:rFonts w:ascii="Arial" w:cs="Arial" w:eastAsia="Arial" w:hAnsi="Arial"/>
          <w:sz w:val="18"/>
          <w:szCs w:val="18"/>
          <w:color w:val="auto"/>
        </w:rPr>
        <w:t>— The non-controlling interests' share of equity in VMware, Inc. is reflected as a component of the non-controlling interests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Condensed Consolidated Statements of Financial Position and was $5.5 billion and $5.2 billion as of May 4, 2018 and February 2, 2018, respectively. As of May 4, 2018 and February 2, 2018, the Company held approximately 81.4% and 81.9%, respectively, of the outstanding equity interest in VMware, Inc.</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 The non-controlling interests' share of equity in SecureWorks is reflected as a component of the non-controlling interests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Condensed Consolidated Statements of Financial Position and was $96 million and $90 million as of May 4, 2018 and February 2, 2018, respectively. As of May 4, 2018 and February 2, 2018, the Company held approximately 86.6% and 87.1%, respectively, of the outstanding equity interest in SecureWorks, excluding restricted stock awards ("RSAs'"). As of May 4, 2018 and February 2, 2018, the Company held approximately 85.7% and 86.3%, respectively, of the outstanding equity interest in SecureWorks, including RSAs.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Pivotal </w:t>
      </w:r>
      <w:r>
        <w:rPr>
          <w:rFonts w:ascii="Arial" w:cs="Arial" w:eastAsia="Arial" w:hAnsi="Arial"/>
          <w:sz w:val="17"/>
          <w:szCs w:val="17"/>
          <w:color w:val="auto"/>
        </w:rPr>
        <w:t>— On April 24, 2018, Pivotal completed a registered underwritten IPO of its Class A common stock. In conjunction with the IPO, all of Pivotal's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preferred equity shares were converted into shares of its common stock on a one-to-one basis, such that upon completion of its IPO, Pivotal's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stock consisted solely of common stock. The non-controlling interests' share of equity in Pivotal is reflected as a component of the non-controlling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in the accompanying Condensed Consolidated Statements of Financial Position and was $927 million and $489 million as of May 4, 2018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2, 2018, respectively. The increase in non-controlling interest for Pivotal is primarily due to the IPO completed during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4, 2018. As of May 4, 2018 and February 2, 2018, the Company held approximately 65.1% and 77.1%, respectively, of the outstanding equity interest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Pivotal.</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effect of changes in the Company's ownership interest in VMware, Inc., SecureWorks, and Pivotal on the Company's equity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9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May 4, 2018</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jc w:val="center"/>
              <w:ind w:right="110"/>
              <w:spacing w:after="0"/>
              <w:rPr>
                <w:sz w:val="20"/>
                <w:szCs w:val="20"/>
                <w:color w:val="auto"/>
              </w:rPr>
            </w:pPr>
            <w:r>
              <w:rPr>
                <w:rFonts w:ascii="Arial" w:cs="Arial" w:eastAsia="Arial" w:hAnsi="Arial"/>
                <w:sz w:val="18"/>
                <w:szCs w:val="18"/>
                <w:color w:val="auto"/>
                <w:w w:val="96"/>
              </w:rPr>
              <w:t>(in millions)</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Dell Technologies Inc.</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Transfers (to) from the non-controlling interests:</w:t>
            </w:r>
          </w:p>
        </w:tc>
        <w:tc>
          <w:tcPr>
            <w:tcW w:w="2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Dell Technologies Inc. additional paid-in-capital for equity issuances and other equity activity</w:t>
            </w: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9080" w:type="dxa"/>
            <w:vAlign w:val="bottom"/>
          </w:tcPr>
          <w:p>
            <w:pPr>
              <w:ind w:left="180"/>
              <w:spacing w:after="0"/>
              <w:rPr>
                <w:sz w:val="20"/>
                <w:szCs w:val="20"/>
                <w:color w:val="auto"/>
              </w:rPr>
            </w:pPr>
            <w:r>
              <w:rPr>
                <w:rFonts w:ascii="Arial" w:cs="Arial" w:eastAsia="Arial" w:hAnsi="Arial"/>
                <w:sz w:val="18"/>
                <w:szCs w:val="18"/>
                <w:color w:val="auto"/>
              </w:rPr>
              <w:t>Decrease in Dell Technologies Inc. additional paid-in-capital for equity issuances and other equity activity</w:t>
            </w:r>
          </w:p>
        </w:tc>
        <w:tc>
          <w:tcPr>
            <w:tcW w:w="2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9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transfers from non-controlling interests</w:t>
            </w:r>
          </w:p>
        </w:tc>
        <w:tc>
          <w:tcPr>
            <w:tcW w:w="2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9080" w:type="dxa"/>
            <w:vAlign w:val="bottom"/>
          </w:tcPr>
          <w:p>
            <w:pPr>
              <w:ind w:left="180"/>
              <w:spacing w:after="0"/>
              <w:rPr>
                <w:sz w:val="20"/>
                <w:szCs w:val="20"/>
                <w:color w:val="auto"/>
              </w:rPr>
            </w:pPr>
            <w:r>
              <w:rPr>
                <w:rFonts w:ascii="Arial" w:cs="Arial" w:eastAsia="Arial" w:hAnsi="Arial"/>
                <w:sz w:val="18"/>
                <w:szCs w:val="18"/>
                <w:color w:val="auto"/>
              </w:rPr>
              <w:t>Change from net loss attributable to Dell Technologies Inc. and transfers to/from the non-controlling interests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9080" w:type="dxa"/>
            <w:vAlign w:val="bottom"/>
            <w:vMerge w:val="restart"/>
          </w:tcPr>
          <w:p>
            <w:pPr>
              <w:ind w:left="5620"/>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9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(LOSS) PER SHARE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Basic earnings (loss) per share is based on the weighted-average effect of all common shares issued and outstanding and is calculated by dividing net income (loss) by the weighted-average shares outstanding during the period. Diluted earnings (loss) per share is calculated by dividing net income (loss) by the weighted-average number of common shares used in the basic earnings (loss) per share calculation plus the number of common shares that would be issued assuming exercise or conversion of all potentially dilutive instruments. The Company excludes equity instruments from the calculation of diluted earnings (loss) per share if the effect of including such instruments is antidilutive.</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has two groups of common stock, denoted as the DHI Group Common Stock and the Class V Common Stock. The DHI Group Common Stock consists of four classes of common stock, referred to as Class A Common Stock, Class B Common Stock, Class C Common Stock, and Class D Common Stock. The DHI Group generally refers to the direct and indirect interest of Dell Technologies in all of Dell Technologies' business, assets, properties, liabilities, and preferred stock other than those attributable to the Class V Group, as well as the DHI Group's retained interest in the Class V Group equal to approximately 39% of the Company's economic interest in the Class V Group as of May 4, 2018. The Class V Common Stock is intended to track the economic performance of approximately 61% of the Company's economic interest in the Class V Group as of such date. The Class V Group consists solely of VMware, Inc. common stock held by the Company. As of May 4, 2018, the Class V Group consisted of approximately 331 million shares of VMware, Inc. common stock. See Note 16 of the Notes to the Condensed Consolidated Financial Statements and Exhibit 99.1 filed with the Company's quarterly report on Form 10-Q for the quarterly period ended May 4, 2018 for more information regarding the allocation of earnings from Dell Technologies' interest in VMware, Inc. between the DHI Group and the Class V Common Stock.</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purposes of calculating earnings (loss) per share, the Company used the two-class method. As all classes of DHI Group Common Stock share the same rights in dividends, basic and diluted earnings (loss) per share are the same for each class of DHI Group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basic and diluted earnings (loss) per share for each of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4, 2018</w:t>
            </w:r>
          </w:p>
        </w:tc>
        <w:tc>
          <w:tcPr>
            <w:tcW w:w="280" w:type="dxa"/>
            <w:vAlign w:val="bottom"/>
          </w:tcPr>
          <w:p>
            <w:pPr>
              <w:spacing w:after="0"/>
              <w:rPr>
                <w:sz w:val="20"/>
                <w:szCs w:val="20"/>
                <w:color w:val="auto"/>
              </w:rPr>
            </w:pP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5, 2017</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Earnings (loss) per share attributable to Dell Technologies Inc. - basic:</w:t>
            </w: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Class V Common Stock -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0.60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DHI Group -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324"/>
        </w:trPr>
        <w:tc>
          <w:tcPr>
            <w:tcW w:w="7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Earnings (loss) per share attributable to Dell Technologies Inc. - diluted:</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Class V Common Stock -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0.59</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DHI Group - 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7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for each of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4, 2018</w:t>
            </w:r>
          </w:p>
        </w:tc>
        <w:tc>
          <w:tcPr>
            <w:tcW w:w="42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w w:val="93"/>
              </w:rPr>
              <w:t>May 5, 2017</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4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 Class V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Net income attributable to Class V Common Stock -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Incremental dilution from VMware, Inc. attributable to Class V Common Stock (a)</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20" w:type="dxa"/>
            <w:vAlign w:val="bottom"/>
          </w:tcPr>
          <w:p>
            <w:pPr>
              <w:spacing w:after="0"/>
              <w:rPr>
                <w:sz w:val="20"/>
                <w:szCs w:val="20"/>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Net income attributable to Class V Common Stock - diluted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20" w:type="dxa"/>
            <w:vAlign w:val="bottom"/>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18"/>
        </w:trPr>
        <w:tc>
          <w:tcPr>
            <w:tcW w:w="20" w:type="dxa"/>
            <w:vAlign w:val="bottom"/>
          </w:tcPr>
          <w:p>
            <w:pPr>
              <w:spacing w:after="0"/>
              <w:rPr>
                <w:sz w:val="24"/>
                <w:szCs w:val="24"/>
                <w:color w:val="auto"/>
              </w:rPr>
            </w:pPr>
          </w:p>
        </w:tc>
        <w:tc>
          <w:tcPr>
            <w:tcW w:w="7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i w:val="1"/>
                <w:iCs w:val="1"/>
                <w:color w:val="auto"/>
              </w:rPr>
              <w:t>Numerator: DHI Group</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attributable to DHI Group -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r>
      <w:tr>
        <w:trPr>
          <w:trHeight w:val="243"/>
        </w:trPr>
        <w:tc>
          <w:tcPr>
            <w:tcW w:w="20" w:type="dxa"/>
            <w:vAlign w:val="bottom"/>
          </w:tcPr>
          <w:p>
            <w:pPr>
              <w:spacing w:after="0"/>
              <w:rPr>
                <w:sz w:val="21"/>
                <w:szCs w:val="21"/>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Incremental dilution from VMware, Inc. attributable to DHI Group (a)</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attributable to DHI Group -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318"/>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 Class V Common Stock weighted-average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Weighted-average shares outstanding - basic</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Dilutive effect of options, restricted stock units, restricted stock, and other (b)</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20" w:type="dxa"/>
            <w:vAlign w:val="bottom"/>
          </w:tcPr>
          <w:p>
            <w:pPr>
              <w:spacing w:after="0"/>
              <w:rPr>
                <w:sz w:val="24"/>
                <w:szCs w:val="24"/>
                <w:color w:val="auto"/>
              </w:rPr>
            </w:pPr>
          </w:p>
        </w:tc>
        <w:tc>
          <w:tcPr>
            <w:tcW w:w="76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Weighted-average shares outstanding - diluted</w:t>
            </w:r>
          </w:p>
        </w:tc>
        <w:tc>
          <w:tcPr>
            <w:tcW w:w="28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r>
      <w:tr>
        <w:trPr>
          <w:trHeight w:val="237"/>
        </w:trPr>
        <w:tc>
          <w:tcPr>
            <w:tcW w:w="20" w:type="dxa"/>
            <w:vAlign w:val="bottom"/>
          </w:tcPr>
          <w:p>
            <w:pPr>
              <w:spacing w:after="0"/>
              <w:rPr>
                <w:sz w:val="20"/>
                <w:szCs w:val="20"/>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Weighted-average shares outstanding - antidilutive (b)</w:t>
            </w:r>
          </w:p>
        </w:tc>
        <w:tc>
          <w:tcPr>
            <w:tcW w:w="2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 DHI Group weighted-average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Weighted-average shares outstanding - basic</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566</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Dilutive effect of options, restricted stock units, restricted stock,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20" w:type="dxa"/>
            <w:vAlign w:val="bottom"/>
          </w:tcPr>
          <w:p>
            <w:pPr>
              <w:spacing w:after="0"/>
              <w:rPr>
                <w:sz w:val="24"/>
                <w:szCs w:val="24"/>
                <w:color w:val="auto"/>
              </w:rPr>
            </w:pPr>
          </w:p>
        </w:tc>
        <w:tc>
          <w:tcPr>
            <w:tcW w:w="76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Weighted-average shares outstanding - diluted</w:t>
            </w:r>
          </w:p>
        </w:tc>
        <w:tc>
          <w:tcPr>
            <w:tcW w:w="28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566</w:t>
            </w:r>
          </w:p>
        </w:tc>
      </w:tr>
      <w:tr>
        <w:trPr>
          <w:trHeight w:val="237"/>
        </w:trPr>
        <w:tc>
          <w:tcPr>
            <w:tcW w:w="20" w:type="dxa"/>
            <w:vAlign w:val="bottom"/>
          </w:tcPr>
          <w:p>
            <w:pPr>
              <w:spacing w:after="0"/>
              <w:rPr>
                <w:sz w:val="20"/>
                <w:szCs w:val="20"/>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Weighted-average shares outstanding - antidilutive (c)</w:t>
            </w: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191"/>
        </w:trPr>
        <w:tc>
          <w:tcPr>
            <w:tcW w:w="20" w:type="dxa"/>
            <w:vAlign w:val="bottom"/>
          </w:tcPr>
          <w:p>
            <w:pPr>
              <w:spacing w:after="0"/>
              <w:rPr>
                <w:sz w:val="16"/>
                <w:szCs w:val="16"/>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____________________</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ind w:left="340" w:right="320" w:hanging="332"/>
        <w:spacing w:after="0" w:line="264"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incremental dilution from VMware, Inc. represents the impact of VMware, Inc.'s dilutive securities on the diluted earnings (loss) per share of the DHI Group and the Class V Common Stock, respectively, and is calculated by multiplying the difference between VMware, Inc.'s basic and diluted earnings (loss) per share by the number of shares of VMware, Inc. Class A common stock owned by the Company.</w:t>
      </w:r>
    </w:p>
    <w:p>
      <w:pPr>
        <w:spacing w:after="0" w:line="1" w:lineRule="exact"/>
        <w:rPr>
          <w:rFonts w:ascii="Arial" w:cs="Arial" w:eastAsia="Arial" w:hAnsi="Arial"/>
          <w:sz w:val="17"/>
          <w:szCs w:val="17"/>
          <w:color w:val="auto"/>
        </w:rPr>
      </w:pPr>
    </w:p>
    <w:p>
      <w:pPr>
        <w:ind w:left="340" w:right="42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dilutive effect of Class V Common Stock-based incentive awards was not material to the calculation of the weighted-average Class V Common Stock shares outstanding. The antidilutive effect of these awards was also not material.</w:t>
      </w:r>
    </w:p>
    <w:p>
      <w:pPr>
        <w:ind w:left="340" w:right="280" w:hanging="332"/>
        <w:spacing w:after="0" w:line="323"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Stock-based incentive awards have been excluded from the calculation of the DHI Group's diluted earnings (loss) per share because their effect would have been antidilutive, as the Company had a net loss from continuing operations attributable to the DHI Group for the periods presented.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to the consolidated net income (loss) attributable to Dell Technologies Inc.:</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4, 2018</w:t>
            </w:r>
          </w:p>
        </w:tc>
        <w:tc>
          <w:tcPr>
            <w:tcW w:w="42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w w:val="93"/>
              </w:rPr>
              <w:t>May 5, 2017</w:t>
            </w: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4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Class V Common Stock</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loss attributable to DHI Group</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(1,296)</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Dell Technologies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authorized, issued, and outstanding common stock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620" w:type="dxa"/>
            <w:vAlign w:val="bottom"/>
          </w:tcPr>
          <w:p>
            <w:pPr>
              <w:jc w:val="right"/>
              <w:ind w:right="290"/>
              <w:spacing w:after="0"/>
              <w:rPr>
                <w:sz w:val="20"/>
                <w:szCs w:val="20"/>
                <w:color w:val="auto"/>
              </w:rPr>
            </w:pPr>
            <w:r>
              <w:rPr>
                <w:rFonts w:ascii="Arial" w:cs="Arial" w:eastAsia="Arial" w:hAnsi="Arial"/>
                <w:sz w:val="18"/>
                <w:szCs w:val="18"/>
                <w:b w:val="1"/>
                <w:bCs w:val="1"/>
                <w:color w:val="auto"/>
              </w:rPr>
              <w:t>Authorized</w:t>
            </w: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Issued</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Outstanding</w:t>
            </w:r>
          </w:p>
        </w:tc>
      </w:tr>
      <w:tr>
        <w:trPr>
          <w:trHeight w:val="27"/>
        </w:trPr>
        <w:tc>
          <w:tcPr>
            <w:tcW w:w="6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color w:val="auto"/>
                <w:w w:val="92"/>
              </w:rPr>
              <w:t>(in millions of shares)</w:t>
            </w:r>
          </w:p>
        </w:tc>
        <w:tc>
          <w:tcPr>
            <w:tcW w:w="158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Common stock as of May 4, 2018</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A</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C</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7,900</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D</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V</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9,143</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Common stock as of February 2, 2018</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A</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C</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7,900</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D</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V</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9,143</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 The Company is authorized to issue one million shares of preferred stock, par value $.01 per share. As of May 4, 2018, no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were issued or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DHI Group Common Stock and DHI Group</w:t>
      </w:r>
      <w:r>
        <w:rPr>
          <w:rFonts w:ascii="Arial" w:cs="Arial" w:eastAsia="Arial" w:hAnsi="Arial"/>
          <w:sz w:val="18"/>
          <w:szCs w:val="18"/>
          <w:color w:val="auto"/>
        </w:rPr>
        <w:t>— The Class A Common Stock, the Class B Common Stock, the Class C Common Stock, and the Class D</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are collectively referred to as the DHI Group Common Stock. The par value for all classes of DHI Group Common Stock is $.01 per share. The Class A Common Stock, the Class B Common Stock, the Class C Common Stock, and the Class D Common Stock share equally in dividends declared or accumulated and have equal participation rights in undistributed earnings. The DHI Group generally refers to the direct and indirect interest of Dell Technologies in all of Dell Technologies' business, assets, properties, liabilities, and preferred stock other than those attributable to the Class V Group, as well as the DHI Group's retained interest in the Class V Group.</w:t>
      </w:r>
    </w:p>
    <w:p>
      <w:pPr>
        <w:spacing w:after="0" w:line="19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Class V Common Stock and Class V Group </w:t>
      </w:r>
      <w:r>
        <w:rPr>
          <w:rFonts w:ascii="Arial" w:cs="Arial" w:eastAsia="Arial" w:hAnsi="Arial"/>
          <w:sz w:val="18"/>
          <w:szCs w:val="18"/>
          <w:color w:val="auto"/>
        </w:rPr>
        <w:t>— In connection with the EMC merger transaction, the Company authorized 343 million shares of Class V</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Class V Common Stock is a type of common stock commonly referred to as a tracking stock, which is a class of common stock that is intended to track the economic performance of a defined set of assets and liabilities. As of May 4, 2018, the 199 million shares of outstanding Class V Common Stock were intended to track the economic performance of approximately 61% of Dell Technologies' economic interest in the Class V Group. The Class V Group as of such date consisted solely of approximately 331 million shares of VMware, Inc. common stock held by the Company. The remaining 39% economic interest in the Class V Group as of May 4, 2018 was represented by the approximately 127 million retained interest shares held by the DHI Group.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Repurchases of Common Stock; Treasury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V Common Stock Repurchases by Dell Technologies Inc.</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Since the date of the EMC merger transaction, the Company has authorized several programs to repurchase shares of its Class V Common Stock. Of the $2.1 billion total authorized for repurchases under the programs, $676 million remained available as of May 4, 2018, all of which is attributable to the DHI Group Repurchase Program, which our board of directors suspended on December 13, 2016 until such time as the board of directors authorizes the reinstatement of that program.</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three months ended May 4, 2018, the Company did not repurchase any Class V Common Stock. During the three months ended May 5, 2017, the Company repurchased 5.5 million shares of Class V Common Stock for an aggregate purchase price of $359 million. The repurchase of these shares was funded by proceeds received by the Class V Group from the sale by a subsidiary of the Company of shares of Class A common stock of VMware, Inc. owned by such subsidiary, as discussed below. Share repurchases made by VMware, Inc. of its Class A Common Stock from a subsidiary of the Company do not affect the determination of the respective interests of the Class V Common Stock and the DHI Group in the Class V Group. See Exhibit 99.1 filed with the quarterly report on Form 10-Q for the three months ended May 4, 2018 for more information regarding Unaudited Attributed Financial Information for the Class V Group.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All shares of Class V Common Stock repurchased by the Company pursuant to the repurchase programs are held as treasury stock at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DHI Group Common Stock Repurchases by Dell Technologies Inc.</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three months ended May 4, 2018 and May 5, 2017, the Company repurchased an immaterial number of shares of DHI Group Common Stock for approximately $37 million and $2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shares of DHI Group Common Stock repurchased by the Company are held as treasury stock at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VMware, Inc. Class A Common Stock Repurchases by VMware, Inc.</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Since the date of the EMC merger transaction, VMware, Inc.'s board of directors has authorized the repurchase of a total of $2.2 billion of VMware, Inc.'s Class A common stock, of which $876 million remained available as of May 4, 2018.</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three months ended May 4, 2018, VMware, Inc. did not repurchase any shares of its Class A common stock. Pursuant to stock repurchase agreements between Dell Technologies Inc. and VMware, Inc., VMware, Inc. repurchased 4.8 million shares of its Class A common stock from the Company for an aggregate purchase price of $425 million during the three months ended May 5, 2017. VMware, Inc. received 4.1 million shares of its Class A common stock during the three months ended May 5, 2017 and the remaining 0.7 million shares thereafter. The proceeds from the sales were used to repurchase shares of the Company's Class V Common Stock, as described above. VMware, Inc. made no repurchases of its Class A common stock in the open market during the three months ended May 5,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All shares repurchased under VMware, Inc.'s stock repurchase programs are retired.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REDEEMABLE SHARES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Awards under the Company's stock incentive plans include certain rights that allow the holder to exercise a put feature for the underlying Class A or Class C Common Stock after a six month holding period following the issuance of such common stock. The put feature requires the Company to purchase the stock at its fair market value. Accordingly, these awards and common stock are subject to reclassification from equity to temporary equity, and the Company determines the award amounts to be classified as temporary equity as follows:</w:t>
      </w:r>
    </w:p>
    <w:p>
      <w:pPr>
        <w:spacing w:after="0" w:line="79" w:lineRule="exact"/>
        <w:rPr>
          <w:sz w:val="20"/>
          <w:szCs w:val="20"/>
          <w:color w:val="auto"/>
        </w:rPr>
      </w:pPr>
    </w:p>
    <w:p>
      <w:pPr>
        <w:ind w:left="660" w:right="2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stock options to purchase Class C Common Stock subject to service requirements, the intrinsic value of the option is multiplied by the portion of the option for which services have been rendered. Upon exercise of the option, the amount in temporary equity represents the fair value of the Class C Common Stock.</w:t>
      </w:r>
    </w:p>
    <w:p>
      <w:pPr>
        <w:ind w:left="660" w:right="1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stock appreciation rights, restricted stock units ("RSUs"), or RSAs, any of which stock award types are subject to service requirements, the fair value of the share is multiplied by the portion of the shares for which services have been rendered.</w:t>
      </w:r>
    </w:p>
    <w:p>
      <w:pPr>
        <w:ind w:left="660" w:right="220" w:hanging="328"/>
        <w:spacing w:after="0" w:line="290"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share-based arrangements that are subject to the occurrence of a contingent event, those amounts are not reclassified to temporary equity until the contingency has been satisfied. Contingent events include the achievement of performance-based metrics.</w:t>
      </w:r>
    </w:p>
    <w:p>
      <w:pPr>
        <w:spacing w:after="0" w:line="5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amount of redeemable shares classified as temporary equity as of May 4, 2018 was $844 million, which consisted of 2.3 million issued and outstanding unrestricted common shares, 0.5 million RSUs, 0.1 million RSAs, and 20.6 million outstanding stock options. The amount of redeemable shares classified as temporary equity as of February 2, 2018 was $384 million, which consisted of 2.9 million issued and outstanding unrestricted common shares, 0.4 million RSUs, 0.1 million RSAs, and 15.3 million outstanding stock options. The increase in the value of redeemable shares during the three months ended May 4, 2018 was primarily attributable to an increase in DHI Group Common Stock fair value, as well as the reassessment of vesting of performance-based awards subsequent to this increase.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three reportable segments that are based on the following business units: Infrastructure Solutions Group ("ISG"); Client Solutions Group ("CSG"); and VMware.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ISG includes servers, networking, and storage, as well as services and third-party software and peripherals that are closely tied to the sale of ISG hardware. CSG includes sales to commercial and consumer customers of desktops, thin client products, and notebooks, as well as services and third-party software and peripherals that are closely tied to the sale of CSG hardware. VMware includes a broad portfolio of virtualization technologies across three main product groups: software-defined data center; hybrid cloud computing; and end-user computing.</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three months ended May 4, 2018, the Company made certain segment reporting changes, which included the movement of Virtustream's results from ISG to other businesses. None of these changes impacted the Company's previously reported consolidated financial results, but the Company's prior period segment results have been recast to reflect this change.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reportable segments disclosed herein are based on information reviewed by the Company's management to evaluate the business segment results. The Company's measure of segment operating income for management reporting purposes excludes the impact of other businesses, purchase accounting, amortization of intangible assets, unallocated corporate transactions, severance and facility action costs, and transaction-related expenses. The Company does not allocate assets to the above reportable segments for internal reporting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125" w:right="2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a reconciliation of net revenue by the Company's reportable segments to the Company's consolidated net revenue as well as a reconciliation of consolidated segment operating income to the Company's consolidated operating loss: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4, 2018</w:t>
            </w:r>
          </w:p>
        </w:tc>
        <w:tc>
          <w:tcPr>
            <w:tcW w:w="24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May 5, 2017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4"/>
          </w:tcPr>
          <w:p>
            <w:pPr>
              <w:jc w:val="right"/>
              <w:ind w:right="121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net revenue: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Infrastructure Solutions Group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8,667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6,961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 Solutions Group</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VMware</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Reportable segment net revenue</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17,827</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Other businesses (a)</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Unallocated transactions (b)</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Impact of purchase accounting (c)</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Infrastructure Solutions Group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 Solutions Group</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VMware</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Reportable segment 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Other businesses (a)</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Unallocated transactions (b)</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Impact of purchase accounting (c)</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Transaction-related expenses (d)</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 (e)</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57"/>
        </w:trPr>
        <w:tc>
          <w:tcPr>
            <w:tcW w:w="7900" w:type="dxa"/>
            <w:vAlign w:val="bottom"/>
          </w:tcPr>
          <w:p>
            <w:pPr>
              <w:ind w:left="380"/>
              <w:spacing w:after="0"/>
              <w:rPr>
                <w:sz w:val="20"/>
                <w:szCs w:val="20"/>
                <w:color w:val="auto"/>
              </w:rPr>
            </w:pPr>
            <w:r>
              <w:rPr>
                <w:rFonts w:ascii="Arial" w:cs="Arial" w:eastAsia="Arial" w:hAnsi="Arial"/>
                <w:sz w:val="18"/>
                <w:szCs w:val="18"/>
                <w:color w:val="auto"/>
              </w:rPr>
              <w:t>Total operating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64"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RSA Information Security, Pivotal, SecureWorks, Virtustream, and Boomi constitute "Other businesses" but do not meet the requirements for a reportable segment, either individually or collectively. The results of Other businesses are not material to the Company's overall results.</w:t>
      </w:r>
    </w:p>
    <w:p>
      <w:pPr>
        <w:ind w:left="340" w:right="5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Unallocated transactions includes long-term incentives, certain short-term incentive compensation expenses, and other corporate items that are not allocated to Dell Technologies' reportable segments.</w:t>
      </w: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Impact of purchase accounting includes non-cash purchase accounting adjustments that are primarily related to the EMC merger transaction.</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Transaction-related expenses includes acquisition, integration, and divestiture related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corporate expenses includes severance and facility action costs as well as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disaggregation of net revenue by reportable segment, and by major product categories within the segments: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4, 2018</w:t>
            </w:r>
          </w:p>
        </w:tc>
        <w:tc>
          <w:tcPr>
            <w:tcW w:w="24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May 5, 2017</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4"/>
          </w:tcPr>
          <w:p>
            <w:pPr>
              <w:jc w:val="right"/>
              <w:ind w:right="1210"/>
              <w:spacing w:after="0"/>
              <w:rPr>
                <w:sz w:val="20"/>
                <w:szCs w:val="20"/>
                <w:color w:val="auto"/>
              </w:rPr>
            </w:pPr>
            <w:r>
              <w:rPr>
                <w:rFonts w:ascii="Arial" w:cs="Arial" w:eastAsia="Arial" w:hAnsi="Arial"/>
                <w:sz w:val="18"/>
                <w:szCs w:val="18"/>
                <w:color w:val="auto"/>
              </w:rPr>
              <w:t>(in millions)</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i w:val="1"/>
                <w:iCs w:val="1"/>
                <w:color w:val="auto"/>
              </w:rPr>
              <w:t>Infrastructure Solutions Group:</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Servers and networking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Storage</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3,705</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ISG net revenue</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6,961</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i w:val="1"/>
                <w:iCs w:val="1"/>
                <w:color w:val="auto"/>
              </w:rPr>
              <w:t>Client Solutions Group:</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2,706</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CSG net revenue</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9,048</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i w:val="1"/>
                <w:iCs w:val="1"/>
                <w:color w:val="auto"/>
              </w:rPr>
              <w:t>VMware:</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VMware net revenue</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w:t>
            </w:r>
          </w:p>
        </w:tc>
      </w:tr>
      <w:tr>
        <w:trPr>
          <w:trHeight w:val="257"/>
        </w:trPr>
        <w:tc>
          <w:tcPr>
            <w:tcW w:w="7900" w:type="dxa"/>
            <w:vAlign w:val="bottom"/>
          </w:tcPr>
          <w:p>
            <w:pPr>
              <w:ind w:left="820"/>
              <w:spacing w:after="0"/>
              <w:rPr>
                <w:sz w:val="20"/>
                <w:szCs w:val="20"/>
                <w:color w:val="auto"/>
              </w:rPr>
            </w:pPr>
            <w:r>
              <w:rPr>
                <w:rFonts w:ascii="Arial" w:cs="Arial" w:eastAsia="Arial" w:hAnsi="Arial"/>
                <w:sz w:val="18"/>
                <w:szCs w:val="18"/>
                <w:color w:val="auto"/>
              </w:rPr>
              <w:t>Total segment net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20,966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17,827</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SUPPLEMENTAL CONSOLIDATED FINANCIAL INFORMATION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provides additional information on selected accounts included in the Consolidated Statements of Financial Position as of May 4, 2018 and February 2,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4,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Production materials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Work-in-process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inventories,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Other non-current liabilities:</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Warranty liability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Deferred and other tax liabilities</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6,334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 other non-current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7,045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7,277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Cash Flow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cash, cash equivalents, and restricted cash as reported on the Condensed Consolidated Statements of Financial Position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4, 2018 and February 2,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4,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7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60" w:type="dxa"/>
            <w:vAlign w:val="bottom"/>
            <w:gridSpan w:val="4"/>
          </w:tcPr>
          <w:p>
            <w:pPr>
              <w:jc w:val="right"/>
              <w:ind w:right="1390"/>
              <w:spacing w:after="0"/>
              <w:rPr>
                <w:sz w:val="20"/>
                <w:szCs w:val="20"/>
                <w:color w:val="auto"/>
              </w:rPr>
            </w:pPr>
            <w:r>
              <w:rPr>
                <w:rFonts w:ascii="Arial" w:cs="Arial" w:eastAsia="Arial" w:hAnsi="Arial"/>
                <w:sz w:val="18"/>
                <w:szCs w:val="18"/>
                <w:color w:val="auto"/>
              </w:rPr>
              <w:t>(in millions)</w:t>
            </w:r>
          </w:p>
        </w:tc>
      </w:tr>
      <w:tr>
        <w:trPr>
          <w:trHeight w:val="27"/>
        </w:trPr>
        <w:tc>
          <w:tcPr>
            <w:tcW w:w="7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Restricted cash - current assets</w:t>
            </w: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7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 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57"/>
        </w:trPr>
        <w:tc>
          <w:tcPr>
            <w:tcW w:w="7540" w:type="dxa"/>
            <w:vAlign w:val="bottom"/>
          </w:tcPr>
          <w:p>
            <w:pPr>
              <w:ind w:left="280"/>
              <w:spacing w:after="0"/>
              <w:rPr>
                <w:sz w:val="20"/>
                <w:szCs w:val="20"/>
                <w:color w:val="auto"/>
              </w:rPr>
            </w:pPr>
            <w:r>
              <w:rPr>
                <w:rFonts w:ascii="Arial" w:cs="Arial" w:eastAsia="Arial" w:hAnsi="Arial"/>
                <w:sz w:val="18"/>
                <w:szCs w:val="18"/>
                <w:color w:val="auto"/>
              </w:rPr>
              <w:t>Total cash, cash equivalents, and restricted cash</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15,845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14,378</w:t>
            </w: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includes cash required to be held in escrow pursuant to DFS securitization arrangements and VMware, Inc. restricted cash.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May 24, 2018, the Company drew down $500 million under the China Revolving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June 1, 2018, the Company fully repaid the 1.875% EMC Note in the amount of $2.5 billion in accordance with the contractual maturity date.</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the matters identified above, there were no known events occurring after the balance sheet date and up until the date of the issuance of this report that would materially affect the information presented herein.</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60"/>
          </w:cols>
          <w:pgMar w:left="240" w:top="125" w:right="3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MANAGEMENT'S DISCUSSION AND ANALYSIS OF FINANCIAL CONDITION AND RESULTS OF OPERATIONS</w:t>
      </w:r>
    </w:p>
    <w:p>
      <w:pPr>
        <w:spacing w:after="0" w:line="229" w:lineRule="exact"/>
        <w:rPr>
          <w:sz w:val="20"/>
          <w:szCs w:val="20"/>
          <w:color w:val="auto"/>
        </w:rPr>
      </w:pPr>
    </w:p>
    <w:p>
      <w:pPr>
        <w:ind w:right="100"/>
        <w:spacing w:after="0" w:line="327" w:lineRule="auto"/>
        <w:rPr>
          <w:sz w:val="20"/>
          <w:szCs w:val="20"/>
          <w:color w:val="auto"/>
        </w:rPr>
      </w:pPr>
      <w:r>
        <w:rPr>
          <w:rFonts w:ascii="Arial" w:cs="Arial" w:eastAsia="Arial" w:hAnsi="Arial"/>
          <w:sz w:val="15"/>
          <w:szCs w:val="15"/>
          <w:b w:val="1"/>
          <w:bCs w:val="1"/>
          <w:i w:val="1"/>
          <w:iCs w:val="1"/>
          <w:color w:val="auto"/>
        </w:rPr>
        <w:t>This management's discussion and analysis should be read in conjunction with the audited Consolidated Financial Statements and accompanying Notes included in the Company's annual report on Form 10-K for the fiscal year ended February 2, 2018. Multiple accounting standards were adopted during the three months ended May 4, 2018, which resulted in adjustment or reclassification of amounts previously reported. See Note 1 of the Notes to the Condensed Consolidated Financial Statements included in this report for further information regarding our recently adopted accounting standards.</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 addition to historical financial information, the following discussion contains forward-looking statements that reflect our plans, estimates, and beliefs, and that are subject to numerous risks and uncertainties. Our actual results may differ materially from those expressed or implied in any forward-looking statements.</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Unless otherwise indicated, all results presented are prepared in a manner that complies, in all material respects, with accounting principles generally accepted in the United States of America ("GAAP"). Additionally, unless otherwise indicated, all changes identified for the current-period results represent comparisons to results for the prior corresponding fiscal period.</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Our fiscal year is the 52- or 53-week period ending on the Friday nearest January 31. We refer to our fiscal years ending February 1, 2019 and our fiscal year ended February 2, 2018 as "Fiscal 2019" and "Fiscal 2018," respectively. Fiscal 2019 and Fiscal 2018 include 52 weeks.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Dell Technologies is a strategically aligned family of businesses, poised to become the essential infrastructure company, from the edge to the core to the cloud, as we continue our mission to advance human progress through technology. We seek to accomplish this by executing two related, high-level strategic initiatives: helping our customers transform their businesses through digital, IT, workforce, and security transformation, while extending our many leading market positions in IT infrastructure solutions and client solutions.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Dell Technologies brings together the entire infrastructure from hardware to software to services. The core of IT is evolving in our hyper-connected world, containing both centralized data centers and geographically distributed hyper-converged infrastructure. Dell Technologies is a leader in the traditional technology of today and a leader in the cloud-native infrastructure of tomorrow. Dell Technologies offers next-generation solutions through our Infrastructure Solutions Group, Client Solutions Group, VMware, Inc., RSA Information Security ("RSA"), Pivotal Software, Inc. ("Pivotal"), SecureWorks Corp. ("SecureWorks"), Virtustream, Inc. ("Virtustream"), and Boomi, Inc. ("Boomi"). Our next-generation solutions enable digital transformation and encompass software-defined data centers, all-flash arrays, hybrid cloud, converged and hyper-converged infrastructure, cloud-native application development tools, mobile, and security solutions. In addition, we provide important value differentiators through our extended warranty and delivery offerings, and software and peripherals, which are closely tied to the sale of our hardware products.</w:t>
      </w:r>
    </w:p>
    <w:p>
      <w:pPr>
        <w:spacing w:after="0" w:line="17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Dell Technologies is committed to our customers. As we innovate to make our customers' existing IT increasingly productive, we help them reinvest their savings into the next generation of technologies that they need to succeed in the digital economy. We are positioned to help customers of any size and are differentiated by our practical innovation and efficient, integrated solutions.</w:t>
      </w:r>
    </w:p>
    <w:p>
      <w:pPr>
        <w:spacing w:after="0" w:line="18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 key milestone for Dell Technologies was the EMC merger transaction which was completed in September 2016. Since then, our many accomplishments have included the broad expansion of our product portfolio, integration of our supply chain, and achievement of revenue synergies across the business. With these accomplishments, we believe we are well-positioned for long-term sustainable growth and innovation. As we continue our integration of the EMC acquired businesses, we remain committed to our customers, supporting them with outstanding solutions, products, and services. We will continue our focus on building superior customer relationships through our direct model and our network of channel partners, which includes value-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added resellers, system integrators, distributors, and retailers. We also will continue to balance our efforts to drive cost efficiencies in the business with strategic investments in areas that will enable growth, such as our sales force, marketing, and research and development, as we seek to strengthen our position as a leading global technology company poised for long-term sustainable growth and innovation.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design, develop, manufacture, market, sell, and support a wide range of products and services. We are organized into the following business units, which are our reportable segments: Infrastructure Solutions Group; Client Solutions Group; and VMware.</w:t>
      </w:r>
    </w:p>
    <w:p>
      <w:pPr>
        <w:spacing w:after="0" w:line="170" w:lineRule="exact"/>
        <w:rPr>
          <w:sz w:val="20"/>
          <w:szCs w:val="20"/>
          <w:color w:val="auto"/>
        </w:rPr>
      </w:pPr>
    </w:p>
    <w:p>
      <w:pPr>
        <w:ind w:left="660" w:hanging="328"/>
        <w:spacing w:after="0" w:line="255"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Infrastructure Solutions Group ("ISG")</w:t>
      </w:r>
      <w:r>
        <w:rPr>
          <w:rFonts w:ascii="Arial" w:cs="Arial" w:eastAsia="Arial" w:hAnsi="Arial"/>
          <w:sz w:val="18"/>
          <w:szCs w:val="18"/>
          <w:i w:val="1"/>
          <w:iCs w:val="1"/>
          <w:color w:val="auto"/>
        </w:rPr>
        <w:t xml:space="preserve"> </w:t>
      </w:r>
      <w:r>
        <w:rPr>
          <w:rFonts w:ascii="Arial" w:cs="Arial" w:eastAsia="Arial" w:hAnsi="Arial"/>
          <w:sz w:val="18"/>
          <w:szCs w:val="18"/>
          <w:color w:val="auto"/>
        </w:rPr>
        <w:t>— ISG contains storage, server, and networking offerings. The comprehensive portfolio of advanced storage</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includes traditional storage solutions as well as next-generation storage solutions (including all-flash arrays and scale-out file, and object platforms). The server portfolio includes high-performance rack, blade, tower, and hyperscale servers. The networking portfolio enables our business customers to transform and modernize their infrastructure, mobilize and enrich end-user experiences, and accelerate business applications and processes. ISG also offers attached software, peripherals, and services, including support and deployment, configuration, and extended warranty services.</w:t>
      </w:r>
    </w:p>
    <w:p>
      <w:pPr>
        <w:spacing w:after="0" w:line="193" w:lineRule="exact"/>
        <w:rPr>
          <w:rFonts w:ascii="Arial" w:cs="Arial" w:eastAsia="Arial" w:hAnsi="Arial"/>
          <w:sz w:val="18"/>
          <w:szCs w:val="18"/>
          <w:i w:val="1"/>
          <w:iCs w:val="1"/>
          <w:color w:val="auto"/>
        </w:rPr>
      </w:pPr>
    </w:p>
    <w:p>
      <w:pPr>
        <w:jc w:val="both"/>
        <w:ind w:left="660" w:right="2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We are currently working to simplify our storage portfolio, with the goal of ensuring that we deliver the technology needed for our customers' digital transformation. We anticipate that these changes will take two to three years to execute. As our storage portfolio evolves, we will continue to support our current portfolio of storage solutions.</w:t>
      </w:r>
    </w:p>
    <w:p>
      <w:pPr>
        <w:spacing w:after="0" w:line="181" w:lineRule="exact"/>
        <w:rPr>
          <w:rFonts w:ascii="Arial" w:cs="Arial" w:eastAsia="Arial" w:hAnsi="Arial"/>
          <w:sz w:val="18"/>
          <w:szCs w:val="18"/>
          <w:i w:val="1"/>
          <w:iCs w:val="1"/>
          <w:color w:val="auto"/>
        </w:rPr>
      </w:pPr>
    </w:p>
    <w:p>
      <w:pPr>
        <w:ind w:left="660" w:right="1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Approximately half of ISG revenue is generated by sales to customers in the Americas, with the remaining portion derived from sales to customers in the Europe, Middle East, and Africa region ("EMEA") and the Asia-Pacific and Japan region ("APJ").</w:t>
      </w:r>
    </w:p>
    <w:p>
      <w:pPr>
        <w:spacing w:after="0" w:line="170" w:lineRule="exact"/>
        <w:rPr>
          <w:rFonts w:ascii="Arial" w:cs="Arial" w:eastAsia="Arial" w:hAnsi="Arial"/>
          <w:sz w:val="18"/>
          <w:szCs w:val="18"/>
          <w:i w:val="1"/>
          <w:iCs w:val="1"/>
          <w:color w:val="auto"/>
        </w:rPr>
      </w:pPr>
    </w:p>
    <w:p>
      <w:pPr>
        <w:ind w:left="660" w:right="260" w:hanging="328"/>
        <w:spacing w:after="0" w:line="264"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Client Solutions Group ("CSG")</w:t>
      </w:r>
      <w:r>
        <w:rPr>
          <w:rFonts w:ascii="Arial" w:cs="Arial" w:eastAsia="Arial" w:hAnsi="Arial"/>
          <w:sz w:val="18"/>
          <w:szCs w:val="18"/>
          <w:i w:val="1"/>
          <w:iCs w:val="1"/>
          <w:color w:val="auto"/>
        </w:rPr>
        <w:t xml:space="preserve"> </w:t>
      </w:r>
      <w:r>
        <w:rPr>
          <w:rFonts w:ascii="Arial" w:cs="Arial" w:eastAsia="Arial" w:hAnsi="Arial"/>
          <w:sz w:val="18"/>
          <w:szCs w:val="18"/>
          <w:color w:val="auto"/>
        </w:rPr>
        <w:t>— Offerings by CSG include branded hardware, such as desktop PCs, notebooks, and workstations, and branded</w:t>
      </w:r>
      <w:r>
        <w:rPr>
          <w:rFonts w:ascii="Arial" w:cs="Arial" w:eastAsia="Arial" w:hAnsi="Arial"/>
          <w:sz w:val="18"/>
          <w:szCs w:val="18"/>
          <w:i w:val="1"/>
          <w:iCs w:val="1"/>
          <w:color w:val="auto"/>
        </w:rPr>
        <w:t xml:space="preserve"> </w:t>
      </w:r>
      <w:r>
        <w:rPr>
          <w:rFonts w:ascii="Arial" w:cs="Arial" w:eastAsia="Arial" w:hAnsi="Arial"/>
          <w:sz w:val="18"/>
          <w:szCs w:val="18"/>
          <w:color w:val="auto"/>
        </w:rPr>
        <w:t>peripherals, such as monitors, and projectors. CSG also offers attached software, peripherals, and services, including support and deployment, configuration, and extended warranty services.</w:t>
      </w:r>
    </w:p>
    <w:p>
      <w:pPr>
        <w:spacing w:after="0" w:line="181" w:lineRule="exact"/>
        <w:rPr>
          <w:rFonts w:ascii="Arial" w:cs="Arial" w:eastAsia="Arial" w:hAnsi="Arial"/>
          <w:sz w:val="18"/>
          <w:szCs w:val="18"/>
          <w:i w:val="1"/>
          <w:iCs w:val="1"/>
          <w:color w:val="auto"/>
        </w:rPr>
      </w:pPr>
    </w:p>
    <w:p>
      <w:pPr>
        <w:ind w:left="660" w:right="10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Approximately half of CSG revenue is generated by sales to customers in the Americas, with the remaining portion derived from sales to customers in EMEA and APJ.</w:t>
      </w:r>
    </w:p>
    <w:p>
      <w:pPr>
        <w:spacing w:after="0" w:line="170" w:lineRule="exact"/>
        <w:rPr>
          <w:rFonts w:ascii="Arial" w:cs="Arial" w:eastAsia="Arial" w:hAnsi="Arial"/>
          <w:sz w:val="18"/>
          <w:szCs w:val="18"/>
          <w:i w:val="1"/>
          <w:iCs w:val="1"/>
          <w:color w:val="auto"/>
        </w:rPr>
      </w:pPr>
    </w:p>
    <w:p>
      <w:pPr>
        <w:ind w:left="660" w:right="240" w:hanging="328"/>
        <w:spacing w:after="0" w:line="342" w:lineRule="auto"/>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VMware</w:t>
      </w:r>
      <w:r>
        <w:rPr>
          <w:rFonts w:ascii="Arial" w:cs="Arial" w:eastAsia="Arial" w:hAnsi="Arial"/>
          <w:sz w:val="16"/>
          <w:szCs w:val="16"/>
          <w:i w:val="1"/>
          <w:iCs w:val="1"/>
          <w:color w:val="auto"/>
        </w:rPr>
        <w:t xml:space="preserve"> </w:t>
      </w:r>
      <w:r>
        <w:rPr>
          <w:rFonts w:ascii="Arial" w:cs="Arial" w:eastAsia="Arial" w:hAnsi="Arial"/>
          <w:sz w:val="16"/>
          <w:szCs w:val="16"/>
          <w:color w:val="auto"/>
        </w:rPr>
        <w:t>— The VMware reportable segment ("VMware") reflects the operations of VMware, Inc. (NYSE: VMW) within Dell Technologies. See</w:t>
      </w:r>
      <w:r>
        <w:rPr>
          <w:rFonts w:ascii="Arial" w:cs="Arial" w:eastAsia="Arial" w:hAnsi="Arial"/>
          <w:sz w:val="16"/>
          <w:szCs w:val="16"/>
          <w:i w:val="1"/>
          <w:iCs w:val="1"/>
          <w:color w:val="auto"/>
        </w:rPr>
        <w:t xml:space="preserve"> </w:t>
      </w:r>
      <w:r>
        <w:rPr>
          <w:rFonts w:ascii="Arial" w:cs="Arial" w:eastAsia="Arial" w:hAnsi="Arial"/>
          <w:sz w:val="16"/>
          <w:szCs w:val="16"/>
          <w:color w:val="auto"/>
        </w:rPr>
        <w:t>Exhibit 99.1 filed with this report for further details on the differences between VMware reportable segment results and VMware, Inc. results.</w:t>
      </w:r>
    </w:p>
    <w:p>
      <w:pPr>
        <w:spacing w:after="0" w:line="124"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7"/>
          <w:szCs w:val="17"/>
          <w:color w:val="auto"/>
        </w:rPr>
        <w:t>VMware provides compute, cloud, mobility, networking, and security infrastructure software to businesses that provides a flexible digital foundation for the applications that empower businesses to serve their customers globally. VMware offers a broad portfolio of virtualization technologies across three main product groups: software-defined data center; hybrid cloud computing; and end-user computing.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Approximately half of VMware revenue is generated by sales to customers in the United States.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other businesses, described below, consist of product and service offerings of RSA, Pivotal, SecureWorks, Virtustream, and Boomi. These businesses are not classified as reportable segments, either individually or collectively, as the results of the businesses are not material to our overall results and the businesses do not meet the criteria for reportable segments.</w:t>
      </w:r>
    </w:p>
    <w:p>
      <w:pPr>
        <w:spacing w:after="0" w:line="181" w:lineRule="exact"/>
        <w:rPr>
          <w:sz w:val="20"/>
          <w:szCs w:val="20"/>
          <w:color w:val="auto"/>
        </w:rPr>
      </w:pPr>
    </w:p>
    <w:p>
      <w:pPr>
        <w:ind w:left="660" w:right="240" w:hanging="328"/>
        <w:spacing w:after="0" w:line="277"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RSA </w:t>
      </w:r>
      <w:r>
        <w:rPr>
          <w:rFonts w:ascii="Arial" w:cs="Arial" w:eastAsia="Arial" w:hAnsi="Arial"/>
          <w:sz w:val="18"/>
          <w:szCs w:val="18"/>
          <w:color w:val="auto"/>
        </w:rPr>
        <w:t>provides essential cybersecurity solutions engineered to enable organizations to detect, investigate, and respond to advanced attacks, confirm</w:t>
      </w:r>
      <w:r>
        <w:rPr>
          <w:rFonts w:ascii="Arial" w:cs="Arial" w:eastAsia="Arial" w:hAnsi="Arial"/>
          <w:sz w:val="18"/>
          <w:szCs w:val="18"/>
          <w:i w:val="1"/>
          <w:iCs w:val="1"/>
          <w:color w:val="auto"/>
        </w:rPr>
        <w:t xml:space="preserve"> </w:t>
      </w:r>
      <w:r>
        <w:rPr>
          <w:rFonts w:ascii="Arial" w:cs="Arial" w:eastAsia="Arial" w:hAnsi="Arial"/>
          <w:sz w:val="18"/>
          <w:szCs w:val="18"/>
          <w:color w:val="auto"/>
        </w:rPr>
        <w:t>and manage identities, and, ultimately, help reduce IP theft, fraud, and cybercrime.</w:t>
      </w:r>
    </w:p>
    <w:p>
      <w:pPr>
        <w:spacing w:after="0" w:line="170" w:lineRule="exact"/>
        <w:rPr>
          <w:rFonts w:ascii="Arial" w:cs="Arial" w:eastAsia="Arial" w:hAnsi="Arial"/>
          <w:sz w:val="18"/>
          <w:szCs w:val="18"/>
          <w:i w:val="1"/>
          <w:iCs w:val="1"/>
          <w:color w:val="auto"/>
        </w:rPr>
      </w:pPr>
    </w:p>
    <w:p>
      <w:pPr>
        <w:ind w:left="660" w:right="80" w:hanging="328"/>
        <w:spacing w:after="0" w:line="259"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Pivotal </w:t>
      </w:r>
      <w:r>
        <w:rPr>
          <w:rFonts w:ascii="Arial" w:cs="Arial" w:eastAsia="Arial" w:hAnsi="Arial"/>
          <w:sz w:val="18"/>
          <w:szCs w:val="18"/>
          <w:color w:val="auto"/>
        </w:rPr>
        <w:t>(NYSE: PVTL) provides a leading cloud-native platform that makes software development and IT operations a strategic advantage for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Pivotal's cloud-native platform, Pivotal Cloud Foundry, accelerates and streamlines software development by reducing the complexity of building, deploying and operating new cloud-native applications and modernizing legacy applications. On April 24, 2018, Pivotal completed a registered underwritten initial public offering of its Class A common stock.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(NASDAQ: SCWX) is a leading global provider of intelligence-driven information security solutions singularly focused on protecting</w:t>
      </w:r>
      <w:r>
        <w:rPr>
          <w:rFonts w:ascii="Arial" w:cs="Arial" w:eastAsia="Arial" w:hAnsi="Arial"/>
          <w:sz w:val="18"/>
          <w:szCs w:val="18"/>
          <w:i w:val="1"/>
          <w:iCs w:val="1"/>
          <w:color w:val="auto"/>
        </w:rPr>
        <w:t xml:space="preserve"> </w:t>
      </w:r>
      <w:r>
        <w:rPr>
          <w:rFonts w:ascii="Arial" w:cs="Arial" w:eastAsia="Arial" w:hAnsi="Arial"/>
          <w:sz w:val="18"/>
          <w:szCs w:val="18"/>
          <w:color w:val="auto"/>
        </w:rPr>
        <w:t>its clients from cyber attacks.</w:t>
      </w:r>
    </w:p>
    <w:p>
      <w:pPr>
        <w:spacing w:after="0" w:line="170"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Virtustream </w:t>
      </w:r>
      <w:r>
        <w:rPr>
          <w:rFonts w:ascii="Arial" w:cs="Arial" w:eastAsia="Arial" w:hAnsi="Arial"/>
          <w:sz w:val="18"/>
          <w:szCs w:val="18"/>
          <w:color w:val="auto"/>
        </w:rPr>
        <w:t>offers cloud software and infrastructure-as-a-service solutions that enable customers to migrate, run, and manage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 cloud-based IT environments, and that represent a key element of our strategy to help customers support their applications in a variety of cloud-native environments. Beginning in the first quarter of Fiscal 2019, Virtustream results are being reported within other businesses, rather than within ISG. This change in reporting structure did not impact our previously reported consolidated financial results, but our prior period segment results have been recast to reflect the change.</w:t>
      </w:r>
    </w:p>
    <w:p>
      <w:pPr>
        <w:spacing w:after="0" w:line="188"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Boomi </w:t>
      </w:r>
      <w:r>
        <w:rPr>
          <w:rFonts w:ascii="Arial" w:cs="Arial" w:eastAsia="Arial" w:hAnsi="Arial"/>
          <w:sz w:val="18"/>
          <w:szCs w:val="18"/>
          <w:color w:val="auto"/>
        </w:rPr>
        <w:t>specializes in cloud-based integration, connecting information between existing on-premise and cloud-based applications to ensure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are optimized, data is accurate and workflow is reliable.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See Note 18 of the Notes to the Condensed Consolidated Financial Statements included in this report for more information about our other businesses.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regarding our current reportable segments, see "Results of Operations — Business Unit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also offer or arrange various financing options and services for our customers in North America, Europe, Australia, and New Zealand through Dell Financial Services and its affiliates ("DFS"). DFS services include originating, collecting, and servicing customer receivables primarily related to the purchase of Dell Technologies products. The results of these operations are allocated to our segments based on the underlying product or service financed. For additional information about our financing arrangements, see Note 5 of the Notes to the Condensed Consolidated Financial Statements included in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Investments and Acquisitions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part of our strategy, we will continue to evaluate opportunities for strategic investments through our venture capital investment arm, Dell Technologies Capital, with a focus on emerging technology areas that are relevant to the Dell Technologies unique family of businesses and that will complement our existing portfolio of solutions. Our investment areas include storage, software-defined networking, management and orchestration, security, machine learning and artificial intelligence, Big Data and analytics, cloud, Internet of Things, and software development operations. In addition to these investments, we also may make disciplined acquisitions targeting businesses that advance our strategic objectives.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Challenges</w:t>
      </w:r>
    </w:p>
    <w:p>
      <w:pPr>
        <w:spacing w:after="0" w:line="2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are seeing an unprecedented rate of change in the IT industry. Organizations of all kinds are embracing digital technology to achieve their business objectives. Our vision is to be an essential infrastructure company and leader in end-user computing, data center infrastructure solutions, virtualization, Internet of Things ("IoT"), and cloud software that our customers continue to trust and rely on for their IT solutions and transformations as they embrace the multi-cloud environment of today. To further advance this vision, we recently unveiled a new IoT strategy, division, and an array of solutions to support IoT adoption for our customers. We accelerate results for our customers by enabling them to be more efficient, mobile, informed, and secure. We continue to invest in research and development, sales, and other key areas of our business to deliver superior products and solutions capabilities and to drive execution of long-term sustainable growth. We believe that our results will benefit from an integrated go-to-market strategy, including enhanced coordination among the family of Dell Technologies companies, and from our differentiated products and solutions capabilities. We intend to continue to execute on our business model and seek to balance liquidity, profitability, and growth to position our company for long-term success.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expect that ISG will continue to be impacted by the changing nature of the IT infrastructure market and competitive environment. Cloud-native applications are expected to continue as a primary growth driver in the infrastructure market as IT organizations increasingly become multi-cloud environments. We believe the complementary cloud solutions across our business, created through our combination with EMC, strongly position us to meet these demands for our customers who are increasingly looking to leverage cloud-based computing. We also continue to be impacted by the emerging trends of enterprises deploying software-defined storage, hyper-converged infrastructure, and modular solutions based on server-centric architectures. These trends have put pressure on our traditional storage offerings, and we are focused on strategically repositioning our storage portfolio. We have leading solutions through our ISG and VMware data center offerings. In addition, through our research and development efforts, we expect to develop new solutions in this rapidly changing industry that we believe will enable us to continue to provide superior solutions to our customers.</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ISG, we are also seeing increased interest in flexible consumption models by our customers as they seek to build greater flexibility into their cost structures. These solutions are generally multi-year contracts that typically result in recognition of revenue over the term of the arrangement. We expect these flexible consumption models will further strengthen our customer relationships, and will provide more predictable revenue streams over time.</w:t>
      </w:r>
    </w:p>
    <w:p>
      <w:pPr>
        <w:spacing w:after="0" w:line="14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are able to leverage our traditional strength in the PC market to offer solutions and services that provide higher-value, recurring revenue streams. Given current market trends, we expect that the demand environment will continue to be cyclical and that competitive dynamics will continue to pressure our CSG business. However, we are committed to a long-term growth strategy that we believe will benefit from the consolidation trends that are occurring in our markets. Our CSG offerings remain an important element of our strategy, generating strong cash flow and opportunities for cross-selling of complementary solutions. CSG net revenue represented approximately half of our net revenue during both the first quarter of Fiscal 2019 and the first quarter of Fiscal 2018.</w:t>
      </w:r>
    </w:p>
    <w:p>
      <w:pPr>
        <w:spacing w:after="0" w:line="15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manage our business on a U.S. dollar basis. However, we have a large global presence, generating approximately half of our revenue by sales to customers outside of the United States during the first three months of Fiscal 2019 and the first three months of Fiscal 2018. Our revenues, therefore, can be impacted by fluctuations in foreign currency exchange rates. We utilize a comprehensive hedging strategy intended to mitigate the impact of foreign currency volatility over time, and we adjust pricing when possible to further minimize foreign currency impacts.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key performance metrics are net revenue, operating income, adjusted EBITDA, and cash flows from operations, and are discussed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this management's discussion and analysis, we use supplemental measures of our performance which are derived from our consolidated financial information but which are not presented in our consolidated financial statements prepared in accordance with accounting principles generally accepted in the United States of America ("GAAP"). These non-GAAP financial measures include non-GAAP product net revenue; non-GAAP services net revenue; non-GAAP net revenue; non-GAAP product gross margin; non-GAAP services gross margin; non-GAAP gross margin; non-GAAP operating expenses; non-GAAP operating income; non-GAAP net income; earnings before interest and other, net, taxes, depreciation, and amortization ("EBITDA"); and adjusted EBITDA.</w:t>
      </w:r>
    </w:p>
    <w:p>
      <w:pPr>
        <w:spacing w:after="0" w:line="193"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are limitations to the use of the non-GAAP financial measures presented in this report.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Non-GAAP product net revenue, non-GAAP services net revenue, non-GAAP net revenue, non-GAAP product gross margin, non-GAAP services gross margin, non-GAAP gross margin, non-GAAP operating expenses, non-GAAP operating income, and non-GAAP net income, as defined by us, exclude the impact of purchase accounting, amortization of intangible assets, transaction-related expenses, other corporate expenses and, for non-GAAP net income from continuing operations, an aggregate adjustment for income taxes. As the excluded items have a material impact on our financial results, our management compensates for this limitation by relying primarily on our GAAP results and using non-GAAP financial measures supplementally or for projections when comparable GAAP financial measures are not available. The non-GAAP financial measures are not meant to be considered as indicators of performance in isolation from or as a substitute for net revenue, gross margin, operating expenses, operating income, or net income prepared in accordance with GAAP, and should be read only in conjunction with financial information presented on a GAAP basis.</w:t>
      </w:r>
    </w:p>
    <w:p>
      <w:pPr>
        <w:spacing w:after="0" w:line="17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Reconciliations of each non-GAAP financial measure to its most directly comparable GAAP financial measure are presented below. We encourage you to review the reconciliations in conjunction with the presentation of the non-GAAP financial measures for each of the periods presented. See the discussion below for more information on each of the excluded items as well as our reasons for excluding them from our non-GAAP results. In future fiscal periods, we may exclude such items and may incur income and expenses similar to these excluded items. Accordingly, the exclusion of these items and other similar items in our non-GAAP presentation should not be interpreted as implying that these items are non-recurring, infrequent, or unusual.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items excluded from the most comparable GAAP financial measures to calculate our non-GAAP financial measures:</w:t>
      </w:r>
    </w:p>
    <w:p>
      <w:pPr>
        <w:spacing w:after="0" w:line="237" w:lineRule="exact"/>
        <w:rPr>
          <w:sz w:val="20"/>
          <w:szCs w:val="20"/>
          <w:color w:val="auto"/>
        </w:rPr>
      </w:pPr>
    </w:p>
    <w:p>
      <w:pPr>
        <w:ind w:left="340" w:hanging="332"/>
        <w:spacing w:after="0" w:line="29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i w:val="1"/>
          <w:iCs w:val="1"/>
          <w:u w:val="single" w:color="auto"/>
          <w:color w:val="auto"/>
        </w:rPr>
        <w:t>Amortization of Intangible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 Amortization of intangible assets primarily consists of amortization of customer relationships, developed</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and trade names. In connection with the EMC merger transaction and the acquisition of Dell Inc. by Dell Technologies Inc. on October 29, 2013, referred to as the going-private transaction, all of the tangible and intangible assets and liabilities of EMC and Dell, respectively, were accounted for and recognized at fair value on the transaction dates. Accordingly, for the periods presented, amortization of intangible assets represents amortization associated with intangible assets recognized in connection with the EMC merger transaction and the going-private transaction. Amortization charges for purchased intangible assets are significantly impacted by the timing and magnitude of our acquisitions, and these charges may vary in amount from period to period. We exclude these charges for purposes of calculating the non-GAAP financial measures presented below to facilitate a more meaningful evaluation of our current operating performance and comparisons to our past operating performance.</w:t>
      </w:r>
    </w:p>
    <w:p>
      <w:pPr>
        <w:spacing w:after="0" w:line="166" w:lineRule="exact"/>
        <w:rPr>
          <w:rFonts w:ascii="Arial" w:cs="Arial" w:eastAsia="Arial" w:hAnsi="Arial"/>
          <w:sz w:val="16"/>
          <w:szCs w:val="16"/>
          <w:color w:val="auto"/>
        </w:rPr>
      </w:pPr>
    </w:p>
    <w:p>
      <w:pPr>
        <w:ind w:left="340" w:right="8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Impact of Purchase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 The impact of purchase accounting includes purchase accounting adjustments, related to the EMC merger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to a lesser extent, the going-private transaction, recorded under the acquisition method of</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340"/>
        <w:spacing w:after="0" w:line="343" w:lineRule="auto"/>
        <w:rPr>
          <w:sz w:val="20"/>
          <w:szCs w:val="20"/>
          <w:color w:val="auto"/>
        </w:rPr>
      </w:pPr>
      <w:r>
        <w:rPr>
          <w:rFonts w:ascii="Arial" w:cs="Arial" w:eastAsia="Arial" w:hAnsi="Arial"/>
          <w:sz w:val="16"/>
          <w:szCs w:val="16"/>
          <w:color w:val="auto"/>
        </w:rPr>
        <w:t>accounting in accordance with the accounting guidance for business combinations. This guidance prescribes that the purchase price be allocated to assets acquired and liabilities assumed based on the estimated fair value of such assets and liabilities on the date of the transaction. Accordingly, all of the assets and liabilities acquired in the EMC merger transaction and the going-private transaction were accounted for and recognized at fair value as of the respective transaction dates, and the fair value adjustments are being amortized over the estimated useful lives in the periods following the transactions. The fair value adjustments primarily relate to deferred revenue, inventory, and property, plant, and equipment. The purchase accounting adjustments and related amortization of those adjustments are reflected in our GAAP results; however, we evaluate the operating results of the underlying businesses on a non-GAAP basis, after removing such adjustments. We believe that excluding the impact of purchase accounting provides results that are useful in understanding our current operating performance and provides more meaningful comparisons to our past operating performance.</w:t>
      </w:r>
    </w:p>
    <w:p>
      <w:pPr>
        <w:spacing w:after="0" w:line="138" w:lineRule="exact"/>
        <w:rPr>
          <w:sz w:val="20"/>
          <w:szCs w:val="20"/>
          <w:color w:val="auto"/>
        </w:rPr>
      </w:pPr>
    </w:p>
    <w:p>
      <w:pPr>
        <w:ind w:left="340" w:right="20" w:hanging="332"/>
        <w:spacing w:after="0" w:line="279"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i w:val="1"/>
          <w:iCs w:val="1"/>
          <w:u w:val="single" w:color="auto"/>
          <w:color w:val="auto"/>
        </w:rPr>
        <w:t>Transaction-related Expenses</w:t>
      </w:r>
      <w:r>
        <w:rPr>
          <w:rFonts w:ascii="Arial" w:cs="Arial" w:eastAsia="Arial" w:hAnsi="Arial"/>
          <w:sz w:val="17"/>
          <w:szCs w:val="17"/>
          <w:i w:val="1"/>
          <w:iCs w:val="1"/>
          <w:color w:val="auto"/>
        </w:rPr>
        <w:t xml:space="preserve"> — </w:t>
      </w:r>
      <w:r>
        <w:rPr>
          <w:rFonts w:ascii="Arial" w:cs="Arial" w:eastAsia="Arial" w:hAnsi="Arial"/>
          <w:sz w:val="17"/>
          <w:szCs w:val="17"/>
          <w:color w:val="auto"/>
        </w:rPr>
        <w:t>Transaction-related expenses consist of acquisition, integration, and divestiture related costs, and are expensed as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These expenses primarily represent costs for legal, banking, consulting, and advisory services, as well as certain compensatory retention awards directly related to the EMC merger transaction. During the first quarter of Fiscal 2019, this category also includes approximately $116 million of expenses related to integration of our inventory policies and management process related to customer evaluation units.</w:t>
      </w:r>
    </w:p>
    <w:p>
      <w:pPr>
        <w:spacing w:after="0" w:line="171" w:lineRule="exact"/>
        <w:rPr>
          <w:rFonts w:ascii="Arial" w:cs="Arial" w:eastAsia="Arial" w:hAnsi="Arial"/>
          <w:sz w:val="17"/>
          <w:szCs w:val="17"/>
          <w:color w:val="auto"/>
        </w:rPr>
      </w:pPr>
    </w:p>
    <w:p>
      <w:pPr>
        <w:ind w:left="340" w:right="40" w:hanging="332"/>
        <w:spacing w:after="0" w:line="271" w:lineRule="auto"/>
        <w:tabs>
          <w:tab w:leader="none" w:pos="34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Other Corporate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 Other corporate expenses consists of severance, facility action costs, and stock-based compensation expense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equity awards. Severance costs are primarily related to severance and benefits for employees terminated pursuant to cost savings initiatives. Facility action costs were $9 million and $79 million during the first quarter of Fiscal 2019 and the first quarter of Fiscal 2018, respectively. We expect to incur additional costs during the next nine months of Fiscal 2019 as we continue to integrate owned and leased facilities and as we seek opportunities for operational efficiencies and cost savings. Other corporate expenses vary from period to period and are significantly impacted by the timing and nature of these events. Therefore, although we may incur these types of expenses in the future, we believe that eliminating these charges for purposes of calculating the non-GAAP financial measures presented below facilitates a more meaningful evaluation of our current operating performance and comparisons to our past operating performance.</w:t>
      </w:r>
    </w:p>
    <w:p>
      <w:pPr>
        <w:spacing w:after="0" w:line="178" w:lineRule="exact"/>
        <w:rPr>
          <w:rFonts w:ascii="Arial" w:cs="Arial" w:eastAsia="Arial" w:hAnsi="Arial"/>
          <w:sz w:val="17"/>
          <w:szCs w:val="17"/>
          <w:i w:val="1"/>
          <w:iCs w:val="1"/>
          <w:color w:val="auto"/>
        </w:rPr>
      </w:pPr>
    </w:p>
    <w:p>
      <w:pPr>
        <w:ind w:left="340" w:right="80" w:hanging="332"/>
        <w:spacing w:after="0" w:line="31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i w:val="1"/>
          <w:iCs w:val="1"/>
          <w:u w:val="single" w:color="auto"/>
          <w:color w:val="auto"/>
        </w:rPr>
        <w:t>Aggregate Adjustment for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 The aggregate adjustment for income taxes is the estimated combined income tax effect for the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above. During the first quarter of Fiscal 2019, this category also includes approximately $154 million of tax benefits resulting from the impact of adopting the new revenue recognition standard. The tax effects are determined based on the tax jurisdictions where the above items were incurred.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table below presents a reconciliation of each non-GAAP financial measure to the most directly comparable GAAP measure for each of the periods presented: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0"/>
              </w:rPr>
              <w:t>Three Months Ended</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b w:val="1"/>
                <w:bCs w:val="1"/>
                <w:color w:val="auto"/>
              </w:rPr>
              <w:t>May 4, 2018</w:t>
            </w:r>
          </w:p>
        </w:tc>
        <w:tc>
          <w:tcPr>
            <w:tcW w:w="10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May 5, 2017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80" w:type="dxa"/>
            <w:vAlign w:val="bottom"/>
            <w:gridSpan w:val="4"/>
          </w:tcPr>
          <w:p>
            <w:pPr>
              <w:jc w:val="right"/>
              <w:spacing w:after="0"/>
              <w:rPr>
                <w:sz w:val="20"/>
                <w:szCs w:val="20"/>
                <w:color w:val="auto"/>
              </w:rPr>
            </w:pPr>
            <w:r>
              <w:rPr>
                <w:rFonts w:ascii="Arial" w:cs="Arial" w:eastAsia="Arial" w:hAnsi="Arial"/>
                <w:sz w:val="14"/>
                <w:szCs w:val="14"/>
                <w:color w:val="auto"/>
              </w:rPr>
              <w:t>(in millions, except percentages)</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net revenue</w:t>
            </w:r>
          </w:p>
        </w:tc>
        <w:tc>
          <w:tcPr>
            <w:tcW w:w="27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16,671</w:t>
            </w:r>
          </w:p>
        </w:tc>
        <w:tc>
          <w:tcPr>
            <w:tcW w:w="15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13,634</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25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product net revenue</w:t>
            </w:r>
          </w:p>
        </w:tc>
        <w:tc>
          <w:tcPr>
            <w:tcW w:w="256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16,688</w:t>
            </w:r>
          </w:p>
        </w:tc>
        <w:tc>
          <w:tcPr>
            <w:tcW w:w="100" w:type="dxa"/>
            <w:vAlign w:val="bottom"/>
            <w:tcBorders>
              <w:top w:val="single" w:sz="8" w:color="auto"/>
              <w:bottom w:val="single" w:sz="8" w:color="auto"/>
            </w:tcBorders>
          </w:tcPr>
          <w:p>
            <w:pPr>
              <w:spacing w:after="0"/>
              <w:rPr>
                <w:sz w:val="24"/>
                <w:szCs w:val="24"/>
                <w:color w:val="auto"/>
              </w:rPr>
            </w:pPr>
          </w:p>
        </w:tc>
        <w:tc>
          <w:tcPr>
            <w:tcW w:w="14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22%</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13,689</w:t>
            </w:r>
          </w:p>
        </w:tc>
        <w:tc>
          <w:tcPr>
            <w:tcW w:w="0" w:type="dxa"/>
            <w:vAlign w:val="bottom"/>
          </w:tcPr>
          <w:p>
            <w:pPr>
              <w:spacing w:after="0"/>
              <w:rPr>
                <w:sz w:val="1"/>
                <w:szCs w:val="1"/>
                <w:color w:val="auto"/>
              </w:rPr>
            </w:pPr>
          </w:p>
        </w:tc>
      </w:tr>
      <w:tr>
        <w:trPr>
          <w:trHeight w:val="311"/>
        </w:trPr>
        <w:tc>
          <w:tcPr>
            <w:tcW w:w="42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Services net revenue</w:t>
            </w:r>
          </w:p>
        </w:tc>
        <w:tc>
          <w:tcPr>
            <w:tcW w:w="2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4,685</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2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Impact of purchase accounting</w:t>
            </w: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Non-GAAP services net revenue</w:t>
            </w:r>
          </w:p>
        </w:tc>
        <w:tc>
          <w:tcPr>
            <w:tcW w:w="2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7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21,356</w:t>
            </w:r>
          </w:p>
        </w:tc>
        <w:tc>
          <w:tcPr>
            <w:tcW w:w="15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25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net revenue</w:t>
            </w:r>
          </w:p>
        </w:tc>
        <w:tc>
          <w:tcPr>
            <w:tcW w:w="256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21,543</w:t>
            </w:r>
          </w:p>
        </w:tc>
        <w:tc>
          <w:tcPr>
            <w:tcW w:w="100" w:type="dxa"/>
            <w:vAlign w:val="bottom"/>
            <w:tcBorders>
              <w:top w:val="single" w:sz="8" w:color="auto"/>
              <w:bottom w:val="single" w:sz="8" w:color="auto"/>
            </w:tcBorders>
          </w:tcPr>
          <w:p>
            <w:pPr>
              <w:spacing w:after="0"/>
              <w:rPr>
                <w:sz w:val="24"/>
                <w:szCs w:val="24"/>
                <w:color w:val="auto"/>
              </w:rPr>
            </w:pPr>
          </w:p>
        </w:tc>
        <w:tc>
          <w:tcPr>
            <w:tcW w:w="14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18,355</w:t>
            </w:r>
          </w:p>
        </w:tc>
        <w:tc>
          <w:tcPr>
            <w:tcW w:w="0" w:type="dxa"/>
            <w:vAlign w:val="bottom"/>
          </w:tcPr>
          <w:p>
            <w:pPr>
              <w:spacing w:after="0"/>
              <w:rPr>
                <w:sz w:val="1"/>
                <w:szCs w:val="1"/>
                <w:color w:val="auto"/>
              </w:rPr>
            </w:pPr>
          </w:p>
        </w:tc>
      </w:tr>
      <w:tr>
        <w:trPr>
          <w:trHeight w:val="311"/>
        </w:trPr>
        <w:tc>
          <w:tcPr>
            <w:tcW w:w="42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Product gross margin</w:t>
            </w:r>
          </w:p>
        </w:tc>
        <w:tc>
          <w:tcPr>
            <w:tcW w:w="2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3,065</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2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2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Transaction related</w:t>
            </w: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25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product gross margin</w:t>
            </w:r>
          </w:p>
        </w:tc>
        <w:tc>
          <w:tcPr>
            <w:tcW w:w="256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3,918</w:t>
            </w:r>
          </w:p>
        </w:tc>
        <w:tc>
          <w:tcPr>
            <w:tcW w:w="100" w:type="dxa"/>
            <w:vAlign w:val="bottom"/>
            <w:tcBorders>
              <w:top w:val="single" w:sz="8" w:color="auto"/>
              <w:bottom w:val="single" w:sz="8" w:color="auto"/>
            </w:tcBorders>
          </w:tcPr>
          <w:p>
            <w:pPr>
              <w:spacing w:after="0"/>
              <w:rPr>
                <w:sz w:val="24"/>
                <w:szCs w:val="24"/>
                <w:color w:val="auto"/>
              </w:rPr>
            </w:pPr>
          </w:p>
        </w:tc>
        <w:tc>
          <w:tcPr>
            <w:tcW w:w="14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38%</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311"/>
        </w:trPr>
        <w:tc>
          <w:tcPr>
            <w:tcW w:w="42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Services gross margin</w:t>
            </w:r>
          </w:p>
        </w:tc>
        <w:tc>
          <w:tcPr>
            <w:tcW w:w="2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2,813</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2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Impact of purchase accounting</w:t>
            </w: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related</w:t>
            </w:r>
          </w:p>
        </w:tc>
        <w:tc>
          <w:tcPr>
            <w:tcW w:w="2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Other corporate expenses</w:t>
            </w: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Non-GAAP services gross margin</w:t>
            </w:r>
          </w:p>
        </w:tc>
        <w:tc>
          <w:tcPr>
            <w:tcW w:w="2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7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15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2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Impact of purchase accounting</w:t>
            </w: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related</w:t>
            </w:r>
          </w:p>
        </w:tc>
        <w:tc>
          <w:tcPr>
            <w:tcW w:w="2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Other corporate expenses</w:t>
            </w: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Non-GAAP gross margin</w:t>
            </w:r>
          </w:p>
        </w:tc>
        <w:tc>
          <w:tcPr>
            <w:tcW w:w="2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910"/>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51"/>
              <w:spacing w:after="0"/>
              <w:rPr>
                <w:sz w:val="20"/>
                <w:szCs w:val="20"/>
                <w:color w:val="auto"/>
              </w:rPr>
            </w:pPr>
            <w:r>
              <w:rPr>
                <w:rFonts w:ascii="Arial" w:cs="Arial" w:eastAsia="Arial" w:hAnsi="Arial"/>
                <w:sz w:val="18"/>
                <w:szCs w:val="18"/>
                <w:b w:val="1"/>
                <w:bCs w:val="1"/>
                <w:color w:val="auto"/>
              </w:rPr>
              <w:t>May 4, 2018</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May 5, 2017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8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80" w:type="dxa"/>
            <w:vAlign w:val="bottom"/>
            <w:gridSpan w:val="3"/>
          </w:tcPr>
          <w:p>
            <w:pPr>
              <w:jc w:val="right"/>
              <w:spacing w:after="0"/>
              <w:rPr>
                <w:sz w:val="20"/>
                <w:szCs w:val="20"/>
                <w:color w:val="auto"/>
              </w:rPr>
            </w:pPr>
            <w:r>
              <w:rPr>
                <w:rFonts w:ascii="Arial" w:cs="Arial" w:eastAsia="Arial" w:hAnsi="Arial"/>
                <w:sz w:val="14"/>
                <w:szCs w:val="14"/>
                <w:color w:val="auto"/>
              </w:rPr>
              <w:t>(in millions, except percentages)</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6,031</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r>
        <w:trPr>
          <w:trHeight w:val="243"/>
        </w:trPr>
        <w:tc>
          <w:tcPr>
            <w:tcW w:w="6800" w:type="dxa"/>
            <w:vAlign w:val="bottom"/>
            <w:gridSpan w:val="2"/>
          </w:tcPr>
          <w:p>
            <w:pPr>
              <w:ind w:left="180"/>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43"/>
        </w:trPr>
        <w:tc>
          <w:tcPr>
            <w:tcW w:w="6800" w:type="dxa"/>
            <w:vAlign w:val="bottom"/>
            <w:gridSpan w:val="2"/>
          </w:tcPr>
          <w:p>
            <w:pPr>
              <w:ind w:left="280"/>
              <w:spacing w:after="0"/>
              <w:rPr>
                <w:sz w:val="20"/>
                <w:szCs w:val="20"/>
                <w:color w:val="auto"/>
              </w:rPr>
            </w:pPr>
            <w:r>
              <w:rPr>
                <w:rFonts w:ascii="Arial" w:cs="Arial" w:eastAsia="Arial" w:hAnsi="Arial"/>
                <w:sz w:val="18"/>
                <w:szCs w:val="18"/>
                <w:color w:val="auto"/>
              </w:rPr>
              <w:t>Impact of purchase accounting</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Transaction related</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6800" w:type="dxa"/>
            <w:vAlign w:val="bottom"/>
            <w:gridSpan w:val="2"/>
          </w:tcPr>
          <w:p>
            <w:pPr>
              <w:ind w:left="280"/>
              <w:spacing w:after="0"/>
              <w:rPr>
                <w:sz w:val="20"/>
                <w:szCs w:val="20"/>
                <w:color w:val="auto"/>
              </w:rPr>
            </w:pPr>
            <w:r>
              <w:rPr>
                <w:rFonts w:ascii="Arial" w:cs="Arial" w:eastAsia="Arial" w:hAnsi="Arial"/>
                <w:sz w:val="18"/>
                <w:szCs w:val="18"/>
                <w:color w:val="auto"/>
              </w:rPr>
              <w:t>Other corporate expenses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w:t>
            </w: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Non-GAAP 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4,893</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43"/>
        </w:trPr>
        <w:tc>
          <w:tcPr>
            <w:tcW w:w="6800" w:type="dxa"/>
            <w:vAlign w:val="bottom"/>
            <w:gridSpan w:val="2"/>
          </w:tcPr>
          <w:p>
            <w:pPr>
              <w:ind w:left="180"/>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1,522</w:t>
            </w: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43"/>
        </w:trPr>
        <w:tc>
          <w:tcPr>
            <w:tcW w:w="6800" w:type="dxa"/>
            <w:vAlign w:val="bottom"/>
            <w:gridSpan w:val="2"/>
          </w:tcPr>
          <w:p>
            <w:pPr>
              <w:ind w:left="280"/>
              <w:spacing w:after="0"/>
              <w:rPr>
                <w:sz w:val="20"/>
                <w:szCs w:val="20"/>
                <w:color w:val="auto"/>
              </w:rPr>
            </w:pPr>
            <w:r>
              <w:rPr>
                <w:rFonts w:ascii="Arial" w:cs="Arial" w:eastAsia="Arial" w:hAnsi="Arial"/>
                <w:sz w:val="18"/>
                <w:szCs w:val="18"/>
                <w:color w:val="auto"/>
              </w:rPr>
              <w:t>Impact of purchase accounting</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222</w:t>
            </w: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Transaction related</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6800" w:type="dxa"/>
            <w:vAlign w:val="bottom"/>
            <w:gridSpan w:val="2"/>
          </w:tcPr>
          <w:p>
            <w:pPr>
              <w:ind w:left="280"/>
              <w:spacing w:after="0"/>
              <w:rPr>
                <w:sz w:val="20"/>
                <w:szCs w:val="20"/>
                <w:color w:val="auto"/>
              </w:rPr>
            </w:pPr>
            <w:r>
              <w:rPr>
                <w:rFonts w:ascii="Arial" w:cs="Arial" w:eastAsia="Arial" w:hAnsi="Arial"/>
                <w:sz w:val="18"/>
                <w:szCs w:val="18"/>
                <w:color w:val="auto"/>
              </w:rPr>
              <w:t>Other corporate expenses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269</w:t>
            </w: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Non-GAAP operating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2,026</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142"/>
        </w:trPr>
        <w:tc>
          <w:tcPr>
            <w:tcW w:w="1280" w:type="dxa"/>
            <w:vAlign w:val="bottom"/>
            <w:tcBorders>
              <w:bottom w:val="single" w:sz="8" w:color="CCEEFF"/>
            </w:tcBorders>
            <w:shd w:val="clear" w:color="auto" w:fill="CCEEFF"/>
          </w:tcPr>
          <w:p>
            <w:pPr>
              <w:spacing w:after="0"/>
              <w:rPr>
                <w:sz w:val="12"/>
                <w:szCs w:val="12"/>
                <w:color w:val="auto"/>
              </w:rPr>
            </w:pPr>
          </w:p>
        </w:tc>
        <w:tc>
          <w:tcPr>
            <w:tcW w:w="55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1380" w:type="dxa"/>
            <w:vAlign w:val="bottom"/>
            <w:tcBorders>
              <w:bottom w:val="single" w:sz="8" w:color="CCEEFF"/>
            </w:tcBorders>
            <w:vMerge w:val="continue"/>
            <w:shd w:val="clear" w:color="auto" w:fill="CCEEFF"/>
          </w:tcPr>
          <w:p>
            <w:pPr>
              <w:spacing w:after="0"/>
              <w:rPr>
                <w:sz w:val="12"/>
                <w:szCs w:val="12"/>
                <w:color w:val="auto"/>
              </w:rPr>
            </w:pPr>
          </w:p>
        </w:tc>
        <w:tc>
          <w:tcPr>
            <w:tcW w:w="1420" w:type="dxa"/>
            <w:vAlign w:val="bottom"/>
            <w:tcBorders>
              <w:bottom w:val="single" w:sz="8" w:color="CCEEFF"/>
            </w:tcBorders>
            <w:vMerge w:val="continue"/>
            <w:shd w:val="clear" w:color="auto" w:fill="CCEEFF"/>
          </w:tcPr>
          <w:p>
            <w:pPr>
              <w:spacing w:after="0"/>
              <w:rPr>
                <w:sz w:val="12"/>
                <w:szCs w:val="12"/>
                <w:color w:val="auto"/>
              </w:rPr>
            </w:pPr>
          </w:p>
        </w:tc>
        <w:tc>
          <w:tcPr>
            <w:tcW w:w="280" w:type="dxa"/>
            <w:vAlign w:val="bottom"/>
            <w:tcBorders>
              <w:bottom w:val="single" w:sz="8" w:color="CCEEFF"/>
            </w:tcBorders>
            <w:vMerge w:val="continue"/>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800" w:type="dxa"/>
            <w:vAlign w:val="bottom"/>
            <w:gridSpan w:val="2"/>
          </w:tcPr>
          <w:p>
            <w:pPr>
              <w:ind w:left="180"/>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1,522</w:t>
            </w: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43"/>
        </w:trPr>
        <w:tc>
          <w:tcPr>
            <w:tcW w:w="6800" w:type="dxa"/>
            <w:vAlign w:val="bottom"/>
            <w:gridSpan w:val="2"/>
          </w:tcPr>
          <w:p>
            <w:pPr>
              <w:ind w:left="280"/>
              <w:spacing w:after="0"/>
              <w:rPr>
                <w:sz w:val="20"/>
                <w:szCs w:val="20"/>
                <w:color w:val="auto"/>
              </w:rPr>
            </w:pPr>
            <w:r>
              <w:rPr>
                <w:rFonts w:ascii="Arial" w:cs="Arial" w:eastAsia="Arial" w:hAnsi="Arial"/>
                <w:sz w:val="18"/>
                <w:szCs w:val="18"/>
                <w:color w:val="auto"/>
              </w:rPr>
              <w:t>Impact of purchase accounting</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222</w:t>
            </w: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Transaction related</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6800" w:type="dxa"/>
            <w:vAlign w:val="bottom"/>
            <w:gridSpan w:val="2"/>
          </w:tcPr>
          <w:p>
            <w:pPr>
              <w:ind w:left="280"/>
              <w:spacing w:after="0"/>
              <w:rPr>
                <w:sz w:val="20"/>
                <w:szCs w:val="20"/>
                <w:color w:val="auto"/>
              </w:rPr>
            </w:pPr>
            <w:r>
              <w:rPr>
                <w:rFonts w:ascii="Arial" w:cs="Arial" w:eastAsia="Arial" w:hAnsi="Arial"/>
                <w:sz w:val="18"/>
                <w:szCs w:val="18"/>
                <w:color w:val="auto"/>
              </w:rPr>
              <w:t>Other corporate expenses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269</w:t>
            </w: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Aggregate adjustment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4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3"/>
        </w:trPr>
        <w:tc>
          <w:tcPr>
            <w:tcW w:w="6800" w:type="dxa"/>
            <w:vAlign w:val="bottom"/>
            <w:gridSpan w:val="2"/>
          </w:tcPr>
          <w:p>
            <w:pPr>
              <w:ind w:left="380"/>
              <w:spacing w:after="0"/>
              <w:rPr>
                <w:sz w:val="20"/>
                <w:szCs w:val="20"/>
                <w:color w:val="auto"/>
              </w:rPr>
            </w:pPr>
            <w:r>
              <w:rPr>
                <w:rFonts w:ascii="Arial" w:cs="Arial" w:eastAsia="Arial" w:hAnsi="Arial"/>
                <w:sz w:val="18"/>
                <w:szCs w:val="18"/>
                <w:color w:val="auto"/>
              </w:rPr>
              <w:t>Non-GAAP net income</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1,174</w:t>
            </w:r>
          </w:p>
        </w:tc>
        <w:tc>
          <w:tcPr>
            <w:tcW w:w="1420" w:type="dxa"/>
            <w:vAlign w:val="bottom"/>
            <w:vMerge w:val="restart"/>
          </w:tcPr>
          <w:p>
            <w:pPr>
              <w:jc w:val="right"/>
              <w:ind w:right="50"/>
              <w:spacing w:after="0"/>
              <w:rPr>
                <w:sz w:val="20"/>
                <w:szCs w:val="20"/>
                <w:color w:val="auto"/>
              </w:rPr>
            </w:pPr>
            <w:r>
              <w:rPr>
                <w:rFonts w:ascii="Arial" w:cs="Arial" w:eastAsia="Arial" w:hAnsi="Arial"/>
                <w:sz w:val="18"/>
                <w:szCs w:val="18"/>
                <w:color w:val="auto"/>
              </w:rPr>
              <w:t>54%</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147"/>
        </w:trPr>
        <w:tc>
          <w:tcPr>
            <w:tcW w:w="12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the above measures, we also use EBITDA and adjusted EBITDA to provide additional information for evaluation of our operating performance. Adjusted EBITDA excludes purchase accounting adjustments related to the EMC merger transaction and the going-private transaction, acquisition, integration, and divestiture related costs, severance and facility action costs, and stock-based compensation expense. We believe that, due to the non-operational nature of the purchase accounting entries, it is appropriate to exclude these adjustments.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is the case with the non-GAAP measures presented above, users should consider the limitations of using EBITDA and adjusted EBITDA, including the fact that those measures do not provide a complete measure of our operating performance. EBITDA and adjusted EBITDA do not purport to be alternatives to net income (loss) as measures of operating performance or to cash flows from operating activities as a measure of liquidity. In particular, EBITDA and adjusted EBITDA are not intended to be a measure of free cash flow available for management's discretionary use, as these measures do not consider certain cash requirements, such as working capital needs, capital expenditures, contractual commitments, interest payments, tax payments, and other debt service requirements.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08"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reconciliation of EBITDA and adjusted EBITDA to net loss from continuing operations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51"/>
              <w:spacing w:after="0"/>
              <w:rPr>
                <w:sz w:val="20"/>
                <w:szCs w:val="20"/>
                <w:color w:val="auto"/>
              </w:rPr>
            </w:pPr>
            <w:r>
              <w:rPr>
                <w:rFonts w:ascii="Arial" w:cs="Arial" w:eastAsia="Arial" w:hAnsi="Arial"/>
                <w:sz w:val="18"/>
                <w:szCs w:val="18"/>
                <w:b w:val="1"/>
                <w:bCs w:val="1"/>
                <w:color w:val="auto"/>
              </w:rPr>
              <w:t>May 4, 2018</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May 5, 2017</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80" w:type="dxa"/>
            <w:vAlign w:val="bottom"/>
            <w:gridSpan w:val="3"/>
          </w:tcPr>
          <w:p>
            <w:pPr>
              <w:jc w:val="right"/>
              <w:spacing w:after="0"/>
              <w:rPr>
                <w:sz w:val="20"/>
                <w:szCs w:val="20"/>
                <w:color w:val="auto"/>
              </w:rPr>
            </w:pPr>
            <w:r>
              <w:rPr>
                <w:rFonts w:ascii="Arial" w:cs="Arial" w:eastAsia="Arial" w:hAnsi="Arial"/>
                <w:sz w:val="14"/>
                <w:szCs w:val="14"/>
                <w:color w:val="auto"/>
              </w:rPr>
              <w:t>(in millions, except percentages)</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43"/>
        </w:trPr>
        <w:tc>
          <w:tcPr>
            <w:tcW w:w="6800" w:type="dxa"/>
            <w:vAlign w:val="bottom"/>
          </w:tcPr>
          <w:p>
            <w:pPr>
              <w:jc w:val="center"/>
              <w:ind w:right="5390"/>
              <w:spacing w:after="0"/>
              <w:rPr>
                <w:sz w:val="20"/>
                <w:szCs w:val="20"/>
                <w:color w:val="auto"/>
              </w:rPr>
            </w:pPr>
            <w:r>
              <w:rPr>
                <w:rFonts w:ascii="Arial" w:cs="Arial" w:eastAsia="Arial" w:hAnsi="Arial"/>
                <w:sz w:val="18"/>
                <w:szCs w:val="18"/>
                <w:color w:val="auto"/>
                <w:w w:val="92"/>
              </w:rPr>
              <w:t>Adjustments: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other, net (a)</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w:t>
            </w: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w:t>
            </w: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1,914</w:t>
            </w:r>
          </w:p>
        </w:tc>
        <w:tc>
          <w:tcPr>
            <w:tcW w:w="14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97"/>
        </w:trPr>
        <w:tc>
          <w:tcPr>
            <w:tcW w:w="6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EBITDA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1,761</w:t>
            </w:r>
          </w:p>
        </w:tc>
        <w:tc>
          <w:tcPr>
            <w:tcW w:w="14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87%</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311"/>
        </w:trPr>
        <w:tc>
          <w:tcPr>
            <w:tcW w:w="6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EBITDA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1,761</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87%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jc w:val="center"/>
              <w:ind w:right="5390"/>
              <w:spacing w:after="0"/>
              <w:rPr>
                <w:sz w:val="20"/>
                <w:szCs w:val="20"/>
                <w:color w:val="auto"/>
              </w:rPr>
            </w:pPr>
            <w:r>
              <w:rPr>
                <w:rFonts w:ascii="Arial" w:cs="Arial" w:eastAsia="Arial" w:hAnsi="Arial"/>
                <w:sz w:val="18"/>
                <w:szCs w:val="18"/>
                <w:color w:val="auto"/>
                <w:w w:val="92"/>
              </w:rPr>
              <w:t>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199</w:t>
            </w: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 (b)</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Transaction-related expenses (c)</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166</w:t>
            </w: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 (d)</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4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7"/>
        </w:trPr>
        <w:tc>
          <w:tcPr>
            <w:tcW w:w="680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2,383</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0"/>
        </w:trPr>
        <w:tc>
          <w:tcPr>
            <w:tcW w:w="6800" w:type="dxa"/>
            <w:vAlign w:val="bottom"/>
            <w:vMerge w:val="restart"/>
          </w:tcPr>
          <w:p>
            <w:pPr>
              <w:jc w:val="center"/>
              <w:ind w:right="5410"/>
              <w:spacing w:after="0"/>
              <w:rPr>
                <w:sz w:val="20"/>
                <w:szCs w:val="20"/>
                <w:color w:val="auto"/>
              </w:rPr>
            </w:pPr>
            <w:r>
              <w:rPr>
                <w:rFonts w:ascii="Arial" w:cs="Arial" w:eastAsia="Arial" w:hAnsi="Arial"/>
                <w:sz w:val="16"/>
                <w:szCs w:val="16"/>
                <w:color w:val="auto"/>
                <w:w w:val="91"/>
              </w:rPr>
              <w:t>________________</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"Results of Operations — Interest and Other, Net" for more information on the components of interest and other, net.</w:t>
      </w:r>
    </w:p>
    <w:p>
      <w:pPr>
        <w:spacing w:after="0" w:line="7" w:lineRule="exact"/>
        <w:rPr>
          <w:rFonts w:ascii="Arial" w:cs="Arial" w:eastAsia="Arial" w:hAnsi="Arial"/>
          <w:sz w:val="18"/>
          <w:szCs w:val="18"/>
          <w:color w:val="auto"/>
        </w:rPr>
      </w:pPr>
    </w:p>
    <w:p>
      <w:pPr>
        <w:ind w:left="420" w:hanging="412"/>
        <w:spacing w:after="0"/>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amount includes the non-cash purchase accounting adjustments related to the EMC merger transaction and the going-private transaction.</w:t>
      </w:r>
    </w:p>
    <w:p>
      <w:pPr>
        <w:spacing w:after="0" w:line="20" w:lineRule="exact"/>
        <w:rPr>
          <w:rFonts w:ascii="Arial" w:cs="Arial" w:eastAsia="Arial" w:hAnsi="Arial"/>
          <w:sz w:val="17"/>
          <w:szCs w:val="17"/>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Transaction-related expenses consist of acquisition, integration, and divestiture related costs.</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severance and facility 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following table summarizes our consolidated results from continuing operations for each of the periods presented. Unless otherwise indicated, all changes identified for the current-period results represent comparisons to results for the prior corresponding fiscal period. Multiple accounting standards were adopted during the three months ended May 4, 2018, which resulted in adjustment or reclassification of amounts previously reported. See Note 1 of the Notes to the Condensed Consolidated Financial Statements included in this report for further information regarding our recently adopted accounting standards.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2"/>
              </w:rPr>
              <w:t>Three Months Ended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May 4, 2018</w:t>
            </w: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May 5, 2017</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 of</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 of</w:t>
            </w: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Dollars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5"/>
              </w:rPr>
              <w:t>Net Revenue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c>
          <w:tcPr>
            <w:tcW w:w="3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Dollars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5"/>
              </w:rPr>
              <w:t>Net Revenue</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4"/>
          </w:tcPr>
          <w:p>
            <w:pPr>
              <w:jc w:val="center"/>
              <w:ind w:right="70"/>
              <w:spacing w:after="0"/>
              <w:rPr>
                <w:sz w:val="20"/>
                <w:szCs w:val="20"/>
                <w:color w:val="auto"/>
              </w:rPr>
            </w:pPr>
            <w:r>
              <w:rPr>
                <w:rFonts w:ascii="Arial" w:cs="Arial" w:eastAsia="Arial" w:hAnsi="Arial"/>
                <w:sz w:val="18"/>
                <w:szCs w:val="18"/>
                <w:color w:val="auto"/>
                <w:w w:val="91"/>
              </w:rPr>
              <w:t>(in millions, except percentages)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Net revenue: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16,671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78.1 %</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13,634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75.7 %</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24.3 %</w:t>
            </w:r>
          </w:p>
        </w:tc>
      </w:tr>
      <w:tr>
        <w:trPr>
          <w:trHeight w:val="237"/>
        </w:trPr>
        <w:tc>
          <w:tcPr>
            <w:tcW w:w="2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Total net revenue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21,356</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18,000</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Product (a)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3,065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18.4 %</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13.3 %</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Services (b)</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60.6 %</w:t>
            </w:r>
          </w:p>
        </w:tc>
      </w:tr>
      <w:tr>
        <w:trPr>
          <w:trHeight w:val="237"/>
        </w:trPr>
        <w:tc>
          <w:tcPr>
            <w:tcW w:w="2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Total gross margin</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5,878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27.5 %</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24.8 %</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5,729</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31.9 %</w:t>
            </w:r>
          </w:p>
        </w:tc>
      </w:tr>
      <w:tr>
        <w:trPr>
          <w:trHeight w:val="243"/>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Net loss attributable to Dell Technologies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20" w:type="dxa"/>
            <w:vAlign w:val="bottom"/>
          </w:tcPr>
          <w:p>
            <w:pPr>
              <w:spacing w:after="0"/>
              <w:rPr>
                <w:sz w:val="24"/>
                <w:szCs w:val="24"/>
                <w:color w:val="auto"/>
              </w:rPr>
            </w:pPr>
          </w:p>
        </w:tc>
        <w:tc>
          <w:tcPr>
            <w:tcW w:w="5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Non-GAAP Financial Information</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Non-GAAP net revenue: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16,688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77.5 %</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13,689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74.6 %</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25.4 %</w:t>
            </w:r>
          </w:p>
        </w:tc>
      </w:tr>
      <w:tr>
        <w:trPr>
          <w:trHeight w:val="237"/>
        </w:trPr>
        <w:tc>
          <w:tcPr>
            <w:tcW w:w="2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Total non-GAAP net revenue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21,543</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18,355</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Non-GAAP 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Product (a)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3,918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23.5 %</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2,831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20.7 %</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Services (b)</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61.8 %</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63.7 %</w:t>
            </w:r>
          </w:p>
        </w:tc>
      </w:tr>
      <w:tr>
        <w:trPr>
          <w:trHeight w:val="237"/>
        </w:trPr>
        <w:tc>
          <w:tcPr>
            <w:tcW w:w="2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Total non-GAAP gross margin</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6,919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32.1 %</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5,801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31.6 %</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operating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23.8 %</w:t>
            </w:r>
          </w:p>
        </w:tc>
      </w:tr>
      <w:tr>
        <w:trPr>
          <w:trHeight w:val="243"/>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Non-GAAP 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1,425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7.8 %</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43"/>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1,761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5.1 %</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191"/>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____________________</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ind w:left="420" w:right="700" w:hanging="412"/>
        <w:spacing w:after="0" w:line="264" w:lineRule="auto"/>
        <w:tabs>
          <w:tab w:leader="none" w:pos="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Product gross margin percentages represent product gross margin as a percentage of product net revenue, and non-GAAP product gross margin percentages represent non-GAAP product gross margin as a percentage of non-GAAP product net revenue.</w:t>
      </w:r>
    </w:p>
    <w:p>
      <w:pPr>
        <w:ind w:left="420" w:right="560" w:hanging="412"/>
        <w:spacing w:after="0" w:line="290" w:lineRule="auto"/>
        <w:tabs>
          <w:tab w:leader="none" w:pos="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Services gross margin percentages represent services gross margin as a percentage of services net revenue, and non-GAAP services gross margin percentages represent non-GAAP services gross margin as a percentage of non-GAAP services net revenue.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Non-GAAP product net revenue, non-GAAP services net revenue, non-GAAP net revenue, non-GAAP product gross margin, non-GAAP services gross margin, non-GAAP gross margin, non-GAAP operating expenses, non-GAAP operating income, non-GAAP net income from continuing operations, EBITDA, and adjusted EBITDA are not measurements of financial performance prepared in accordance with GAAP. Non-GAAP financial measures as a percentage of revenue are calculated based on non-GAAP net revenue. See "Non-GAAP Financial Measures" for information about these non-GAAP financial measures, including our reasons for including these measures, material limitations with respect to the usefulness of the measures, and a reconciliation of each non-GAAP financial measure to the most directly comparable GAAP financial measure.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first quarter of Fiscal 2019, our net revenue and non-GAAP net revenue increased 19% and 17%, respectively. The increase in net revenue and non-GAAP net revenue was attributable to an increase in net revenue across all three business units.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operating loss decreased 88% to $0.2 billion during the first quarter of Fiscal 2019, primarily due to an increase in operating income for ISG and CSG. Also benefiting operating loss during the year was a reduction in the impact of amortization of intangible assets and purchase accounting adjustments, which totaled $1.7 billion and $2.2 billion for the first quarters of Fiscal 2019 and Fiscal 2018, respectively. Excluding these costs, transaction-related expenses, and other corporate expenses, non-GAAP operating income during the first quarter of Fiscal 2019 increased 42% to $2.0 billion, primarily as a result of an increase in operating income for ISG and CSG.</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provided by operating activities was $1.2 billion during the first quarter of Fiscal 2019 compared to $0.3 billion for the first quarter of Fiscal 2018. The increase in operating cash flows during the first quarter of Fiscal 2019 was driven by improved profitability and ongoing working capital management. See "Market Conditions, Liquidity, and Capital Commitments" for further information on our cash flow metrics.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first quarter of Fiscal 2019, our net revenue and non-GAAP net revenue increased 19% and 17%, respectively, due to an increase in net revenue across all three business units. See "Business Unit Results" for further information.</w:t>
      </w:r>
    </w:p>
    <w:p>
      <w:pPr>
        <w:spacing w:after="0" w:line="170" w:lineRule="exact"/>
        <w:rPr>
          <w:sz w:val="20"/>
          <w:szCs w:val="20"/>
          <w:color w:val="auto"/>
        </w:rPr>
      </w:pPr>
    </w:p>
    <w:p>
      <w:pPr>
        <w:ind w:left="34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Product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Product net revenue includes revenue from the sale of hardware products and software licenses. During the first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2019, product net revenue and non-GAAP product net revenue both increased 22%, primarily due an increase in product revenue for ISG and CSG, driven by strength in sales of servers, storage, and notebooks.</w:t>
      </w:r>
    </w:p>
    <w:p>
      <w:pPr>
        <w:spacing w:after="0" w:line="181" w:lineRule="exact"/>
        <w:rPr>
          <w:rFonts w:ascii="Arial" w:cs="Arial" w:eastAsia="Arial" w:hAnsi="Arial"/>
          <w:sz w:val="18"/>
          <w:szCs w:val="18"/>
          <w:color w:val="auto"/>
        </w:rPr>
      </w:pPr>
    </w:p>
    <w:p>
      <w:pPr>
        <w:ind w:left="340" w:right="18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Services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Services net revenue includes revenue from our services offerings and support services related to hardware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licenses. During the first quarter of Fiscal 2019, services net revenue and non-GAAP services net revenue increased 7% and 4%, respectively, primarily due to an increase in services revenue for CSG and VMware software maintenance.</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From a geographical perspective, net revenue generated by sales to customers in all regions increased in the first quarter of Fiscal 2019 due to strong performance globally in all three business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"Business Unit Results" for further information regarding revenue from our product and services offerings.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first quarter of Fiscal 2019, our gross margin increased 32% to $5.9 billion, and our gross margin percentage increased 270 basis points to 27.5%. The increase in our gross margin was primarily attributable to higher gross margin across all three business units and, to a lesser extent, a decrease in the combined impact of amortization of intangibles and purchase accounting adjustments. The increase in our gross margin percentage was primarily attributable to an increase in gross margin percentage in CSG and VMware.</w:t>
      </w:r>
    </w:p>
    <w:p>
      <w:pPr>
        <w:spacing w:after="0" w:line="18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gross margin for the first quarters of Fiscal 2019 and Fiscal 2018 included the effect of amortization of intangibles and purchase accounting adjustments of $0.9 billion and $1.3 billion, respectively. Excluding these costs, transaction-related expenses, and other corporate expenses, total non-GAAP gross margin for the first quarter of Fiscal 2019 increased 19% to $6.9 billion and non-GAAP gross margin percentage increased 50 basis points to 32.1%. The increase in non-GAAP gross margin</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was attributable to increases in gross margin across all three business units. The increase in our non-GAAP gross margin percentage was primarily due to an increase in gross margin percentage in CSG and VMware.</w:t>
      </w:r>
    </w:p>
    <w:p>
      <w:pPr>
        <w:spacing w:after="0" w:line="170" w:lineRule="exact"/>
        <w:rPr>
          <w:sz w:val="20"/>
          <w:szCs w:val="20"/>
          <w:color w:val="auto"/>
        </w:rPr>
      </w:pPr>
    </w:p>
    <w:p>
      <w:pPr>
        <w:ind w:left="340" w:right="180" w:hanging="332"/>
        <w:spacing w:after="0" w:line="273"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i w:val="1"/>
          <w:iCs w:val="1"/>
          <w:u w:val="single" w:color="auto"/>
          <w:color w:val="auto"/>
        </w:rPr>
        <w:t>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 During the first quarter of Fiscal 2019, product gross margin increased 69% to $3.1 billion, and product gross margin percentage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510 basis points to 18.4%. During the first quarter of Fiscal 2019, non-GAAP product gross margin increased 38% to $3.9 billion, and non-GAAP product gross margin percentage increased 280 basis points to 23.5%. These increases in product gross margin and non-GAAP product gross margin were driven primarily by increases in product gross margin in all three business units due to strength in ISG servers and storage, CSG commercial products, and VMware software licenses. Product gross margin percentage and non-GAAP product gross margin percentage increased as a result of increases in product gross margin percentages for ISG and CSG commercial products.</w:t>
      </w:r>
    </w:p>
    <w:p>
      <w:pPr>
        <w:spacing w:after="0" w:line="178" w:lineRule="exact"/>
        <w:rPr>
          <w:rFonts w:ascii="Arial" w:cs="Arial" w:eastAsia="Arial" w:hAnsi="Arial"/>
          <w:sz w:val="17"/>
          <w:szCs w:val="17"/>
          <w:color w:val="auto"/>
        </w:rPr>
      </w:pPr>
    </w:p>
    <w:p>
      <w:pPr>
        <w:ind w:left="340" w:hanging="332"/>
        <w:spacing w:after="0" w:line="255" w:lineRule="auto"/>
        <w:tabs>
          <w:tab w:leader="none" w:pos="34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the first quarter of Fiscal 2019, services gross margin increased 6% to $2.8 billion, and services gross margin percentage decreased 60</w:t>
      </w:r>
      <w:r>
        <w:rPr>
          <w:rFonts w:ascii="Arial" w:cs="Arial" w:eastAsia="Arial" w:hAnsi="Arial"/>
          <w:sz w:val="18"/>
          <w:szCs w:val="18"/>
          <w:i w:val="1"/>
          <w:iCs w:val="1"/>
          <w:color w:val="auto"/>
        </w:rPr>
        <w:t xml:space="preserve"> </w:t>
      </w:r>
      <w:r>
        <w:rPr>
          <w:rFonts w:ascii="Arial" w:cs="Arial" w:eastAsia="Arial" w:hAnsi="Arial"/>
          <w:sz w:val="18"/>
          <w:szCs w:val="18"/>
          <w:color w:val="auto"/>
        </w:rPr>
        <w:t>basis points to 60.0%. Services gross margin increased primarily due to a decrease in purchase accounting adjustments, while the combined services gross margin contributed by our business units remained relatively unchanged. Purchase accounting adjustments totaled $0.2 billion during the first quarter of Fiscal 2019, compared to $0.3 billion during the first quarter of Fiscal 2018. Excluding these costs, transaction-related expenses, and other corporate expenses, non-GAAP services gross margin increased 1% to $3.0 billion, and non-GAAP services gross margin percentage decreased 190 basis points to 61.8%. Services gross margin percentage and non-GAAP services gross margin percentage decreased due to decreases in ISG and CSG services gross margin percentages.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Programs and Settlements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gross margin is affected by our ability to achieve competitive pricing with our vendors and contract manufacturers, including through our negotiation of a variety of vendor rebate programs to achieve lower net costs for the various components we include in our products. Under these programs, vendors provide us with rebates or other discounts from the list prices for the components, which are generally elements of their pricing strategy. We account for vendor rebates and other discounts as a reduction in cost of net revenue. We manage our costs on a total net cost basis, which includes supplier list prices reduced by vendor rebates and other discounts.</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terms and conditions of our vendor rebate programs are largely based on product volumes and are generally negotiated either at the beginning of the annual or quarterly period, depending on the program. The timing and amount of vendor rebates and other discounts we receive under the programs may vary from period to period, reflecting changes in the competitive environment. We monitor our component costs and seek to address the effects of any changes to terms that might arise under our vendor rebate programs. Our gross margins for the first quarters of Fiscal 2019 and Fiscal 2018 were not materially affected by any changes to the terms of our vendor rebate programs, as the amounts we received under these programs were generally stable relative to our total net cost. We are not aware of any significant changes to vendor pricing or rebate programs that may impact our results in the near term.</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we have pursued legal action against certain vendors and are currently involved in negotiations with other vendors regarding their past pricing practices. We have negotiated settlements with some of these vendors and may have additional settlements in future periods. These settlements are allocated to our segments based on the relative amount of affected vendor products sold by each segment. No such settlements were recorded in the first quarter of Fiscal 2019 that would have a material impact on product gross margins in the current quarter or affect comparability with product gross margin in the first quarter of Fiscal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our operating expenses during each of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Three Months Ended</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May 4, 2018</w:t>
            </w: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May 5, 2017</w:t>
            </w:r>
          </w:p>
        </w:tc>
      </w:tr>
      <w:tr>
        <w:trPr>
          <w:trHeight w:val="27"/>
        </w:trPr>
        <w:tc>
          <w:tcPr>
            <w:tcW w:w="5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 of</w:t>
            </w: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Net</w:t>
            </w:r>
          </w:p>
        </w:tc>
        <w:tc>
          <w:tcPr>
            <w:tcW w:w="15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 of</w:t>
            </w:r>
          </w:p>
        </w:tc>
      </w:tr>
      <w:tr>
        <w:trPr>
          <w:trHeight w:val="234"/>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Dollars</w:t>
            </w:r>
          </w:p>
        </w:tc>
        <w:tc>
          <w:tcPr>
            <w:tcW w:w="108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Revenue</w:t>
            </w:r>
          </w:p>
        </w:tc>
        <w:tc>
          <w:tcPr>
            <w:tcW w:w="2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Dollars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Net Revenue</w:t>
            </w:r>
          </w:p>
        </w:tc>
      </w:tr>
      <w:tr>
        <w:trPr>
          <w:trHeight w:val="27"/>
        </w:trPr>
        <w:tc>
          <w:tcPr>
            <w:tcW w:w="5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80" w:type="dxa"/>
            <w:vAlign w:val="bottom"/>
            <w:gridSpan w:val="5"/>
          </w:tcPr>
          <w:p>
            <w:pPr>
              <w:jc w:val="right"/>
              <w:ind w:right="310"/>
              <w:spacing w:after="0"/>
              <w:rPr>
                <w:sz w:val="20"/>
                <w:szCs w:val="20"/>
                <w:color w:val="auto"/>
              </w:rPr>
            </w:pPr>
            <w:r>
              <w:rPr>
                <w:rFonts w:ascii="Arial" w:cs="Arial" w:eastAsia="Arial" w:hAnsi="Arial"/>
                <w:sz w:val="18"/>
                <w:szCs w:val="18"/>
                <w:color w:val="auto"/>
              </w:rPr>
              <w:t>(in millions, except percentages)</w:t>
            </w:r>
          </w:p>
        </w:tc>
        <w:tc>
          <w:tcPr>
            <w:tcW w:w="120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shd w:val="clear" w:color="auto" w:fill="CCEEFF"/>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4,944</w:t>
            </w: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8 %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4,596</w:t>
            </w:r>
          </w:p>
        </w:tc>
        <w:tc>
          <w:tcPr>
            <w:tcW w:w="120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
        </w:trPr>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5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97"/>
        </w:trPr>
        <w:tc>
          <w:tcPr>
            <w:tcW w:w="58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6,031</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28.2%</w:t>
            </w:r>
          </w:p>
        </w:tc>
        <w:tc>
          <w:tcPr>
            <w:tcW w:w="150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5 %</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5,729</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31.9%</w:t>
            </w:r>
          </w:p>
        </w:tc>
      </w:tr>
      <w:tr>
        <w:trPr>
          <w:trHeight w:val="311"/>
        </w:trPr>
        <w:tc>
          <w:tcPr>
            <w:tcW w:w="5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Financial Information</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12 %</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5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first quarter of Fiscal 2019, total operating expenses increased 5%. Our operating expenses include the impact of purchase accounting, amortization of intangible assets, transaction-related expenses, and other corporate expenses. In aggregate, these items totaled $1.1 billion and $1.4 billion for the first quarters of Fiscal 2019 and Fiscal 2018, respectively. Excluding these costs, total non-GAAP operating expenses increased 12%. The increase in operating expenses and non-GAAP operating expenses was primarily due to an increase in selling, general, and administrative expenses, offset partially by a reduction in research and development expenses.</w:t>
      </w:r>
    </w:p>
    <w:p>
      <w:pPr>
        <w:spacing w:after="0" w:line="188" w:lineRule="exact"/>
        <w:rPr>
          <w:sz w:val="20"/>
          <w:szCs w:val="20"/>
          <w:color w:val="auto"/>
        </w:rPr>
      </w:pPr>
    </w:p>
    <w:p>
      <w:pPr>
        <w:ind w:left="340" w:right="320" w:hanging="332"/>
        <w:spacing w:after="0" w:line="264" w:lineRule="auto"/>
        <w:tabs>
          <w:tab w:leader="none" w:pos="34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Selling,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 Selling, general, and administrative ("SG&amp;A") expenses increased 8% during the first quarter of Fiscal 2019.</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increases in SG&amp;A expenses were primarily driven by investments in our go-to-market capabilities and higher performance-driven commission costs.</w:t>
      </w:r>
    </w:p>
    <w:p>
      <w:pPr>
        <w:spacing w:after="0" w:line="181" w:lineRule="exact"/>
        <w:rPr>
          <w:rFonts w:ascii="Arial" w:cs="Arial" w:eastAsia="Arial" w:hAnsi="Arial"/>
          <w:sz w:val="18"/>
          <w:szCs w:val="18"/>
          <w:i w:val="1"/>
          <w:iCs w:val="1"/>
          <w:color w:val="auto"/>
        </w:rPr>
      </w:pPr>
    </w:p>
    <w:p>
      <w:pPr>
        <w:ind w:left="340" w:right="28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Research and Development</w:t>
      </w:r>
      <w:r>
        <w:rPr>
          <w:rFonts w:ascii="Arial" w:cs="Arial" w:eastAsia="Arial" w:hAnsi="Arial"/>
          <w:sz w:val="18"/>
          <w:szCs w:val="18"/>
          <w:i w:val="1"/>
          <w:iCs w:val="1"/>
          <w:color w:val="auto"/>
        </w:rPr>
        <w:t xml:space="preserve"> — </w:t>
      </w:r>
      <w:r>
        <w:rPr>
          <w:rFonts w:ascii="Arial" w:cs="Arial" w:eastAsia="Arial" w:hAnsi="Arial"/>
          <w:sz w:val="18"/>
          <w:szCs w:val="18"/>
          <w:color w:val="auto"/>
        </w:rPr>
        <w:t>Research and development ("R&amp;D") expenses are primarily composed of personnel-related expenses related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R&amp;D expenses as a percentage of net revenue for the first quarters of Fiscal 2019 and Fiscal 2018 were approximately 5.1% and 6.3%, respectively. The decrease in R&amp;D expenses as a percentage of net revenue was attributable to revenue growth that outpaced the scale of R&amp;D investments.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starting to see benefits of investments we have made to enable growth, particularly in sales force, marketing, and R&amp;D, while balancing our efforts to drive cost efficiencies in the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operating loss decreased 88% during the first quarter of Fiscal 2019, primarily due to increases in operating income in ISG and CSG, as well as a decrease in the impact of purchase accounting, amortization of intangible assets, transaction-related expenses, and other corporate expenses. In aggregate, these items totaled $2.2 billion and $2.7 billion for the first quarters of Fiscal 2019 and Fiscal 2018, respectively. Excluding these costs, non-GAAP operating income for the first quarter of Fiscal 2019 increased 42% to $2.0 billion, primarily as a result of an increase in operating income for ISG and CSG.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interest and other, net for each of the periods presented:</w:t>
      </w:r>
    </w:p>
    <w:p>
      <w:pPr>
        <w:spacing w:after="0" w:line="275"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760"/>
        <w:spacing w:after="0"/>
        <w:tabs>
          <w:tab w:leader="none" w:pos="9900" w:val="left"/>
        </w:tabs>
        <w:rPr>
          <w:sz w:val="20"/>
          <w:szCs w:val="20"/>
          <w:color w:val="auto"/>
        </w:rPr>
      </w:pPr>
      <w:r>
        <w:rPr>
          <w:rFonts w:ascii="Arial" w:cs="Arial" w:eastAsia="Arial" w:hAnsi="Arial"/>
          <w:sz w:val="18"/>
          <w:szCs w:val="18"/>
          <w:b w:val="1"/>
          <w:bCs w:val="1"/>
          <w:color w:val="auto"/>
        </w:rPr>
        <w:t>May 4, 2018</w:t>
      </w:r>
      <w:r>
        <w:rPr>
          <w:sz w:val="20"/>
          <w:szCs w:val="20"/>
          <w:color w:val="auto"/>
        </w:rPr>
        <w:tab/>
      </w:r>
      <w:r>
        <w:rPr>
          <w:rFonts w:ascii="Arial" w:cs="Arial" w:eastAsia="Arial" w:hAnsi="Arial"/>
          <w:sz w:val="16"/>
          <w:szCs w:val="16"/>
          <w:b w:val="1"/>
          <w:bCs w:val="1"/>
          <w:color w:val="auto"/>
        </w:rPr>
        <w:t>May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Interest and other, net:</w:t>
            </w:r>
          </w:p>
        </w:tc>
        <w:tc>
          <w:tcPr>
            <w:tcW w:w="8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Investment income, primarily interest</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7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investments, net</w:t>
            </w:r>
          </w:p>
        </w:tc>
        <w:tc>
          <w:tcPr>
            <w:tcW w:w="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7"/>
        </w:trPr>
        <w:tc>
          <w:tcPr>
            <w:tcW w:w="7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w:t>
            </w:r>
          </w:p>
        </w:tc>
        <w:tc>
          <w:tcPr>
            <w:tcW w:w="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7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interest and other, net</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0"/>
        </w:trPr>
        <w:tc>
          <w:tcPr>
            <w:tcW w:w="7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Effective in the first quarter of Fiscal 2019, in accordance with our recent adoption of the new accounting guidance for "Recognition and Measurement of Financial Assets and Financial Liabilities," changes in the fair value of our publicly-traded strategic investments are recorded in interest and other, net. During the first quarter of Fiscal 2019, changes in interest and other, net were favorable by $102 million primarily due to an increase in gain (loss) on investments, net due to gains on strategic investments. See Note 1 and Note 4 of the Notes to the Condensed Consolidated Financial Statements included in this report for further information regarding our recently adopted accounting standards and our investments,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Other Taxes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first quarters of Fiscal 2019 and Fiscal 2018, our effective income tax rates were 13.6% and 34.8%, respectively, on pre-tax losses of $0.6 billion and $1.8 billion, respectively. The change in our effective income tax rates was primarily attributable to impacts of U.S. Tax Reform, partially offset by discrete tax benefits resulting from the impact of adopting the new revenue recognition standard.</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Tax Cuts and Jobs Act of 2017 ("U.S. Tax Reform" or the "Act") was signed into law on December 22, 2017. U.S. Tax Reform lowers the U.S. corporate income tax rate to 21% from 35%, establishes a modified territorial system requiring a mandatory deemed repatriation tax on undistributed earnings of foreign subsidiaries (the "Transition Tax"), requires a minimum tax on certain future earnings generated by foreign subsidiaries while providing for future tax-free repatriation of earnings through a 100% dividends-received deduction, and places limitations on the deductibility of net interest expense.</w:t>
      </w:r>
    </w:p>
    <w:p>
      <w:pPr>
        <w:spacing w:after="0" w:line="15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GAAP requires the effect of a change in tax laws to be recognized in the period that includes the enactment date. Accordingly, we recognized a provisional tax benefit in the fourth quarter of Fiscal 2018 of $0.3 billion related to U.S. Tax Reform, primarily driven by a $1.3 billion tax benefit related to the remeasurement of deferred tax assets and liabilities, offset by $1.0 billion of current and future income tax expenses related to the Transition Tax. Our provisional benefit will be adjusted once the analysis is complete, but no later than the fourth quarter of Fiscal 2019. We are still collecting and processing the necessary data to complete the analysis. As a result, no adjustments have been made to the provisional amount recorded in the fourth quarter of Fiscal 2018. In addition, we expect further guidance to be issued by the U.S Treasury Department that may affect the provisional calculation. Revisions to our provisional estimates may be material.</w:t>
      </w:r>
    </w:p>
    <w:p>
      <w:pPr>
        <w:spacing w:after="0" w:line="18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effective income tax rate can fluctuate depending on the geographic distribution of our world-wide earnings, as our foreign earnings are generally taxed at lower rates than in the United States. The differences between our effective income tax rate and the U.S. federal statutory rate of 21% principally result from the geographical distribution of income and differences between the book and tax treatment of certain items. In certain jurisdictions, our tax rate is significantly less than the applicable statutory rate as a result of tax holidays. The majority of our foreign income that is subject to these tax holidays and lower tax rates is attributable to Singapore, China, and Malaysia. A significant portion of these income tax benefits is related to a tax holiday that will expire at the end of Fiscal 2019. We are currently seeking new terms for the affected subsidiary beyond Fiscal 2019 and it is uncertain whether any terms will be agreed upon. Our other tax holidays will expire in whole or in part during Fiscal 2019 through Fiscal 2023. Many of these tax holidays and reduced tax rates may be extended when certain conditions are met or may be terminated early if certain conditions are not met.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For further discussion regarding tax matters, see Note 12 of the Notes to the Condensed Consolidated Financial Statements included 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first quarter of Fiscal 2019, net loss decreased 55% to $0.5 billion. The decrease in net loss during the first quarter of Fiscal 2019 was primarily attributable to a decrease in operating loss and, to a lesser extent, a decrease in interest and other, net expense, which was partially offset by a decrease in tax benefit. Net loss for the first quarter of Fiscal 2019 included amortization of intangible assets, the impact of purchase accounting, transaction-related expenses, and other corporate expenses. Excluding these costs and the related tax impacts, non-GAAP net income increased 54% to $1.2 billion. The increase in non-GAAP net income during the first quarter of Fiscal 2019 was primarily attributable to an increase in operating income and a decrease in interest and other, net expense, which was partially offset by an increase in income tax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first quarter of Fiscal 2019, net income attributable to non-controlling interests was $98 million compared to a net loss attributable to non-controlling interests of $32 million during the first quarter of Fiscal 2018. Net income or loss attributable to non-controlling interests consisted of net income or loss attributable to our non-controlling interests in VMware, Inc., Pivotal, and SecureWorks. For more information about our non-controlling interests, see Note 14 of the Notes to the Condensed Consolidated Financial Statements included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Dell Technologies Inc.</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loss attributable to Dell Technologies Inc. represents net loss and an adjustment for non-controlling interests. During the first quarters of Fiscal 2019 and Fiscal 2018, net loss attributable to Dell Technologies Inc. was $0.6 billion and $1.2 billion, respectively. The decrease in net loss attributable to Dell Technologies Inc. during the first quarter of Fiscal 2019 was primarily attributable to a decrease in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25"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Unit Results</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reportable segments are based on the following business units: ISG, CSG, and VMware. A description of our three business units is provided under "Introduction." See Note 18 of the Notes to the Condensed Consolidated Financial Statements included in this report for a reconciliation of net revenue and operating income by reportable segment to consolidated net revenue and consolidated operating loss, respectively.</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three months ended May 4, 2018, we made certain segment reporting changes, which included the movement of Virtustream results from ISG to other businesses. None of these changes impacted our previously reported consolidated financial results, but our prior period segment results have been recast to reflect this 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Solutions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ISG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92"/>
              </w:rPr>
              <w:t>Three Months Ended</w:t>
            </w:r>
          </w:p>
        </w:tc>
        <w:tc>
          <w:tcPr>
            <w:tcW w:w="150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4, 2018</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260" w:type="dxa"/>
            <w:vAlign w:val="bottom"/>
          </w:tcPr>
          <w:p>
            <w:pPr>
              <w:spacing w:after="0"/>
              <w:rPr>
                <w:sz w:val="20"/>
                <w:szCs w:val="20"/>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5, 2017</w:t>
            </w:r>
          </w:p>
        </w:tc>
      </w:tr>
      <w:tr>
        <w:trPr>
          <w:trHeight w:val="27"/>
        </w:trPr>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gridSpan w:val="4"/>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20" w:type="dxa"/>
            <w:vAlign w:val="bottom"/>
            <w:gridSpan w:val="4"/>
          </w:tcPr>
          <w:p>
            <w:pPr>
              <w:jc w:val="center"/>
              <w:ind w:right="170"/>
              <w:spacing w:after="0"/>
              <w:rPr>
                <w:sz w:val="20"/>
                <w:szCs w:val="20"/>
                <w:color w:val="auto"/>
              </w:rPr>
            </w:pPr>
            <w:r>
              <w:rPr>
                <w:rFonts w:ascii="Arial" w:cs="Arial" w:eastAsia="Arial" w:hAnsi="Arial"/>
                <w:sz w:val="18"/>
                <w:szCs w:val="18"/>
                <w:color w:val="auto"/>
                <w:w w:val="90"/>
              </w:rPr>
              <w:t>(in millions, except percentages)</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Servers and networking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4,585</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41%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3,256</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Storage</w:t>
            </w: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4,082</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3,705</w:t>
            </w:r>
          </w:p>
        </w:tc>
      </w:tr>
      <w:tr>
        <w:trPr>
          <w:trHeight w:val="237"/>
        </w:trPr>
        <w:tc>
          <w:tcPr>
            <w:tcW w:w="6420" w:type="dxa"/>
            <w:vAlign w:val="bottom"/>
          </w:tcPr>
          <w:p>
            <w:pPr>
              <w:ind w:left="280"/>
              <w:spacing w:after="0"/>
              <w:rPr>
                <w:sz w:val="20"/>
                <w:szCs w:val="20"/>
                <w:color w:val="auto"/>
              </w:rPr>
            </w:pPr>
            <w:r>
              <w:rPr>
                <w:rFonts w:ascii="Arial" w:cs="Arial" w:eastAsia="Arial" w:hAnsi="Arial"/>
                <w:sz w:val="18"/>
                <w:szCs w:val="18"/>
                <w:color w:val="auto"/>
              </w:rPr>
              <w:t>Total ISG net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8,667</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6,961</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18"/>
        </w:trPr>
        <w:tc>
          <w:tcPr>
            <w:tcW w:w="6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ISG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939</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86%</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506</w:t>
            </w:r>
          </w:p>
        </w:tc>
      </w:tr>
      <w:tr>
        <w:trPr>
          <w:trHeight w:val="237"/>
        </w:trPr>
        <w:tc>
          <w:tcPr>
            <w:tcW w:w="6420" w:type="dxa"/>
            <w:vAlign w:val="bottom"/>
          </w:tcPr>
          <w:p>
            <w:pPr>
              <w:ind w:left="180"/>
              <w:spacing w:after="0"/>
              <w:rPr>
                <w:sz w:val="20"/>
                <w:szCs w:val="20"/>
                <w:color w:val="auto"/>
              </w:rPr>
            </w:pPr>
            <w:r>
              <w:rPr>
                <w:rFonts w:ascii="Arial" w:cs="Arial" w:eastAsia="Arial" w:hAnsi="Arial"/>
                <w:sz w:val="18"/>
                <w:szCs w:val="18"/>
                <w:i w:val="1"/>
                <w:iCs w:val="1"/>
                <w:color w:val="auto"/>
              </w:rPr>
              <w:t>% of segment net revenue</w:t>
            </w: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10.8%</w:t>
            </w:r>
          </w:p>
        </w:tc>
        <w:tc>
          <w:tcPr>
            <w:tcW w:w="1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7.3%</w:t>
            </w:r>
          </w:p>
        </w:tc>
      </w:tr>
    </w:tbl>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u w:val="single" w:color="auto"/>
          <w:color w:val="auto"/>
        </w:rPr>
        <w:t>Net Revenue</w:t>
      </w:r>
      <w:r>
        <w:rPr>
          <w:rFonts w:ascii="Arial" w:cs="Arial" w:eastAsia="Arial" w:hAnsi="Arial"/>
          <w:sz w:val="17"/>
          <w:szCs w:val="17"/>
          <w:i w:val="1"/>
          <w:iCs w:val="1"/>
          <w:color w:val="auto"/>
        </w:rPr>
        <w:t xml:space="preserve"> — </w:t>
      </w:r>
      <w:r>
        <w:rPr>
          <w:rFonts w:ascii="Arial" w:cs="Arial" w:eastAsia="Arial" w:hAnsi="Arial"/>
          <w:sz w:val="17"/>
          <w:szCs w:val="17"/>
          <w:color w:val="auto"/>
        </w:rPr>
        <w:t>During the first quarter of Fiscal 2019, ISG net revenue increased 25% primarily due to an increase in servers and networking and to a lesser</w:t>
      </w:r>
      <w:r>
        <w:rPr>
          <w:rFonts w:ascii="Arial" w:cs="Arial" w:eastAsia="Arial" w:hAnsi="Arial"/>
          <w:sz w:val="17"/>
          <w:szCs w:val="17"/>
          <w:i w:val="1"/>
          <w:iCs w:val="1"/>
          <w:color w:val="auto"/>
        </w:rPr>
        <w:t xml:space="preserve"> </w:t>
      </w:r>
      <w:r>
        <w:rPr>
          <w:rFonts w:ascii="Arial" w:cs="Arial" w:eastAsia="Arial" w:hAnsi="Arial"/>
          <w:sz w:val="17"/>
          <w:szCs w:val="17"/>
          <w:color w:val="auto"/>
        </w:rPr>
        <w:t>extent, an increase in storage. Revenue from servers and networking increased 41% during the first quarter of Fiscal 2019, driven by an increase in both average selling price and units sold of our PowerEdge servers. Average selling prices increased due to sale of servers with higher memory and storage content, which is driven by customer demand for servers that enable big data analytics and software-defined solutions. Storage revenue increased 10% during the first quarter of Fiscal 2019 due to accumulated demand from the fourth quarter of Fiscal 2018 that was realized in the current quarter, as well as strong growth in hyper-converged infrastructure products. We were encouraged by the improved demand in commercial mid-range storage, where we have been making go-to-market investments and enhancements to our solutions offerings. While component costs were slightly deflationary in the aggregate for ISG, we continue to monitor our pricing in response to the current component cost environment. We expect dynamic random access memory ("DRAM") component costs for servers to remain a headwind through the remainder of Fiscal 2019.</w:t>
      </w:r>
    </w:p>
    <w:p>
      <w:pPr>
        <w:spacing w:after="0" w:line="18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ISG, we continue to see interest in flexible consumption models by our customers as they seek to build greater flexibility into their cost structures. We generally provide these solutions under multi-year contracts that typically result in recognition of revenue over the term of the arrangement. We expect these flexible consumption models will further strengthen our customer relationships, and will build more predictable revenue streams over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From a geographical perspective, net revenue attributable to ISG increased across all regions during the first quarter of Fiscal 2019.</w:t>
      </w:r>
    </w:p>
    <w:p>
      <w:pPr>
        <w:spacing w:after="0" w:line="225" w:lineRule="exact"/>
        <w:rPr>
          <w:sz w:val="20"/>
          <w:szCs w:val="20"/>
          <w:color w:val="auto"/>
        </w:rPr>
      </w:pPr>
    </w:p>
    <w:p>
      <w:pPr>
        <w:jc w:val="both"/>
        <w:ind w:right="600"/>
        <w:spacing w:after="0" w:line="312" w:lineRule="auto"/>
        <w:rPr>
          <w:sz w:val="20"/>
          <w:szCs w:val="20"/>
          <w:color w:val="auto"/>
        </w:rPr>
      </w:pPr>
      <w:r>
        <w:rPr>
          <w:rFonts w:ascii="Arial" w:cs="Arial" w:eastAsia="Arial" w:hAnsi="Arial"/>
          <w:sz w:val="16"/>
          <w:szCs w:val="16"/>
          <w:i w:val="1"/>
          <w:iCs w:val="1"/>
          <w:u w:val="single" w:color="auto"/>
          <w:color w:val="auto"/>
        </w:rPr>
        <w:t>Operating Income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the first quarter of Fiscal 2019, ISG operating income increased 350 basis points to 10.8% primarily due to a decrease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expenses as a percentage of revenue. Despite the investments we have been making in our go-to-market capabilities and solutions offerings, operating expenses decreased as a percentage of revenue as a result of revenue growth that outpaced the scale of these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Solutions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CSG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92"/>
              </w:rPr>
              <w:t>Three Months Ended</w:t>
            </w:r>
          </w:p>
        </w:tc>
        <w:tc>
          <w:tcPr>
            <w:tcW w:w="150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4, 2018</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260" w:type="dxa"/>
            <w:vAlign w:val="bottom"/>
          </w:tcPr>
          <w:p>
            <w:pPr>
              <w:spacing w:after="0"/>
              <w:rPr>
                <w:sz w:val="20"/>
                <w:szCs w:val="20"/>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5, 2017</w:t>
            </w:r>
          </w:p>
        </w:tc>
      </w:tr>
      <w:tr>
        <w:trPr>
          <w:trHeight w:val="27"/>
        </w:trPr>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gridSpan w:val="4"/>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20" w:type="dxa"/>
            <w:vAlign w:val="bottom"/>
            <w:gridSpan w:val="4"/>
          </w:tcPr>
          <w:p>
            <w:pPr>
              <w:jc w:val="center"/>
              <w:ind w:right="170"/>
              <w:spacing w:after="0"/>
              <w:rPr>
                <w:sz w:val="20"/>
                <w:szCs w:val="20"/>
                <w:color w:val="auto"/>
              </w:rPr>
            </w:pPr>
            <w:r>
              <w:rPr>
                <w:rFonts w:ascii="Arial" w:cs="Arial" w:eastAsia="Arial" w:hAnsi="Arial"/>
                <w:sz w:val="18"/>
                <w:szCs w:val="18"/>
                <w:color w:val="auto"/>
                <w:w w:val="90"/>
              </w:rPr>
              <w:t>(in millions, except percentages)</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7,363</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6,342</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2,908</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2,706</w:t>
            </w:r>
          </w:p>
        </w:tc>
      </w:tr>
      <w:tr>
        <w:trPr>
          <w:trHeight w:val="237"/>
        </w:trPr>
        <w:tc>
          <w:tcPr>
            <w:tcW w:w="6420" w:type="dxa"/>
            <w:vAlign w:val="bottom"/>
          </w:tcPr>
          <w:p>
            <w:pPr>
              <w:ind w:left="280"/>
              <w:spacing w:after="0"/>
              <w:rPr>
                <w:sz w:val="20"/>
                <w:szCs w:val="20"/>
                <w:color w:val="auto"/>
              </w:rPr>
            </w:pPr>
            <w:r>
              <w:rPr>
                <w:rFonts w:ascii="Arial" w:cs="Arial" w:eastAsia="Arial" w:hAnsi="Arial"/>
                <w:sz w:val="18"/>
                <w:szCs w:val="18"/>
                <w:color w:val="auto"/>
              </w:rPr>
              <w:t>Total CSG net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10,271</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9,048</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18"/>
        </w:trPr>
        <w:tc>
          <w:tcPr>
            <w:tcW w:w="6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CSG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533</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64%</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325</w:t>
            </w:r>
          </w:p>
        </w:tc>
      </w:tr>
      <w:tr>
        <w:trPr>
          <w:trHeight w:val="237"/>
        </w:trPr>
        <w:tc>
          <w:tcPr>
            <w:tcW w:w="6420" w:type="dxa"/>
            <w:vAlign w:val="bottom"/>
          </w:tcPr>
          <w:p>
            <w:pPr>
              <w:ind w:left="180"/>
              <w:spacing w:after="0"/>
              <w:rPr>
                <w:sz w:val="20"/>
                <w:szCs w:val="20"/>
                <w:color w:val="auto"/>
              </w:rPr>
            </w:pPr>
            <w:r>
              <w:rPr>
                <w:rFonts w:ascii="Arial" w:cs="Arial" w:eastAsia="Arial" w:hAnsi="Arial"/>
                <w:sz w:val="18"/>
                <w:szCs w:val="18"/>
                <w:i w:val="1"/>
                <w:iCs w:val="1"/>
                <w:color w:val="auto"/>
              </w:rPr>
              <w:t>% of segment net revenue</w:t>
            </w: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5.2%</w:t>
            </w:r>
          </w:p>
        </w:tc>
        <w:tc>
          <w:tcPr>
            <w:tcW w:w="1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3.6%</w:t>
            </w:r>
          </w:p>
        </w:tc>
      </w:tr>
    </w:tbl>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u w:val="single" w:color="auto"/>
          <w:color w:val="auto"/>
        </w:rPr>
        <w:t>Net Revenue</w:t>
      </w:r>
      <w:r>
        <w:rPr>
          <w:rFonts w:ascii="Arial" w:cs="Arial" w:eastAsia="Arial" w:hAnsi="Arial"/>
          <w:sz w:val="17"/>
          <w:szCs w:val="17"/>
          <w:i w:val="1"/>
          <w:iCs w:val="1"/>
          <w:color w:val="auto"/>
        </w:rPr>
        <w:t xml:space="preserve"> — </w:t>
      </w:r>
      <w:r>
        <w:rPr>
          <w:rFonts w:ascii="Arial" w:cs="Arial" w:eastAsia="Arial" w:hAnsi="Arial"/>
          <w:sz w:val="17"/>
          <w:szCs w:val="17"/>
          <w:color w:val="auto"/>
        </w:rPr>
        <w:t>During the first quarter of Fiscal 2019, CSG net revenue increased 14%, primarily driven by an increase in the volume of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notebooks, workstations, and desktops sold as we were able to deliver strong performance in a better than expected demand environment. Consumer demand was relatively unchanged over the period as we navigated through a declining demand environment. The overall average selling price increased in both the commercial and consumer product categories, as we managed our pricing in response to the inflationary cost environment over the past year. We expect the cost environment for CSG to be deflationary for the remainder of Fiscal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From a geographical perspective, net revenue attributable to CSG increased across all regions during Fiscal 2019.</w:t>
      </w:r>
    </w:p>
    <w:p>
      <w:pPr>
        <w:spacing w:after="0" w:line="22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i w:val="1"/>
          <w:iCs w:val="1"/>
          <w:u w:val="single" w:color="auto"/>
          <w:color w:val="auto"/>
        </w:rPr>
        <w:t>Operating Income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the first quarter of Fiscal 2019, CSG operating income as a percentage of net revenue increased 160 basis points to 5.2%</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an increase in CSG gross margin as a percentage of net revenue. CSG gross margin as a percentage of net revenue benefited from a higher mix of commercial units sold as well as strong attach rates on higher-margin services, software, and peripherals. These benefits were partially offset by increased operating expenses as a percentage of net revenue as a result of higher performance-driven commission costs and marketing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VMware: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VMware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92"/>
              </w:rPr>
              <w:t>Three Months Ended</w:t>
            </w:r>
          </w:p>
        </w:tc>
        <w:tc>
          <w:tcPr>
            <w:tcW w:w="150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4, 2018</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260" w:type="dxa"/>
            <w:vAlign w:val="bottom"/>
          </w:tcPr>
          <w:p>
            <w:pPr>
              <w:spacing w:after="0"/>
              <w:rPr>
                <w:sz w:val="20"/>
                <w:szCs w:val="20"/>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5, 2017</w:t>
            </w:r>
          </w:p>
        </w:tc>
      </w:tr>
      <w:tr>
        <w:trPr>
          <w:trHeight w:val="27"/>
        </w:trPr>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gridSpan w:val="4"/>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20" w:type="dxa"/>
            <w:vAlign w:val="bottom"/>
            <w:gridSpan w:val="4"/>
          </w:tcPr>
          <w:p>
            <w:pPr>
              <w:jc w:val="center"/>
              <w:ind w:right="170"/>
              <w:spacing w:after="0"/>
              <w:rPr>
                <w:sz w:val="20"/>
                <w:szCs w:val="20"/>
                <w:color w:val="auto"/>
              </w:rPr>
            </w:pPr>
            <w:r>
              <w:rPr>
                <w:rFonts w:ascii="Arial" w:cs="Arial" w:eastAsia="Arial" w:hAnsi="Arial"/>
                <w:sz w:val="18"/>
                <w:szCs w:val="18"/>
                <w:color w:val="auto"/>
                <w:w w:val="90"/>
              </w:rPr>
              <w:t>(in millions, except percentages)</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37"/>
        </w:trPr>
        <w:tc>
          <w:tcPr>
            <w:tcW w:w="6420" w:type="dxa"/>
            <w:vAlign w:val="bottom"/>
          </w:tcPr>
          <w:p>
            <w:pPr>
              <w:ind w:left="180"/>
              <w:spacing w:after="0"/>
              <w:rPr>
                <w:sz w:val="20"/>
                <w:szCs w:val="20"/>
                <w:color w:val="auto"/>
              </w:rPr>
            </w:pPr>
            <w:r>
              <w:rPr>
                <w:rFonts w:ascii="Arial" w:cs="Arial" w:eastAsia="Arial" w:hAnsi="Arial"/>
                <w:sz w:val="18"/>
                <w:szCs w:val="18"/>
                <w:color w:val="auto"/>
              </w:rPr>
              <w:t>VMware net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2,028</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1,818</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18"/>
        </w:trPr>
        <w:tc>
          <w:tcPr>
            <w:tcW w:w="6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VMware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613</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611</w:t>
            </w:r>
          </w:p>
        </w:tc>
      </w:tr>
      <w:tr>
        <w:trPr>
          <w:trHeight w:val="237"/>
        </w:trPr>
        <w:tc>
          <w:tcPr>
            <w:tcW w:w="6420" w:type="dxa"/>
            <w:vAlign w:val="bottom"/>
          </w:tcPr>
          <w:p>
            <w:pPr>
              <w:ind w:left="180"/>
              <w:spacing w:after="0"/>
              <w:rPr>
                <w:sz w:val="20"/>
                <w:szCs w:val="20"/>
                <w:color w:val="auto"/>
              </w:rPr>
            </w:pPr>
            <w:r>
              <w:rPr>
                <w:rFonts w:ascii="Arial" w:cs="Arial" w:eastAsia="Arial" w:hAnsi="Arial"/>
                <w:sz w:val="18"/>
                <w:szCs w:val="18"/>
                <w:i w:val="1"/>
                <w:iCs w:val="1"/>
                <w:color w:val="auto"/>
              </w:rPr>
              <w:t>% of segment net revenue</w:t>
            </w: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30.2%</w:t>
            </w:r>
          </w:p>
        </w:tc>
        <w:tc>
          <w:tcPr>
            <w:tcW w:w="1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33.6%</w:t>
            </w:r>
          </w:p>
        </w:tc>
      </w:tr>
    </w:tbl>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u w:val="single" w:color="auto"/>
          <w:color w:val="auto"/>
        </w:rPr>
        <w:t>Net Revenue</w:t>
      </w:r>
      <w:r>
        <w:rPr>
          <w:rFonts w:ascii="Arial" w:cs="Arial" w:eastAsia="Arial" w:hAnsi="Arial"/>
          <w:sz w:val="18"/>
          <w:szCs w:val="18"/>
          <w:i w:val="1"/>
          <w:iCs w:val="1"/>
          <w:color w:val="auto"/>
        </w:rPr>
        <w:t xml:space="preserve"> — </w:t>
      </w:r>
      <w:r>
        <w:rPr>
          <w:rFonts w:ascii="Arial" w:cs="Arial" w:eastAsia="Arial" w:hAnsi="Arial"/>
          <w:sz w:val="18"/>
          <w:szCs w:val="18"/>
          <w:color w:val="auto"/>
        </w:rPr>
        <w:t>VMware net revenue primarily consisted of revenue from the sale of software licenses under perpetual licenses, related software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support, training, consulting services, and hosted services. VMware net revenue during the first quarter of Fiscal 2019 increased 12% due to growth in software license revenue, maintenance services, and professional services. Software license revenue benefited from broad-based growth across the product portfolio. Software maintenance revenue benefited from strong renewals, revenue recognized from maintenance contracts sold in prior periods, and new maintenance contracts sold during the period.</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a geographical perspective, approximately half of VMware net revenue during the first quarter of Fiscal 2019 was generated by sales to customers in the United States. VMware net revenue for the first quarter of Fiscal 2019 benefited from growth in all major geographies.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the first quarter of Fiscal 2019, VMware operating income as a percentage of net revenue decreased 340 basis points to 30.2%,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an increase in operating expenses as a percentage of revenue due to an increase in compensation-related expense associated with sales and sales support, resulting from increased performance-driven commission costs and headcount.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Exhibit 99.1 filed with this report for information on the differences between VMware reportable segment results and VMware, Inc.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BALANCE SHEET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sell products and services directly to customers and through a variety of sales channels, including retail distribution. Our accounts receivable, net, was $10.6 billion and $11.7 billion as of May 4, 2018 and February 2, 2018, respectively. We maintain an allowance for doubtful accounts to cover receivables that may be deemed uncollectible. The allowance for losses is based on a provision for accounts that are collectively evaluated based on historical bad debt experience as well as specific identifiable customer accounts that are deemed at risk. As of May 4, 2018 and February 2, 2018, the allowance for doubtful accounts was $109 million and $103 million, respectively. Based on our assessment, we believe that we are adequately reserved for expected credit losses. We monitor the aging of our accounts receivable and continue to take actions to reduce our exposure to credit losses.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 and Financing Receivables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Dell Financial Services and its affiliates ("DFS") offers a wide range of financial services, including originating, collecting, and servicing customer receivables primarily related to the purchase of Dell Technologies' products and services. In some cases, we also offer financing on the purchase of third-party technology products that complement our portfolio of products and services. New financing originations were $1.7 billion and $1.1 billion for the first quarters of Fiscal 2019 and Fiscal 2018, respectively. As of May 4, 2018 and February 2, 2018, our financing receivables, net were $7.8 billion and $7.6 billion, respectively. The increases in new financing originations and financing receivables during the first quarter of Fiscal 2019 were attributable to growth in DFS offerings related to customer purchases of products and services from the EMC acquired businesses.</w:t>
      </w:r>
    </w:p>
    <w:p>
      <w:pPr>
        <w:spacing w:after="0" w:line="178"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We have securitization facilities to fund revolving loans and fixed-term leases and loans through consolidated special purpose entities, referred to as SPEs, which we account for as secured borrowings. We transfer certain U.S. and European customer financing receivables to these SPEs, whose purpose is to facilitate the funding of customer receivables through financing arrangements with multi-seller conduits that issue asset-backed debt securities in the capital markets and to private investors. During the first quarters of Fiscal 2019 and Fiscal 2018, we transferred $1.3 billion and $0.9 billion, respectively, to these SPEs. The DFS debt related to all of our securitization facilities included as secured borrowings was $4.4 billion and $3.9 billion as of May 4, 2018 and February 2, 2018, respectively. In addition, the carrying amount of the corresponding financing receivables was $5.0 billion and $4.6 billion as of May 4, 2018 and February 2, 2018, respectively. As a result of the EMC merger transaction, we are expanding our existing securitization facilities to allow for additional funding of customer receivables in the capital markets.</w:t>
      </w:r>
    </w:p>
    <w:p>
      <w:pPr>
        <w:spacing w:after="0" w:line="13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maintain an allowance to cover expected financing receivable credit losses and evaluate credit loss expectations based on our total portfolio. For the first quarters of Fiscal 2019 and Fiscal 2018, the principal charge-off rate for our total portfolio was 1.2% and 1.8%, respectively. The credit quality of our financing receivables has improved in recent years due to an overall improvement in the credit environment and as the mix of high-quality commercial accounts in our portfolio has increased. The allowance for losses is determined based on various factors, including historical and anticipated experience, past due receivables, receivable type, and customer risk profile. As of May 4, 2018 and February 2, 2018, the allowance for financing receivable losses was $139 million and $145 million, respectively. In general, the loss rates on our financing receivables have improved over the periods presented. We expect relatively stable loss rates in future periods, with movements in these rates being primarily driven by seasonality and a continued shift in portfolio composition to lower risk commercial assets. We continue to monitor broader economic indicators and their potential impact on future loss performance. We have an extensive process to manage our exposure to customer credit risk, including active management of credit lines and our collection activities. We also sell selected fixed-term financing receivables to unrelated third parties on a periodic basis, primarily to manage certain concentrations of customer credit exposure. Based on our assessment of the customer financing receivables, we believe that we are adequately reserved.</w:t>
      </w:r>
    </w:p>
    <w:p>
      <w:pPr>
        <w:spacing w:after="0" w:line="1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5 of the Notes to the Condensed Consolidated Financial Statements included in this report for additional information about our financing receivables and the associated allowances.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May 4, 2018, we had no off-balance sheet arrangements that have or are reasonably likely to have a current or future material effect on our financial condition or results of operations.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LIQUIDITY, AND CAPITAL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regularly monitor economic conditions and associated impacts on the financial markets and our business. We consistently evaluate the financial health of our supplier base, carefully manage customer credit, diversify counterparty risk, and monitor the concentration risk of our cash and cash equivalents balances globally. We routinely monitor our financial exposure to borrowers and counterparties.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monitor credit risk associated with our financial counterparties using various market credit risk indicators such as credit ratings issued by nationally recognized rating agencies and changes in market credit default swap levels. We perform periodic evaluations of our positions with these counterparties and may limit exposure to any one counterparty in accordance with our policies. We monitor and manage these activities depending on current and expected market developments.</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use derivative instruments to hedge certain foreign currency exposures. We use forward contracts and purchased options designated as cash flow hedges to protect against the foreign currency exchange rate risks inherent in our forecasted transactions denominated in currencies other than the U.S. dollar. In addition, we primarily use forward contracts and may use purchased options to hedge monetary assets and liabilities denominated in a foreign currency. See Note 7 of the Notes to the Condensed Consolidated Financial Statements included in this report for more information about our use of derivative instruments.</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exposed to interest rate risk related to our variable-rate debt and investment portfolio. In the normal course of business, we follow established policies and procedures to manage this risk, including monitoring of our asset and liability mix. As a result, we do not anticipate any material losses from interest rate risk.</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impact of any credit adjustments related to our use of counterparties on our Condensed Consolidated Financial Statements included in this report has been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To support our ongoing business operations, we rely on operating cash flows as our primary source of liquidity. We monitor the efficiency of our balance sheet to ensure that we have adequate liquidity to support our strategic initiatives. In addition to internally generated cash, we have access to other capital sources to finance our strategic initiatives and fund growth in our financing operations. As of May 4, 2018, we had $15.3 billion of total cash and cash equivalents, approximately half of which was held outside of the United States. Our strategy is to deploy capital from any potential source, whether internally generated cash or debt, depending on the adequacy and availability of that source of capital and whether it can be accessed in a cost-effective manner.</w:t>
      </w:r>
    </w:p>
    <w:p>
      <w:pPr>
        <w:spacing w:after="0" w:line="15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 significant portion of our income is earned in non-U.S. jurisdictions. Prior to the enactment of U.S. Tax Reform as discussed above, earnings available to be repatriated to the United States would be subject to U.S. federal income tax, less applicable foreign tax credits. U.S. Tax Reform fundamentally changes the U.S. approach to taxation of foreign earnings to a modified territorial tax system, which generally allows companies to make distributions of non-U.S. earnings to the United States without incurring additional U.S. federal tax. However, local and U.S. state taxes may still apply. We have provided for future tax liabilities on income earned in non-U.S. jurisdictions, except for foreign earnings that are considered indefinitely reinvested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125"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and cash equivalents as well as our available borrowings as of May 4, 2018 and February 2, 2018:</w:t>
      </w:r>
    </w:p>
    <w:p>
      <w:pPr>
        <w:spacing w:after="0" w:line="167" w:lineRule="exact"/>
        <w:rPr>
          <w:sz w:val="20"/>
          <w:szCs w:val="20"/>
          <w:color w:val="auto"/>
        </w:rPr>
      </w:pPr>
    </w:p>
    <w:p>
      <w:pPr>
        <w:ind w:left="8100"/>
        <w:spacing w:after="0"/>
        <w:tabs>
          <w:tab w:leader="none" w:pos="9840" w:val="left"/>
        </w:tabs>
        <w:rPr>
          <w:sz w:val="20"/>
          <w:szCs w:val="20"/>
          <w:color w:val="auto"/>
        </w:rPr>
      </w:pPr>
      <w:r>
        <w:rPr>
          <w:rFonts w:ascii="Arial" w:cs="Arial" w:eastAsia="Arial" w:hAnsi="Arial"/>
          <w:sz w:val="18"/>
          <w:szCs w:val="18"/>
          <w:b w:val="1"/>
          <w:bCs w:val="1"/>
          <w:color w:val="auto"/>
        </w:rPr>
        <w:t>May 4, 2018</w:t>
      </w:r>
      <w:r>
        <w:rPr>
          <w:sz w:val="20"/>
          <w:szCs w:val="20"/>
          <w:color w:val="auto"/>
        </w:rPr>
        <w:tab/>
      </w:r>
      <w:r>
        <w:rPr>
          <w:rFonts w:ascii="Arial" w:cs="Arial" w:eastAsia="Arial" w:hAnsi="Arial"/>
          <w:sz w:val="16"/>
          <w:szCs w:val="16"/>
          <w:b w:val="1"/>
          <w:bCs w:val="1"/>
          <w:color w:val="auto"/>
        </w:rPr>
        <w:t>February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1"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and cash equivalents, and available borrowings: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280"/>
              <w:spacing w:after="0"/>
              <w:rPr>
                <w:sz w:val="20"/>
                <w:szCs w:val="20"/>
                <w:color w:val="auto"/>
              </w:rPr>
            </w:pPr>
            <w:r>
              <w:rPr>
                <w:rFonts w:ascii="Arial" w:cs="Arial" w:eastAsia="Arial" w:hAnsi="Arial"/>
                <w:sz w:val="18"/>
                <w:szCs w:val="18"/>
                <w:color w:val="auto"/>
              </w:rPr>
              <w:t>Cash and cash equivalents (a)</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15,324</w:t>
            </w:r>
          </w:p>
        </w:tc>
        <w:tc>
          <w:tcPr>
            <w:tcW w:w="12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13,942</w:t>
            </w:r>
          </w:p>
        </w:tc>
      </w:tr>
      <w:tr>
        <w:trPr>
          <w:trHeight w:val="27"/>
        </w:trPr>
        <w:tc>
          <w:tcPr>
            <w:tcW w:w="7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Remaining available borrowings under revolving credit facilities</w:t>
            </w: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4,875</w:t>
            </w:r>
          </w:p>
        </w:tc>
      </w:tr>
      <w:tr>
        <w:trPr>
          <w:trHeight w:val="250"/>
        </w:trPr>
        <w:tc>
          <w:tcPr>
            <w:tcW w:w="7660" w:type="dxa"/>
            <w:vAlign w:val="bottom"/>
          </w:tcPr>
          <w:p>
            <w:pPr>
              <w:ind w:left="380"/>
              <w:spacing w:after="0"/>
              <w:rPr>
                <w:sz w:val="20"/>
                <w:szCs w:val="20"/>
                <w:color w:val="auto"/>
              </w:rPr>
            </w:pPr>
            <w:r>
              <w:rPr>
                <w:rFonts w:ascii="Arial" w:cs="Arial" w:eastAsia="Arial" w:hAnsi="Arial"/>
                <w:sz w:val="18"/>
                <w:szCs w:val="18"/>
                <w:color w:val="auto"/>
              </w:rPr>
              <w:t>Total cash, cash equivalents, and available borrowings</w:t>
            </w: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20,233</w:t>
            </w:r>
          </w:p>
        </w:tc>
        <w:tc>
          <w:tcPr>
            <w:tcW w:w="120" w:type="dxa"/>
            <w:vAlign w:val="bottom"/>
          </w:tcPr>
          <w:p>
            <w:pPr>
              <w:spacing w:after="0"/>
              <w:rPr>
                <w:sz w:val="21"/>
                <w:szCs w:val="21"/>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8890</wp:posOffset>
            </wp:positionV>
            <wp:extent cx="2383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-130175</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 Of the $15.3 billion of cash and cash equivalents as of May 4, 2018, $7.1 billion was held by VMware, Inc.</w:t>
      </w:r>
    </w:p>
    <w:p>
      <w:pPr>
        <w:spacing w:after="0" w:line="2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revolving credit facilities include the Revolving Credit Facility and the China Revolving Credit Facility. Available borrowings under these facilities are reduced by draws on the facility and, under the Revolving Credit Facility, outstanding letters of credit. As of May 4, 2018, there were no borrowings outstanding under either facility and remaining available borrowings totaled approximately $3.8 billion. After the end of the current quarter, on May 24, 2018, we drew down $500 million under the China Revolving Credit Facility. Available borrowings may be used periodically for general corporate purposes.</w:t>
      </w:r>
    </w:p>
    <w:p>
      <w:pPr>
        <w:spacing w:after="0" w:line="15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VMware Revolving Credit Facility and the Pivotal Revolving Credit Facility have maximum aggregate borrowings of $1.0 billion and $100 million, respectively. None of the net proceeds of such borrowings will be made available to support the operations or satisfy any corporate purposes of Dell Technologies, other than the operations and general corporate purposes of VMware, Inc., Pivotal, and their respective subsidiaries. As of May 4, 2018, $1.0 billion was available under the VMware Revolving Credit Facility and $100 million was available under the Pivotal Revolving Credit Facility.</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Note 6 of the Notes to the Condensed Consolidated Financial Statements included in this report for additional information about each of the foregoing revolving credit facilities.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believe that our current cash and cash equivalents, along with cash that will be provided by future operations and borrowings expected to be available under the Revolving Credit Facility and China Revolving Credit Facility, will be sufficient over at least the next twelve months to fund our operations, capital expenditures, share repurchases, debt service requirements, and other corporate needs.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76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39"/>
        </w:trPr>
        <w:tc>
          <w:tcPr>
            <w:tcW w:w="36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8"/>
                <w:szCs w:val="18"/>
                <w:i w:val="1"/>
                <w:iCs w:val="1"/>
                <w:color w:val="auto"/>
                <w:w w:val="89"/>
              </w:rPr>
              <w:t>Debt</w:t>
            </w:r>
          </w:p>
        </w:tc>
        <w:tc>
          <w:tcPr>
            <w:tcW w:w="920" w:type="dxa"/>
            <w:vAlign w:val="bottom"/>
            <w:tcBorders>
              <w:top w:val="single" w:sz="8" w:color="0000EE"/>
            </w:tcBorders>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53"/>
        </w:trPr>
        <w:tc>
          <w:tcPr>
            <w:tcW w:w="7660" w:type="dxa"/>
            <w:vAlign w:val="bottom"/>
            <w:gridSpan w:val="3"/>
          </w:tcPr>
          <w:p>
            <w:pPr>
              <w:spacing w:after="0"/>
              <w:rPr>
                <w:sz w:val="20"/>
                <w:szCs w:val="20"/>
                <w:color w:val="auto"/>
              </w:rPr>
            </w:pPr>
            <w:r>
              <w:rPr>
                <w:rFonts w:ascii="Arial" w:cs="Arial" w:eastAsia="Arial" w:hAnsi="Arial"/>
                <w:sz w:val="18"/>
                <w:szCs w:val="18"/>
                <w:color w:val="auto"/>
              </w:rPr>
              <w:t>The following table summarizes our outstanding debt as of May 4, 2018 and February 2, 2018:</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4, 2018</w:t>
            </w:r>
          </w:p>
        </w:tc>
        <w:tc>
          <w:tcPr>
            <w:tcW w:w="18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4"/>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Subsidiary Debt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3"/>
          </w:tcPr>
          <w:p>
            <w:pPr>
              <w:ind w:left="180"/>
              <w:spacing w:after="0"/>
              <w:rPr>
                <w:sz w:val="20"/>
                <w:szCs w:val="20"/>
                <w:color w:val="auto"/>
              </w:rPr>
            </w:pPr>
            <w:r>
              <w:rPr>
                <w:rFonts w:ascii="Arial" w:cs="Arial" w:eastAsia="Arial" w:hAnsi="Arial"/>
                <w:sz w:val="18"/>
                <w:szCs w:val="18"/>
                <w:color w:val="auto"/>
              </w:rPr>
              <w:t>Core debt:</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Senior Secured Credit Facilities and First Lien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30,595</w:t>
            </w:r>
          </w:p>
        </w:tc>
      </w:tr>
      <w:tr>
        <w:trPr>
          <w:trHeight w:val="243"/>
        </w:trPr>
        <w:tc>
          <w:tcPr>
            <w:tcW w:w="7660" w:type="dxa"/>
            <w:vAlign w:val="bottom"/>
            <w:gridSpan w:val="3"/>
          </w:tcPr>
          <w:p>
            <w:pPr>
              <w:ind w:left="280"/>
              <w:spacing w:after="0"/>
              <w:rPr>
                <w:sz w:val="20"/>
                <w:szCs w:val="20"/>
                <w:color w:val="auto"/>
              </w:rPr>
            </w:pPr>
            <w:r>
              <w:rPr>
                <w:rFonts w:ascii="Arial" w:cs="Arial" w:eastAsia="Arial" w:hAnsi="Arial"/>
                <w:sz w:val="18"/>
                <w:szCs w:val="18"/>
                <w:color w:val="auto"/>
              </w:rPr>
              <w:t>Unsecured Notes and Debentures</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1,952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2,452</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r>
      <w:tr>
        <w:trPr>
          <w:trHeight w:val="243"/>
        </w:trPr>
        <w:tc>
          <w:tcPr>
            <w:tcW w:w="7660" w:type="dxa"/>
            <w:vAlign w:val="bottom"/>
            <w:gridSpan w:val="3"/>
          </w:tcPr>
          <w:p>
            <w:pPr>
              <w:ind w:left="280"/>
              <w:spacing w:after="0"/>
              <w:rPr>
                <w:sz w:val="20"/>
                <w:szCs w:val="20"/>
                <w:color w:val="auto"/>
              </w:rPr>
            </w:pPr>
            <w:r>
              <w:rPr>
                <w:rFonts w:ascii="Arial" w:cs="Arial" w:eastAsia="Arial" w:hAnsi="Arial"/>
                <w:sz w:val="18"/>
                <w:szCs w:val="18"/>
                <w:color w:val="auto"/>
              </w:rPr>
              <w:t>EMC Notes</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5,500</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DFS allocated debt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r>
      <w:tr>
        <w:trPr>
          <w:trHeight w:val="237"/>
        </w:trPr>
        <w:tc>
          <w:tcPr>
            <w:tcW w:w="360" w:type="dxa"/>
            <w:vAlign w:val="bottom"/>
          </w:tcPr>
          <w:p>
            <w:pPr>
              <w:spacing w:after="0"/>
              <w:rPr>
                <w:sz w:val="20"/>
                <w:szCs w:val="20"/>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Total core debt</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39,797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39,905</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DFS related debt: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3"/>
          </w:tcPr>
          <w:p>
            <w:pPr>
              <w:ind w:left="280"/>
              <w:spacing w:after="0"/>
              <w:rPr>
                <w:sz w:val="20"/>
                <w:szCs w:val="20"/>
                <w:color w:val="auto"/>
              </w:rPr>
            </w:pPr>
            <w:r>
              <w:rPr>
                <w:rFonts w:ascii="Arial" w:cs="Arial" w:eastAsia="Arial" w:hAnsi="Arial"/>
                <w:sz w:val="18"/>
                <w:szCs w:val="18"/>
                <w:color w:val="auto"/>
              </w:rPr>
              <w:t>DFS debt</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5,359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4,796</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DFS allocated debt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w:t>
            </w:r>
          </w:p>
        </w:tc>
      </w:tr>
      <w:tr>
        <w:trPr>
          <w:trHeight w:val="237"/>
        </w:trPr>
        <w:tc>
          <w:tcPr>
            <w:tcW w:w="360" w:type="dxa"/>
            <w:vAlign w:val="bottom"/>
          </w:tcPr>
          <w:p>
            <w:pPr>
              <w:spacing w:after="0"/>
              <w:rPr>
                <w:sz w:val="20"/>
                <w:szCs w:val="20"/>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Total DFS related debt</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6,688</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2,054</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b w:val="1"/>
                <w:bCs w:val="1"/>
                <w:color w:val="auto"/>
              </w:rPr>
              <w:t>Unrestricted Subsidiary Debt</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VMware Notes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43"/>
        </w:trPr>
        <w:tc>
          <w:tcPr>
            <w:tcW w:w="766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unrestricted subsidiary debt</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4,047</w:t>
            </w:r>
          </w:p>
        </w:tc>
      </w:tr>
      <w:tr>
        <w:trPr>
          <w:trHeight w:val="237"/>
        </w:trPr>
        <w:tc>
          <w:tcPr>
            <w:tcW w:w="360" w:type="dxa"/>
            <w:vAlign w:val="bottom"/>
          </w:tcPr>
          <w:p>
            <w:pPr>
              <w:spacing w:after="0"/>
              <w:rPr>
                <w:sz w:val="20"/>
                <w:szCs w:val="20"/>
                <w:color w:val="auto"/>
              </w:rPr>
            </w:pPr>
          </w:p>
        </w:tc>
        <w:tc>
          <w:tcPr>
            <w:tcW w:w="7300" w:type="dxa"/>
            <w:vAlign w:val="bottom"/>
            <w:gridSpan w:val="2"/>
          </w:tcPr>
          <w:p>
            <w:pPr>
              <w:ind w:left="140"/>
              <w:spacing w:after="0"/>
              <w:rPr>
                <w:sz w:val="20"/>
                <w:szCs w:val="20"/>
                <w:color w:val="auto"/>
              </w:rPr>
            </w:pPr>
            <w:r>
              <w:rPr>
                <w:rFonts w:ascii="Arial" w:cs="Arial" w:eastAsia="Arial" w:hAnsi="Arial"/>
                <w:sz w:val="18"/>
                <w:szCs w:val="18"/>
                <w:color w:val="auto"/>
              </w:rPr>
              <w:t>Total debt, principal amount</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52,694</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60" w:type="dxa"/>
            <w:vAlign w:val="bottom"/>
            <w:tcBorders>
              <w:bottom w:val="single" w:sz="8" w:color="CCEEFF"/>
            </w:tcBorders>
            <w:shd w:val="clear" w:color="auto" w:fill="CCEEFF"/>
          </w:tcPr>
          <w:p>
            <w:pPr>
              <w:spacing w:after="0"/>
              <w:rPr>
                <w:sz w:val="23"/>
                <w:szCs w:val="23"/>
                <w:color w:val="auto"/>
              </w:rPr>
            </w:pPr>
          </w:p>
        </w:tc>
        <w:tc>
          <w:tcPr>
            <w:tcW w:w="7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Carrying value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57"/>
        </w:trPr>
        <w:tc>
          <w:tcPr>
            <w:tcW w:w="360" w:type="dxa"/>
            <w:vAlign w:val="bottom"/>
          </w:tcPr>
          <w:p>
            <w:pPr>
              <w:spacing w:after="0"/>
              <w:rPr>
                <w:sz w:val="22"/>
                <w:szCs w:val="22"/>
                <w:color w:val="auto"/>
              </w:rPr>
            </w:pPr>
          </w:p>
        </w:tc>
        <w:tc>
          <w:tcPr>
            <w:tcW w:w="7300" w:type="dxa"/>
            <w:vAlign w:val="bottom"/>
            <w:gridSpan w:val="2"/>
          </w:tcPr>
          <w:p>
            <w:pPr>
              <w:ind w:left="240"/>
              <w:spacing w:after="0"/>
              <w:rPr>
                <w:sz w:val="20"/>
                <w:szCs w:val="20"/>
                <w:color w:val="auto"/>
              </w:rPr>
            </w:pPr>
            <w:r>
              <w:rPr>
                <w:rFonts w:ascii="Arial" w:cs="Arial" w:eastAsia="Arial" w:hAnsi="Arial"/>
                <w:sz w:val="18"/>
                <w:szCs w:val="18"/>
                <w:color w:val="auto"/>
              </w:rPr>
              <w:t>Total debt, carrying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51,903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51,871</w:t>
            </w:r>
          </w:p>
        </w:tc>
      </w:tr>
      <w:tr>
        <w:trPr>
          <w:trHeight w:val="20"/>
        </w:trPr>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outstanding principal amount of our debt was $52.7 billion as of May 4, 2018, which included core debt of $39.8 billion. We define core debt as the total principal amount of our debt, less DFS related debt, other debt, and unrestricted subsidiary debt.</w:t>
      </w:r>
    </w:p>
    <w:p>
      <w:pPr>
        <w:spacing w:after="0" w:line="17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DFS related debt primarily represents debt from securitization and structured financing programs. To fund expansion of the DFS business, we balance the use of our securitization and structure financing programs with other sources of liquidity. We approximate the amount of our debt used to fund the DFS business by applying a 7:1 debt to equity ratio to our financing receivables balance, based on the underlying credit quality of the assets. See Note 5 of the Notes to the Condensed Consolidated Financial Statements included in this report for more information about our DFS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May 4, 2018 and February 2, 2018, other debt primarily consisted of the $2.0 billion Margin Loan Facility.</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VMware, Inc., Pivotal, and their respective subsidiaries are unrestricted subsidiaries for purposes of the existing debt of Dell Technologies. Neither Dell Technologies nor any of its subsidiaries, other than VMware, Inc., is obligated to make payment on the VMware Notes. None of the net proceeds of the VMware Notes will be made available to support the operations or satisfy any corporate purposes of Dell Technologies, other than the operations and corporate purposes of VMware, Inc. and its subsidiaries.</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requirements for cash to pay principal and interest have increased significantly due to the borrowings that were required to finance the EMC merger transaction. We or our affiliates, at our or their sole discretion, may purchase, redeem, prepay, refinance, or otherwise retire any amount of our outstanding indebtedness under the terms of such indebtedness at any time and from time to time, in open market or negotiated transactions with the holders of such indebtedness, as appropriate market conditions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08"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first quarter of Fiscal 2019, we repaid approximately $500 million principal amount of our 5.65% unsecured notes due April 2018 and $68 million principal amount of our term loan facilities. Further, we issued an additional $611 million, net, in DFS debt to support the expansion of our financing receivables portfolio. After the end of the current quarter, on June 1, 2018, we fully repaid the 1.875% EMC Note in the amount of $2.5 billion in accordance with the contractual maturity date.</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Note 6 of the Notes to the Condensed Consolidated Financial Statements included in this report for more information about our debt and our unrestricted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a summary of our Consolidated Statements of Cash Flows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8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8"/>
        </w:trPr>
        <w:tc>
          <w:tcPr>
            <w:tcW w:w="8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May 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May 5,</w:t>
            </w:r>
          </w:p>
        </w:tc>
        <w:tc>
          <w:tcPr>
            <w:tcW w:w="500" w:type="dxa"/>
            <w:vAlign w:val="bottom"/>
          </w:tcPr>
          <w:p>
            <w:pPr>
              <w:spacing w:after="0"/>
              <w:rPr>
                <w:sz w:val="18"/>
                <w:szCs w:val="18"/>
                <w:color w:val="auto"/>
              </w:rPr>
            </w:pPr>
          </w:p>
        </w:tc>
      </w:tr>
      <w:tr>
        <w:trPr>
          <w:trHeight w:val="234"/>
        </w:trPr>
        <w:tc>
          <w:tcPr>
            <w:tcW w:w="8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40" w:type="dxa"/>
            <w:vAlign w:val="bottom"/>
            <w:gridSpan w:val="3"/>
          </w:tcPr>
          <w:p>
            <w:pPr>
              <w:jc w:val="right"/>
              <w:ind w:right="610"/>
              <w:spacing w:after="0"/>
              <w:rPr>
                <w:sz w:val="20"/>
                <w:szCs w:val="20"/>
                <w:color w:val="auto"/>
              </w:rPr>
            </w:pPr>
            <w:r>
              <w:rPr>
                <w:rFonts w:ascii="Arial" w:cs="Arial" w:eastAsia="Arial" w:hAnsi="Arial"/>
                <w:sz w:val="18"/>
                <w:szCs w:val="18"/>
                <w:color w:val="auto"/>
              </w:rPr>
              <w:t>(in millions)</w:t>
            </w:r>
          </w:p>
        </w:tc>
        <w:tc>
          <w:tcPr>
            <w:tcW w:w="5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change in cash from:</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1,159</w:t>
            </w:r>
          </w:p>
        </w:tc>
        <w:tc>
          <w:tcPr>
            <w:tcW w:w="10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285</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exchange rate changes on cash and cash equivalents</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8120" w:type="dxa"/>
            <w:vAlign w:val="bottom"/>
          </w:tcPr>
          <w:p>
            <w:pPr>
              <w:ind w:left="380"/>
              <w:spacing w:after="0"/>
              <w:rPr>
                <w:sz w:val="20"/>
                <w:szCs w:val="20"/>
                <w:color w:val="auto"/>
              </w:rPr>
            </w:pPr>
            <w:r>
              <w:rPr>
                <w:rFonts w:ascii="Arial" w:cs="Arial" w:eastAsia="Arial" w:hAnsi="Arial"/>
                <w:sz w:val="18"/>
                <w:szCs w:val="18"/>
                <w:color w:val="auto"/>
              </w:rPr>
              <w:t>Change in cash and cash equivalents</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1,467</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Cash provided by operating activities was $1,159 million for the first quarter of Fiscal 2019 compared to $285 million for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2018. The increase in operating cash flows during the first quarter of Fiscal 2019 was driven by improved profitability and strong working capital management, partially offset by our annual incentive bonus payouts.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i w:val="1"/>
          <w:iCs w:val="1"/>
          <w:color w:val="auto"/>
        </w:rPr>
        <w:t xml:space="preserve"> — </w:t>
      </w:r>
      <w:r>
        <w:rPr>
          <w:rFonts w:ascii="Arial" w:cs="Arial" w:eastAsia="Arial" w:hAnsi="Arial"/>
          <w:sz w:val="18"/>
          <w:szCs w:val="18"/>
          <w:color w:val="auto"/>
        </w:rPr>
        <w:t>Investing activities primarily consist of cash used to fund strategic investments, the maturities, sales, and purchases of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for property, plant, and equipment, and capitalized software development costs. During the first quarter of Fiscal 2019, cash used by investing activities was $149 million and was primarily driven by capital expenditures partially offset by net cash proceeds from the divestitures of businesses and by the net sales of investments. In comparison, cash provided by investing activities was $51 million during the first quarter of Fiscal 2018 and was primarily driven by the net sales of investments.</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u w:val="single" w:color="auto"/>
          <w:color w:val="auto"/>
        </w:rPr>
        <w:t>Financing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 Financing activities primarily consist of the proceeds and repayments of debt, cash used to repurchase common stock, and proceeds</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issuance of common stock of subsidiaries. Cash provided by financing activities of $543 million during the first quarter of Fiscal 2019 was primarily driven by proceeds from the issuance of Pivotal common stock in connection with Pivotal's IPO. In comparison, cash used by financing activities of $187 million during the first quarter of Fiscal 2018 and was primarily driven by cash used for share repurchases.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u w:val="single" w:color="auto"/>
          <w:color w:val="auto"/>
        </w:rPr>
        <w:t>Capital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 During the first quarters of Fiscal 2019 and Fiscal 2018, we spent $0.3 billion and $0.2 billion, respectively, on property, plant,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These expenditures were primarily incurred in connection with our global expansion efforts and infrastructure investments made to support future growth. Product demand, product mix, and the use of contract manufacturers, as well as ongoing investments in operating and information technology infrastructure, influence the level and prioritization of our capital expenditures. Aggregate capital expenditures for Fiscal 2019, which will be primarily related to infrastructure investments and strategic initiatives, are currently expected to total between $1.1 billion and $1.3 billion.</w:t>
      </w:r>
    </w:p>
    <w:p>
      <w:pPr>
        <w:spacing w:after="0" w:line="173"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i w:val="1"/>
          <w:iCs w:val="1"/>
          <w:u w:val="single" w:color="auto"/>
          <w:color w:val="auto"/>
        </w:rPr>
        <w:t>Purchase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 Purchase obligations are defined as contractual obligations to purchase goods or services that are enforceable and legally binding on</w:t>
      </w:r>
      <w:r>
        <w:rPr>
          <w:rFonts w:ascii="Arial" w:cs="Arial" w:eastAsia="Arial" w:hAnsi="Arial"/>
          <w:sz w:val="17"/>
          <w:szCs w:val="17"/>
          <w:i w:val="1"/>
          <w:iCs w:val="1"/>
          <w:color w:val="auto"/>
        </w:rPr>
        <w:t xml:space="preserve"> </w:t>
      </w:r>
      <w:r>
        <w:rPr>
          <w:rFonts w:ascii="Arial" w:cs="Arial" w:eastAsia="Arial" w:hAnsi="Arial"/>
          <w:sz w:val="17"/>
          <w:szCs w:val="17"/>
          <w:color w:val="auto"/>
        </w:rPr>
        <w:t>us. These obligations specify all significant terms, including fixed or minimum quantities to be purchased; fixed, minimum, or variable price provisions; and the approximate timing of the transaction. Purchase obligations do not include contracts that may be canceled without penalty.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utilize several suppliers to manufacture sub-assemblies for our products. Our efficient supply chain management allows us to enter into flexible and mutually beneficial purchase arrangements with our suppliers in order to minimize inventory risk. Consistent with industry practice, we acquire raw materials or other goods and services, including product components, by issuing to suppliers authorizations to purchase based on our projected demand and manufacturing needs. These purchase orders are typically fulfilled within 30 days and are entered into during the ordinary course of business in order to establish best pricing and continuity of supply for our production.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Repurchases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V Common Stock Repurchases by Dell Technologies Inc.</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Since the date of the EMC merger transaction, the board of directors authorized several programs to repurchase shares of our Class V Common Stock. Of the $2.1 billion total authorized, $676 million remains as of May 4, 2018, all of which is attributable to the DHI Group Repurchase Program, which our board of directors suspended on December 13, 2016 until such time as the board of directors authorizes the reinstatement of that program.</w:t>
      </w:r>
    </w:p>
    <w:p>
      <w:pPr>
        <w:spacing w:after="0" w:line="16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During the first quarter of Fiscal 2019, we did not repurchase any shares of Class V Common Stock. During the first quarter of Fiscal 2018, we repurchased 5.5 million shares for an aggregate purchase price of $359 million. The repurchase of these shares was funded by proceeds received by the Class V Group from the sale by a subsidiary of the Company of shares of Class A common stock of VMware, Inc. owned by such subsidiary, as discussed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DHI Group Common Stock Repurchases by Dell Technologies Inc.</w:t>
      </w:r>
    </w:p>
    <w:p>
      <w:pPr>
        <w:spacing w:after="0" w:line="225"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color w:val="auto"/>
        </w:rPr>
        <w:t>During the first quarters of Fiscal 2019 and Fiscal 2018, we repurchased an immaterial number of shares of DHI Group Common Stock for approximately $37 million and $2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VMware, Inc. Class A Common Stock Repurchases by VMware, Inc.</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Since the date of the EMC merger transaction, VMware Inc.'s board of directors has authorized the repurchase of a total of $2.2 billion of VMware Inc.'s Class A Common Stock, of which $876 million remains as of May 4, 2018.</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the first quarter of Fiscal 2019, VMware, Inc. did not repurchase any shares of its Class A Common Stock. During the first quarter of Fiscal 2018, pursuant to stock repurchase agreements between Dell Technologies Inc. and VMware, Inc., VMware, Inc. repurchased 4.8 million shares of its Class A Common Stock from us for an aggregate purchase price of $425 million. VMware, Inc. received 4.1 million shares of its Class A common stock during the first quarter of Fiscal 2018 and the remaining 0.7 million shares thereafter. The proceeds from the sales were used to repurchase shares of our Class V Common Stock as described above. VMware Inc. made no repurchases of its Class A Common Stock in the open market during the first quarter of Fiscal 2018.</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125" w:right="2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us, see "Part II — Item 7A — Quantitative and Qualitative Disclosures About Market Risk” in our Annual Report on Form 10-K for the fiscal year ended February 2, 2018. Our exposure to market risks has not changed materially from that set forth in our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under the Securities Exchange Act of 1934 (the "Exchange Act"). See Exhibits 31.1 and 31.2 filed with this report. This Item 9A includes information concerning the controls and control evaluations referred to in those 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provide reasonable assurance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as appropriate to allow timely decisions regarding required disclosures.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preparation of this report, our management, under the supervision and with the participation of our Chief Executive Officer and Chief Financial Officer, conducted an evaluation of the effectiveness of the design and operation of our disclosure controls and procedures as of May 4, 2018. Based on that evaluation, our Chief Executive Officer and Chief Financial Officer have concluded that our disclosure controls and procedures were effective at the reasonable assurance level as of May 4,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first quarter of Fiscal 2019, we completed the implementation of new revenue recognition systems and related controls to enable us to adopt the new accounting guidance, "Revenue From Contracts With Customers."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were no other changes in our internal control over financial reporting during the fiscal quarter ended May 4,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information set forth under the caption "Legal Matters" in Note 11 of the Notes to the Condensed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addition to the other information set forth in this report, the factors discussed in "Part I — Item 1A — Risk Factors" in our Annual Report on Form 10-K for the fiscal year ended February 2, 2018 could materially affect our business, financial condition, or operating results. The risks described in our Annual Report on Form 10-K and our subsequent SEC reports are not the only risks facing us. There are additional risks and uncertainties not currently known to us or that we currently deem to be immaterial that also may materially adversely affect our business, operating results, financial condition, or prospects.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From February 3, 2018 through May 4, 2018, we issued to certain employees a total of 30,657 shares of our Class C Common Stock for an aggregate purchase price of approximately $0.4 million pursuant to exercises of stock options granted under the Dell Inc. Amended and Restated 2002 Long-Term Plan. The foregoing transactions were effected in reliance on the exemption from registration under the Securities Act of 1933 afforded by Rule 701 thereunder as transactions pursuant to compensatory benefit plans or contracts relating to compensation as provided under such rule.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September 7, 2016, our board of directors approved a stock repurchase program (the "DHI Group Repurchase Program") that authorizes us to use assets of the DHI Group to repurchase up to $1.0 billion of shares of our Class V Common Stock over a two-year period beginning on September 7, 2016. On December 13, 2016, our board of directors approved the suspension of the DHI Group Repurchase Program until such time as the board of directors authorizes the reinstatement of that program. The board of directors has not authorized the reinstatement of the program and we did not repurchase any shares of our Class V Common Stock during the first quarter of Fiscal 2019. As of May 4, 2018, the approximate dollar value of shares of Class V Common Stock that may yet be purchased was $676 million authorized under the DHI Group Repurchase Program.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INDEX TO 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files or furnishes the exhibits listed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20" w:type="dxa"/>
            <w:vAlign w:val="bottom"/>
            <w:gridSpan w:val="5"/>
          </w:tcPr>
          <w:p>
            <w:pPr>
              <w:ind w:left="400"/>
              <w:spacing w:after="0"/>
              <w:rPr>
                <w:sz w:val="20"/>
                <w:szCs w:val="20"/>
                <w:color w:val="auto"/>
              </w:rPr>
            </w:pPr>
            <w:r>
              <w:rPr>
                <w:rFonts w:ascii="Arial" w:cs="Arial" w:eastAsia="Arial" w:hAnsi="Arial"/>
                <w:sz w:val="22"/>
                <w:szCs w:val="22"/>
                <w:b w:val="1"/>
                <w:bCs w:val="1"/>
                <w:color w:val="auto"/>
              </w:rPr>
              <w:t>Exhibit</w:t>
            </w:r>
          </w:p>
        </w:tc>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91"/>
        </w:trPr>
        <w:tc>
          <w:tcPr>
            <w:tcW w:w="15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22"/>
                <w:szCs w:val="22"/>
                <w:b w:val="1"/>
                <w:bCs w:val="1"/>
                <w:color w:val="auto"/>
              </w:rPr>
              <w:t>Number</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gridSpan w:val="9"/>
          </w:tcPr>
          <w:p>
            <w:pPr>
              <w:ind w:left="4340"/>
              <w:spacing w:after="0"/>
              <w:rPr>
                <w:sz w:val="20"/>
                <w:szCs w:val="20"/>
                <w:color w:val="auto"/>
              </w:rPr>
            </w:pPr>
            <w:r>
              <w:rPr>
                <w:rFonts w:ascii="Arial" w:cs="Arial" w:eastAsia="Arial" w:hAnsi="Arial"/>
                <w:sz w:val="22"/>
                <w:szCs w:val="22"/>
                <w:b w:val="1"/>
                <w:bCs w:val="1"/>
                <w:color w:val="auto"/>
              </w:rPr>
              <w:t>Description</w:t>
            </w:r>
          </w:p>
        </w:tc>
      </w:tr>
      <w:tr>
        <w:trPr>
          <w:trHeight w:val="203"/>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160"/>
              <w:spacing w:after="0" w:line="202" w:lineRule="exact"/>
              <w:rPr>
                <w:rFonts w:ascii="Arial" w:cs="Arial" w:eastAsia="Arial" w:hAnsi="Arial"/>
                <w:sz w:val="18"/>
                <w:szCs w:val="18"/>
                <w:color w:val="0000FF"/>
                <w:w w:val="83"/>
              </w:rPr>
            </w:pPr>
            <w:hyperlink w:anchor="page87">
              <w:r>
                <w:rPr>
                  <w:rFonts w:ascii="Arial" w:cs="Arial" w:eastAsia="Arial" w:hAnsi="Arial"/>
                  <w:sz w:val="18"/>
                  <w:szCs w:val="18"/>
                  <w:color w:val="0000FF"/>
                  <w:w w:val="83"/>
                </w:rPr>
                <w:t>31.</w:t>
              </w:r>
              <w:r>
                <w:rPr>
                  <w:rFonts w:ascii="Arial" w:cs="Arial" w:eastAsia="Arial" w:hAnsi="Arial"/>
                  <w:sz w:val="18"/>
                  <w:szCs w:val="18"/>
                  <w:u w:val="single" w:color="auto"/>
                  <w:color w:val="0000FF"/>
                  <w:w w:val="83"/>
                </w:rPr>
                <w:t>1††</w:t>
              </w:r>
            </w:hyperlink>
          </w:p>
        </w:tc>
        <w:tc>
          <w:tcPr>
            <w:tcW w:w="20" w:type="dxa"/>
            <w:vAlign w:val="bottom"/>
          </w:tcPr>
          <w:p>
            <w:pPr>
              <w:spacing w:after="0"/>
              <w:rPr>
                <w:sz w:val="17"/>
                <w:szCs w:val="17"/>
                <w:color w:val="auto"/>
              </w:rPr>
            </w:pPr>
          </w:p>
        </w:tc>
        <w:tc>
          <w:tcPr>
            <w:tcW w:w="9780" w:type="dxa"/>
            <w:vAlign w:val="bottom"/>
            <w:gridSpan w:val="9"/>
          </w:tcPr>
          <w:p>
            <w:pPr>
              <w:spacing w:after="0" w:line="202" w:lineRule="exact"/>
              <w:rPr>
                <w:rFonts w:ascii="Arial" w:cs="Arial" w:eastAsia="Arial" w:hAnsi="Arial"/>
                <w:sz w:val="18"/>
                <w:szCs w:val="18"/>
                <w:color w:val="0000FF"/>
                <w:w w:val="97"/>
              </w:rPr>
            </w:pPr>
            <w:hyperlink w:anchor="page87">
              <w:r>
                <w:rPr>
                  <w:rFonts w:ascii="Arial" w:cs="Arial" w:eastAsia="Arial" w:hAnsi="Arial"/>
                  <w:sz w:val="18"/>
                  <w:szCs w:val="18"/>
                  <w:color w:val="0000FF"/>
                  <w:w w:val="97"/>
                </w:rPr>
                <w:t>Certification of Michael S. Dell, Chairman and Chief Executive Officer, pursuant to Rule 13a-14(a) or Rule 15d-14(a) under the</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87">
              <w:r>
                <w:rPr>
                  <w:rFonts w:ascii="Arial" w:cs="Arial" w:eastAsia="Arial" w:hAnsi="Arial"/>
                  <w:sz w:val="18"/>
                  <w:szCs w:val="18"/>
                  <w:color w:val="0000FF"/>
                </w:rPr>
                <w:t>Securities Exchange Act of 1934, as adopted pursuant to Section 302 of the Sarbanes-Oxley Act of 2002.</w:t>
              </w:r>
            </w:hyperlink>
          </w:p>
        </w:tc>
        <w:tc>
          <w:tcPr>
            <w:tcW w:w="540" w:type="dxa"/>
            <w:vAlign w:val="bottom"/>
            <w:gridSpan w:val="3"/>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3"/>
          </w:tcPr>
          <w:p>
            <w:pPr>
              <w:jc w:val="right"/>
              <w:ind w:right="160"/>
              <w:spacing w:after="0"/>
              <w:rPr>
                <w:rFonts w:ascii="Arial" w:cs="Arial" w:eastAsia="Arial" w:hAnsi="Arial"/>
                <w:sz w:val="18"/>
                <w:szCs w:val="18"/>
                <w:color w:val="0000FF"/>
                <w:w w:val="83"/>
              </w:rPr>
            </w:pPr>
            <w:hyperlink w:anchor="page88">
              <w:r>
                <w:rPr>
                  <w:rFonts w:ascii="Arial" w:cs="Arial" w:eastAsia="Arial" w:hAnsi="Arial"/>
                  <w:sz w:val="18"/>
                  <w:szCs w:val="18"/>
                  <w:color w:val="0000FF"/>
                  <w:w w:val="83"/>
                </w:rPr>
                <w:t>31.</w:t>
              </w:r>
              <w:r>
                <w:rPr>
                  <w:rFonts w:ascii="Arial" w:cs="Arial" w:eastAsia="Arial" w:hAnsi="Arial"/>
                  <w:sz w:val="18"/>
                  <w:szCs w:val="18"/>
                  <w:u w:val="single" w:color="auto"/>
                  <w:color w:val="0000FF"/>
                  <w:w w:val="83"/>
                </w:rPr>
                <w:t>2††</w:t>
              </w:r>
            </w:hyperlink>
          </w:p>
        </w:tc>
        <w:tc>
          <w:tcPr>
            <w:tcW w:w="20" w:type="dxa"/>
            <w:vAlign w:val="bottom"/>
          </w:tcPr>
          <w:p>
            <w:pPr>
              <w:spacing w:after="0"/>
              <w:rPr>
                <w:sz w:val="21"/>
                <w:szCs w:val="21"/>
                <w:color w:val="auto"/>
              </w:rPr>
            </w:pPr>
          </w:p>
        </w:tc>
        <w:tc>
          <w:tcPr>
            <w:tcW w:w="9780" w:type="dxa"/>
            <w:vAlign w:val="bottom"/>
            <w:gridSpan w:val="9"/>
          </w:tcPr>
          <w:p>
            <w:pPr>
              <w:spacing w:after="0"/>
              <w:rPr>
                <w:rFonts w:ascii="Arial" w:cs="Arial" w:eastAsia="Arial" w:hAnsi="Arial"/>
                <w:sz w:val="18"/>
                <w:szCs w:val="18"/>
                <w:color w:val="0000FF"/>
                <w:w w:val="91"/>
              </w:rPr>
            </w:pPr>
            <w:hyperlink w:anchor="page88">
              <w:r>
                <w:rPr>
                  <w:rFonts w:ascii="Arial" w:cs="Arial" w:eastAsia="Arial" w:hAnsi="Arial"/>
                  <w:sz w:val="18"/>
                  <w:szCs w:val="18"/>
                  <w:color w:val="0000FF"/>
                  <w:w w:val="91"/>
                </w:rPr>
                <w:t>Certification of Thomas W. Sweet, Executive Vice President and Chief Financial Officer, pursuant to Rule 13a-14(a) or Rule 15d-14(a)</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under the Securities Exchange Act of 1934, as adopted pursuant to Section 302 of the Sarbanes-Oxley Act of 2002.</w:t>
              </w:r>
            </w:hyperlink>
          </w:p>
        </w:tc>
        <w:tc>
          <w:tcPr>
            <w:tcW w:w="1440" w:type="dxa"/>
            <w:vAlign w:val="bottom"/>
            <w:tcBorders>
              <w:top w:val="single" w:sz="8" w:color="0000FF"/>
            </w:tcBorders>
            <w:gridSpan w:val="4"/>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880" w:type="dxa"/>
            <w:vAlign w:val="bottom"/>
          </w:tcPr>
          <w:p>
            <w:pPr>
              <w:spacing w:after="0"/>
              <w:rPr>
                <w:sz w:val="21"/>
                <w:szCs w:val="21"/>
                <w:color w:val="auto"/>
              </w:rPr>
            </w:pPr>
          </w:p>
        </w:tc>
        <w:tc>
          <w:tcPr>
            <w:tcW w:w="740" w:type="dxa"/>
            <w:vAlign w:val="bottom"/>
            <w:gridSpan w:val="4"/>
          </w:tcPr>
          <w:p>
            <w:pPr>
              <w:jc w:val="right"/>
              <w:ind w:right="160"/>
              <w:spacing w:after="0"/>
              <w:rPr>
                <w:rFonts w:ascii="Arial" w:cs="Arial" w:eastAsia="Arial" w:hAnsi="Arial"/>
                <w:sz w:val="18"/>
                <w:szCs w:val="18"/>
                <w:color w:val="0000FF"/>
                <w:w w:val="86"/>
              </w:rPr>
            </w:pPr>
            <w:hyperlink w:anchor="page89">
              <w:r>
                <w:rPr>
                  <w:rFonts w:ascii="Arial" w:cs="Arial" w:eastAsia="Arial" w:hAnsi="Arial"/>
                  <w:sz w:val="18"/>
                  <w:szCs w:val="18"/>
                  <w:color w:val="0000FF"/>
                  <w:w w:val="86"/>
                </w:rPr>
                <w:t>32.</w:t>
              </w:r>
              <w:r>
                <w:rPr>
                  <w:rFonts w:ascii="Arial" w:cs="Arial" w:eastAsia="Arial" w:hAnsi="Arial"/>
                  <w:sz w:val="18"/>
                  <w:szCs w:val="18"/>
                  <w:u w:val="single" w:color="auto"/>
                  <w:color w:val="0000FF"/>
                  <w:w w:val="86"/>
                </w:rPr>
                <w:t>1†††</w:t>
              </w:r>
            </w:hyperlink>
          </w:p>
        </w:tc>
        <w:tc>
          <w:tcPr>
            <w:tcW w:w="20" w:type="dxa"/>
            <w:vAlign w:val="bottom"/>
          </w:tcPr>
          <w:p>
            <w:pPr>
              <w:spacing w:after="0"/>
              <w:rPr>
                <w:sz w:val="21"/>
                <w:szCs w:val="21"/>
                <w:color w:val="auto"/>
              </w:rPr>
            </w:pPr>
          </w:p>
        </w:tc>
        <w:tc>
          <w:tcPr>
            <w:tcW w:w="9780" w:type="dxa"/>
            <w:vAlign w:val="bottom"/>
            <w:gridSpan w:val="9"/>
          </w:tcPr>
          <w:p>
            <w:pPr>
              <w:spacing w:after="0"/>
              <w:rPr>
                <w:rFonts w:ascii="Arial" w:cs="Arial" w:eastAsia="Arial" w:hAnsi="Arial"/>
                <w:sz w:val="18"/>
                <w:szCs w:val="18"/>
                <w:color w:val="0000FF"/>
                <w:w w:val="93"/>
              </w:rPr>
            </w:pPr>
            <w:hyperlink w:anchor="page89">
              <w:r>
                <w:rPr>
                  <w:rFonts w:ascii="Arial" w:cs="Arial" w:eastAsia="Arial" w:hAnsi="Arial"/>
                  <w:sz w:val="18"/>
                  <w:szCs w:val="18"/>
                  <w:color w:val="0000FF"/>
                  <w:w w:val="93"/>
                </w:rPr>
                <w:t>Certifications of Michael S. Dell, Chairman and Chief Executive Officer, and Thomas W. Sweet, Executive Vice President and Chief</w:t>
              </w:r>
            </w:hyperlink>
          </w:p>
        </w:tc>
      </w:tr>
      <w:tr>
        <w:trPr>
          <w:trHeight w:val="196"/>
        </w:trPr>
        <w:tc>
          <w:tcPr>
            <w:tcW w:w="8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w:anchor="page89">
              <w:r>
                <w:rPr>
                  <w:rFonts w:ascii="Arial" w:cs="Arial" w:eastAsia="Arial" w:hAnsi="Arial"/>
                  <w:sz w:val="18"/>
                  <w:szCs w:val="18"/>
                  <w:color w:val="0000FF"/>
                  <w:w w:val="90"/>
                </w:rPr>
                <w:t>Financial Officer, pursuant to Rule 13a-14(b) or Rule 15d-14(b) under the Securities Exchange Act of 1934 and 18 U.S.C.</w:t>
              </w:r>
            </w:hyperlink>
          </w:p>
        </w:tc>
        <w:tc>
          <w:tcPr>
            <w:tcW w:w="780" w:type="dxa"/>
            <w:vAlign w:val="bottom"/>
            <w:tcBorders>
              <w:top w:val="single" w:sz="8" w:color="0000FF"/>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Section 1350, as adopted pursuant to Section 906 of the Sarbanes-Oxley Act of 2002.</w:t>
              </w:r>
            </w:hyperlink>
          </w:p>
        </w:tc>
        <w:tc>
          <w:tcPr>
            <w:tcW w:w="3620" w:type="dxa"/>
            <w:vAlign w:val="bottom"/>
            <w:gridSpan w:val="7"/>
          </w:tcPr>
          <w:p>
            <w:pPr>
              <w:spacing w:after="0"/>
              <w:rPr>
                <w:sz w:val="17"/>
                <w:szCs w:val="17"/>
                <w:color w:val="auto"/>
              </w:rPr>
            </w:pPr>
          </w:p>
        </w:tc>
      </w:tr>
      <w:tr>
        <w:trPr>
          <w:trHeight w:val="250"/>
        </w:trPr>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3"/>
          </w:tcPr>
          <w:p>
            <w:pPr>
              <w:jc w:val="right"/>
              <w:ind w:right="160"/>
              <w:spacing w:after="0"/>
              <w:rPr>
                <w:rFonts w:ascii="Arial" w:cs="Arial" w:eastAsia="Arial" w:hAnsi="Arial"/>
                <w:sz w:val="18"/>
                <w:szCs w:val="18"/>
                <w:color w:val="0000FF"/>
                <w:w w:val="83"/>
              </w:rPr>
            </w:pPr>
            <w:hyperlink w:anchor="page90">
              <w:r>
                <w:rPr>
                  <w:rFonts w:ascii="Arial" w:cs="Arial" w:eastAsia="Arial" w:hAnsi="Arial"/>
                  <w:sz w:val="18"/>
                  <w:szCs w:val="18"/>
                  <w:color w:val="0000FF"/>
                  <w:w w:val="83"/>
                </w:rPr>
                <w:t>99.</w:t>
              </w:r>
              <w:r>
                <w:rPr>
                  <w:rFonts w:ascii="Arial" w:cs="Arial" w:eastAsia="Arial" w:hAnsi="Arial"/>
                  <w:sz w:val="18"/>
                  <w:szCs w:val="18"/>
                  <w:u w:val="single" w:color="auto"/>
                  <w:color w:val="0000FF"/>
                  <w:w w:val="83"/>
                </w:rPr>
                <w:t>1††</w:t>
              </w:r>
            </w:hyperlink>
          </w:p>
        </w:tc>
        <w:tc>
          <w:tcPr>
            <w:tcW w:w="20" w:type="dxa"/>
            <w:vAlign w:val="bottom"/>
          </w:tcPr>
          <w:p>
            <w:pPr>
              <w:spacing w:after="0"/>
              <w:rPr>
                <w:sz w:val="21"/>
                <w:szCs w:val="21"/>
                <w:color w:val="auto"/>
              </w:rPr>
            </w:pPr>
          </w:p>
        </w:tc>
        <w:tc>
          <w:tcPr>
            <w:tcW w:w="9780" w:type="dxa"/>
            <w:vAlign w:val="bottom"/>
            <w:gridSpan w:val="9"/>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Unaudited Attributed Financial Information for Class V Group.</w:t>
              </w:r>
            </w:hyperlink>
          </w:p>
        </w:tc>
      </w:tr>
      <w:tr>
        <w:trPr>
          <w:trHeight w:val="20"/>
        </w:trPr>
        <w:tc>
          <w:tcPr>
            <w:tcW w:w="98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r>
      <w:tr>
        <w:trPr>
          <w:trHeight w:val="291"/>
        </w:trPr>
        <w:tc>
          <w:tcPr>
            <w:tcW w:w="1620" w:type="dxa"/>
            <w:vAlign w:val="bottom"/>
            <w:gridSpan w:val="5"/>
          </w:tcPr>
          <w:p>
            <w:pPr>
              <w:jc w:val="right"/>
              <w:ind w:right="160"/>
              <w:spacing w:after="0"/>
              <w:rPr>
                <w:sz w:val="20"/>
                <w:szCs w:val="20"/>
                <w:color w:val="auto"/>
              </w:rPr>
            </w:pPr>
            <w:r>
              <w:rPr>
                <w:rFonts w:ascii="Arial" w:cs="Arial" w:eastAsia="Arial" w:hAnsi="Arial"/>
                <w:sz w:val="18"/>
                <w:szCs w:val="18"/>
                <w:color w:val="auto"/>
              </w:rPr>
              <w:t>101 .INS††</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620" w:type="dxa"/>
            <w:vAlign w:val="bottom"/>
            <w:gridSpan w:val="5"/>
          </w:tcPr>
          <w:p>
            <w:pPr>
              <w:jc w:val="right"/>
              <w:ind w:right="160"/>
              <w:spacing w:after="0"/>
              <w:rPr>
                <w:sz w:val="20"/>
                <w:szCs w:val="20"/>
                <w:color w:val="auto"/>
              </w:rPr>
            </w:pPr>
            <w:r>
              <w:rPr>
                <w:rFonts w:ascii="Arial" w:cs="Arial" w:eastAsia="Arial" w:hAnsi="Arial"/>
                <w:sz w:val="18"/>
                <w:szCs w:val="18"/>
                <w:color w:val="auto"/>
              </w:rPr>
              <w:t>101 .SCH††</w:t>
            </w:r>
          </w:p>
        </w:tc>
        <w:tc>
          <w:tcPr>
            <w:tcW w:w="20" w:type="dxa"/>
            <w:vAlign w:val="bottom"/>
          </w:tcPr>
          <w:p>
            <w:pPr>
              <w:spacing w:after="0"/>
              <w:rPr>
                <w:sz w:val="23"/>
                <w:szCs w:val="23"/>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620" w:type="dxa"/>
            <w:vAlign w:val="bottom"/>
            <w:gridSpan w:val="5"/>
          </w:tcPr>
          <w:p>
            <w:pPr>
              <w:jc w:val="right"/>
              <w:ind w:right="160"/>
              <w:spacing w:after="0"/>
              <w:rPr>
                <w:sz w:val="20"/>
                <w:szCs w:val="20"/>
                <w:color w:val="auto"/>
              </w:rPr>
            </w:pPr>
            <w:r>
              <w:rPr>
                <w:rFonts w:ascii="Arial" w:cs="Arial" w:eastAsia="Arial" w:hAnsi="Arial"/>
                <w:sz w:val="18"/>
                <w:szCs w:val="18"/>
                <w:color w:val="auto"/>
              </w:rPr>
              <w:t>101 .CAL††</w:t>
            </w:r>
          </w:p>
        </w:tc>
        <w:tc>
          <w:tcPr>
            <w:tcW w:w="20" w:type="dxa"/>
            <w:vAlign w:val="bottom"/>
          </w:tcPr>
          <w:p>
            <w:pPr>
              <w:spacing w:after="0"/>
              <w:rPr>
                <w:sz w:val="23"/>
                <w:szCs w:val="23"/>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620" w:type="dxa"/>
            <w:vAlign w:val="bottom"/>
            <w:gridSpan w:val="5"/>
          </w:tcPr>
          <w:p>
            <w:pPr>
              <w:jc w:val="right"/>
              <w:ind w:right="160"/>
              <w:spacing w:after="0"/>
              <w:rPr>
                <w:sz w:val="20"/>
                <w:szCs w:val="20"/>
                <w:color w:val="auto"/>
              </w:rPr>
            </w:pPr>
            <w:r>
              <w:rPr>
                <w:rFonts w:ascii="Arial" w:cs="Arial" w:eastAsia="Arial" w:hAnsi="Arial"/>
                <w:sz w:val="18"/>
                <w:szCs w:val="18"/>
                <w:color w:val="auto"/>
              </w:rPr>
              <w:t>101 .DEF††</w:t>
            </w:r>
          </w:p>
        </w:tc>
        <w:tc>
          <w:tcPr>
            <w:tcW w:w="20" w:type="dxa"/>
            <w:vAlign w:val="bottom"/>
          </w:tcPr>
          <w:p>
            <w:pPr>
              <w:spacing w:after="0"/>
              <w:rPr>
                <w:sz w:val="23"/>
                <w:szCs w:val="23"/>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620" w:type="dxa"/>
            <w:vAlign w:val="bottom"/>
            <w:gridSpan w:val="5"/>
          </w:tcPr>
          <w:p>
            <w:pPr>
              <w:jc w:val="right"/>
              <w:ind w:right="160"/>
              <w:spacing w:after="0"/>
              <w:rPr>
                <w:sz w:val="20"/>
                <w:szCs w:val="20"/>
                <w:color w:val="auto"/>
              </w:rPr>
            </w:pPr>
            <w:r>
              <w:rPr>
                <w:rFonts w:ascii="Arial" w:cs="Arial" w:eastAsia="Arial" w:hAnsi="Arial"/>
                <w:sz w:val="18"/>
                <w:szCs w:val="18"/>
                <w:color w:val="auto"/>
              </w:rPr>
              <w:t>101 .LAB††</w:t>
            </w:r>
          </w:p>
        </w:tc>
        <w:tc>
          <w:tcPr>
            <w:tcW w:w="20" w:type="dxa"/>
            <w:vAlign w:val="bottom"/>
          </w:tcPr>
          <w:p>
            <w:pPr>
              <w:spacing w:after="0"/>
              <w:rPr>
                <w:sz w:val="23"/>
                <w:szCs w:val="23"/>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620" w:type="dxa"/>
            <w:vAlign w:val="bottom"/>
            <w:gridSpan w:val="5"/>
          </w:tcPr>
          <w:p>
            <w:pPr>
              <w:jc w:val="right"/>
              <w:ind w:right="160"/>
              <w:spacing w:after="0"/>
              <w:rPr>
                <w:sz w:val="20"/>
                <w:szCs w:val="20"/>
                <w:color w:val="auto"/>
              </w:rPr>
            </w:pPr>
            <w:r>
              <w:rPr>
                <w:rFonts w:ascii="Arial" w:cs="Arial" w:eastAsia="Arial" w:hAnsi="Arial"/>
                <w:sz w:val="18"/>
                <w:szCs w:val="18"/>
                <w:color w:val="auto"/>
              </w:rPr>
              <w:t>101 .PRE††</w:t>
            </w:r>
          </w:p>
        </w:tc>
        <w:tc>
          <w:tcPr>
            <w:tcW w:w="20" w:type="dxa"/>
            <w:vAlign w:val="bottom"/>
          </w:tcPr>
          <w:p>
            <w:pPr>
              <w:spacing w:after="0"/>
              <w:rPr>
                <w:sz w:val="23"/>
                <w:szCs w:val="23"/>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18"/>
        </w:trPr>
        <w:tc>
          <w:tcPr>
            <w:tcW w:w="1460" w:type="dxa"/>
            <w:vAlign w:val="bottom"/>
            <w:gridSpan w:val="3"/>
          </w:tcPr>
          <w:p>
            <w:pPr>
              <w:jc w:val="right"/>
              <w:spacing w:after="0"/>
              <w:rPr>
                <w:sz w:val="20"/>
                <w:szCs w:val="20"/>
                <w:color w:val="auto"/>
              </w:rPr>
            </w:pPr>
            <w:r>
              <w:rPr>
                <w:rFonts w:ascii="Arial" w:cs="Arial" w:eastAsia="Arial" w:hAnsi="Arial"/>
                <w:sz w:val="16"/>
                <w:szCs w:val="16"/>
                <w:color w:val="auto"/>
                <w:w w:val="89"/>
              </w:rPr>
              <w:t>_________________</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Filed with this report.</w:t>
            </w:r>
          </w:p>
        </w:tc>
      </w:tr>
      <w:tr>
        <w:trPr>
          <w:trHeight w:val="270"/>
        </w:trPr>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Furnished with this report.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DELL TECHNOLOGIES INC.</w:t>
      </w:r>
    </w:p>
    <w:p>
      <w:pPr>
        <w:spacing w:after="0" w:line="387" w:lineRule="exact"/>
        <w:rPr>
          <w:sz w:val="20"/>
          <w:szCs w:val="20"/>
          <w:color w:val="auto"/>
        </w:rPr>
      </w:pPr>
    </w:p>
    <w:p>
      <w:pPr>
        <w:ind w:left="474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MAYA MCREYNOLDS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679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jc w:val="center"/>
        <w:ind w:left="4680"/>
        <w:spacing w:after="0"/>
        <w:rPr>
          <w:sz w:val="20"/>
          <w:szCs w:val="20"/>
          <w:color w:val="auto"/>
        </w:rPr>
      </w:pPr>
      <w:r>
        <w:rPr>
          <w:rFonts w:ascii="Arial" w:cs="Arial" w:eastAsia="Arial" w:hAnsi="Arial"/>
          <w:sz w:val="18"/>
          <w:szCs w:val="18"/>
          <w:color w:val="auto"/>
        </w:rPr>
        <w:t>Maya McReynolds</w:t>
      </w:r>
    </w:p>
    <w:p>
      <w:pPr>
        <w:spacing w:after="0" w:line="63" w:lineRule="exact"/>
        <w:rPr>
          <w:sz w:val="20"/>
          <w:szCs w:val="20"/>
          <w:color w:val="auto"/>
        </w:rPr>
      </w:pPr>
    </w:p>
    <w:p>
      <w:pPr>
        <w:jc w:val="center"/>
        <w:ind w:left="4680"/>
        <w:spacing w:after="0"/>
        <w:rPr>
          <w:sz w:val="20"/>
          <w:szCs w:val="20"/>
          <w:color w:val="auto"/>
        </w:rPr>
      </w:pPr>
      <w:r>
        <w:rPr>
          <w:rFonts w:ascii="Arial" w:cs="Arial" w:eastAsia="Arial" w:hAnsi="Arial"/>
          <w:sz w:val="18"/>
          <w:szCs w:val="18"/>
          <w:i w:val="1"/>
          <w:iCs w:val="1"/>
          <w:color w:val="auto"/>
        </w:rPr>
        <w:t>Senior Vice President, Corporate Finance and</w:t>
      </w:r>
    </w:p>
    <w:p>
      <w:pPr>
        <w:spacing w:after="0" w:line="63" w:lineRule="exact"/>
        <w:rPr>
          <w:sz w:val="20"/>
          <w:szCs w:val="20"/>
          <w:color w:val="auto"/>
        </w:rPr>
      </w:pPr>
    </w:p>
    <w:p>
      <w:pPr>
        <w:jc w:val="center"/>
        <w:ind w:left="4680"/>
        <w:spacing w:after="0"/>
        <w:rPr>
          <w:sz w:val="20"/>
          <w:szCs w:val="20"/>
          <w:color w:val="auto"/>
        </w:rPr>
      </w:pPr>
      <w:r>
        <w:rPr>
          <w:rFonts w:ascii="Arial" w:cs="Arial" w:eastAsia="Arial" w:hAnsi="Arial"/>
          <w:sz w:val="18"/>
          <w:szCs w:val="18"/>
          <w:i w:val="1"/>
          <w:iCs w:val="1"/>
          <w:color w:val="auto"/>
        </w:rPr>
        <w:t>Chief Accounting Officer</w:t>
      </w:r>
    </w:p>
    <w:p>
      <w:pPr>
        <w:spacing w:after="0" w:line="63" w:lineRule="exact"/>
        <w:rPr>
          <w:sz w:val="20"/>
          <w:szCs w:val="20"/>
          <w:color w:val="auto"/>
        </w:rPr>
      </w:pPr>
    </w:p>
    <w:p>
      <w:pPr>
        <w:jc w:val="center"/>
        <w:ind w:left="4680"/>
        <w:spacing w:after="0"/>
        <w:rPr>
          <w:sz w:val="20"/>
          <w:szCs w:val="20"/>
          <w:color w:val="auto"/>
        </w:rPr>
      </w:pPr>
      <w:r>
        <w:rPr>
          <w:rFonts w:ascii="Arial" w:cs="Arial" w:eastAsia="Arial" w:hAnsi="Arial"/>
          <w:sz w:val="18"/>
          <w:szCs w:val="18"/>
          <w:color w:val="auto"/>
        </w:rPr>
        <w:t>(On behalf of registrant and as principal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60"/>
          </w:cols>
          <w:pgMar w:left="240" w:top="125" w:right="39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700"/>
        <w:spacing w:after="0" w:line="261" w:lineRule="auto"/>
        <w:rPr>
          <w:sz w:val="20"/>
          <w:szCs w:val="20"/>
          <w:color w:val="auto"/>
        </w:rPr>
      </w:pPr>
      <w:r>
        <w:rPr>
          <w:rFonts w:ascii="Arial" w:cs="Arial" w:eastAsia="Arial" w:hAnsi="Arial"/>
          <w:sz w:val="18"/>
          <w:szCs w:val="18"/>
          <w:b w:val="1"/>
          <w:bCs w:val="1"/>
          <w:color w:val="auto"/>
        </w:rPr>
        <w:t>CERTIFICATION OF MICHAEL S. DELL, CHAIRMAN AND CHIEF EXECUTIVE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Michael S. Dell, certify that:</w:t>
      </w:r>
    </w:p>
    <w:p>
      <w:pPr>
        <w:spacing w:after="0" w:line="11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Dell Technologies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880"/>
        <w:spacing w:after="0"/>
        <w:tabs>
          <w:tab w:leader="none" w:pos="7800" w:val="left"/>
        </w:tabs>
        <w:rPr>
          <w:sz w:val="20"/>
          <w:szCs w:val="20"/>
          <w:color w:val="auto"/>
        </w:rPr>
      </w:pPr>
      <w:r>
        <w:rPr>
          <w:rFonts w:ascii="Arial" w:cs="Arial" w:eastAsia="Arial" w:hAnsi="Arial"/>
          <w:sz w:val="18"/>
          <w:szCs w:val="18"/>
          <w:color w:val="auto"/>
        </w:rPr>
        <w:t>June 12, 2018</w:t>
      </w:r>
      <w:r>
        <w:rPr>
          <w:sz w:val="20"/>
          <w:szCs w:val="20"/>
          <w:color w:val="auto"/>
        </w:rPr>
        <w:tab/>
      </w:r>
      <w:r>
        <w:rPr>
          <w:rFonts w:ascii="Arial" w:cs="Arial" w:eastAsia="Arial" w:hAnsi="Arial"/>
          <w:sz w:val="17"/>
          <w:szCs w:val="17"/>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224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Michael S. Dell</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360"/>
        <w:spacing w:after="0" w:line="261" w:lineRule="auto"/>
        <w:rPr>
          <w:sz w:val="20"/>
          <w:szCs w:val="20"/>
          <w:color w:val="auto"/>
        </w:rPr>
      </w:pPr>
      <w:r>
        <w:rPr>
          <w:rFonts w:ascii="Arial" w:cs="Arial" w:eastAsia="Arial" w:hAnsi="Arial"/>
          <w:sz w:val="18"/>
          <w:szCs w:val="18"/>
          <w:b w:val="1"/>
          <w:bCs w:val="1"/>
          <w:color w:val="auto"/>
        </w:rPr>
        <w:t>CERTIFICATION OF THOMAS W. SWEET, EXECTUIVE VICE PRESIDENT AND CHIEF FINANCIAL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Thomas W. Sweet, certify that:</w:t>
      </w:r>
    </w:p>
    <w:p>
      <w:pPr>
        <w:spacing w:after="0" w:line="11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Dell Technologies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880"/>
        <w:spacing w:after="0"/>
        <w:tabs>
          <w:tab w:leader="none" w:pos="7740" w:val="left"/>
        </w:tabs>
        <w:rPr>
          <w:sz w:val="20"/>
          <w:szCs w:val="20"/>
          <w:color w:val="auto"/>
        </w:rPr>
      </w:pPr>
      <w:r>
        <w:rPr>
          <w:rFonts w:ascii="Arial" w:cs="Arial" w:eastAsia="Arial" w:hAnsi="Arial"/>
          <w:sz w:val="18"/>
          <w:szCs w:val="18"/>
          <w:color w:val="auto"/>
        </w:rPr>
        <w:t>June 12, 2018</w:t>
      </w:r>
      <w:r>
        <w:rPr>
          <w:sz w:val="20"/>
          <w:szCs w:val="20"/>
          <w:color w:val="auto"/>
        </w:rPr>
        <w:tab/>
      </w:r>
      <w:r>
        <w:rPr>
          <w:rFonts w:ascii="Arial" w:cs="Arial" w:eastAsia="Arial" w:hAnsi="Arial"/>
          <w:sz w:val="16"/>
          <w:szCs w:val="16"/>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224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Thomas W. Sweet</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1860"/>
        <w:spacing w:after="0" w:line="261" w:lineRule="auto"/>
        <w:rPr>
          <w:sz w:val="20"/>
          <w:szCs w:val="20"/>
          <w:color w:val="auto"/>
        </w:rPr>
      </w:pPr>
      <w:r>
        <w:rPr>
          <w:rFonts w:ascii="Arial" w:cs="Arial" w:eastAsia="Arial" w:hAnsi="Arial"/>
          <w:sz w:val="18"/>
          <w:szCs w:val="18"/>
          <w:b w:val="1"/>
          <w:bCs w:val="1"/>
          <w:color w:val="auto"/>
        </w:rPr>
        <w:t>CERTIFICATIONS OF MICHAEL S. DELL, CHAIRMAN AND CHIEF EXECUTIVE OFFICER, AND THOMAS W. SWEET, EXECUTIVE VICE PRESIDENT AND CHIEF FINANCIAL OFFICER, PURSUANT TO 18 U.S.C. SECTION 1350, AS ADOPTED PURSUANT TO SECTION 906 OF THE SARBANES-OXLEY ACT OF 2002</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undersigned officers of Dell Technologies Inc. hereby certify that (a) Dell Technologies Inc.'s Quarterly Report on Form 10-Q for the three months ended May 4, 2018, as filed with the Securities and Exchange Commission, fully complies with the requirements of Section 13(a) or 15(d) of the Securities Exchange Act of 1934 and (b) information contained in the report fairly presents, in all material respects, the financial condition and results of operations of Dell Technologies Inc.</w:t>
      </w:r>
    </w:p>
    <w:p>
      <w:pPr>
        <w:spacing w:after="0" w:line="349" w:lineRule="exact"/>
        <w:rPr>
          <w:sz w:val="20"/>
          <w:szCs w:val="20"/>
          <w:color w:val="auto"/>
        </w:rPr>
      </w:pPr>
    </w:p>
    <w:p>
      <w:pPr>
        <w:ind w:left="380"/>
        <w:spacing w:after="0"/>
        <w:tabs>
          <w:tab w:leader="none" w:pos="7520" w:val="left"/>
        </w:tabs>
        <w:rPr>
          <w:sz w:val="20"/>
          <w:szCs w:val="20"/>
          <w:color w:val="auto"/>
        </w:rPr>
      </w:pPr>
      <w:r>
        <w:rPr>
          <w:rFonts w:ascii="Arial" w:cs="Arial" w:eastAsia="Arial" w:hAnsi="Arial"/>
          <w:sz w:val="18"/>
          <w:szCs w:val="18"/>
          <w:color w:val="auto"/>
        </w:rPr>
        <w:t>June 12, 2018</w:t>
      </w:r>
      <w:r>
        <w:rPr>
          <w:sz w:val="20"/>
          <w:szCs w:val="20"/>
          <w:color w:val="auto"/>
        </w:rPr>
        <w:tab/>
      </w:r>
      <w:r>
        <w:rPr>
          <w:rFonts w:ascii="Arial" w:cs="Arial" w:eastAsia="Arial" w:hAnsi="Arial"/>
          <w:sz w:val="17"/>
          <w:szCs w:val="17"/>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Michael S. Dell</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98" w:lineRule="exact"/>
        <w:rPr>
          <w:sz w:val="20"/>
          <w:szCs w:val="20"/>
          <w:color w:val="auto"/>
        </w:rPr>
      </w:pPr>
    </w:p>
    <w:p>
      <w:pPr>
        <w:ind w:left="380"/>
        <w:spacing w:after="0"/>
        <w:tabs>
          <w:tab w:leader="none" w:pos="7440" w:val="left"/>
        </w:tabs>
        <w:rPr>
          <w:sz w:val="20"/>
          <w:szCs w:val="20"/>
          <w:color w:val="auto"/>
        </w:rPr>
      </w:pPr>
      <w:r>
        <w:rPr>
          <w:rFonts w:ascii="Arial" w:cs="Arial" w:eastAsia="Arial" w:hAnsi="Arial"/>
          <w:sz w:val="18"/>
          <w:szCs w:val="18"/>
          <w:color w:val="auto"/>
        </w:rPr>
        <w:t>June 12, 2018</w:t>
      </w:r>
      <w:r>
        <w:rPr>
          <w:sz w:val="20"/>
          <w:szCs w:val="20"/>
          <w:color w:val="auto"/>
        </w:rPr>
        <w:tab/>
      </w:r>
      <w:r>
        <w:rPr>
          <w:rFonts w:ascii="Arial" w:cs="Arial" w:eastAsia="Arial" w:hAnsi="Arial"/>
          <w:sz w:val="17"/>
          <w:szCs w:val="17"/>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Thomas W. Sweet</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89" w:name="page90"/>
    <w:bookmarkEnd w:id="89"/>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FOR CLASS V GROUP</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(continued on next page)</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information presented below is intended solely to show the attribution of assets, liabilities, revenue, and expenses to the Class V Group in accordance with the Tracking Stock Policy of Dell Technologies Inc. ("Dell Technologies" or the "Company"), a copy of which is filed as Exhibit 99.2 to the Company’s Annual Report on Form 10-K for the fiscal year ended February 3, 2017. The individual income and expense line item amounts reflected in the column for VMware, Inc. ("VMware") are for informational purposes and do not represent actual income and expenses of the Class V Group. The Class V stockholders do not have any special rights related to, direct ownership interest in, or recourse against the assets and liabilities attributed to the Class V Group. Holders of the DHI Group Common Stock and the Class V Common Stock are stockholders of the Company and subject to all risks associated with an investment in the Company and all of its businesses, assets, and liabilities. This financial information could change in the future based on allocations or reallocations of assets and liabilities to the Class V Group.</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center"/>
              <w:ind w:left="81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May 4, 2018</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VMware</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Reportable</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and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Segment</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Eliminations (a)</w:t>
            </w:r>
          </w:p>
        </w:tc>
        <w:tc>
          <w:tcPr>
            <w:tcW w:w="14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VMware</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6"/>
                <w:szCs w:val="16"/>
                <w:color w:val="auto"/>
                <w:w w:val="98"/>
              </w:rPr>
              <w:t>(in millions)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Cost of net revenue</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97"/>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 attributable to VMware</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Income before income taxes attributable to VMware</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attributable to VMware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Net income attributable to VMware</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60" w:hanging="332"/>
        <w:spacing w:after="0" w:line="25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Adjustments and eliminations primarily consist of intercompany sales and allocated expenses, as well as expenses that are excluded from the VMware reportable segment, such as amortization of intangible assets, stock-based compensation expense, severance, and integration and acquisition-related costs.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9140" w:type="dxa"/>
            <w:vAlign w:val="bottom"/>
          </w:tcPr>
          <w:p>
            <w:pPr>
              <w:jc w:val="center"/>
              <w:ind w:left="1510"/>
              <w:spacing w:after="0"/>
              <w:rPr>
                <w:sz w:val="20"/>
                <w:szCs w:val="20"/>
                <w:color w:val="auto"/>
              </w:rPr>
            </w:pPr>
            <w:r>
              <w:rPr>
                <w:rFonts w:ascii="Arial" w:cs="Arial" w:eastAsia="Arial" w:hAnsi="Arial"/>
                <w:sz w:val="18"/>
                <w:szCs w:val="18"/>
                <w:b w:val="1"/>
                <w:bCs w:val="1"/>
                <w:color w:val="auto"/>
              </w:rPr>
              <w:t>UNAUDITED ATTRIBUTED FINANCIAL INFORMATION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9140" w:type="dxa"/>
            <w:vAlign w:val="bottom"/>
          </w:tcPr>
          <w:p>
            <w:pPr>
              <w:jc w:val="center"/>
              <w:ind w:left="1530"/>
              <w:spacing w:after="0"/>
              <w:rPr>
                <w:sz w:val="20"/>
                <w:szCs w:val="20"/>
                <w:color w:val="auto"/>
              </w:rPr>
            </w:pPr>
            <w:r>
              <w:rPr>
                <w:rFonts w:ascii="Arial" w:cs="Arial" w:eastAsia="Arial" w:hAnsi="Arial"/>
                <w:sz w:val="18"/>
                <w:szCs w:val="18"/>
                <w:b w:val="1"/>
                <w:bCs w:val="1"/>
                <w:color w:val="auto"/>
                <w:w w:val="97"/>
              </w:rPr>
              <w:t>FOR CLASS V GROUP</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9140" w:type="dxa"/>
            <w:vAlign w:val="bottom"/>
          </w:tcPr>
          <w:p>
            <w:pPr>
              <w:jc w:val="center"/>
              <w:ind w:left="1530"/>
              <w:spacing w:after="0"/>
              <w:rPr>
                <w:sz w:val="20"/>
                <w:szCs w:val="20"/>
                <w:color w:val="auto"/>
              </w:rPr>
            </w:pPr>
            <w:r>
              <w:rPr>
                <w:rFonts w:ascii="Arial" w:cs="Arial" w:eastAsia="Arial" w:hAnsi="Arial"/>
                <w:sz w:val="18"/>
                <w:szCs w:val="18"/>
                <w:color w:val="auto"/>
                <w:w w:val="90"/>
              </w:rPr>
              <w:t>(continued on next page)</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w w:val="95"/>
              </w:rPr>
              <w:t>Reconciliation of net income attributable to VMware to Class V Common Stock economic interest in Class V Group:</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May 4, 2018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9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VMware</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9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Class V Group</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Arial" w:cs="Arial" w:eastAsia="Arial" w:hAnsi="Arial"/>
                <w:sz w:val="18"/>
                <w:szCs w:val="18"/>
                <w:color w:val="auto"/>
              </w:rPr>
              <w:t>Less: DHI Group's 38.90% weighted average retained interest in Class V Group</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9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Class V Common Stock economic interest in Class V Group</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VMware total net assets to Class V Common Stock economic interest in Class V Group:</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94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VMware</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May 4, 2018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9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center"/>
              <w:ind w:right="9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0"/>
        </w:trPr>
        <w:tc>
          <w:tcPr>
            <w:tcW w:w="9480" w:type="dxa"/>
            <w:vAlign w:val="bottom"/>
            <w:gridSpan w:val="2"/>
          </w:tcPr>
          <w:p>
            <w:pPr>
              <w:ind w:left="40"/>
              <w:spacing w:after="0"/>
              <w:rPr>
                <w:sz w:val="20"/>
                <w:szCs w:val="20"/>
                <w:color w:val="auto"/>
              </w:rPr>
            </w:pPr>
            <w:r>
              <w:rPr>
                <w:rFonts w:ascii="Arial" w:cs="Arial" w:eastAsia="Arial" w:hAnsi="Arial"/>
                <w:sz w:val="18"/>
                <w:szCs w:val="18"/>
                <w:b w:val="1"/>
                <w:bCs w:val="1"/>
                <w:color w:val="auto"/>
              </w:rPr>
              <w:t>VMware balance sheet information</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94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(1)(2)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22,088</w:t>
            </w:r>
          </w:p>
        </w:tc>
        <w:tc>
          <w:tcPr>
            <w:tcW w:w="0" w:type="dxa"/>
            <w:vAlign w:val="bottom"/>
          </w:tcPr>
          <w:p>
            <w:pPr>
              <w:spacing w:after="0"/>
              <w:rPr>
                <w:sz w:val="1"/>
                <w:szCs w:val="1"/>
                <w:color w:val="auto"/>
              </w:rPr>
            </w:pP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Total liabilities (1)(2)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12,428</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VMware total net assets</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4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Class V Group</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May 4, 2018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9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center"/>
              <w:ind w:right="9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94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VMware total net assets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Less: Net assets attributable to non-controlling interests (3)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assets attributable to Class V Group</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7,859</w:t>
            </w:r>
          </w:p>
        </w:tc>
        <w:tc>
          <w:tcPr>
            <w:tcW w:w="0" w:type="dxa"/>
            <w:vAlign w:val="bottom"/>
          </w:tcPr>
          <w:p>
            <w:pPr>
              <w:spacing w:after="0"/>
              <w:rPr>
                <w:sz w:val="1"/>
                <w:szCs w:val="1"/>
                <w:color w:val="auto"/>
              </w:rPr>
            </w:pP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Less: DHI Group's 38.90% retained interest in Class V Group</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Class V Common Stock economic interest in Class V Group</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0"/>
        </w:trPr>
        <w:tc>
          <w:tcPr>
            <w:tcW w:w="9480" w:type="dxa"/>
            <w:vAlign w:val="bottom"/>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Inter-group assets (4)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Inter-group liabilities (4)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9480" w:type="dxa"/>
            <w:vAlign w:val="bottom"/>
            <w:gridSpan w:val="2"/>
          </w:tcPr>
          <w:p>
            <w:pPr>
              <w:spacing w:after="0"/>
              <w:rPr>
                <w:sz w:val="20"/>
                <w:szCs w:val="20"/>
                <w:color w:val="auto"/>
              </w:rPr>
            </w:pPr>
            <w:r>
              <w:rPr>
                <w:rFonts w:ascii="Arial" w:cs="Arial" w:eastAsia="Arial" w:hAnsi="Arial"/>
                <w:sz w:val="16"/>
                <w:szCs w:val="16"/>
                <w:color w:val="auto"/>
              </w:rPr>
              <w:t>____________________</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right="520" w:hanging="332"/>
        <w:spacing w:after="0" w:line="24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VMware's unadjusted assets and liabilities as of May 4, 2018 as consolidated into the Company's Consolidated Statements of Financial Position.</w:t>
      </w:r>
    </w:p>
    <w:p>
      <w:pPr>
        <w:ind w:left="340" w:right="14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determined by Dell Technologies' board of directors, the Company has not allocated any assets or liabilities between the DHI Group and the Class V Group.</w:t>
      </w:r>
    </w:p>
    <w:p>
      <w:pPr>
        <w:ind w:left="340" w:right="56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impact of non-controlling interests on net assets attributable to the Company, which had an ownership interest of 81.4% of VMware’s outstanding shares of common stock as of May 4, 2018.</w:t>
      </w:r>
    </w:p>
    <w:p>
      <w:pPr>
        <w:ind w:left="340" w:right="300" w:hanging="332"/>
        <w:spacing w:after="0" w:line="255"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inter-group assets/liabilities between the Class V Group and the DHI Group in accordance with the Tracking Stock Policy. The Tracking Stock Policy states that any ordinary course commercial inter-group transactions are intended, to the extent practicable, to be on terms consistent with terms that would be applicable to arm's-length dealings with unrelated third parties.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UNAUDITED ATTRIBUTED FINANCIAL INFORMATION</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FOR CLASS V GROUP</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(continued on next page)</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adoption of the new revenue accounting standard during the three months ended May 4, 2018 impacted the previously reported results of the VMware reportable segment and the standalone results of VMware, Inc. Presented below is the Unaudited Attributed Financial Information for Class V Group for the three months ended May 5, 2017 and as of February 2, 2018 that has been recast to reflect the impact of the new accounting standard.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5"/>
          </w:tcPr>
          <w:p>
            <w:pPr>
              <w:jc w:val="center"/>
              <w:ind w:left="81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May 5, 2017</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VMware</w:t>
            </w:r>
          </w:p>
        </w:tc>
        <w:tc>
          <w:tcPr>
            <w:tcW w:w="14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Reportable</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and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Segment</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Eliminations (a)</w:t>
            </w:r>
          </w:p>
        </w:tc>
        <w:tc>
          <w:tcPr>
            <w:tcW w:w="14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VMware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6"/>
                <w:szCs w:val="16"/>
                <w:color w:val="auto"/>
                <w:w w:val="98"/>
              </w:rPr>
              <w:t>(in millions)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tcPr>
          <w:p>
            <w:pPr>
              <w:ind w:left="20"/>
              <w:spacing w:after="0"/>
              <w:rPr>
                <w:sz w:val="20"/>
                <w:szCs w:val="20"/>
                <w:color w:val="auto"/>
              </w:rPr>
            </w:pPr>
            <w:r>
              <w:rPr>
                <w:rFonts w:ascii="Arial" w:cs="Arial" w:eastAsia="Arial" w:hAnsi="Arial"/>
                <w:sz w:val="18"/>
                <w:szCs w:val="18"/>
                <w:color w:val="auto"/>
              </w:rPr>
              <w:t>Cost of net revenue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income (expense), net attributable to VMware</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40" w:type="dxa"/>
            <w:vAlign w:val="bottom"/>
          </w:tcPr>
          <w:p>
            <w:pPr>
              <w:ind w:left="20"/>
              <w:spacing w:after="0"/>
              <w:rPr>
                <w:sz w:val="20"/>
                <w:szCs w:val="20"/>
                <w:color w:val="auto"/>
              </w:rPr>
            </w:pPr>
            <w:r>
              <w:rPr>
                <w:rFonts w:ascii="Arial" w:cs="Arial" w:eastAsia="Arial" w:hAnsi="Arial"/>
                <w:sz w:val="18"/>
                <w:szCs w:val="18"/>
                <w:color w:val="auto"/>
              </w:rPr>
              <w:t>Income before income taxes attributable to VMware</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attributable to VMware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40" w:type="dxa"/>
            <w:vAlign w:val="bottom"/>
          </w:tcPr>
          <w:p>
            <w:pPr>
              <w:ind w:left="20"/>
              <w:spacing w:after="0"/>
              <w:rPr>
                <w:sz w:val="20"/>
                <w:szCs w:val="20"/>
                <w:color w:val="auto"/>
              </w:rPr>
            </w:pPr>
            <w:r>
              <w:rPr>
                <w:rFonts w:ascii="Arial" w:cs="Arial" w:eastAsia="Arial" w:hAnsi="Arial"/>
                <w:sz w:val="18"/>
                <w:szCs w:val="18"/>
                <w:color w:val="auto"/>
              </w:rPr>
              <w:t>Net income attributable to VMware</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jc w:val="right"/>
              <w:ind w:right="5850"/>
              <w:spacing w:after="0"/>
              <w:rPr>
                <w:sz w:val="20"/>
                <w:szCs w:val="20"/>
                <w:color w:val="auto"/>
              </w:rPr>
            </w:pPr>
            <w:r>
              <w:rPr>
                <w:rFonts w:ascii="Arial" w:cs="Arial" w:eastAsia="Arial" w:hAnsi="Arial"/>
                <w:sz w:val="16"/>
                <w:szCs w:val="16"/>
                <w:color w:val="auto"/>
                <w:w w:val="89"/>
              </w:rPr>
              <w:t>____________________</w:t>
            </w: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60" w:hanging="332"/>
        <w:spacing w:after="0" w:line="25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Adjustments and eliminations primarily consist of intercompany sales and allocated expenses, as well as expenses that are excluded from the VMware reportable segment, such as amortization of intangible assets, stock-based compensation expense, severance, and integration and acquisition-related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9500" w:type="dxa"/>
            <w:vAlign w:val="bottom"/>
            <w:gridSpan w:val="2"/>
          </w:tcPr>
          <w:p>
            <w:pPr>
              <w:jc w:val="center"/>
              <w:ind w:left="1830"/>
              <w:spacing w:after="0"/>
              <w:rPr>
                <w:sz w:val="20"/>
                <w:szCs w:val="20"/>
                <w:color w:val="auto"/>
              </w:rPr>
            </w:pPr>
            <w:r>
              <w:rPr>
                <w:rFonts w:ascii="Arial" w:cs="Arial" w:eastAsia="Arial" w:hAnsi="Arial"/>
                <w:sz w:val="18"/>
                <w:szCs w:val="18"/>
                <w:b w:val="1"/>
                <w:bCs w:val="1"/>
                <w:color w:val="auto"/>
              </w:rPr>
              <w:t>UNAUDITED ATTRIBUTED FINANCIAL INFORMATION</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500" w:type="dxa"/>
            <w:vAlign w:val="bottom"/>
            <w:gridSpan w:val="2"/>
          </w:tcPr>
          <w:p>
            <w:pPr>
              <w:jc w:val="center"/>
              <w:ind w:left="1850"/>
              <w:spacing w:after="0"/>
              <w:rPr>
                <w:sz w:val="20"/>
                <w:szCs w:val="20"/>
                <w:color w:val="auto"/>
              </w:rPr>
            </w:pPr>
            <w:r>
              <w:rPr>
                <w:rFonts w:ascii="Arial" w:cs="Arial" w:eastAsia="Arial" w:hAnsi="Arial"/>
                <w:sz w:val="18"/>
                <w:szCs w:val="18"/>
                <w:b w:val="1"/>
                <w:bCs w:val="1"/>
                <w:color w:val="auto"/>
                <w:w w:val="97"/>
              </w:rPr>
              <w:t>FOR CLASS V GROUP</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00" w:type="dxa"/>
            <w:vAlign w:val="bottom"/>
            <w:gridSpan w:val="2"/>
          </w:tcPr>
          <w:p>
            <w:pPr>
              <w:jc w:val="center"/>
              <w:ind w:left="1830"/>
              <w:spacing w:after="0"/>
              <w:rPr>
                <w:sz w:val="20"/>
                <w:szCs w:val="20"/>
                <w:color w:val="auto"/>
              </w:rPr>
            </w:pPr>
            <w:r>
              <w:rPr>
                <w:rFonts w:ascii="Arial" w:cs="Arial" w:eastAsia="Arial" w:hAnsi="Arial"/>
                <w:sz w:val="18"/>
                <w:szCs w:val="18"/>
                <w:color w:val="auto"/>
                <w:w w:val="91"/>
              </w:rPr>
              <w:t>(continued)</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00" w:type="dxa"/>
            <w:vAlign w:val="bottom"/>
            <w:gridSpan w:val="2"/>
          </w:tcPr>
          <w:p>
            <w:pPr>
              <w:spacing w:after="0"/>
              <w:rPr>
                <w:sz w:val="20"/>
                <w:szCs w:val="20"/>
                <w:color w:val="auto"/>
              </w:rPr>
            </w:pPr>
            <w:r>
              <w:rPr>
                <w:rFonts w:ascii="Arial" w:cs="Arial" w:eastAsia="Arial" w:hAnsi="Arial"/>
                <w:sz w:val="18"/>
                <w:szCs w:val="18"/>
                <w:b w:val="1"/>
                <w:bCs w:val="1"/>
                <w:color w:val="auto"/>
                <w:w w:val="96"/>
              </w:rPr>
              <w:t>Reconciliation of net income attributable to VMware to Class V Common Stock economic interest in Class V Group:</w:t>
            </w: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9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May 5, 2017</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(in millions)</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VMware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00" w:type="dxa"/>
            <w:vAlign w:val="bottom"/>
            <w:gridSpan w:val="2"/>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Class V Group</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00" w:type="dxa"/>
            <w:vAlign w:val="bottom"/>
            <w:gridSpan w:val="2"/>
          </w:tcPr>
          <w:p>
            <w:pPr>
              <w:ind w:left="40"/>
              <w:spacing w:after="0"/>
              <w:rPr>
                <w:sz w:val="20"/>
                <w:szCs w:val="20"/>
                <w:color w:val="auto"/>
              </w:rPr>
            </w:pPr>
            <w:r>
              <w:rPr>
                <w:rFonts w:ascii="Arial" w:cs="Arial" w:eastAsia="Arial" w:hAnsi="Arial"/>
                <w:sz w:val="18"/>
                <w:szCs w:val="18"/>
                <w:color w:val="auto"/>
              </w:rPr>
              <w:t>Less: DHI Group's 38.01% weighted average retained interest in Class V Group</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Class V Common Stock economic interest in Class V Group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VMware total net assets to Class V Common Stock economic interest in Class V Group:</w:t>
            </w: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95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VMware</w:t>
            </w:r>
          </w:p>
        </w:tc>
        <w:tc>
          <w:tcPr>
            <w:tcW w:w="0" w:type="dxa"/>
            <w:vAlign w:val="bottom"/>
          </w:tcPr>
          <w:p>
            <w:pPr>
              <w:spacing w:after="0"/>
              <w:rPr>
                <w:sz w:val="1"/>
                <w:szCs w:val="1"/>
                <w:color w:val="auto"/>
              </w:rPr>
            </w:pPr>
          </w:p>
        </w:tc>
      </w:tr>
      <w:tr>
        <w:trPr>
          <w:trHeight w:val="270"/>
        </w:trPr>
        <w:tc>
          <w:tcPr>
            <w:tcW w:w="9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February 2, 2018</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(in millions)</w:t>
            </w:r>
          </w:p>
        </w:tc>
        <w:tc>
          <w:tcPr>
            <w:tcW w:w="0" w:type="dxa"/>
            <w:vAlign w:val="bottom"/>
          </w:tcPr>
          <w:p>
            <w:pPr>
              <w:spacing w:after="0"/>
              <w:rPr>
                <w:sz w:val="1"/>
                <w:szCs w:val="1"/>
                <w:color w:val="auto"/>
              </w:rPr>
            </w:pPr>
          </w:p>
        </w:tc>
      </w:tr>
      <w:tr>
        <w:trPr>
          <w:trHeight w:val="270"/>
        </w:trPr>
        <w:tc>
          <w:tcPr>
            <w:tcW w:w="9500" w:type="dxa"/>
            <w:vAlign w:val="bottom"/>
            <w:gridSpan w:val="2"/>
          </w:tcPr>
          <w:p>
            <w:pPr>
              <w:ind w:left="40"/>
              <w:spacing w:after="0"/>
              <w:rPr>
                <w:sz w:val="20"/>
                <w:szCs w:val="20"/>
                <w:color w:val="auto"/>
              </w:rPr>
            </w:pPr>
            <w:r>
              <w:rPr>
                <w:rFonts w:ascii="Arial" w:cs="Arial" w:eastAsia="Arial" w:hAnsi="Arial"/>
                <w:sz w:val="18"/>
                <w:szCs w:val="18"/>
                <w:b w:val="1"/>
                <w:bCs w:val="1"/>
                <w:color w:val="auto"/>
              </w:rPr>
              <w:t>VMware balance sheet information</w:t>
            </w: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00" w:type="dxa"/>
            <w:vAlign w:val="bottom"/>
            <w:gridSpan w:val="2"/>
          </w:tcPr>
          <w:p>
            <w:pPr>
              <w:ind w:left="40"/>
              <w:spacing w:after="0"/>
              <w:rPr>
                <w:sz w:val="20"/>
                <w:szCs w:val="20"/>
                <w:color w:val="auto"/>
              </w:rPr>
            </w:pPr>
            <w:r>
              <w:rPr>
                <w:rFonts w:ascii="Arial" w:cs="Arial" w:eastAsia="Arial" w:hAnsi="Arial"/>
                <w:sz w:val="18"/>
                <w:szCs w:val="18"/>
                <w:color w:val="auto"/>
              </w:rPr>
              <w:t>Total liabilities (1)(2)</w:t>
            </w:r>
          </w:p>
        </w:tc>
        <w:tc>
          <w:tcPr>
            <w:tcW w:w="1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12,582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VMware total net assets</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9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Class V Group</w:t>
            </w:r>
          </w:p>
        </w:tc>
        <w:tc>
          <w:tcPr>
            <w:tcW w:w="0" w:type="dxa"/>
            <w:vAlign w:val="bottom"/>
          </w:tcPr>
          <w:p>
            <w:pPr>
              <w:spacing w:after="0"/>
              <w:rPr>
                <w:sz w:val="1"/>
                <w:szCs w:val="1"/>
                <w:color w:val="auto"/>
              </w:rPr>
            </w:pPr>
          </w:p>
        </w:tc>
      </w:tr>
      <w:tr>
        <w:trPr>
          <w:trHeight w:val="270"/>
        </w:trPr>
        <w:tc>
          <w:tcPr>
            <w:tcW w:w="9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February 2, 2018</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(in millions)</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VMware total net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00" w:type="dxa"/>
            <w:vAlign w:val="bottom"/>
            <w:gridSpan w:val="2"/>
          </w:tcPr>
          <w:p>
            <w:pPr>
              <w:ind w:left="40"/>
              <w:spacing w:after="0"/>
              <w:rPr>
                <w:sz w:val="20"/>
                <w:szCs w:val="20"/>
                <w:color w:val="auto"/>
              </w:rPr>
            </w:pPr>
            <w:r>
              <w:rPr>
                <w:rFonts w:ascii="Arial" w:cs="Arial" w:eastAsia="Arial" w:hAnsi="Arial"/>
                <w:sz w:val="18"/>
                <w:szCs w:val="18"/>
                <w:color w:val="auto"/>
              </w:rPr>
              <w:t>Less: Net assets attributable to non-controlling interests (3)</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assets attributable to Class V Group</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00" w:type="dxa"/>
            <w:vAlign w:val="bottom"/>
            <w:gridSpan w:val="2"/>
          </w:tcPr>
          <w:p>
            <w:pPr>
              <w:ind w:left="40"/>
              <w:spacing w:after="0"/>
              <w:rPr>
                <w:sz w:val="20"/>
                <w:szCs w:val="20"/>
                <w:color w:val="auto"/>
              </w:rPr>
            </w:pPr>
            <w:r>
              <w:rPr>
                <w:rFonts w:ascii="Arial" w:cs="Arial" w:eastAsia="Arial" w:hAnsi="Arial"/>
                <w:sz w:val="18"/>
                <w:szCs w:val="18"/>
                <w:color w:val="auto"/>
              </w:rPr>
              <w:t>Less: DHI Group's 38.90% retained interest in Class V Group</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Class V Common Stock economic interest in Class V Group</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4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Inter-group assets (4)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00" w:type="dxa"/>
            <w:vAlign w:val="bottom"/>
            <w:gridSpan w:val="2"/>
          </w:tcPr>
          <w:p>
            <w:pPr>
              <w:ind w:left="40"/>
              <w:spacing w:after="0"/>
              <w:rPr>
                <w:sz w:val="20"/>
                <w:szCs w:val="20"/>
                <w:color w:val="auto"/>
              </w:rPr>
            </w:pPr>
            <w:r>
              <w:rPr>
                <w:rFonts w:ascii="Arial" w:cs="Arial" w:eastAsia="Arial" w:hAnsi="Arial"/>
                <w:sz w:val="18"/>
                <w:szCs w:val="18"/>
                <w:color w:val="auto"/>
              </w:rPr>
              <w:t>Inter-group liabilities (4)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9480" w:type="dxa"/>
            <w:vAlign w:val="bottom"/>
          </w:tcPr>
          <w:p>
            <w:pPr>
              <w:spacing w:after="0"/>
              <w:rPr>
                <w:sz w:val="20"/>
                <w:szCs w:val="20"/>
                <w:color w:val="auto"/>
              </w:rPr>
            </w:pPr>
            <w:r>
              <w:rPr>
                <w:rFonts w:ascii="Arial" w:cs="Arial" w:eastAsia="Arial" w:hAnsi="Arial"/>
                <w:sz w:val="16"/>
                <w:szCs w:val="16"/>
                <w:color w:val="auto"/>
              </w:rPr>
              <w:t>____________________</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right="200" w:hanging="332"/>
        <w:spacing w:after="0" w:line="24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VMware's unadjusted assets and liabilities as of February 2, 2018 as consolidated into the Company's Consolidated Statements of Financial Position.</w:t>
      </w:r>
    </w:p>
    <w:p>
      <w:pPr>
        <w:ind w:left="340" w:right="1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determined by Dell Technologies' board of directors, the Company has not allocated any assets or liabilities between the DHI Group and the Class V Group.</w:t>
      </w:r>
    </w:p>
    <w:p>
      <w:pPr>
        <w:ind w:left="340" w:right="56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the impact of non-controlling interests on net assets attributable to the Company, which had an ownership interest of 81.9% of VMware’s outstanding shares of common stock as of February 2, 2018.</w:t>
      </w:r>
    </w:p>
    <w:p>
      <w:pPr>
        <w:ind w:left="340" w:right="300" w:hanging="332"/>
        <w:spacing w:after="0" w:line="25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inter-group assets/liabilities between the Class V Group and the DHI Group in accordance with the Tracking Stock Policy. The Tracking Stock Policy states that any ordinary course commercial inter-group transactions are intended, to the extent practicable, to be on terms consistent with terms that would be applicable to arm's-length dealings with unrelated third parties.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5"/>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lvl w:ilvl="1">
      <w:lvlJc w:val="left"/>
      <w:lvlText w:val="(%2)"/>
      <w:numFmt w:val="lowerLetter"/>
      <w:start w:val="1"/>
    </w:lvl>
  </w:abstractNum>
  <w:abstractNum w:abstractNumId="26">
    <w:nsid w:val="2901D82"/>
    <w:multiLevelType w:val="hybridMultilevel"/>
    <w:lvl w:ilvl="0">
      <w:lvlJc w:val="left"/>
      <w:lvlText w:val="%1."/>
      <w:numFmt w:val="decimal"/>
      <w:start w:val="1"/>
    </w:lvl>
    <w:lvl w:ilvl="1">
      <w:lvlJc w:val="left"/>
      <w:lvlText w:val="(%2)"/>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2019-12-28T21:26:27Z</dcterms:created>
  <dcterms:modified xsi:type="dcterms:W3CDTF">2019-12-28T21:26:27Z</dcterms:modified>
</cp:coreProperties>
</file>