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Silver Lake Partners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Dell Technologies Inc.</w:t>
              </w:r>
            </w:hyperlink>
            <w:r>
              <w:rPr/>
              <w:t xml:space="preserve"> [ </w:t>
            </w:r>
            <w:r>
              <w:rPr>
                <w:rFonts w:ascii="Times;serif" w:hAnsi="Times;serif"/>
                <w:color w:val="0000FF"/>
                <w:sz w:val="24"/>
                <w:shd w:fill="FFFFFF" w:val="clear"/>
              </w:rPr>
              <w:t>DELL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7"/>
        <w:gridCol w:w="913"/>
        <w:gridCol w:w="783"/>
        <w:gridCol w:w="660"/>
        <w:gridCol w:w="288"/>
        <w:gridCol w:w="867"/>
        <w:gridCol w:w="430"/>
        <w:gridCol w:w="889"/>
        <w:gridCol w:w="1257"/>
        <w:gridCol w:w="974"/>
        <w:gridCol w:w="10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1,781</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403.51</w:t>
            </w:r>
            <w:r>
              <w:rPr>
                <w:rFonts w:ascii="Times;serif" w:hAnsi="Times;serif"/>
                <w:color w:val="008000"/>
                <w:position w:val="7"/>
                <w:sz w:val="16"/>
                <w:sz w:val="20"/>
                <w:shd w:fill="FFFFFF" w:val="clear"/>
              </w:rPr>
              <w:t>(10)</w:t>
            </w:r>
            <w:r>
              <w:rPr/>
              <w:t xml:space="preserve"> </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5,539</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1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1,404</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404.39</w:t>
            </w:r>
            <w:r>
              <w:rPr>
                <w:rFonts w:ascii="Times;serif" w:hAnsi="Times;serif"/>
                <w:color w:val="008000"/>
                <w:position w:val="7"/>
                <w:sz w:val="16"/>
                <w:sz w:val="20"/>
                <w:shd w:fill="FFFFFF" w:val="clear"/>
              </w:rPr>
              <w:t>(11)</w:t>
            </w:r>
            <w:r>
              <w:rPr/>
              <w:t xml:space="preserve"> </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4,135</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1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1,499</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405.64</w:t>
            </w:r>
            <w:r>
              <w:rPr>
                <w:rFonts w:ascii="Times;serif" w:hAnsi="Times;serif"/>
                <w:color w:val="008000"/>
                <w:position w:val="7"/>
                <w:sz w:val="16"/>
                <w:sz w:val="20"/>
                <w:shd w:fill="FFFFFF" w:val="clear"/>
              </w:rPr>
              <w:t>(12)</w:t>
            </w:r>
            <w:r>
              <w:rPr/>
              <w:t xml:space="preserve"> </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2,636</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1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643</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406.3</w:t>
            </w:r>
            <w:r>
              <w:rPr>
                <w:rFonts w:ascii="Times;serif" w:hAnsi="Times;serif"/>
                <w:color w:val="008000"/>
                <w:position w:val="7"/>
                <w:sz w:val="16"/>
                <w:sz w:val="20"/>
                <w:shd w:fill="FFFFFF" w:val="clear"/>
              </w:rPr>
              <w:t>(13)</w:t>
            </w:r>
            <w:r>
              <w:rPr/>
              <w:t xml:space="preserve"> </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1,993</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1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1,993</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1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(8)</w:t>
            </w:r>
            <w:r>
              <w:rPr/>
              <w:t xml:space="preserve"> </w:t>
            </w:r>
          </w:p>
        </w:tc>
        <w:tc>
          <w:tcPr>
            <w:tcW w:w="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2,791</w:t>
            </w:r>
            <w:r>
              <w:rPr>
                <w:rFonts w:ascii="Times;serif" w:hAnsi="Times;serif"/>
                <w:color w:val="008000"/>
                <w:position w:val="7"/>
                <w:sz w:val="16"/>
                <w:sz w:val="20"/>
                <w:shd w:fill="FFFFFF" w:val="clear"/>
              </w:rPr>
              <w:t>(8)</w:t>
            </w:r>
            <w:r>
              <w:rPr/>
              <w:t xml:space="preserve"> </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1,317,963</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(8)</w:t>
            </w:r>
            <w:r>
              <w:rPr/>
              <w:t xml:space="preserve"> </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9,359</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Group, L.L.C.</w:t>
            </w:r>
            <w:r>
              <w:rPr>
                <w:rFonts w:ascii="Times;serif" w:hAnsi="Times;serif"/>
                <w:color w:val="008000"/>
                <w:position w:val="7"/>
                <w:sz w:val="16"/>
                <w:sz w:val="20"/>
                <w:shd w:fill="FFFFFF" w:val="clear"/>
              </w:rPr>
              <w:t>(4)(5)</w:t>
            </w:r>
            <w:r>
              <w:rPr/>
              <w:t xml:space="preserve"> </w:t>
            </w:r>
          </w:p>
        </w:tc>
      </w:tr>
      <w:tr>
        <w:trPr/>
        <w:tc>
          <w:tcPr>
            <w:tcW w:w="21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4,845</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r>
              <w:rPr/>
              <w:t xml:space="preserve"> </w:t>
            </w:r>
          </w:p>
        </w:tc>
      </w:tr>
      <w:tr>
        <w:trPr/>
        <w:tc>
          <w:tcPr>
            <w:tcW w:w="21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164,214</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r>
              <w:rPr/>
              <w:t xml:space="preserve"> </w:t>
            </w:r>
          </w:p>
        </w:tc>
      </w:tr>
      <w:tr>
        <w:trPr/>
        <w:tc>
          <w:tcPr>
            <w:tcW w:w="21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47,234</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r>
              <w:rPr/>
              <w:t xml:space="preserve"> </w:t>
            </w:r>
          </w:p>
        </w:tc>
      </w:tr>
      <w:tr>
        <w:trPr/>
        <w:tc>
          <w:tcPr>
            <w:tcW w:w="210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5,322</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Silver Lake Partners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Silver Lake Technology Associates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SLTA IV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Silver Lake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Durban Egon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June 9, 2026 and initiated in-kind distributions of shares of Class C Common Stock on June 9, 2026. The receipt of shares of Class C Common Stock by each of the Reporting Persons in connection with such distributions was exempt from reporting pursuant to Rule 16a-13 of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share of Class B Common Stock, par value $0.01 per share of the Issuer (the "Class B Common Stock") is convertible into one share of Class C Common Stock at any time, at the election of the holder or automatically upon certain transfers, and has no expiration date. On June 9, 2026, certain of the Reporting Persons converted shares of Class B Common Stock into an equal number of shares of Class C Common Stock in connection with the sales and distributions described in footnote (1)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directly held by Silver Lake Partners IV, L.P. The general partner of Silver Lake Partners IV, L.P. is Silver Lake Technology Associates IV, L.P. and the general partner of Silver Lake Technology Associates IV, L.P. is SLTA IV (GP),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Silver Lake Group, L.L.C. ("SLG") is the managing member of SLTA IV (GP), L.L.C. Egon Durban, who serves as a director of the Issuer, also serves as a Co-CEO and Managing Member of SLG. Each of the Reporting Persons may be deemed a director by deputization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Reflects shares of Class C Common Stock held by SLG. Shares held include shares of Class C Common Stock received in connection with the distributions described herein on June 9, 2026. The receipt of such shares of Class C Common Stock was exempt from reporting pursuant to Rule 16a-13 of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shares of Class C Common Stock are held by entities in which Mr. Durban may be deemed to have an indirect pecuniary interest including shares received in connection with the distributions of shares of Class C Common Stock on June 9, 2026. The receipt of such shares of Class C Common Stock indirectly by Mr. Durban was exempt from reporting pursuant to Rule 16a-13 of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 connection with the distributions described in footnote (1) above, distributions of certain shares were initiated to certain employees and managing members of SLG or its affiliates, including Mr. Durban. This amount reflects 24,563, 24,932, 114,663 and 56 shares held by SLTA SPV-2, L.P., Silver Lake Technology Associates V, L.P., SLG and Silver Lake Secondary Holdings L.P., respectively, on behalf of such individuals, including shares distributed in the June 9, 2026 distributions. The receipt of such shares of Class C Common Stock was exempt from reporting pursuant to Rule 16a-13 of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shares of Class C Common Stock held directly by Mr. Durban. The 2,791 shares represent shares of Class C Common Stock deemed received by Mr. Durban in connection with the distribution of shares of Class C Common Stock described herein on June 9, 2026, all of which were donated on such day to a charitable foundation. The deemed receipt of such shares of Class C Common Stock was exempt from reporting pursuant to Rule 16a-13 of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shares of Class C Common Stock beneficially owned indirectly by Mr. Durban through a trust for the benefit of certain family members, including shares received in connection with the distributions of shares of Class C Common Stock on June 9, 2026. The receipt of such shares of Class C Common Stock indirectly by Mr. Durban was exempt from reporting pursuant to Rule 16a-13 of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$402.8869 to $403.8201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at prices ranging from $403.9600 to $404.9423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sold in multiple transactions at prices ranging from $405.1000 to $406.0000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These shares were sold in multiple transactions at prices ranging from $406.1500 to $406.4200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Following the transactions described in footnote (1), SL SPV-2, L.P. directly holds 0 shares of Class C Common Stock, Silver Lake Partners V DE (AIV), L.P. directly holds 5,322 shares of Class C Common Stock, Silver Lake Technology Investors IV, L.P. directly holds 0 shares of Class C Common Stock, and Silver Lake Technology Investors V, L.P. directly holds 0 shares of Class C Common Stock, which securities and related transactions are reported on separate Form 4 filings.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IV (GP), L.L.C., general partner of Silver Lake Technology Associates IV, L.P., general partner of Silver Lake Partners IV,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IV (GP), L.L.C., general partner of Silver Lake Technology Associates IV,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IV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Attorney-in-fact for Egon Durban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2054" TargetMode="External"/><Relationship Id="rId5" Type="http://schemas.openxmlformats.org/officeDocument/2006/relationships/hyperlink" Target="http://www.sec.gov/cgi-bin/browse-edgar?action=getcompany&amp;CIK=00015719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552054" TargetMode="External"/><Relationship Id="rId10" Type="http://schemas.openxmlformats.org/officeDocument/2006/relationships/hyperlink" Target="http://www.sec.gov/cgi-bin/browse-edgar?action=getcompany&amp;CIK=0001672566" TargetMode="External"/><Relationship Id="rId11" Type="http://schemas.openxmlformats.org/officeDocument/2006/relationships/hyperlink" Target="http://www.sec.gov/cgi-bin/browse-edgar?action=getcompany&amp;CIK=0001672568" TargetMode="External"/><Relationship Id="rId12" Type="http://schemas.openxmlformats.org/officeDocument/2006/relationships/hyperlink" Target="http://www.sec.gov/cgi-bin/browse-edgar?action=getcompany&amp;CIK=0001418226" TargetMode="External"/><Relationship Id="rId13" Type="http://schemas.openxmlformats.org/officeDocument/2006/relationships/hyperlink" Target="http://www.sec.gov/cgi-bin/browse-edgar?action=getcompany&amp;CIK=0001651403"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2136</Words>
  <Characters>10947</Characters>
  <CharactersWithSpaces>12891</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