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388"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CURRENT REPORT</w:t>
      </w:r>
    </w:p>
    <w:p>
      <w:pPr>
        <w:spacing w:after="0" w:line="31" w:lineRule="exact"/>
        <w:rPr>
          <w:sz w:val="24"/>
          <w:szCs w:val="24"/>
          <w:color w:val="auto"/>
        </w:rPr>
      </w:pPr>
    </w:p>
    <w:p>
      <w:pPr>
        <w:ind w:left="4180"/>
        <w:spacing w:after="0"/>
        <w:rPr>
          <w:sz w:val="20"/>
          <w:szCs w:val="20"/>
          <w:color w:val="auto"/>
        </w:rPr>
      </w:pPr>
      <w:r>
        <w:rPr>
          <w:rFonts w:ascii="Arial" w:cs="Arial" w:eastAsia="Arial" w:hAnsi="Arial"/>
          <w:sz w:val="22"/>
          <w:szCs w:val="22"/>
          <w:b w:val="1"/>
          <w:bCs w:val="1"/>
          <w:color w:val="auto"/>
        </w:rPr>
        <w:t>Pursuant to Section 13 or 15(d)</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Date of Report (Date of earliest event reported): March 26, 2020</w:t>
      </w:r>
    </w:p>
    <w:p>
      <w:pPr>
        <w:spacing w:after="0" w:line="27" w:lineRule="exact"/>
        <w:rPr>
          <w:sz w:val="24"/>
          <w:szCs w:val="24"/>
          <w:color w:val="auto"/>
        </w:rPr>
      </w:pPr>
    </w:p>
    <w:p>
      <w:pPr>
        <w:ind w:left="4460"/>
        <w:spacing w:after="0"/>
        <w:rPr>
          <w:sz w:val="20"/>
          <w:szCs w:val="20"/>
          <w:color w:val="auto"/>
        </w:rPr>
      </w:pPr>
      <w:r>
        <w:rPr>
          <w:rFonts w:ascii="Arial" w:cs="Arial" w:eastAsia="Arial" w:hAnsi="Arial"/>
          <w:sz w:val="22"/>
          <w:szCs w:val="22"/>
          <w:b w:val="1"/>
          <w:bCs w:val="1"/>
          <w:color w:val="auto"/>
        </w:rPr>
        <w:t>______________________</w:t>
      </w:r>
    </w:p>
    <w:p>
      <w:pPr>
        <w:spacing w:after="0" w:line="72"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Dell Technologies Inc.</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460"/>
        <w:spacing w:after="0"/>
        <w:rPr>
          <w:sz w:val="20"/>
          <w:szCs w:val="20"/>
          <w:color w:val="auto"/>
        </w:rPr>
      </w:pPr>
      <w:r>
        <w:rPr>
          <w:rFonts w:ascii="Arial" w:cs="Arial" w:eastAsia="Arial" w:hAnsi="Arial"/>
          <w:sz w:val="22"/>
          <w:szCs w:val="22"/>
          <w:b w:val="1"/>
          <w:bCs w:val="1"/>
          <w:color w:val="auto"/>
        </w:rPr>
        <w:t>______________________</w:t>
      </w:r>
    </w:p>
    <w:p>
      <w:pPr>
        <w:sectPr>
          <w:pgSz w:w="11900" w:h="16838" w:orient="portrait"/>
          <w:cols w:equalWidth="0" w:num="1">
            <w:col w:w="11100"/>
          </w:cols>
          <w:pgMar w:left="320" w:top="719" w:right="479" w:bottom="1440" w:gutter="0" w:footer="0" w:header="0"/>
        </w:sectPr>
      </w:pPr>
    </w:p>
    <w:p>
      <w:pPr>
        <w:spacing w:after="0" w:line="147"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001-37867</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80-0890963</w:t>
      </w:r>
    </w:p>
    <w:p>
      <w:pPr>
        <w:spacing w:after="0" w:line="82" w:lineRule="exact"/>
        <w:rPr>
          <w:sz w:val="24"/>
          <w:szCs w:val="24"/>
          <w:color w:val="auto"/>
        </w:rPr>
      </w:pPr>
    </w:p>
    <w:p>
      <w:pPr>
        <w:sectPr>
          <w:pgSz w:w="11900" w:h="16838" w:orient="portrait"/>
          <w:cols w:equalWidth="0" w:num="3">
            <w:col w:w="4520" w:space="720"/>
            <w:col w:w="3000" w:space="720"/>
            <w:col w:w="2140"/>
          </w:cols>
          <w:pgMar w:left="320" w:top="719" w:right="479" w:bottom="1440" w:gutter="0" w:footer="0" w:header="0"/>
          <w:type w:val="continuous"/>
        </w:sectPr>
      </w:pPr>
    </w:p>
    <w:p>
      <w:pPr>
        <w:jc w:val="center"/>
        <w:ind w:right="780"/>
        <w:spacing w:after="0"/>
        <w:rPr>
          <w:sz w:val="20"/>
          <w:szCs w:val="20"/>
          <w:color w:val="auto"/>
        </w:rPr>
      </w:pPr>
      <w:r>
        <w:rPr>
          <w:rFonts w:ascii="Arial" w:cs="Arial" w:eastAsia="Arial" w:hAnsi="Arial"/>
          <w:sz w:val="13"/>
          <w:szCs w:val="13"/>
          <w:b w:val="1"/>
          <w:bCs w:val="1"/>
          <w:color w:val="auto"/>
        </w:rPr>
        <w:t>(State or other jurisdiction</w:t>
      </w:r>
    </w:p>
    <w:p>
      <w:pPr>
        <w:spacing w:after="0" w:line="15" w:lineRule="exact"/>
        <w:rPr>
          <w:sz w:val="24"/>
          <w:szCs w:val="24"/>
          <w:color w:val="auto"/>
        </w:rPr>
      </w:pPr>
    </w:p>
    <w:p>
      <w:pPr>
        <w:jc w:val="center"/>
        <w:ind w:right="78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189" w:lineRule="exact"/>
        <w:rPr>
          <w:sz w:val="24"/>
          <w:szCs w:val="24"/>
          <w:color w:val="auto"/>
        </w:rPr>
      </w:pPr>
    </w:p>
    <w:p>
      <w:pPr>
        <w:sectPr>
          <w:pgSz w:w="11900" w:h="16838" w:orient="portrait"/>
          <w:cols w:equalWidth="0" w:num="3">
            <w:col w:w="4500" w:space="720"/>
            <w:col w:w="2880" w:space="720"/>
            <w:col w:w="2280"/>
          </w:cols>
          <w:pgMar w:left="320" w:top="719" w:right="479" w:bottom="1440" w:gutter="0" w:footer="0" w:header="0"/>
          <w:type w:val="continuous"/>
        </w:sectPr>
      </w:pPr>
    </w:p>
    <w:p>
      <w:pPr>
        <w:ind w:left="2280"/>
        <w:spacing w:after="0"/>
        <w:rPr>
          <w:sz w:val="20"/>
          <w:szCs w:val="20"/>
          <w:color w:val="auto"/>
        </w:rPr>
      </w:pPr>
      <w:r>
        <w:rPr>
          <w:rFonts w:ascii="Arial" w:cs="Arial" w:eastAsia="Arial" w:hAnsi="Arial"/>
          <w:sz w:val="16"/>
          <w:szCs w:val="16"/>
          <w:b w:val="1"/>
          <w:bCs w:val="1"/>
          <w:color w:val="auto"/>
        </w:rPr>
        <w:t>One Dell Way</w:t>
      </w:r>
    </w:p>
    <w:p>
      <w:pPr>
        <w:spacing w:after="0" w:line="86" w:lineRule="exact"/>
        <w:rPr>
          <w:sz w:val="24"/>
          <w:szCs w:val="24"/>
          <w:color w:val="auto"/>
        </w:rPr>
      </w:pPr>
    </w:p>
    <w:p>
      <w:pPr>
        <w:ind w:left="2340"/>
        <w:spacing w:after="0"/>
        <w:rPr>
          <w:sz w:val="20"/>
          <w:szCs w:val="20"/>
          <w:color w:val="auto"/>
        </w:rPr>
      </w:pPr>
      <w:r>
        <w:rPr>
          <w:rFonts w:ascii="Arial" w:cs="Arial" w:eastAsia="Arial" w:hAnsi="Arial"/>
          <w:sz w:val="17"/>
          <w:szCs w:val="17"/>
          <w:b w:val="1"/>
          <w:bCs w:val="1"/>
          <w:color w:val="auto"/>
        </w:rPr>
        <w:t>Round Rock</w:t>
      </w:r>
    </w:p>
    <w:p>
      <w:pPr>
        <w:sectPr>
          <w:pgSz w:w="11900" w:h="16838" w:orient="portrait"/>
          <w:cols w:equalWidth="0" w:num="1">
            <w:col w:w="11100"/>
          </w:cols>
          <w:pgMar w:left="320" w:top="719" w:right="479" w:bottom="1440" w:gutter="0" w:footer="0" w:header="0"/>
          <w:type w:val="continuous"/>
        </w:sectPr>
      </w:pPr>
    </w:p>
    <w:p>
      <w:pPr>
        <w:spacing w:after="0" w:line="75" w:lineRule="exact"/>
        <w:rPr>
          <w:sz w:val="24"/>
          <w:szCs w:val="24"/>
          <w:color w:val="auto"/>
        </w:rPr>
      </w:pPr>
    </w:p>
    <w:p>
      <w:pPr>
        <w:ind w:left="2600"/>
        <w:spacing w:after="0"/>
        <w:rPr>
          <w:sz w:val="20"/>
          <w:szCs w:val="20"/>
          <w:color w:val="auto"/>
        </w:rPr>
      </w:pPr>
      <w:r>
        <w:rPr>
          <w:rFonts w:ascii="Arial" w:cs="Arial" w:eastAsia="Arial" w:hAnsi="Arial"/>
          <w:sz w:val="15"/>
          <w:szCs w:val="15"/>
          <w:b w:val="1"/>
          <w:bCs w:val="1"/>
          <w:color w:val="auto"/>
        </w:rPr>
        <w:t>Texas</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78682</w:t>
      </w:r>
    </w:p>
    <w:p>
      <w:pPr>
        <w:spacing w:after="0" w:line="149" w:lineRule="exact"/>
        <w:rPr>
          <w:sz w:val="24"/>
          <w:szCs w:val="24"/>
          <w:color w:val="auto"/>
        </w:rPr>
      </w:pPr>
    </w:p>
    <w:p>
      <w:pPr>
        <w:sectPr>
          <w:pgSz w:w="11900" w:h="16838" w:orient="portrait"/>
          <w:cols w:equalWidth="0" w:num="2">
            <w:col w:w="7540" w:space="720"/>
            <w:col w:w="2840"/>
          </w:cols>
          <w:pgMar w:left="320" w:top="719" w:right="479" w:bottom="1440" w:gutter="0" w:footer="0" w:header="0"/>
          <w:type w:val="continuous"/>
        </w:sectPr>
      </w:pPr>
    </w:p>
    <w:p>
      <w:pPr>
        <w:ind w:left="16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7440" w:space="720"/>
            <w:col w:w="2940"/>
          </w:cols>
          <w:pgMar w:left="320" w:top="719" w:right="479" w:bottom="1440" w:gutter="0" w:footer="0" w:header="0"/>
          <w:type w:val="continuous"/>
        </w:sectPr>
      </w:pPr>
    </w:p>
    <w:p>
      <w:pPr>
        <w:spacing w:after="0" w:line="4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Registrant’s telephone number, including area code: (800) 289-3355</w:t>
      </w: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9"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8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338"/>
        </w:trPr>
        <w:tc>
          <w:tcPr>
            <w:tcW w:w="18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1680" w:type="dxa"/>
            <w:vAlign w:val="bottom"/>
          </w:tcPr>
          <w:p>
            <w:pPr>
              <w:spacing w:after="0"/>
              <w:rPr>
                <w:sz w:val="24"/>
                <w:szCs w:val="24"/>
                <w:color w:val="auto"/>
              </w:rPr>
            </w:pPr>
          </w:p>
        </w:tc>
        <w:tc>
          <w:tcPr>
            <w:tcW w:w="2640" w:type="dxa"/>
            <w:vAlign w:val="bottom"/>
            <w:gridSpan w:val="3"/>
          </w:tcPr>
          <w:p>
            <w:pPr>
              <w:jc w:val="center"/>
              <w:ind w:right="440"/>
              <w:spacing w:after="0"/>
              <w:rPr>
                <w:sz w:val="20"/>
                <w:szCs w:val="20"/>
                <w:color w:val="auto"/>
              </w:rPr>
            </w:pPr>
            <w:r>
              <w:rPr>
                <w:rFonts w:ascii="Arial" w:cs="Arial" w:eastAsia="Arial" w:hAnsi="Arial"/>
                <w:sz w:val="18"/>
                <w:szCs w:val="18"/>
                <w:color w:val="auto"/>
                <w:w w:val="92"/>
              </w:rPr>
              <w:t>Trading Symbol(s)</w:t>
            </w: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8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90"/>
        </w:trPr>
        <w:tc>
          <w:tcPr>
            <w:tcW w:w="482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89"/>
              </w:rPr>
              <w:t>Class C Common Stock, par value $0.01 per share</w:t>
            </w:r>
          </w:p>
        </w:tc>
        <w:tc>
          <w:tcPr>
            <w:tcW w:w="420" w:type="dxa"/>
            <w:vAlign w:val="bottom"/>
          </w:tcPr>
          <w:p>
            <w:pPr>
              <w:spacing w:after="0"/>
              <w:rPr>
                <w:sz w:val="24"/>
                <w:szCs w:val="24"/>
                <w:color w:val="auto"/>
              </w:rPr>
            </w:pPr>
          </w:p>
        </w:tc>
        <w:tc>
          <w:tcPr>
            <w:tcW w:w="222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rPr>
              <w:t>DELL</w:t>
            </w:r>
          </w:p>
        </w:tc>
        <w:tc>
          <w:tcPr>
            <w:tcW w:w="318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175" w:lineRule="exact"/>
        <w:rPr>
          <w:sz w:val="24"/>
          <w:szCs w:val="24"/>
          <w:color w:val="auto"/>
        </w:rPr>
      </w:pPr>
    </w:p>
    <w:p>
      <w:pPr>
        <w:ind w:left="40" w:right="340"/>
        <w:spacing w:after="0" w:line="26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80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107" w:lineRule="exact"/>
        <w:rPr>
          <w:sz w:val="24"/>
          <w:szCs w:val="24"/>
          <w:color w:val="auto"/>
        </w:rPr>
      </w:pPr>
    </w:p>
    <w:p>
      <w:pPr>
        <w:ind w:lef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100"/>
          </w:cols>
          <w:pgMar w:left="320" w:top="719" w:right="479" w:bottom="1440" w:gutter="0" w:footer="0" w:header="0"/>
          <w:type w:val="continuous"/>
        </w:sectPr>
      </w:pPr>
    </w:p>
    <w:bookmarkStart w:id="1" w:name="page2"/>
    <w:bookmarkEnd w:id="1"/>
    <w:p>
      <w:pPr>
        <w:spacing w:after="0"/>
        <w:tabs>
          <w:tab w:leader="none" w:pos="9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part of its fourth quarter earnings announcement on February 27, 2020, Dell Technologies Inc. (the “Company” or “Dell Technologies”) provided financial guidance for full year fiscal 2021. While the Company currently is seeing heightened interest in work from home solutions and continuing execution in its global supply chain, and remains confident in its liquidity position, the Company is unable to predict the extent to which the global COVID-19 pandemic may adversely impact its business operations, financial performance and results of operations for the current fiscal year. As a result of the rising level of uncertainty resulting from the pandemic, the Company has determined to withdraw its previously issued full year fiscal 2021 financial guidance. The Company plans to provide more information during its first quarter earnings call based on the information available at that time.</w:t>
      </w:r>
    </w:p>
    <w:p>
      <w:pPr>
        <w:spacing w:after="0" w:line="16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accordance with General Instruction B.2. of Form 8-K, the information contained in this Item 7.01 is being “furnished” to the SEC and shall not be deemed “filed” for purposes of Section 18 of the Securities Exchange Act of 1934, as amended, or otherwise subject to the liabilities under such section. Further, such information shall not be deemed to be incorporated by reference in any filing under the Securities Act of 1933, as amended, or the Securities Exchange Act of 1934, as amended, unless specifically identified as being incorporated therein by reference.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Special Note on Forward-Looking Statements</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Statements in this report that relate to future results and events are forward-looking statements within the meaning of Section 21E of the Securities Exchange Act of 1934 and Section 27A of the Securities Act of 1933 and are based on Dell Technologies’ current expectations. In some cases, you can identify these statements by such forward-looking words as “anticipate,” “believe,” “confidence,” “could,” “estimate,” “expect,” “intend,” “may,” “objective,” “outlook,” “plan,” “project,” “possible,” “potential,” “should,” “will” and “would,” or similar words or expressions that refer to future events or outcomes.</w:t>
      </w:r>
    </w:p>
    <w:p>
      <w:pPr>
        <w:spacing w:after="0" w:line="188"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Dell Technologies’ results or events in future periods could differ materially from those expressed or implied by these forward-looking statements because of risks, uncertainties, and other factors that include, but are not limited to, the following: competitive pressures; Dell Technologies’ reliance on third-party suppliers for products and components, including reliance on single-source or limited-source suppliers; Dell Technologies’ ability to achieve favorable pricing from its vendors; adverse global economic conditions and instability in financial markets; Dell Technologies’ execution of its growth, business and acquisition strategies; the success of Dell Technologies’ cost efficiency measures; Dell Technologies’ ability to manage solutions and products and services transitions in an effective manner; Dell Technologies’ ability to deliver high-quality products and services; Dell Technologies’ foreign operations and ability to generate substantial non-U.S. net revenue; Dell Technologies’ product, customer, and geographic sales mix, and seasonal sales trends; the performance of Dell Technologies’ sales channel partners; access to the capital markets by Dell Technologies or its customers; weak economic conditions and additional regulation including tariffs and other effects of trade regulation; counterparty default risks; the loss by Dell Technologies of any services contracts with its customers, including government contracts, and its ability to perform such contracts at its estimated costs; Dell Technologies’ ability to develop and protect its proprietary intellectual property or obtain licenses to intellectual property developed by others on commercially reasonable and competitive terms; infrastructure disruptions, cyberattacks, or other data security breaches; Dell Technologies’ ability to hedge effectively its exposure to fluctuations in foreign currency exchange rates and interest rates; expiration of tax holidays or favorable tax rate structures, or unfavorable outcomes in tax audits and other tax compliance matters; impairment of portfolio investments; unfavorable results of legal proceedings; increased costs and additional regulations and requirements as a result of Dell Technologies’ operation as a public company; Dell Technologies’ ability to develop and maintain effective internal control over financial reporting; compliance requirements of changing environmental and safety laws; the effect of armed hostilities, terrorism, natural disasters, and public health issues, including the coronavirus (COVID-19) pandemic, which began spreading globally in early 2020; Dell Technologies’ substantial level of indebtedness; the impact of the financial performance of VMware, Inc.; and the market volatility of Dell Technologies’ pension plan assets.</w:t>
      </w:r>
    </w:p>
    <w:p>
      <w:pPr>
        <w:spacing w:after="0" w:line="18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This list of risks, uncertainties, and other factors is not complete. Dell Technologies discusses some of these matters more fully, as well as certain risk factors that could affect Dell Technologies’ business, financial condition, results of operations, and prospects, in its reports filed with the SEC, including Dell Technologies’ annual report on Form 10-K, quarterly reports on Form 10-Q, and current reports on Form 8-K. These filings are available for review through the SEC’s website at www.sec.gov. Any or all forward-looking statements Dell Technologies makes may turn out to be wrong and can be affected by inaccurate assumptions Dell Technologies might make or by known or unknown risks, uncertainties and other factors, including those identified in this report. Accordingly, you should not place undue reliance on the forward-looking statements made in this report, which speak only as of its date. Dell Technologies does not undertake to update, and expressly disclaims any duty to</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553"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t>update, its forward-looking statements, whether as a result of circumstances or events that arise after the date they are made, new information, or otherwise.</w:t>
      </w:r>
    </w:p>
    <w:p>
      <w:pPr>
        <w:sectPr>
          <w:pgSz w:w="11900" w:h="16838" w:orient="portrait"/>
          <w:cols w:equalWidth="0" w:num="1">
            <w:col w:w="11220"/>
          </w:cols>
          <w:pgMar w:left="320" w:top="557" w:right="35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20"/>
          </w:cols>
          <w:pgMar w:left="320" w:top="557" w:right="359" w:bottom="1440" w:gutter="0" w:footer="0" w:header="0"/>
          <w:type w:val="continuous"/>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2" w:lineRule="exact"/>
        <w:rPr>
          <w:sz w:val="20"/>
          <w:szCs w:val="20"/>
          <w:color w:val="auto"/>
        </w:rPr>
      </w:pPr>
    </w:p>
    <w:p>
      <w:pPr>
        <w:ind w:left="40"/>
        <w:spacing w:after="0"/>
        <w:tabs>
          <w:tab w:leader="none" w:pos="5420" w:val="left"/>
        </w:tabs>
        <w:rPr>
          <w:sz w:val="20"/>
          <w:szCs w:val="20"/>
          <w:color w:val="auto"/>
        </w:rPr>
      </w:pPr>
      <w:r>
        <w:rPr>
          <w:rFonts w:ascii="Arial" w:cs="Arial" w:eastAsia="Arial" w:hAnsi="Arial"/>
          <w:sz w:val="18"/>
          <w:szCs w:val="18"/>
          <w:color w:val="auto"/>
        </w:rPr>
        <w:t>Date: March 26, 2020</w:t>
      </w:r>
      <w:r>
        <w:rPr>
          <w:sz w:val="20"/>
          <w:szCs w:val="20"/>
          <w:color w:val="auto"/>
        </w:rPr>
        <w:tab/>
      </w:r>
      <w:r>
        <w:rPr>
          <w:rFonts w:ascii="Arial" w:cs="Arial" w:eastAsia="Arial" w:hAnsi="Arial"/>
          <w:sz w:val="15"/>
          <w:szCs w:val="15"/>
          <w:b w:val="1"/>
          <w:bCs w:val="1"/>
          <w:color w:val="auto"/>
        </w:rPr>
        <w:t>Dell Technologies Inc.</w:t>
      </w:r>
    </w:p>
    <w:p>
      <w:pPr>
        <w:spacing w:after="0" w:line="67" w:lineRule="exact"/>
        <w:rPr>
          <w:sz w:val="20"/>
          <w:szCs w:val="20"/>
          <w:color w:val="auto"/>
        </w:rPr>
      </w:pPr>
    </w:p>
    <w:p>
      <w:pPr>
        <w:ind w:left="5440"/>
        <w:spacing w:after="0"/>
        <w:tabs>
          <w:tab w:leader="none" w:pos="7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31750</wp:posOffset>
            </wp:positionV>
            <wp:extent cx="34118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57"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Robert Potts</w:t>
      </w:r>
    </w:p>
    <w:p>
      <w:pPr>
        <w:spacing w:after="0" w:line="23"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Senior Vice President and Assistant Secretary</w:t>
      </w:r>
    </w:p>
    <w:p>
      <w:pPr>
        <w:spacing w:after="0" w:line="49"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sectPr>
      <w:pgSz w:w="11900" w:h="16838" w:orient="portrait"/>
      <w:cols w:equalWidth="0" w:num="1">
        <w:col w:w="11200"/>
      </w:cols>
      <w:pgMar w:left="320" w:top="55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2020-03-26T16:06:58Z</dcterms:created>
  <dcterms:modified xsi:type="dcterms:W3CDTF">2020-03-26T16:06:58Z</dcterms:modified>
</cp:coreProperties>
</file>