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340"/>
          </w:cols>
          <w:pgMar w:left="460" w:top="215" w:right="4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2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IV, L.P.</w:t>
              </w:r>
            </w:hyperlink>
          </w:p>
        </w:tc>
        <w:tc>
          <w:tcPr>
            <w:tcW w:w="60" w:type="dxa"/>
            <w:vAlign w:val="bottom"/>
          </w:tcPr>
          <w:p>
            <w:pPr>
              <w:spacing w:after="0"/>
              <w:rPr>
                <w:sz w:val="15"/>
                <w:szCs w:val="15"/>
                <w:color w:val="auto"/>
              </w:rPr>
            </w:pPr>
          </w:p>
        </w:tc>
        <w:tc>
          <w:tcPr>
            <w:tcW w:w="2800" w:type="dxa"/>
            <w:vAlign w:val="bottom"/>
            <w:gridSpan w:val="5"/>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72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vMerge w:val="restart"/>
          </w:tcPr>
          <w:p>
            <w:pPr>
              <w:ind w:left="220"/>
              <w:spacing w:after="0" w:line="146" w:lineRule="exact"/>
              <w:rPr>
                <w:sz w:val="20"/>
                <w:szCs w:val="20"/>
                <w:color w:val="auto"/>
              </w:rPr>
            </w:pPr>
            <w:r>
              <w:rPr>
                <w:rFonts w:ascii="Arial" w:cs="Arial" w:eastAsia="Arial" w:hAnsi="Arial"/>
                <w:sz w:val="13"/>
                <w:szCs w:val="13"/>
                <w:color w:val="auto"/>
              </w:rPr>
              <w:t>Director</w:t>
            </w:r>
          </w:p>
        </w:tc>
        <w:tc>
          <w:tcPr>
            <w:tcW w:w="1800" w:type="dxa"/>
            <w:vAlign w:val="bottom"/>
            <w:gridSpan w:val="3"/>
            <w:vMerge w:val="restart"/>
          </w:tcPr>
          <w:p>
            <w:pPr>
              <w:ind w:left="6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vMerge w:val="restart"/>
          </w:tcPr>
          <w:p>
            <w:pPr>
              <w:ind w:left="220"/>
              <w:spacing w:after="0"/>
              <w:rPr>
                <w:sz w:val="20"/>
                <w:szCs w:val="20"/>
                <w:color w:val="auto"/>
              </w:rPr>
            </w:pPr>
            <w:r>
              <w:rPr>
                <w:rFonts w:ascii="Arial" w:cs="Arial" w:eastAsia="Arial" w:hAnsi="Arial"/>
                <w:sz w:val="13"/>
                <w:szCs w:val="13"/>
                <w:color w:val="auto"/>
                <w:w w:val="95"/>
              </w:rPr>
              <w:t>Officer (give title</w:t>
            </w:r>
          </w:p>
        </w:tc>
        <w:tc>
          <w:tcPr>
            <w:tcW w:w="1800" w:type="dxa"/>
            <w:vAlign w:val="bottom"/>
            <w:gridSpan w:val="3"/>
            <w:vMerge w:val="restart"/>
          </w:tcPr>
          <w:p>
            <w:pPr>
              <w:ind w:left="6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00"/>
              <w:spacing w:after="0"/>
              <w:rPr>
                <w:sz w:val="20"/>
                <w:szCs w:val="20"/>
                <w:color w:val="auto"/>
              </w:rPr>
            </w:pPr>
            <w:r>
              <w:rPr>
                <w:rFonts w:ascii="Arial" w:cs="Arial" w:eastAsia="Arial" w:hAnsi="Arial"/>
                <w:sz w:val="13"/>
                <w:szCs w:val="13"/>
                <w:color w:val="auto"/>
              </w:rPr>
              <w:t>(First)</w:t>
            </w:r>
          </w:p>
        </w:tc>
        <w:tc>
          <w:tcPr>
            <w:tcW w:w="520" w:type="dxa"/>
            <w:vAlign w:val="bottom"/>
          </w:tcPr>
          <w:p>
            <w:pPr>
              <w:ind w:left="40"/>
              <w:spacing w:after="0"/>
              <w:rPr>
                <w:sz w:val="20"/>
                <w:szCs w:val="20"/>
                <w:color w:val="auto"/>
              </w:rPr>
            </w:pPr>
            <w:r>
              <w:rPr>
                <w:rFonts w:ascii="Arial" w:cs="Arial" w:eastAsia="Arial" w:hAnsi="Arial"/>
                <w:sz w:val="13"/>
                <w:szCs w:val="13"/>
                <w:color w:val="auto"/>
                <w:w w:val="97"/>
              </w:rPr>
              <w:t>(Middle)</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Arial" w:cs="Arial" w:eastAsia="Arial" w:hAnsi="Arial"/>
                <w:sz w:val="13"/>
                <w:szCs w:val="13"/>
                <w:color w:val="auto"/>
              </w:rPr>
              <w:t>below)</w:t>
            </w:r>
          </w:p>
        </w:tc>
        <w:tc>
          <w:tcPr>
            <w:tcW w:w="1800" w:type="dxa"/>
            <w:vAlign w:val="bottom"/>
            <w:gridSpan w:val="3"/>
          </w:tcPr>
          <w:p>
            <w:pPr>
              <w:ind w:left="6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06/12/2026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92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80" w:type="dxa"/>
            <w:vAlign w:val="bottom"/>
            <w:gridSpan w:val="6"/>
            <w:vMerge w:val="restart"/>
          </w:tcPr>
          <w:p>
            <w:pPr>
              <w:spacing w:after="0"/>
              <w:rPr>
                <w:sz w:val="20"/>
                <w:szCs w:val="20"/>
                <w:color w:val="auto"/>
              </w:rPr>
            </w:pPr>
            <w:r>
              <w:rPr>
                <w:rFonts w:ascii="Arial" w:cs="Arial" w:eastAsia="Arial" w:hAnsi="Arial"/>
                <w:sz w:val="13"/>
                <w:szCs w:val="13"/>
                <w:color w:val="auto"/>
                <w:w w:val="98"/>
              </w:rPr>
              <w:t>4. If Amendment, Date of Original Filed (Month/Day/Year)</w:t>
            </w:r>
          </w:p>
        </w:tc>
        <w:tc>
          <w:tcPr>
            <w:tcW w:w="480" w:type="dxa"/>
            <w:vAlign w:val="bottom"/>
          </w:tcPr>
          <w:p>
            <w:pPr>
              <w:spacing w:after="0"/>
              <w:rPr>
                <w:sz w:val="6"/>
                <w:szCs w:val="6"/>
                <w:color w:val="auto"/>
              </w:rPr>
            </w:pPr>
          </w:p>
        </w:tc>
        <w:tc>
          <w:tcPr>
            <w:tcW w:w="332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80" w:type="dxa"/>
            <w:vAlign w:val="bottom"/>
            <w:gridSpan w:val="6"/>
            <w:vMerge w:val="continue"/>
          </w:tcPr>
          <w:p>
            <w:pPr>
              <w:spacing w:after="0"/>
              <w:rPr>
                <w:sz w:val="8"/>
                <w:szCs w:val="8"/>
                <w:color w:val="auto"/>
              </w:rPr>
            </w:pPr>
          </w:p>
        </w:tc>
        <w:tc>
          <w:tcPr>
            <w:tcW w:w="480" w:type="dxa"/>
            <w:vAlign w:val="bottom"/>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vMerge w:val="restart"/>
          </w:tcPr>
          <w:p>
            <w:pPr>
              <w:spacing w:after="0"/>
              <w:rPr>
                <w:sz w:val="3"/>
                <w:szCs w:val="3"/>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0000FF"/>
              </w:rPr>
              <w:t>CA</w:t>
            </w:r>
          </w:p>
        </w:tc>
        <w:tc>
          <w:tcPr>
            <w:tcW w:w="52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94025</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Arial" w:cs="Arial" w:eastAsia="Arial" w:hAnsi="Arial"/>
                <w:sz w:val="13"/>
                <w:szCs w:val="13"/>
                <w:color w:val="auto"/>
              </w:rPr>
              <w:t>Person</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00"/>
              <w:spacing w:after="0"/>
              <w:rPr>
                <w:sz w:val="20"/>
                <w:szCs w:val="20"/>
                <w:color w:val="auto"/>
              </w:rPr>
            </w:pPr>
            <w:r>
              <w:rPr>
                <w:rFonts w:ascii="Arial" w:cs="Arial" w:eastAsia="Arial" w:hAnsi="Arial"/>
                <w:sz w:val="13"/>
                <w:szCs w:val="13"/>
                <w:color w:val="auto"/>
              </w:rPr>
              <w:t>(State)</w:t>
            </w:r>
          </w:p>
        </w:tc>
        <w:tc>
          <w:tcPr>
            <w:tcW w:w="520" w:type="dxa"/>
            <w:vAlign w:val="bottom"/>
          </w:tcPr>
          <w:p>
            <w:pPr>
              <w:ind w:left="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7940" w:type="dxa"/>
            <w:vAlign w:val="bottom"/>
            <w:tcBorders>
              <w:top w:val="single" w:sz="8" w:color="2C2C2C"/>
            </w:tcBorders>
            <w:gridSpan w:val="15"/>
          </w:tcPr>
          <w:p>
            <w:pPr>
              <w:jc w:val="right"/>
              <w:ind w:right="51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2. Transaction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4"/>
                <w:szCs w:val="14"/>
                <w:color w:val="auto"/>
              </w:rPr>
            </w:pP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5"/>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(I) (Instr. 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5"/>
                <w:szCs w:val="5"/>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766</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766</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5"/>
            <w:vMerge w:val="continue"/>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110</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399.5</w:t>
            </w:r>
            <w:r>
              <w:rPr>
                <w:rFonts w:ascii="Times New Roman" w:cs="Times New Roman" w:eastAsia="Times New Roman" w:hAnsi="Times New Roman"/>
                <w:sz w:val="20"/>
                <w:szCs w:val="20"/>
                <w:color w:val="008000"/>
                <w:w w:val="95"/>
                <w:vertAlign w:val="superscript"/>
              </w:rPr>
              <w:t>(10)</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656</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400.52</w:t>
            </w:r>
            <w:r>
              <w:rPr>
                <w:rFonts w:ascii="Times New Roman" w:cs="Times New Roman" w:eastAsia="Times New Roman" w:hAnsi="Times New Roman"/>
                <w:sz w:val="20"/>
                <w:szCs w:val="20"/>
                <w:color w:val="008000"/>
                <w:w w:val="95"/>
                <w:vertAlign w:val="superscript"/>
              </w:rPr>
              <w:t>(11)</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555</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126</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401.41</w:t>
            </w:r>
            <w:r>
              <w:rPr>
                <w:rFonts w:ascii="Times New Roman" w:cs="Times New Roman" w:eastAsia="Times New Roman" w:hAnsi="Times New Roman"/>
                <w:sz w:val="20"/>
                <w:szCs w:val="20"/>
                <w:color w:val="008000"/>
                <w:w w:val="95"/>
                <w:vertAlign w:val="superscript"/>
              </w:rPr>
              <w:t>(12)</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429</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87</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402.53</w:t>
            </w:r>
            <w:r>
              <w:rPr>
                <w:rFonts w:ascii="Times New Roman" w:cs="Times New Roman" w:eastAsia="Times New Roman" w:hAnsi="Times New Roman"/>
                <w:sz w:val="20"/>
                <w:szCs w:val="20"/>
                <w:color w:val="008000"/>
                <w:w w:val="95"/>
                <w:vertAlign w:val="superscript"/>
              </w:rPr>
              <w:t>(13)</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342</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39</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403.35</w:t>
            </w:r>
            <w:r>
              <w:rPr>
                <w:rFonts w:ascii="Times New Roman" w:cs="Times New Roman" w:eastAsia="Times New Roman" w:hAnsi="Times New Roman"/>
                <w:sz w:val="20"/>
                <w:szCs w:val="20"/>
                <w:color w:val="008000"/>
                <w:w w:val="95"/>
                <w:vertAlign w:val="superscript"/>
              </w:rPr>
              <w:t>(14)</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303</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9"/>
                <w:szCs w:val="19"/>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9"/>
                <w:szCs w:val="19"/>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24</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tcPr>
          <w:p>
            <w:pPr>
              <w:jc w:val="center"/>
              <w:spacing w:after="0" w:line="219" w:lineRule="exact"/>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404.58</w:t>
            </w:r>
            <w:r>
              <w:rPr>
                <w:rFonts w:ascii="Times New Roman" w:cs="Times New Roman" w:eastAsia="Times New Roman" w:hAnsi="Times New Roman"/>
                <w:sz w:val="20"/>
                <w:szCs w:val="20"/>
                <w:color w:val="008000"/>
                <w:w w:val="95"/>
                <w:vertAlign w:val="superscript"/>
              </w:rPr>
              <w:t>(15)</w:t>
            </w: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color w:val="0000FF"/>
              </w:rPr>
              <w:t>278</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6"/>
          <w:szCs w:val="16"/>
          <w:color w:val="0000FF"/>
        </w:rPr>
        <w:t>Technology</w:t>
      </w:r>
    </w:p>
    <w:p>
      <w:pPr>
        <w:spacing w:after="0" w:line="1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Investors</w:t>
      </w:r>
    </w:p>
    <w:p>
      <w:pPr>
        <w:spacing w:after="0" w:line="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(3)(4)</w:t>
      </w:r>
    </w:p>
    <w:p>
      <w:pPr>
        <w:sectPr>
          <w:pgSz w:w="11900" w:h="16838" w:orient="portrait"/>
          <w:cols w:equalWidth="0" w:num="1">
            <w:col w:w="10980"/>
          </w:cols>
          <w:pgMar w:left="460" w:top="215" w:right="45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6997065" cy="10525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065" cy="10525125"/>
                    </a:xfrm>
                    <a:prstGeom prst="rect">
                      <a:avLst/>
                    </a:prstGeom>
                    <a:noFill/>
                  </pic:spPr>
                </pic:pic>
              </a:graphicData>
            </a:graphic>
          </wp:anchor>
        </w:drawing>
        <w:t>Table I - Non-Derivative Securities Acquired, Disposed of, or Beneficially Owned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jc w:val="center"/>
              <w:ind w:left="549"/>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9"/>
              <w:spacing w:after="0"/>
              <w:rPr>
                <w:sz w:val="20"/>
                <w:szCs w:val="20"/>
                <w:color w:val="auto"/>
              </w:rPr>
            </w:pPr>
            <w:r>
              <w:rPr>
                <w:rFonts w:ascii="Times New Roman" w:cs="Times New Roman" w:eastAsia="Times New Roman" w:hAnsi="Times New Roman"/>
                <w:sz w:val="16"/>
                <w:szCs w:val="16"/>
                <w:color w:val="0000FF"/>
                <w:w w:val="99"/>
              </w:rPr>
              <w:t>96</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405.57</w:t>
            </w:r>
            <w:r>
              <w:rPr>
                <w:rFonts w:ascii="Times New Roman" w:cs="Times New Roman" w:eastAsia="Times New Roman" w:hAnsi="Times New Roman"/>
                <w:sz w:val="20"/>
                <w:szCs w:val="20"/>
                <w:color w:val="008000"/>
                <w:vertAlign w:val="superscript"/>
              </w:rPr>
              <w:t>(16)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9"/>
              <w:spacing w:after="0"/>
              <w:rPr>
                <w:sz w:val="20"/>
                <w:szCs w:val="20"/>
                <w:color w:val="auto"/>
              </w:rPr>
            </w:pPr>
            <w:r>
              <w:rPr>
                <w:rFonts w:ascii="Times New Roman" w:cs="Times New Roman" w:eastAsia="Times New Roman" w:hAnsi="Times New Roman"/>
                <w:sz w:val="16"/>
                <w:szCs w:val="16"/>
                <w:color w:val="0000FF"/>
                <w:w w:val="99"/>
              </w:rPr>
              <w:t>130</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406.35</w:t>
            </w:r>
            <w:r>
              <w:rPr>
                <w:rFonts w:ascii="Times New Roman" w:cs="Times New Roman" w:eastAsia="Times New Roman" w:hAnsi="Times New Roman"/>
                <w:sz w:val="20"/>
                <w:szCs w:val="20"/>
                <w:color w:val="008000"/>
                <w:vertAlign w:val="superscript"/>
              </w:rPr>
              <w:t>(17)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9"/>
              <w:spacing w:after="0"/>
              <w:rPr>
                <w:sz w:val="20"/>
                <w:szCs w:val="20"/>
                <w:color w:val="auto"/>
              </w:rPr>
            </w:pPr>
            <w:r>
              <w:rPr>
                <w:rFonts w:ascii="Times New Roman" w:cs="Times New Roman" w:eastAsia="Times New Roman" w:hAnsi="Times New Roman"/>
                <w:sz w:val="16"/>
                <w:szCs w:val="16"/>
                <w:color w:val="0000FF"/>
                <w:w w:val="99"/>
              </w:rPr>
              <w:t>47</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407.38</w:t>
            </w:r>
            <w:r>
              <w:rPr>
                <w:rFonts w:ascii="Times New Roman" w:cs="Times New Roman" w:eastAsia="Times New Roman" w:hAnsi="Times New Roman"/>
                <w:sz w:val="20"/>
                <w:szCs w:val="20"/>
                <w:color w:val="008000"/>
                <w:vertAlign w:val="superscript"/>
              </w:rPr>
              <w:t>(18)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9"/>
              <w:spacing w:after="0"/>
              <w:rPr>
                <w:sz w:val="20"/>
                <w:szCs w:val="20"/>
                <w:color w:val="auto"/>
              </w:rPr>
            </w:pPr>
            <w:r>
              <w:rPr>
                <w:rFonts w:ascii="Times New Roman" w:cs="Times New Roman" w:eastAsia="Times New Roman" w:hAnsi="Times New Roman"/>
                <w:sz w:val="16"/>
                <w:szCs w:val="16"/>
                <w:color w:val="0000FF"/>
                <w:w w:val="99"/>
              </w:rPr>
              <w:t>5</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408.08</w:t>
            </w:r>
            <w:r>
              <w:rPr>
                <w:rFonts w:ascii="Times New Roman" w:cs="Times New Roman" w:eastAsia="Times New Roman" w:hAnsi="Times New Roman"/>
                <w:sz w:val="20"/>
                <w:szCs w:val="20"/>
                <w:color w:val="008000"/>
                <w:vertAlign w:val="superscript"/>
              </w:rPr>
              <w:t>(19)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9,359</w:t>
            </w:r>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Group,</w:t>
            </w:r>
          </w:p>
        </w:tc>
        <w:tc>
          <w:tcPr>
            <w:tcW w:w="0" w:type="dxa"/>
            <w:vAlign w:val="bottom"/>
          </w:tcPr>
          <w:p>
            <w:pPr>
              <w:spacing w:after="0"/>
              <w:rPr>
                <w:sz w:val="1"/>
                <w:szCs w:val="1"/>
                <w:color w:val="auto"/>
              </w:rPr>
            </w:pPr>
          </w:p>
        </w:tc>
      </w:tr>
      <w:tr>
        <w:trPr>
          <w:trHeight w:val="285"/>
        </w:trPr>
        <w:tc>
          <w:tcPr>
            <w:tcW w:w="2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tc>
        <w:tc>
          <w:tcPr>
            <w:tcW w:w="0" w:type="dxa"/>
            <w:vAlign w:val="bottom"/>
          </w:tcPr>
          <w:p>
            <w:pPr>
              <w:spacing w:after="0"/>
              <w:rPr>
                <w:sz w:val="1"/>
                <w:szCs w:val="1"/>
                <w:color w:val="auto"/>
              </w:rPr>
            </w:pPr>
          </w:p>
        </w:tc>
      </w:tr>
    </w:tbl>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vMerge w:val="restart"/>
          </w:tcPr>
          <w:p>
            <w:pPr>
              <w:jc w:val="center"/>
              <w:ind w:left="311"/>
              <w:spacing w:after="0"/>
              <w:rPr>
                <w:sz w:val="20"/>
                <w:szCs w:val="20"/>
                <w:color w:val="auto"/>
              </w:rPr>
            </w:pPr>
            <w:r>
              <w:rPr>
                <w:rFonts w:ascii="Times New Roman" w:cs="Times New Roman" w:eastAsia="Times New Roman" w:hAnsi="Times New Roman"/>
                <w:sz w:val="16"/>
                <w:szCs w:val="16"/>
                <w:color w:val="0000FF"/>
                <w:w w:val="99"/>
              </w:rPr>
              <w:t>4,845</w:t>
            </w:r>
          </w:p>
        </w:tc>
        <w:tc>
          <w:tcPr>
            <w:tcW w:w="700" w:type="dxa"/>
            <w:vAlign w:val="bottom"/>
          </w:tcPr>
          <w:p>
            <w:pPr>
              <w:spacing w:after="0"/>
              <w:rPr>
                <w:sz w:val="17"/>
                <w:szCs w:val="17"/>
                <w:color w:val="auto"/>
              </w:rPr>
            </w:pP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164,214</w:t>
            </w: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spacing w:after="0"/>
              <w:rPr>
                <w:sz w:val="24"/>
                <w:szCs w:val="24"/>
                <w:color w:val="auto"/>
              </w:rPr>
            </w:pPr>
          </w:p>
        </w:tc>
        <w:tc>
          <w:tcPr>
            <w:tcW w:w="1440" w:type="dxa"/>
            <w:vAlign w:val="bottom"/>
            <w:tcBorders>
              <w:top w:val="single" w:sz="8" w:color="2C2C2C"/>
              <w:bottom w:val="single" w:sz="8" w:color="2C2C2C"/>
            </w:tcBorders>
            <w:gridSpan w:val="2"/>
          </w:tcPr>
          <w:p>
            <w:pPr>
              <w:jc w:val="center"/>
              <w:ind w:right="283"/>
              <w:spacing w:after="0"/>
              <w:rPr>
                <w:sz w:val="20"/>
                <w:szCs w:val="20"/>
                <w:color w:val="auto"/>
              </w:rPr>
            </w:pPr>
            <w:r>
              <w:rPr>
                <w:rFonts w:ascii="Times New Roman" w:cs="Times New Roman" w:eastAsia="Times New Roman" w:hAnsi="Times New Roman"/>
                <w:sz w:val="16"/>
                <w:szCs w:val="16"/>
                <w:color w:val="0000FF"/>
              </w:rPr>
              <w:t>1,317,963</w:t>
            </w:r>
          </w:p>
        </w:tc>
        <w:tc>
          <w:tcPr>
            <w:tcW w:w="900" w:type="dxa"/>
            <w:vAlign w:val="bottom"/>
            <w:tcBorders>
              <w:top w:val="single" w:sz="8" w:color="2C2C2C"/>
              <w:bottom w:val="single" w:sz="8" w:color="2C2C2C"/>
            </w:tcBorders>
            <w:gridSpan w:val="2"/>
          </w:tcPr>
          <w:p>
            <w:pPr>
              <w:jc w:val="center"/>
              <w:ind w:right="591"/>
              <w:spacing w:after="0" w:line="301"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47,234</w:t>
            </w: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212,106</w:t>
            </w: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(20)</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60" w:type="dxa"/>
            <w:vAlign w:val="bottom"/>
            <w:gridSpan w:val="10"/>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Form:</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0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Held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39" w:lineRule="exact"/>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Class B</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Class C</w:t>
            </w:r>
          </w:p>
        </w:tc>
        <w:tc>
          <w:tcPr>
            <w:tcW w:w="88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color w:val="0000FF"/>
              </w:rPr>
              <w:t>766</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39" w:lineRule="exact"/>
              <w:rPr>
                <w:sz w:val="20"/>
                <w:szCs w:val="20"/>
                <w:color w:val="auto"/>
              </w:rPr>
            </w:pPr>
            <w:r>
              <w:rPr>
                <w:rFonts w:ascii="Times New Roman" w:cs="Times New Roman" w:eastAsia="Times New Roman" w:hAnsi="Times New Roman"/>
                <w:sz w:val="13"/>
                <w:szCs w:val="13"/>
                <w:color w:val="0000FF"/>
              </w:rPr>
              <w:t>Silver Lake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06/12/2026</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766</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880" w:type="dxa"/>
            <w:vAlign w:val="bottom"/>
            <w:vMerge w:val="continue"/>
          </w:tcPr>
          <w:p>
            <w:pPr>
              <w:spacing w:after="0"/>
              <w:rPr>
                <w:sz w:val="13"/>
                <w:szCs w:val="13"/>
                <w:color w:val="auto"/>
              </w:rPr>
            </w:pPr>
          </w:p>
        </w:tc>
        <w:tc>
          <w:tcPr>
            <w:tcW w:w="74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3"/>
                <w:szCs w:val="13"/>
                <w:color w:val="0000FF"/>
              </w:rPr>
              <w:t>257,237</w:t>
            </w:r>
          </w:p>
        </w:tc>
        <w:tc>
          <w:tcPr>
            <w:tcW w:w="1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I</w:t>
            </w:r>
          </w:p>
        </w:tc>
        <w:tc>
          <w:tcPr>
            <w:tcW w:w="70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Technology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Borders>
              <w:right w:val="single" w:sz="8" w:color="2C2C2C"/>
            </w:tcBorders>
            <w:gridSpan w:val="3"/>
          </w:tcPr>
          <w:p>
            <w:pPr>
              <w:ind w:left="20"/>
              <w:spacing w:after="0" w:line="126" w:lineRule="exact"/>
              <w:rPr>
                <w:sz w:val="20"/>
                <w:szCs w:val="20"/>
                <w:color w:val="auto"/>
              </w:rPr>
            </w:pPr>
            <w:r>
              <w:rPr>
                <w:rFonts w:ascii="Times New Roman" w:cs="Times New Roman" w:eastAsia="Times New Roman" w:hAnsi="Times New Roman"/>
                <w:sz w:val="13"/>
                <w:szCs w:val="13"/>
                <w:color w:val="0000FF"/>
              </w:rPr>
              <w:t>Investors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Borders>
              <w:right w:val="single" w:sz="8" w:color="2C2C2C"/>
            </w:tcBorders>
            <w:gridSpan w:val="3"/>
          </w:tcPr>
          <w:p>
            <w:pPr>
              <w:ind w:left="20"/>
              <w:spacing w:after="0" w:line="159" w:lineRule="exact"/>
              <w:rPr>
                <w:sz w:val="20"/>
                <w:szCs w:val="20"/>
                <w:color w:val="auto"/>
              </w:rPr>
            </w:pPr>
            <w:r>
              <w:rPr>
                <w:rFonts w:ascii="Times New Roman" w:cs="Times New Roman" w:eastAsia="Times New Roman" w:hAnsi="Times New Roman"/>
                <w:sz w:val="12"/>
                <w:szCs w:val="12"/>
                <w:color w:val="0000FF"/>
              </w:rPr>
              <w:t>IV, L.P.</w:t>
            </w:r>
            <w:r>
              <w:rPr>
                <w:rFonts w:ascii="Times New Roman" w:cs="Times New Roman" w:eastAsia="Times New Roman" w:hAnsi="Times New Roman"/>
                <w:sz w:val="18"/>
                <w:szCs w:val="18"/>
                <w:color w:val="008000"/>
                <w:vertAlign w:val="superscript"/>
              </w:rPr>
              <w:t>(3)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Class C</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44,094,157</w:t>
            </w: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8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jc w:val="right"/>
              <w:spacing w:after="0" w:line="101" w:lineRule="exact"/>
              <w:rPr>
                <w:sz w:val="20"/>
                <w:szCs w:val="20"/>
                <w:color w:val="auto"/>
              </w:rPr>
            </w:pPr>
            <w:r>
              <w:rPr>
                <w:rFonts w:ascii="Times New Roman" w:cs="Times New Roman" w:eastAsia="Times New Roman" w:hAnsi="Times New Roman"/>
                <w:sz w:val="10"/>
                <w:szCs w:val="10"/>
                <w:color w:val="0000FF"/>
              </w:rPr>
              <w:t>44,094,157</w:t>
            </w:r>
          </w:p>
        </w:tc>
        <w:tc>
          <w:tcPr>
            <w:tcW w:w="180" w:type="dxa"/>
            <w:vAlign w:val="bottom"/>
          </w:tcPr>
          <w:p>
            <w:pPr>
              <w:spacing w:after="0"/>
              <w:rPr>
                <w:sz w:val="3"/>
                <w:szCs w:val="3"/>
                <w:color w:val="auto"/>
              </w:rPr>
            </w:pPr>
          </w:p>
        </w:tc>
        <w:tc>
          <w:tcPr>
            <w:tcW w:w="720" w:type="dxa"/>
            <w:vAlign w:val="bottom"/>
            <w:vMerge w:val="restart"/>
          </w:tcPr>
          <w:p>
            <w:pPr>
              <w:ind w:left="3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00" w:type="dxa"/>
            <w:vAlign w:val="bottom"/>
            <w:tcBorders>
              <w:right w:val="single" w:sz="8" w:color="2C2C2C"/>
            </w:tcBorders>
            <w:gridSpan w:val="3"/>
          </w:tcPr>
          <w:p>
            <w:pPr>
              <w:ind w:left="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9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5"/>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IV, L.P.</w:t>
              </w:r>
            </w:hyperlink>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-3940810</wp:posOffset>
            </wp:positionV>
            <wp:extent cx="28575" cy="2596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596515"/>
                    </a:xfrm>
                    <a:prstGeom prst="rect">
                      <a:avLst/>
                    </a:prstGeom>
                    <a:noFill/>
                  </pic:spPr>
                </pic:pic>
              </a:graphicData>
            </a:graphic>
          </wp:anchor>
        </w:drawing>
      </w:r>
    </w:p>
    <w:p>
      <w:pPr>
        <w:sectPr>
          <w:pgSz w:w="11900" w:h="16838" w:orient="portrait"/>
          <w:cols w:equalWidth="0" w:num="1">
            <w:col w:w="11080"/>
          </w:cols>
          <w:pgMar w:left="460" w:top="189" w:right="359" w:bottom="0" w:gutter="0" w:footer="0" w:header="0"/>
        </w:sectPr>
      </w:pPr>
    </w:p>
    <w:bookmarkStart w:id="2" w:name="page3"/>
    <w:bookmarkEnd w:id="2"/>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2415" cy="7016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12415" cy="7016115"/>
                    </a:xfrm>
                    <a:prstGeom prst="rect">
                      <a:avLst/>
                    </a:prstGeom>
                    <a:noFill/>
                  </pic:spPr>
                </pic:pic>
              </a:graphicData>
            </a:graphic>
          </wp:anchor>
        </w:drawing>
      </w:r>
    </w:p>
    <w:p>
      <w:pPr>
        <w:ind w:left="100"/>
        <w:spacing w:after="0"/>
        <w:tabs>
          <w:tab w:leader="none" w:pos="146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Silver Lake Technology Associates IV, L.P.</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4"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SLTA IV (GP),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4"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Silver Lake Group,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4"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Durban Egon</w:t>
              </w:r>
            </w:hyperlink>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right="2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12, 2026.</w:t>
      </w:r>
    </w:p>
    <w:p>
      <w:pPr>
        <w:spacing w:after="0" w:line="21" w:lineRule="exact"/>
        <w:rPr>
          <w:rFonts w:ascii="Times New Roman" w:cs="Times New Roman" w:eastAsia="Times New Roman" w:hAnsi="Times New Roman"/>
          <w:sz w:val="13"/>
          <w:szCs w:val="13"/>
          <w:color w:val="008000"/>
        </w:rPr>
      </w:pPr>
    </w:p>
    <w:p>
      <w:pPr>
        <w:ind w:left="20" w:right="200" w:hanging="2"/>
        <w:spacing w:after="0" w:line="23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12, 2026, certain of the Reporting Persons converted shares of Class B Common Stock into an equal number of shares of Class C Common Stock in connection with the sales described in footnote (1) above.</w:t>
      </w:r>
    </w:p>
    <w:p>
      <w:pPr>
        <w:spacing w:after="0" w:line="26" w:lineRule="exact"/>
        <w:rPr>
          <w:rFonts w:ascii="Times New Roman" w:cs="Times New Roman" w:eastAsia="Times New Roman" w:hAnsi="Times New Roman"/>
          <w:sz w:val="13"/>
          <w:szCs w:val="13"/>
          <w:color w:val="008000"/>
        </w:rPr>
      </w:pPr>
    </w:p>
    <w:p>
      <w:pPr>
        <w:ind w:left="20" w:righ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Technology Investors IV, L.P. The general partner of Silver Lake Technology Investors IV, L.P. is Silver Lake Technology Associates IV, L.P. and the general partner of Silver Lake Technology Associates IV, L.P. is SLTA IV (GP), L.L.C.</w:t>
      </w:r>
    </w:p>
    <w:p>
      <w:pPr>
        <w:spacing w:after="0" w:line="21" w:lineRule="exact"/>
        <w:rPr>
          <w:rFonts w:ascii="Times New Roman" w:cs="Times New Roman" w:eastAsia="Times New Roman" w:hAnsi="Times New Roman"/>
          <w:sz w:val="13"/>
          <w:szCs w:val="13"/>
          <w:color w:val="008000"/>
        </w:rPr>
      </w:pPr>
    </w:p>
    <w:p>
      <w:pPr>
        <w:ind w:left="20" w:right="24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IV (GP), L.L.C. Egon Durban, who serves as a director of the Issuer, also serves as a Co-CEO and Managing Member of SLG. Each of the Reporting Persons may be deemed a director by deputization of the Issuer.</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C Common Stock held by SLG.</w:t>
      </w:r>
    </w:p>
    <w:p>
      <w:pPr>
        <w:spacing w:after="0" w:line="39"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entities in which Mr. Durban may be deemed to have an indirect pecuniary interest.</w:t>
      </w:r>
    </w:p>
    <w:p>
      <w:pPr>
        <w:spacing w:after="0" w:line="39" w:lineRule="exact"/>
        <w:rPr>
          <w:rFonts w:ascii="Times New Roman" w:cs="Times New Roman" w:eastAsia="Times New Roman" w:hAnsi="Times New Roman"/>
          <w:sz w:val="13"/>
          <w:szCs w:val="13"/>
          <w:color w:val="008000"/>
        </w:rPr>
      </w:pPr>
    </w:p>
    <w:p>
      <w:pPr>
        <w:ind w:left="20" w:right="1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directly by Mr. Durban.</w:t>
      </w:r>
    </w:p>
    <w:p>
      <w:pPr>
        <w:spacing w:after="0" w:line="39"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w:t>
      </w:r>
    </w:p>
    <w:p>
      <w:pPr>
        <w:spacing w:after="0" w:line="39" w:lineRule="exact"/>
        <w:rPr>
          <w:rFonts w:ascii="Times New Roman" w:cs="Times New Roman" w:eastAsia="Times New Roman" w:hAnsi="Times New Roman"/>
          <w:sz w:val="13"/>
          <w:szCs w:val="13"/>
          <w:color w:val="008000"/>
        </w:rPr>
      </w:pP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$398.9913 to $399.9800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$400.0000 to $400.9946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$401.0000 to $401.9900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$402.0000 to $402.9999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$403.0000 to $403.9900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$404.0047 to $404.9892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$405.0000 to $405.9941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$406.0000 to $406.9985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0" w:hanging="182"/>
        <w:spacing w:after="0"/>
        <w:tabs>
          <w:tab w:leader="none" w:pos="20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$407.0000 to $407.9900 per share, inclusive. The Reporting Persons undertake to</w:t>
      </w:r>
    </w:p>
    <w:p>
      <w:pPr>
        <w:sectPr>
          <w:pgSz w:w="11900" w:h="16864" w:orient="portrait"/>
          <w:cols w:equalWidth="0" w:num="1">
            <w:col w:w="10920"/>
          </w:cols>
          <w:pgMar w:left="480" w:top="290" w:right="499" w:bottom="0" w:gutter="0" w:footer="0" w:header="0"/>
        </w:sectPr>
      </w:pPr>
    </w:p>
    <w:bookmarkStart w:id="3" w:name="page4"/>
    <w:bookmarkEnd w:id="3"/>
    <w:p>
      <w:pPr>
        <w:ind w:left="2"/>
        <w:spacing w:after="0"/>
        <w:rPr>
          <w:sz w:val="20"/>
          <w:szCs w:val="20"/>
          <w:color w:val="auto"/>
        </w:rPr>
      </w:pPr>
      <w:r>
        <w:rPr>
          <w:rFonts w:ascii="Times New Roman" w:cs="Times New Roman" w:eastAsia="Times New Roman" w:hAnsi="Times New Roman"/>
          <w:sz w:val="13"/>
          <w:szCs w:val="13"/>
          <w:color w:val="008000"/>
        </w:rPr>
        <w:t>provide to the Issuer, any security holder of the Issuer, or the staff of the SEC, upon request, full information regarding the number of shares sold at each separate price within the range set forth in this footnote.</w:t>
      </w:r>
    </w:p>
    <w:p>
      <w:pPr>
        <w:spacing w:after="0" w:line="39" w:lineRule="exact"/>
        <w:rPr>
          <w:sz w:val="20"/>
          <w:szCs w:val="20"/>
          <w:color w:val="auto"/>
        </w:rPr>
      </w:pP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$408.0000 to $408.2463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right="120"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91,809 shares of Class C Common Stock, Silver Lake Partners IV, L.P. directly holds 69,916 shares of Class C Common Stock, Silver Lake Partners V DE (AIV), L.P. directly holds 50,381 shares of Class C Common Stock, and Silver Lake Technology Investors V, L.P. directly holds 0 shares of Class C Common Stock, which securities and transactions are reported on separate Form 4 filings.</w:t>
      </w:r>
    </w:p>
    <w:p>
      <w:pPr>
        <w:spacing w:after="0" w:line="26" w:lineRule="exact"/>
        <w:rPr>
          <w:rFonts w:ascii="Times New Roman" w:cs="Times New Roman" w:eastAsia="Times New Roman" w:hAnsi="Times New Roman"/>
          <w:sz w:val="13"/>
          <w:szCs w:val="13"/>
          <w:color w:val="008000"/>
        </w:rPr>
      </w:pPr>
    </w:p>
    <w:p>
      <w:pPr>
        <w:jc w:val="both"/>
        <w:ind w:left="2" w:right="40"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17,031,140 shares of Class B Common Stock, Silver Lake Partners IV, L.P. directly holds 17,483,318 shares of Class B Common Stock, Silver Lake Partners V DE (AIV), L.P. directly holds 9,463,699 shares of Class B Common Stock, and Silver Lake Technology Investors V, L.P. directly holds 116,000 shares of Class B Common Stock, which securities and transactions are reported on separate Form 4 filings.</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0"/>
          <w:szCs w:val="20"/>
          <w:color w:val="auto"/>
        </w:rPr>
      </w:pPr>
    </w:p>
    <w:p>
      <w:pPr>
        <w:ind w:left="2" w:right="160"/>
        <w:spacing w:after="0" w:line="255"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902"/>
          </w:cols>
          <w:pgMar w:left="498" w:top="127" w:right="499" w:bottom="1440" w:gutter="0" w:footer="0" w:header="0"/>
        </w:sectPr>
      </w:pPr>
    </w:p>
    <w:p>
      <w:pPr>
        <w:spacing w:after="0" w:line="42"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093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07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398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 gen. partner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290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Technology Investors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160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093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373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398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612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093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2736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5911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661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311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662" w:space="100"/>
            <w:col w:w="2140"/>
          </w:cols>
          <w:pgMar w:left="498" w:top="127" w:right="499" w:bottom="1440" w:gutter="0" w:footer="0" w:header="0"/>
          <w:type w:val="continuous"/>
        </w:sect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40" w:hanging="2"/>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2"/>
      </w:cols>
      <w:pgMar w:left="498"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13" Type="http://schemas.openxmlformats.org/officeDocument/2006/relationships/hyperlink" Target="http://www.sec.gov/cgi-bin/browse-edgar?action=getcompany&amp;CIK=0001672565" TargetMode="External"/><Relationship Id="rId14" Type="http://schemas.openxmlformats.org/officeDocument/2006/relationships/hyperlink" Target="http://www.sec.gov/cgi-bin/browse-edgar?action=getcompany&amp;CIK=0001571996" TargetMode="External"/><Relationship Id="rId18" Type="http://schemas.openxmlformats.org/officeDocument/2006/relationships/hyperlink" Target="http://www.sec.gov/cgi-bin/browse-edgar?action=getcompany&amp;CIK=0001672566" TargetMode="External"/><Relationship Id="rId19" Type="http://schemas.openxmlformats.org/officeDocument/2006/relationships/hyperlink" Target="http://www.sec.gov/cgi-bin/browse-edgar?action=getcompany&amp;CIK=0001672568" TargetMode="External"/><Relationship Id="rId20" Type="http://schemas.openxmlformats.org/officeDocument/2006/relationships/hyperlink" Target="http://www.sec.gov/cgi-bin/browse-edgar?action=getcompany&amp;CIK=0001418226" TargetMode="External"/><Relationship Id="rId21"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2026-06-16T16:12:38Z</dcterms:created>
  <dcterms:modified xsi:type="dcterms:W3CDTF">2026-06-16T16:12:38Z</dcterms:modified>
</cp:coreProperties>
</file>