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6"/>
        <w:gridCol w:w="901"/>
        <w:gridCol w:w="771"/>
        <w:gridCol w:w="598"/>
        <w:gridCol w:w="345"/>
        <w:gridCol w:w="834"/>
        <w:gridCol w:w="445"/>
        <w:gridCol w:w="748"/>
        <w:gridCol w:w="1266"/>
        <w:gridCol w:w="985"/>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1,405,236</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278,010</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52,149</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47,347, 148,194, 39,034 and 43,435 shares of Class C Common Stock, par value $0.01 per share ("Class C Common Stock") of Dell Technologies Inc. held by SLTA SPV-2, L.P., Silver Lake Technology Associates IV, L.P., Silver Lake Technology Associates V, L.P. and Silver Lake Group, L.L.C. ("SLG"), respectively, on behalf of certain employees and managing members of SLG or its affiliates, including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shares of Class C Common Stock beneficially owned indirectly by Mr. Durban through a trust for the benefit of certain family members.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1403"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3649</Characters>
  <CharactersWithSpaces>4251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