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776"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IV,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776"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jc w:val="center"/>
              <w:ind w:right="17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52,073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109,453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5,697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399.5</w:t>
            </w:r>
            <w:r>
              <w:rPr>
                <w:rFonts w:ascii="Times New Roman" w:cs="Times New Roman" w:eastAsia="Times New Roman" w:hAnsi="Times New Roman"/>
                <w:sz w:val="20"/>
                <w:szCs w:val="20"/>
                <w:color w:val="008000"/>
                <w:w w:val="92"/>
                <w:vertAlign w:val="superscript"/>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103,756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5,186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400.52</w:t>
            </w:r>
            <w:r>
              <w:rPr>
                <w:rFonts w:ascii="Times New Roman" w:cs="Times New Roman" w:eastAsia="Times New Roman" w:hAnsi="Times New Roman"/>
                <w:sz w:val="20"/>
                <w:szCs w:val="20"/>
                <w:color w:val="008000"/>
                <w:w w:val="93"/>
                <w:vertAlign w:val="superscript"/>
              </w:rPr>
              <w:t>(11)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98,570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6,488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401.41</w:t>
            </w:r>
            <w:r>
              <w:rPr>
                <w:rFonts w:ascii="Times New Roman" w:cs="Times New Roman" w:eastAsia="Times New Roman" w:hAnsi="Times New Roman"/>
                <w:sz w:val="20"/>
                <w:szCs w:val="20"/>
                <w:color w:val="008000"/>
                <w:w w:val="93"/>
                <w:vertAlign w:val="superscript"/>
              </w:rPr>
              <w:t>(12)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92,082</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4,512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402.53</w:t>
            </w:r>
            <w:r>
              <w:rPr>
                <w:rFonts w:ascii="Times New Roman" w:cs="Times New Roman" w:eastAsia="Times New Roman" w:hAnsi="Times New Roman"/>
                <w:sz w:val="20"/>
                <w:szCs w:val="20"/>
                <w:color w:val="008000"/>
                <w:w w:val="93"/>
                <w:vertAlign w:val="superscript"/>
              </w:rPr>
              <w:t>(13)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87,569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2,020</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403.35</w:t>
            </w:r>
            <w:r>
              <w:rPr>
                <w:rFonts w:ascii="Times New Roman" w:cs="Times New Roman" w:eastAsia="Times New Roman" w:hAnsi="Times New Roman"/>
                <w:sz w:val="20"/>
                <w:szCs w:val="20"/>
                <w:color w:val="008000"/>
                <w:w w:val="93"/>
                <w:vertAlign w:val="superscript"/>
              </w:rPr>
              <w:t>(14)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85,549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Partners</w:t>
      </w:r>
    </w:p>
    <w:p>
      <w:pPr>
        <w:ind w:left="10180"/>
        <w:spacing w:after="0" w:line="213" w:lineRule="auto"/>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p>
      <w:pPr>
        <w:spacing w:after="0" w:line="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0"/>
          <w:szCs w:val="10"/>
          <w:color w:val="008000"/>
        </w:rPr>
        <w:t>(4)</w:t>
      </w:r>
    </w:p>
    <w:p>
      <w:pPr>
        <w:sectPr>
          <w:pgSz w:w="11900" w:h="16838" w:orient="portrait"/>
          <w:cols w:equalWidth="0" w:num="1">
            <w:col w:w="10980"/>
          </w:cols>
          <w:pgMar w:left="460" w:top="214" w:right="459" w:bottom="776" w:gutter="0" w:footer="0" w:header="0"/>
          <w:type w:val="continuous"/>
        </w:sectPr>
      </w:pPr>
    </w:p>
    <w:bookmarkStart w:id="1" w:name="page2"/>
    <w:bookmarkEnd w:id="1"/>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8"/>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1,261</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404.58</w:t>
            </w:r>
            <w:r>
              <w:rPr>
                <w:rFonts w:ascii="Times New Roman" w:cs="Times New Roman" w:eastAsia="Times New Roman" w:hAnsi="Times New Roman"/>
                <w:sz w:val="20"/>
                <w:szCs w:val="20"/>
                <w:color w:val="008000"/>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84,288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4,973</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405.57</w:t>
            </w:r>
            <w:r>
              <w:rPr>
                <w:rFonts w:ascii="Times New Roman" w:cs="Times New Roman" w:eastAsia="Times New Roman" w:hAnsi="Times New Roman"/>
                <w:sz w:val="20"/>
                <w:szCs w:val="20"/>
                <w:color w:val="008000"/>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79,315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6,708</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406.35</w:t>
            </w:r>
            <w:r>
              <w:rPr>
                <w:rFonts w:ascii="Times New Roman" w:cs="Times New Roman" w:eastAsia="Times New Roman" w:hAnsi="Times New Roman"/>
                <w:sz w:val="20"/>
                <w:szCs w:val="20"/>
                <w:color w:val="008000"/>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72,607</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2,412</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407.38</w:t>
            </w:r>
            <w:r>
              <w:rPr>
                <w:rFonts w:ascii="Times New Roman" w:cs="Times New Roman" w:eastAsia="Times New Roman" w:hAnsi="Times New Roman"/>
                <w:sz w:val="20"/>
                <w:szCs w:val="20"/>
                <w:color w:val="008000"/>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70,196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280</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408.08</w:t>
            </w:r>
            <w:r>
              <w:rPr>
                <w:rFonts w:ascii="Times New Roman" w:cs="Times New Roman" w:eastAsia="Times New Roman" w:hAnsi="Times New Roman"/>
                <w:sz w:val="20"/>
                <w:szCs w:val="20"/>
                <w:color w:val="008000"/>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69,916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63"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63"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1"/>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142,190</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(20)</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9"/>
          </w:tcPr>
          <w:p>
            <w:pPr>
              <w:jc w:val="center"/>
              <w:ind w:right="5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8"/>
          </w:tcPr>
          <w:p>
            <w:pPr>
              <w:jc w:val="center"/>
              <w:ind w:left="47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52,073</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0000FF"/>
              </w:rPr>
              <w:t>06/12/2026</w:t>
            </w:r>
          </w:p>
        </w:tc>
        <w:tc>
          <w:tcPr>
            <w:tcW w:w="10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52,073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3"/>
                <w:szCs w:val="13"/>
                <w:color w:val="auto"/>
              </w:rPr>
            </w:pP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17,483,318</w:t>
            </w:r>
          </w:p>
        </w:tc>
        <w:tc>
          <w:tcPr>
            <w:tcW w:w="160" w:type="dxa"/>
            <w:vAlign w:val="bottom"/>
          </w:tcPr>
          <w:p>
            <w:pPr>
              <w:spacing w:after="0"/>
              <w:rPr>
                <w:sz w:val="13"/>
                <w:szCs w:val="13"/>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IV,</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26,868,076</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26,868,076</w:t>
            </w:r>
          </w:p>
        </w:tc>
        <w:tc>
          <w:tcPr>
            <w:tcW w:w="160" w:type="dxa"/>
            <w:vAlign w:val="bottom"/>
          </w:tcPr>
          <w:p>
            <w:pPr>
              <w:spacing w:after="0"/>
              <w:rPr>
                <w:sz w:val="3"/>
                <w:szCs w:val="3"/>
                <w:color w:val="auto"/>
              </w:rPr>
            </w:pPr>
          </w:p>
        </w:tc>
        <w:tc>
          <w:tcPr>
            <w:tcW w:w="660" w:type="dxa"/>
            <w:vAlign w:val="bottom"/>
            <w:vMerge w:val="restart"/>
          </w:tcPr>
          <w:p>
            <w:pPr>
              <w:ind w:left="2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-2333625</wp:posOffset>
            </wp:positionV>
            <wp:extent cx="28575" cy="2323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232346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IV, L.P.</w:t>
        </w:r>
      </w:hyperlink>
    </w:p>
    <w:p>
      <w:pPr>
        <w:sectPr>
          <w:pgSz w:w="11900" w:h="16863" w:orient="portrait"/>
          <w:cols w:equalWidth="0" w:num="1">
            <w:col w:w="11080"/>
          </w:cols>
          <w:pgMar w:left="460" w:top="189" w:right="359" w:bottom="0" w:gutter="0" w:footer="0" w:header="0"/>
          <w:type w:val="continuous"/>
        </w:sectPr>
      </w:pPr>
    </w:p>
    <w:bookmarkStart w:id="2" w:name="page3"/>
    <w:bookmarkEnd w:id="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797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4320" cy="797560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300" w:type="dxa"/>
            <w:vAlign w:val="bottom"/>
          </w:tcPr>
          <w:p>
            <w:pPr>
              <w:ind w:left="2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 SILVER LAKE</w:t>
            </w: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300" w:type="dxa"/>
            <w:vAlign w:val="bottom"/>
          </w:tcPr>
          <w:p>
            <w:pPr>
              <w:ind w:left="2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Silver Lake Technology Associates IV, L.P.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IV (GP),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12, 2026.</w:t>
      </w:r>
    </w:p>
    <w:p>
      <w:pPr>
        <w:ind w:left="20" w:right="22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12,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20" w:righ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ind w:left="20" w:right="26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20" w:right="14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$398.9913 to $399.9800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3"/>
        <w:spacing w:after="0" w:line="282" w:lineRule="auto"/>
        <w:tabs>
          <w:tab w:leader="none" w:pos="20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$400.0000 to $400.9946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$401.0000 to $401.9900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$402.0000 to $402.9999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97" w:orient="portrait"/>
          <w:cols w:equalWidth="0" w:num="1">
            <w:col w:w="10860"/>
          </w:cols>
          <w:pgMar w:left="480" w:top="289" w:right="559" w:bottom="0" w:gutter="0" w:footer="0" w:header="0"/>
        </w:sectPr>
      </w:pPr>
    </w:p>
    <w:bookmarkStart w:id="3" w:name="page4"/>
    <w:bookmarkEnd w:id="3"/>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$403.0000 to $403.9900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$404.0047 to $404.9892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$405.0000 to $405.9941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$406.0000 to $406.9985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$407.0000 to $407.9900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$408.0000 to $408.2463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3" w:hanging="3"/>
        <w:spacing w:after="0" w:line="260"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91,809 shares of Class C Common Stock, Silver Lake Partners V DE (AIV), L.P. directly holds 50,381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3" w:right="140" w:hanging="3"/>
        <w:spacing w:after="0" w:line="260"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17,031,140 shares of Class B Common Stock, Silver Lake Partners V DE (AIV), L.P. directly holds 9,463,699 shares of Class B Common Stock, Silver Lake Technology Investors IV, L.P. directly holds 257,237 shares of Class B Common Stock and Silver Lake Technology Investors V, L.P. directly holds 116,000 shares of Class B Common Stock, which securities and transactions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63"/>
          </w:cols>
          <w:pgMar w:left="497" w:top="127" w:right="539" w:bottom="144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96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9023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023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96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2100"/>
          </w:cols>
          <w:pgMar w:left="497" w:top="127" w:right="53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60" w:hanging="3"/>
        <w:spacing w:after="0" w:line="325"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672566" TargetMode="External"/><Relationship Id="rId20" Type="http://schemas.openxmlformats.org/officeDocument/2006/relationships/hyperlink" Target="http://www.sec.gov/cgi-bin/browse-edgar?action=getcompany&amp;CIK=0001672568"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2026-06-16T16:01:31Z</dcterms:created>
  <dcterms:modified xsi:type="dcterms:W3CDTF">2026-06-16T16:01:31Z</dcterms:modified>
</cp:coreProperties>
</file>