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1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388"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CURRENT REPORT</w:t>
      </w:r>
    </w:p>
    <w:p>
      <w:pPr>
        <w:spacing w:after="0" w:line="44"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February 26, 2023</w:t>
      </w:r>
    </w:p>
    <w:p>
      <w:pPr>
        <w:spacing w:after="0" w:line="27" w:lineRule="exact"/>
        <w:rPr>
          <w:sz w:val="24"/>
          <w:szCs w:val="24"/>
          <w:color w:val="auto"/>
        </w:rPr>
      </w:pPr>
    </w:p>
    <w:p>
      <w:pPr>
        <w:ind w:left="4460"/>
        <w:spacing w:after="0"/>
        <w:rPr>
          <w:sz w:val="20"/>
          <w:szCs w:val="20"/>
          <w:color w:val="auto"/>
        </w:rPr>
      </w:pPr>
      <w:r>
        <w:rPr>
          <w:rFonts w:ascii="Arial" w:cs="Arial" w:eastAsia="Arial" w:hAnsi="Arial"/>
          <w:sz w:val="22"/>
          <w:szCs w:val="22"/>
          <w:b w:val="1"/>
          <w:bCs w:val="1"/>
          <w:color w:val="auto"/>
        </w:rPr>
        <w:t>______________________</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Dell Technologies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Arial" w:cs="Arial" w:eastAsia="Arial" w:hAnsi="Arial"/>
          <w:sz w:val="22"/>
          <w:szCs w:val="22"/>
          <w:b w:val="1"/>
          <w:bCs w:val="1"/>
          <w:color w:val="auto"/>
        </w:rPr>
        <w:t>______________________</w:t>
      </w:r>
    </w:p>
    <w:p>
      <w:pPr>
        <w:sectPr>
          <w:pgSz w:w="11900" w:h="16838" w:orient="portrait"/>
          <w:cols w:equalWidth="0" w:num="1">
            <w:col w:w="11200"/>
          </w:cols>
          <w:pgMar w:left="320" w:top="1057" w:right="379" w:bottom="1440" w:gutter="0" w:footer="0" w:header="0"/>
        </w:sectPr>
      </w:pPr>
    </w:p>
    <w:p>
      <w:pPr>
        <w:spacing w:after="0" w:line="120"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2240"/>
        <w:spacing w:after="0"/>
        <w:rPr>
          <w:sz w:val="20"/>
          <w:szCs w:val="20"/>
          <w:color w:val="auto"/>
        </w:rPr>
      </w:pPr>
      <w:r>
        <w:rPr>
          <w:rFonts w:ascii="Arial" w:cs="Arial" w:eastAsia="Arial" w:hAnsi="Arial"/>
          <w:sz w:val="16"/>
          <w:szCs w:val="16"/>
          <w:b w:val="1"/>
          <w:bCs w:val="1"/>
          <w:color w:val="auto"/>
        </w:rPr>
        <w:t>001-37867</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80-0890963</w:t>
      </w:r>
    </w:p>
    <w:p>
      <w:pPr>
        <w:spacing w:after="0" w:line="31" w:lineRule="exact"/>
        <w:rPr>
          <w:sz w:val="24"/>
          <w:szCs w:val="24"/>
          <w:color w:val="auto"/>
        </w:rPr>
      </w:pPr>
    </w:p>
    <w:p>
      <w:pPr>
        <w:sectPr>
          <w:pgSz w:w="11900" w:h="16838" w:orient="portrait"/>
          <w:cols w:equalWidth="0" w:num="3">
            <w:col w:w="4500" w:space="720"/>
            <w:col w:w="3020" w:space="720"/>
            <w:col w:w="2240"/>
          </w:cols>
          <w:pgMar w:left="320" w:top="1057" w:right="37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4"/>
          <w:szCs w:val="14"/>
          <w:b w:val="1"/>
          <w:bCs w:val="1"/>
          <w:color w:val="auto"/>
        </w:rPr>
        <w:t>(IRS Employer</w:t>
      </w:r>
    </w:p>
    <w:p>
      <w:pPr>
        <w:jc w:val="center"/>
        <w:ind w:right="124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0" w:space="720"/>
            <w:col w:w="2920" w:space="720"/>
            <w:col w:w="2360"/>
          </w:cols>
          <w:pgMar w:left="320" w:top="1057" w:right="379" w:bottom="1440" w:gutter="0" w:footer="0" w:header="0"/>
          <w:type w:val="continuous"/>
        </w:sectPr>
      </w:pPr>
    </w:p>
    <w:p>
      <w:pPr>
        <w:ind w:left="2700"/>
        <w:spacing w:after="0"/>
        <w:rPr>
          <w:sz w:val="20"/>
          <w:szCs w:val="20"/>
          <w:color w:val="auto"/>
        </w:rPr>
      </w:pPr>
      <w:r>
        <w:rPr>
          <w:rFonts w:ascii="Arial" w:cs="Arial" w:eastAsia="Arial" w:hAnsi="Arial"/>
          <w:sz w:val="16"/>
          <w:szCs w:val="16"/>
          <w:b w:val="1"/>
          <w:bCs w:val="1"/>
          <w:color w:val="auto"/>
        </w:rPr>
        <w:t>One Dell Way</w:t>
      </w:r>
    </w:p>
    <w:p>
      <w:pPr>
        <w:spacing w:after="0" w:line="50" w:lineRule="exact"/>
        <w:rPr>
          <w:sz w:val="24"/>
          <w:szCs w:val="24"/>
          <w:color w:val="auto"/>
        </w:rPr>
      </w:pPr>
    </w:p>
    <w:p>
      <w:pPr>
        <w:ind w:left="2280"/>
        <w:spacing w:after="0"/>
        <w:rPr>
          <w:sz w:val="20"/>
          <w:szCs w:val="20"/>
          <w:color w:val="auto"/>
        </w:rPr>
      </w:pPr>
      <w:r>
        <w:rPr>
          <w:rFonts w:ascii="Arial" w:cs="Arial" w:eastAsia="Arial" w:hAnsi="Arial"/>
          <w:sz w:val="15"/>
          <w:szCs w:val="15"/>
          <w:b w:val="1"/>
          <w:bCs w:val="1"/>
          <w:color w:val="auto"/>
        </w:rPr>
        <w:t>Round Rock, Texas</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78682</w:t>
      </w:r>
    </w:p>
    <w:p>
      <w:pPr>
        <w:spacing w:after="0" w:line="62" w:lineRule="exact"/>
        <w:rPr>
          <w:sz w:val="24"/>
          <w:szCs w:val="24"/>
          <w:color w:val="auto"/>
        </w:rPr>
      </w:pPr>
    </w:p>
    <w:p>
      <w:pPr>
        <w:sectPr>
          <w:pgSz w:w="11900" w:h="16838" w:orient="portrait"/>
          <w:cols w:equalWidth="0" w:num="2">
            <w:col w:w="7980" w:space="720"/>
            <w:col w:w="2500"/>
          </w:cols>
          <w:pgMar w:left="320" w:top="1057" w:right="379" w:bottom="1440" w:gutter="0" w:footer="0" w:header="0"/>
          <w:type w:val="continuous"/>
        </w:sectPr>
      </w:pPr>
    </w:p>
    <w:p>
      <w:pPr>
        <w:ind w:left="20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29" w:lineRule="exact"/>
        <w:rPr>
          <w:sz w:val="24"/>
          <w:szCs w:val="24"/>
          <w:color w:val="auto"/>
        </w:rPr>
      </w:pPr>
    </w:p>
    <w:p>
      <w:pPr>
        <w:sectPr>
          <w:pgSz w:w="11900" w:h="16838" w:orient="portrait"/>
          <w:cols w:equalWidth="0" w:num="2">
            <w:col w:w="7860" w:space="720"/>
            <w:col w:w="2620"/>
          </w:cols>
          <w:pgMar w:left="320" w:top="1057" w:right="3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(800) 289-3355</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23" w:lineRule="exact"/>
        <w:rPr>
          <w:sz w:val="24"/>
          <w:szCs w:val="24"/>
          <w:color w:val="auto"/>
        </w:rPr>
      </w:pPr>
    </w:p>
    <w:p>
      <w:pPr>
        <w:ind w:right="640"/>
        <w:spacing w:after="0" w:line="311" w:lineRule="exact"/>
        <w:rPr>
          <w:sz w:val="20"/>
          <w:szCs w:val="20"/>
          <w:color w:val="auto"/>
        </w:rPr>
      </w:pPr>
      <w:r>
        <w:rPr>
          <w:rFonts w:ascii="Arial" w:cs="Arial" w:eastAsia="Arial" w:hAnsi="Arial"/>
          <w:sz w:val="17"/>
          <w:szCs w:val="17"/>
          <w:color w:val="auto"/>
        </w:rPr>
        <w:t xml:space="preserve">Check the appropriate box below if the Form 8-K filing is intended to simultaneously satisfy the filing obligation of the registrant under any of the </w:t>
      </w:r>
      <w:r>
        <w:rPr>
          <w:rFonts w:ascii="Arial" w:cs="Arial" w:eastAsia="Arial" w:hAnsi="Arial"/>
          <w:sz w:val="33"/>
          <w:szCs w:val="33"/>
          <w:color w:val="auto"/>
          <w:vertAlign w:val="subscript"/>
        </w:rPr>
        <w:t>following provisions:</w:t>
      </w:r>
      <w:r>
        <w:rPr>
          <w:rFonts w:ascii="Arial" w:cs="Arial" w:eastAsia="Arial" w:hAnsi="Arial"/>
          <w:sz w:val="17"/>
          <w:szCs w:val="17"/>
          <w:color w:val="auto"/>
        </w:rPr>
        <w:t xml:space="preserve"> </w:t>
      </w:r>
      <w:r>
        <w:rPr>
          <w:rFonts w:ascii="MS PGothic" w:cs="MS PGothic" w:eastAsia="MS PGothic" w:hAnsi="MS PGothic"/>
          <w:sz w:val="17"/>
          <w:szCs w:val="17"/>
          <w:color w:val="auto"/>
        </w:rPr>
        <w:t>☐</w:t>
      </w:r>
      <w:r>
        <w:rPr>
          <w:rFonts w:ascii="Arial" w:cs="Arial" w:eastAsia="Arial" w:hAnsi="Arial"/>
          <w:sz w:val="17"/>
          <w:szCs w:val="17"/>
          <w:color w:val="auto"/>
        </w:rPr>
        <w:t xml:space="preserve"> Written communications pursuant to Rule 425 under the Securities Act (17 CFR 230.425)</w:t>
      </w:r>
    </w:p>
    <w:p>
      <w:pPr>
        <w:spacing w:after="0" w:line="55"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760" w:firstLine="26"/>
        <w:spacing w:after="0" w:line="371" w:lineRule="auto"/>
        <w:tabs>
          <w:tab w:leader="none" w:pos="39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560" w:type="dxa"/>
        <w:tblCellMar>
          <w:top w:w="0" w:type="dxa"/>
          <w:left w:w="0" w:type="dxa"/>
          <w:bottom w:w="0" w:type="dxa"/>
          <w:right w:w="0" w:type="dxa"/>
        </w:tblCellMar>
      </w:tblPr>
      <w:tr>
        <w:trPr>
          <w:trHeight w:val="198"/>
        </w:trPr>
        <w:tc>
          <w:tcPr>
            <w:tcW w:w="1280" w:type="dxa"/>
            <w:vAlign w:val="bottom"/>
          </w:tcPr>
          <w:p>
            <w:pPr>
              <w:spacing w:after="0"/>
              <w:rPr>
                <w:sz w:val="17"/>
                <w:szCs w:val="17"/>
                <w:color w:val="auto"/>
              </w:rPr>
            </w:pPr>
          </w:p>
        </w:tc>
        <w:tc>
          <w:tcPr>
            <w:tcW w:w="2980" w:type="dxa"/>
            <w:vAlign w:val="bottom"/>
            <w:gridSpan w:val="2"/>
          </w:tcPr>
          <w:p>
            <w:pPr>
              <w:jc w:val="center"/>
              <w:ind w:right="1680"/>
              <w:spacing w:after="0" w:line="198" w:lineRule="exact"/>
              <w:rPr>
                <w:sz w:val="20"/>
                <w:szCs w:val="20"/>
                <w:color w:val="auto"/>
              </w:rPr>
            </w:pPr>
            <w:r>
              <w:rPr>
                <w:rFonts w:ascii="Arial" w:cs="Arial" w:eastAsia="Arial" w:hAnsi="Arial"/>
                <w:sz w:val="18"/>
                <w:szCs w:val="18"/>
                <w:color w:val="auto"/>
                <w:w w:val="90"/>
              </w:rPr>
              <w:t>Title of each class</w:t>
            </w:r>
          </w:p>
        </w:tc>
        <w:tc>
          <w:tcPr>
            <w:tcW w:w="2180" w:type="dxa"/>
            <w:vAlign w:val="bottom"/>
            <w:gridSpan w:val="3"/>
          </w:tcPr>
          <w:p>
            <w:pPr>
              <w:jc w:val="center"/>
              <w:ind w:right="60"/>
              <w:spacing w:after="0" w:line="198" w:lineRule="exact"/>
              <w:rPr>
                <w:sz w:val="20"/>
                <w:szCs w:val="20"/>
                <w:color w:val="auto"/>
              </w:rPr>
            </w:pPr>
            <w:r>
              <w:rPr>
                <w:rFonts w:ascii="Arial" w:cs="Arial" w:eastAsia="Arial" w:hAnsi="Arial"/>
                <w:sz w:val="18"/>
                <w:szCs w:val="18"/>
                <w:color w:val="auto"/>
                <w:w w:val="92"/>
              </w:rPr>
              <w:t>Trading Symbol(s)</w:t>
            </w:r>
          </w:p>
        </w:tc>
        <w:tc>
          <w:tcPr>
            <w:tcW w:w="3620" w:type="dxa"/>
            <w:vAlign w:val="bottom"/>
            <w:gridSpan w:val="2"/>
          </w:tcPr>
          <w:p>
            <w:pPr>
              <w:jc w:val="center"/>
              <w:ind w:left="330"/>
              <w:spacing w:after="0" w:line="198" w:lineRule="exact"/>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2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50"/>
        </w:trPr>
        <w:tc>
          <w:tcPr>
            <w:tcW w:w="42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0"/>
              </w:rPr>
              <w:t>Class C Common Stock, par value $0.01 per share</w:t>
            </w:r>
          </w:p>
        </w:tc>
        <w:tc>
          <w:tcPr>
            <w:tcW w:w="380" w:type="dxa"/>
            <w:vAlign w:val="bottom"/>
          </w:tcPr>
          <w:p>
            <w:pPr>
              <w:spacing w:after="0"/>
              <w:rPr>
                <w:sz w:val="21"/>
                <w:szCs w:val="21"/>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DELL</w:t>
            </w:r>
          </w:p>
        </w:tc>
        <w:tc>
          <w:tcPr>
            <w:tcW w:w="420" w:type="dxa"/>
            <w:vAlign w:val="bottom"/>
          </w:tcPr>
          <w:p>
            <w:pPr>
              <w:spacing w:after="0"/>
              <w:rPr>
                <w:sz w:val="21"/>
                <w:szCs w:val="21"/>
                <w:color w:val="auto"/>
              </w:rPr>
            </w:pP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121" w:lineRule="exact"/>
        <w:rPr>
          <w:sz w:val="24"/>
          <w:szCs w:val="24"/>
          <w:color w:val="auto"/>
        </w:rPr>
      </w:pPr>
    </w:p>
    <w:p>
      <w:pPr>
        <w:ind w:left="40" w:right="44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860"/>
        <w:spacing w:after="0" w:line="207" w:lineRule="exact"/>
        <w:tabs>
          <w:tab w:leader="none" w:pos="110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ind w:left="40" w:right="100"/>
        <w:spacing w:after="0" w:line="20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March 2, 2023, Dell Technologies Inc. (the “Company” or “Dell”) issued a press release announcing its financial results for its fiscal quarter and fiscal year ended February 3, 2023. A copy of the press release is furnished as Exhibit 99.1 to this current report.</w:t>
      </w:r>
    </w:p>
    <w:p>
      <w:pPr>
        <w:spacing w:after="0" w:line="197" w:lineRule="exact"/>
        <w:rPr>
          <w:sz w:val="20"/>
          <w:szCs w:val="20"/>
          <w:color w:val="auto"/>
        </w:rPr>
      </w:pPr>
    </w:p>
    <w:p>
      <w:pPr>
        <w:ind w:right="260"/>
        <w:spacing w:after="0" w:line="308" w:lineRule="auto"/>
        <w:rPr>
          <w:sz w:val="20"/>
          <w:szCs w:val="20"/>
          <w:color w:val="auto"/>
        </w:rPr>
      </w:pPr>
      <w:r>
        <w:rPr>
          <w:rFonts w:ascii="Arial" w:cs="Arial" w:eastAsia="Arial" w:hAnsi="Arial"/>
          <w:sz w:val="16"/>
          <w:szCs w:val="16"/>
          <w:color w:val="auto"/>
        </w:rPr>
        <w:t>In accordance with General Instruction B.2 to Form 8-K, the information contained in this Item 2.02 and in Exhibit 99.1 to this current report is being “furnished” with the Securities and Exchange Commission and shall not be deemed “filed” for purposes of Section 18 of the Securities Exchange Act of</w:t>
      </w:r>
    </w:p>
    <w:p>
      <w:pPr>
        <w:ind w:right="140"/>
        <w:spacing w:after="0" w:line="263" w:lineRule="auto"/>
        <w:rPr>
          <w:sz w:val="20"/>
          <w:szCs w:val="20"/>
          <w:color w:val="auto"/>
        </w:rPr>
      </w:pPr>
      <w:r>
        <w:rPr>
          <w:rFonts w:ascii="Arial" w:cs="Arial" w:eastAsia="Arial" w:hAnsi="Arial"/>
          <w:sz w:val="18"/>
          <w:szCs w:val="18"/>
          <w:color w:val="auto"/>
        </w:rPr>
        <w:t>1934, as amended, or otherwise subject to the liabilities under such section. Further, such information shall not be deemed to be incorporated by reference in any filing under the Securities Act of 1933, as amended, or the Securities Exchange Act of 1934, as amended, unless specifically identified as being incorporated therein by reference.</w:t>
      </w:r>
    </w:p>
    <w:p>
      <w:pPr>
        <w:spacing w:after="0" w:line="24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ind w:right="200" w:firstLine="8"/>
        <w:spacing w:after="0" w:line="308"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February 26, 2023, Thomas W. Sweet, Chief Financial Officer of the Company, notified the Company of his decision to retire from his position as Chief Financial Officer, in which position he served as the Company’s principal financial officer, effective as of August 4, 2023.</w:t>
      </w:r>
    </w:p>
    <w:p>
      <w:pPr>
        <w:spacing w:after="0" w:line="173" w:lineRule="exact"/>
        <w:rPr>
          <w:rFonts w:ascii="Arial" w:cs="Arial" w:eastAsia="Arial" w:hAnsi="Arial"/>
          <w:sz w:val="17"/>
          <w:szCs w:val="17"/>
          <w:color w:val="auto"/>
        </w:rPr>
      </w:pPr>
    </w:p>
    <w:p>
      <w:pPr>
        <w:ind w:right="220" w:firstLine="8"/>
        <w:spacing w:after="0" w:line="342" w:lineRule="auto"/>
        <w:tabs>
          <w:tab w:leader="none" w:pos="245"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March 2, 2023, the Board of Directors appointed Yvonne McGill, who currently serves as the Company’s Corporate Controller, as the Company’s Chief Financial Officer, to succeed Mr. Sweet in that position and as the Company’s principal financial officer, effective as of August 5, 2023.</w:t>
      </w:r>
    </w:p>
    <w:p>
      <w:pPr>
        <w:spacing w:after="0" w:line="151"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color w:val="auto"/>
        </w:rPr>
        <w:t>Ms. McGill, age 56, has served as the Company’s Corporate Controller since February 2020, where she has responsibility for accounting, tax, treasury and investor relations. Previously, Ms. McGill served as Chief Financial Officer and Senior Vice President, Infrastructure Solutions Group, from March 2018 to</w:t>
      </w:r>
    </w:p>
    <w:p>
      <w:pPr>
        <w:spacing w:after="0"/>
        <w:rPr>
          <w:sz w:val="20"/>
          <w:szCs w:val="20"/>
          <w:color w:val="auto"/>
        </w:rPr>
      </w:pPr>
      <w:r>
        <w:rPr>
          <w:rFonts w:ascii="Arial" w:cs="Arial" w:eastAsia="Arial" w:hAnsi="Arial"/>
          <w:sz w:val="17"/>
          <w:szCs w:val="17"/>
          <w:color w:val="auto"/>
        </w:rPr>
        <w:t>February 2020, and Senior Vice President, Global Financial Planning and Analysis, from August 2015 to March 2020. Since joining Dell in 1997, Ms.</w:t>
      </w:r>
    </w:p>
    <w:p>
      <w:pPr>
        <w:spacing w:after="0" w:line="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McGill served in various other finance leadership roles, including heading finance for the Company’s Asia-Pacific, Japan and China region. Before beginning her service with Dell, Ms. McGill worked at ManTech International Corporation, a company providing technology solutions and services to U.S. intelligence, defense and federal civilian agencies, and Price Waterhouse LLP, a professional services company. Ms. McGill serves on the board of directors of Applied Materials, Inc., an international materials engineering company.</w:t>
      </w:r>
    </w:p>
    <w:p>
      <w:pPr>
        <w:spacing w:after="0" w:line="214"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The spouse of Ms. McGill, Bryan McGill, has been an employee of Dell since 1997. Since the beginning of the fiscal year ended February 3, 2023, the Company paid Mr. McGill total compensation of approximately $400,000, consisting of base salary and cash incentive compensation. Mr. McGill also received benefits generally available to all employees of Dell. The compensation for Mr. McGill was determined in accordance with the Company’s standard employment and compensation practices applicable to employees with similar responsibilities and positions.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referred to in Item 5.02(c)(3) of Form 8-K has not been determined as of the date of this report.</w:t>
      </w:r>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herewith filed or furnished as exhibits to this report:</w:t>
      </w:r>
    </w:p>
    <w:p>
      <w:pPr>
        <w:sectPr>
          <w:pgSz w:w="11900" w:h="16838" w:orient="portrait"/>
          <w:cols w:equalWidth="0" w:num="1">
            <w:col w:w="11240"/>
          </w:cols>
          <w:pgMar w:left="320" w:top="891" w:right="339" w:bottom="1440" w:gutter="0" w:footer="0" w:header="0"/>
        </w:sectPr>
      </w:pP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Exhibit</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19050</wp:posOffset>
            </wp:positionV>
            <wp:extent cx="857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jc w:val="center"/>
        <w:ind w:right="442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-2785110</wp:posOffset>
            </wp:positionH>
            <wp:positionV relativeFrom="paragraph">
              <wp:posOffset>31750</wp:posOffset>
            </wp:positionV>
            <wp:extent cx="61461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46165" cy="825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5200" w:space="720"/>
            <w:col w:w="5320"/>
          </w:cols>
          <w:pgMar w:left="320" w:top="891" w:right="339" w:bottom="1440" w:gutter="0" w:footer="0" w:header="0"/>
          <w:type w:val="continuous"/>
        </w:sectPr>
      </w:pPr>
    </w:p>
    <w:p>
      <w:pPr>
        <w:ind w:left="1060"/>
        <w:spacing w:after="0"/>
        <w:tabs>
          <w:tab w:leader="none" w:pos="152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6"/>
          <w:szCs w:val="16"/>
          <w:u w:val="single" w:color="auto"/>
          <w:color w:val="0000FF"/>
        </w:rPr>
        <w:t>Press Release of Dell Technologies Inc. dated March 2, 2023.</w:t>
      </w:r>
    </w:p>
    <w:p>
      <w:pPr>
        <w:spacing w:after="0" w:line="23" w:lineRule="exact"/>
        <w:rPr>
          <w:sz w:val="20"/>
          <w:szCs w:val="20"/>
          <w:color w:val="auto"/>
        </w:rPr>
      </w:pPr>
    </w:p>
    <w:p>
      <w:pPr>
        <w:ind w:left="1540" w:hanging="436"/>
        <w:spacing w:after="0"/>
        <w:tabs>
          <w:tab w:leader="none" w:pos="1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Cover Page Interactive Data File — the cover page XBRL tags are embedded within the Inline XBRL document.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2"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200"/>
          </w:cols>
          <w:pgMar w:left="320" w:top="891" w:right="379" w:bottom="1440" w:gutter="0" w:footer="0" w:header="0"/>
        </w:sectPr>
      </w:pPr>
    </w:p>
    <w:p>
      <w:pPr>
        <w:spacing w:after="0" w:line="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March 2, 2023</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Dell Technologies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/s/ Christopher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29210</wp:posOffset>
            </wp:positionV>
            <wp:extent cx="32918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3">
            <w:col w:w="4900" w:space="720"/>
            <w:col w:w="1680" w:space="560"/>
            <w:col w:w="3340"/>
          </w:cols>
          <w:pgMar w:left="320" w:top="891" w:right="379" w:bottom="1440" w:gutter="0" w:footer="0" w:header="0"/>
          <w:type w:val="continuous"/>
        </w:sectPr>
      </w:pPr>
    </w:p>
    <w:p>
      <w:pPr>
        <w:jc w:val="center"/>
        <w:ind w:left="6040"/>
        <w:spacing w:after="0"/>
        <w:rPr>
          <w:sz w:val="20"/>
          <w:szCs w:val="20"/>
          <w:color w:val="auto"/>
        </w:rPr>
      </w:pPr>
      <w:r>
        <w:rPr>
          <w:rFonts w:ascii="Arial" w:cs="Arial" w:eastAsia="Arial" w:hAnsi="Arial"/>
          <w:sz w:val="18"/>
          <w:szCs w:val="18"/>
          <w:color w:val="auto"/>
        </w:rPr>
        <w:t>Christopher Garcia</w:t>
      </w:r>
    </w:p>
    <w:p>
      <w:pPr>
        <w:jc w:val="center"/>
        <w:ind w:left="6040"/>
        <w:spacing w:after="0"/>
        <w:rPr>
          <w:sz w:val="20"/>
          <w:szCs w:val="20"/>
          <w:color w:val="auto"/>
        </w:rPr>
      </w:pPr>
      <w:r>
        <w:rPr>
          <w:rFonts w:ascii="Arial" w:cs="Arial" w:eastAsia="Arial" w:hAnsi="Arial"/>
          <w:sz w:val="16"/>
          <w:szCs w:val="16"/>
          <w:color w:val="auto"/>
        </w:rPr>
        <w:t>Senior Vice President and Assistant Secretary</w:t>
      </w:r>
    </w:p>
    <w:p>
      <w:pPr>
        <w:spacing w:after="0" w:line="4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00"/>
          </w:cols>
          <w:pgMar w:left="320" w:top="891" w:right="37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171450</wp:posOffset>
            </wp:positionV>
            <wp:extent cx="2305685"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568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Dell Technologies Delivers Fourth Quarter and Full Year Fiscal 2023 Financial Results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News summary</w:t>
      </w:r>
    </w:p>
    <w:p>
      <w:pPr>
        <w:spacing w:after="0" w:line="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Record full-year revenue of $102.3 billion, up 1%, and fourth quarter revenue of $25 billion, down 11%</w:t>
      </w:r>
    </w:p>
    <w:p>
      <w:pPr>
        <w:ind w:left="660" w:right="320" w:hanging="328"/>
        <w:spacing w:after="0" w:line="236"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color w:val="auto"/>
        </w:rPr>
        <w:t>Record full-year operating income of $5.8 billion, up 24%, and record non-GAAP operating income of $8.6 billion, up 11%</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Full-year diluted earnings per share at $3.24, and non-GAAP diluted earnings per share at $7.61</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Announcing a 12% increase in annual cash dividend to $1.48 per common share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ROUND ROCK, Texas </w:t>
      </w:r>
      <w:r>
        <w:rPr>
          <w:rFonts w:ascii="Arial" w:cs="Arial" w:eastAsia="Arial" w:hAnsi="Arial"/>
          <w:sz w:val="17"/>
          <w:szCs w:val="17"/>
          <w:b w:val="1"/>
          <w:bCs w:val="1"/>
          <w:color w:val="auto"/>
        </w:rPr>
        <w:t>—</w:t>
      </w:r>
      <w:r>
        <w:rPr>
          <w:rFonts w:ascii="Arial" w:cs="Arial" w:eastAsia="Arial" w:hAnsi="Arial"/>
          <w:sz w:val="22"/>
          <w:szCs w:val="22"/>
          <w:b w:val="1"/>
          <w:bCs w:val="1"/>
          <w:color w:val="auto"/>
        </w:rPr>
        <w:t xml:space="preserve"> March 2, 2023</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Full story</w:t>
      </w:r>
    </w:p>
    <w:p>
      <w:pPr>
        <w:spacing w:after="0" w:line="14" w:lineRule="exact"/>
        <w:rPr>
          <w:sz w:val="20"/>
          <w:szCs w:val="20"/>
          <w:color w:val="auto"/>
        </w:rPr>
      </w:pPr>
    </w:p>
    <w:p>
      <w:pPr>
        <w:ind w:right="100"/>
        <w:spacing w:after="0" w:line="277" w:lineRule="auto"/>
        <w:rPr>
          <w:sz w:val="20"/>
          <w:szCs w:val="20"/>
          <w:color w:val="auto"/>
        </w:rPr>
      </w:pPr>
      <w:r>
        <w:rPr>
          <w:rFonts w:ascii="Arial" w:cs="Arial" w:eastAsia="Arial" w:hAnsi="Arial"/>
          <w:sz w:val="19"/>
          <w:szCs w:val="19"/>
          <w:color w:val="auto"/>
        </w:rPr>
        <w:t>Dell Technologies (NYSE: DELL) announces financial results for its fiscal 2023 fourth quarter and full year. Revenue for the year was a record $102.3 billion, up 1% over fiscal year 2022. The company generated record operating income of $5.8 billion, up 24% over the prior year, and record non-GAAP operating income of $8.6 billion, up 11%. For the full year, net income from continuing operations was $2.4 billion and non-GAAP net income was $5.7 billion. Cash flow from operations was $3.6 billion. Full-year diluted earnings per share from continuing operations was $3.24, and non-GAAP diluted earnings per share was $7.61.</w:t>
      </w:r>
    </w:p>
    <w:p>
      <w:pPr>
        <w:spacing w:after="0" w:line="179" w:lineRule="exact"/>
        <w:rPr>
          <w:sz w:val="20"/>
          <w:szCs w:val="20"/>
          <w:color w:val="auto"/>
        </w:rPr>
      </w:pPr>
    </w:p>
    <w:p>
      <w:pPr>
        <w:ind w:right="180"/>
        <w:spacing w:after="0" w:line="287" w:lineRule="auto"/>
        <w:rPr>
          <w:sz w:val="20"/>
          <w:szCs w:val="20"/>
          <w:color w:val="auto"/>
        </w:rPr>
      </w:pPr>
      <w:r>
        <w:rPr>
          <w:rFonts w:ascii="Arial" w:cs="Arial" w:eastAsia="Arial" w:hAnsi="Arial"/>
          <w:sz w:val="19"/>
          <w:szCs w:val="19"/>
          <w:color w:val="auto"/>
        </w:rPr>
        <w:t>Fourth quarter revenue was $25 billion, down 11%. Operating income was $1.2 billion, representing 4.7% of revenue, and non-GAAP operating income was $2.2 billion, representing 8.7% of revenue. Net income from continuing operations for the quarter was $606 million, and non-GAAP net income was $1.3 billion. Cash flow from operations for the quarter was $2.7 billion. Diluted earnings per share from continuing operations was $0.84, and non-GAAP diluted earnings per share was $1.80.</w:t>
      </w:r>
    </w:p>
    <w:p>
      <w:pPr>
        <w:spacing w:after="0" w:line="156"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Dell ended the quarter with remaining performance obligations of $40 billion, deferred revenue of $30.3 billion and recurring revenue of approximately $5.6 billion, up 12% year-over-year. Cash and investments were $10.2 billion, and $3.8 billion was returned to shareholders in fiscal year 2023 through share repurchases and dividends. The company will increase its annual cash dividend by 12% to $1.48 per common share, with $0.37 per common share for the first quarterly distribution payable on May 5 to shareholders of record as of April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93"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Fourth Quarter and Full Year Fiscal 2023 Financial Results</w:t>
      </w:r>
    </w:p>
    <w:p>
      <w:pPr>
        <w:spacing w:after="0" w:line="134"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c>
          <w:tcPr>
            <w:tcW w:w="10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Fiscal Year Ended</w:t>
            </w:r>
          </w:p>
        </w:tc>
        <w:tc>
          <w:tcPr>
            <w:tcW w:w="940" w:type="dxa"/>
            <w:vAlign w:val="bottom"/>
          </w:tcPr>
          <w:p>
            <w:pPr>
              <w:spacing w:after="0"/>
              <w:rPr>
                <w:sz w:val="20"/>
                <w:szCs w:val="20"/>
                <w:color w:val="auto"/>
              </w:rPr>
            </w:pPr>
          </w:p>
        </w:tc>
      </w:tr>
      <w:tr>
        <w:trPr>
          <w:trHeight w:val="169"/>
        </w:trPr>
        <w:tc>
          <w:tcPr>
            <w:tcW w:w="3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4"/>
              </w:rPr>
              <w:t>January 28,</w:t>
            </w: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4"/>
              </w:rPr>
              <w:t>January 28,</w:t>
            </w:r>
          </w:p>
        </w:tc>
        <w:tc>
          <w:tcPr>
            <w:tcW w:w="940" w:type="dxa"/>
            <w:vAlign w:val="bottom"/>
          </w:tcPr>
          <w:p>
            <w:pPr>
              <w:spacing w:after="0"/>
              <w:rPr>
                <w:sz w:val="14"/>
                <w:szCs w:val="14"/>
                <w:color w:val="auto"/>
              </w:rPr>
            </w:pPr>
          </w:p>
        </w:tc>
      </w:tr>
      <w:tr>
        <w:trPr>
          <w:trHeight w:val="243"/>
        </w:trPr>
        <w:tc>
          <w:tcPr>
            <w:tcW w:w="3500" w:type="dxa"/>
            <w:vAlign w:val="bottom"/>
          </w:tcPr>
          <w:p>
            <w:pPr>
              <w:spacing w:after="0"/>
              <w:rPr>
                <w:sz w:val="21"/>
                <w:szCs w:val="21"/>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February 3, 2023</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5"/>
              </w:rPr>
              <w:t>February 3, 2023</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Change</w:t>
            </w:r>
          </w:p>
        </w:tc>
      </w:tr>
      <w:tr>
        <w:trPr>
          <w:trHeight w:val="223"/>
        </w:trPr>
        <w:tc>
          <w:tcPr>
            <w:tcW w:w="3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80" w:type="dxa"/>
            <w:vAlign w:val="bottom"/>
            <w:gridSpan w:val="7"/>
          </w:tcPr>
          <w:p>
            <w:pPr>
              <w:jc w:val="right"/>
              <w:ind w:right="350"/>
              <w:spacing w:after="0"/>
              <w:rPr>
                <w:sz w:val="20"/>
                <w:szCs w:val="20"/>
                <w:color w:val="auto"/>
              </w:rPr>
            </w:pPr>
            <w:r>
              <w:rPr>
                <w:rFonts w:ascii="Arial" w:cs="Arial" w:eastAsia="Arial" w:hAnsi="Arial"/>
                <w:sz w:val="18"/>
                <w:szCs w:val="18"/>
                <w:color w:val="auto"/>
                <w:w w:val="89"/>
              </w:rPr>
              <w:t>(in millions, except per share amounts and percentages; unaudited)</w:t>
            </w:r>
          </w:p>
        </w:tc>
        <w:tc>
          <w:tcPr>
            <w:tcW w:w="940" w:type="dxa"/>
            <w:vAlign w:val="bottom"/>
          </w:tcPr>
          <w:p>
            <w:pPr>
              <w:spacing w:after="0"/>
              <w:rPr>
                <w:sz w:val="19"/>
                <w:szCs w:val="19"/>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27,992</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102,301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101,197</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w:t>
            </w: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1,189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1,609</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(26)%</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5,771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4,659</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24%</w:t>
            </w: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continuing operations</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(51)%</w:t>
            </w: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Earnings per share - diluted</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(0.04)</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6.26</w:t>
            </w: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(48)%</w:t>
            </w:r>
          </w:p>
        </w:tc>
      </w:tr>
      <w:tr>
        <w:trPr>
          <w:trHeight w:val="257"/>
        </w:trPr>
        <w:tc>
          <w:tcPr>
            <w:tcW w:w="35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Non-GAAP net revenue</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25,039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28,000</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(11)%</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102,301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101,229</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1%</w:t>
            </w: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operating income</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8,637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w:t>
            </w: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Non-GAAP net income</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1,322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1,390</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(5)%</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5,727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4,924</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16%</w:t>
            </w: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earnings per share - diluted</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22%</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2023 and its fourth quarter had an extra week compared to the prior corresponding periods.</w:t>
      </w:r>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Information about Dell Technologies’ use of non-GAAP financial information is provided under “Non-GAAP Financial Measures” below. All comparisons in this press release are year-over-year unless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segments summary</w:t>
      </w:r>
    </w:p>
    <w:p>
      <w:pPr>
        <w:spacing w:after="0" w:line="233" w:lineRule="exact"/>
        <w:rPr>
          <w:sz w:val="20"/>
          <w:szCs w:val="20"/>
          <w:color w:val="auto"/>
        </w:rPr>
      </w:pPr>
    </w:p>
    <w:p>
      <w:pPr>
        <w:ind w:right="40"/>
        <w:spacing w:after="0" w:line="251" w:lineRule="auto"/>
        <w:rPr>
          <w:sz w:val="20"/>
          <w:szCs w:val="20"/>
          <w:color w:val="auto"/>
        </w:rPr>
      </w:pPr>
      <w:r>
        <w:rPr>
          <w:rFonts w:ascii="Arial" w:cs="Arial" w:eastAsia="Arial" w:hAnsi="Arial"/>
          <w:sz w:val="21"/>
          <w:szCs w:val="21"/>
          <w:b w:val="1"/>
          <w:bCs w:val="1"/>
          <w:color w:val="auto"/>
        </w:rPr>
        <w:t xml:space="preserve">Infrastructure Solutions Group </w:t>
      </w:r>
      <w:r>
        <w:rPr>
          <w:rFonts w:ascii="Arial" w:cs="Arial" w:eastAsia="Arial" w:hAnsi="Arial"/>
          <w:sz w:val="21"/>
          <w:szCs w:val="21"/>
          <w:color w:val="auto"/>
        </w:rPr>
        <w:t>delivered record revenue of $38.4 billion for the full year, up 12% versus the prior year, and</w:t>
      </w:r>
      <w:r>
        <w:rPr>
          <w:rFonts w:ascii="Arial" w:cs="Arial" w:eastAsia="Arial" w:hAnsi="Arial"/>
          <w:sz w:val="21"/>
          <w:szCs w:val="21"/>
          <w:b w:val="1"/>
          <w:bCs w:val="1"/>
          <w:color w:val="auto"/>
        </w:rPr>
        <w:t xml:space="preserve"> </w:t>
      </w:r>
      <w:r>
        <w:rPr>
          <w:rFonts w:ascii="Arial" w:cs="Arial" w:eastAsia="Arial" w:hAnsi="Arial"/>
          <w:sz w:val="21"/>
          <w:szCs w:val="21"/>
          <w:color w:val="auto"/>
        </w:rPr>
        <w:t>record operating income of $5 billion, up 35% versus the prior year. Fourth quarter revenue was $9.9 billion, up 7% year-over-year and its eighth consecutive quarter of year-over-year growth. Servers and networking revenue for the fourth quarter was $4.9 billion, up 5%. Storage revenue was a record $5 billion, up 10%. Operating income was a record $1.5 billion, up 40% and approximately 15.6% of Infrastructure Solutions Group revenue.</w:t>
      </w:r>
    </w:p>
    <w:p>
      <w:pPr>
        <w:spacing w:after="0" w:line="195" w:lineRule="exact"/>
        <w:rPr>
          <w:sz w:val="20"/>
          <w:szCs w:val="20"/>
          <w:color w:val="auto"/>
        </w:rPr>
      </w:pPr>
    </w:p>
    <w:p>
      <w:pPr>
        <w:ind w:right="280"/>
        <w:spacing w:after="0" w:line="284" w:lineRule="auto"/>
        <w:rPr>
          <w:sz w:val="20"/>
          <w:szCs w:val="20"/>
          <w:color w:val="auto"/>
        </w:rPr>
      </w:pPr>
      <w:r>
        <w:rPr>
          <w:rFonts w:ascii="Arial" w:cs="Arial" w:eastAsia="Arial" w:hAnsi="Arial"/>
          <w:sz w:val="19"/>
          <w:szCs w:val="19"/>
          <w:b w:val="1"/>
          <w:bCs w:val="1"/>
          <w:color w:val="auto"/>
        </w:rPr>
        <w:t xml:space="preserve">Client Solutions Group </w:t>
      </w:r>
      <w:r>
        <w:rPr>
          <w:rFonts w:ascii="Arial" w:cs="Arial" w:eastAsia="Arial" w:hAnsi="Arial"/>
          <w:sz w:val="19"/>
          <w:szCs w:val="19"/>
          <w:color w:val="auto"/>
        </w:rPr>
        <w:t>delivered revenue of $58.2 billion for the full year, down 5% versus the prior year, and operating</w:t>
      </w:r>
      <w:r>
        <w:rPr>
          <w:rFonts w:ascii="Arial" w:cs="Arial" w:eastAsia="Arial" w:hAnsi="Arial"/>
          <w:sz w:val="19"/>
          <w:szCs w:val="19"/>
          <w:b w:val="1"/>
          <w:bCs w:val="1"/>
          <w:color w:val="auto"/>
        </w:rPr>
        <w:t xml:space="preserve"> </w:t>
      </w:r>
      <w:r>
        <w:rPr>
          <w:rFonts w:ascii="Arial" w:cs="Arial" w:eastAsia="Arial" w:hAnsi="Arial"/>
          <w:sz w:val="19"/>
          <w:szCs w:val="19"/>
          <w:color w:val="auto"/>
        </w:rPr>
        <w:t>income of $3.8 billion, down 12% versus the prior year. Fourth quarter revenue was $13.4 billion, down 23% year-over-year. Commercial revenue for the fourth quarter was $10.7 billion, down 17%, and Consumer revenue was $2.7 billion, down 40%. Operating income was $671 million, down 42% and approximately 5% of Client Solutions Group revenue.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Key areas of innovation:</w:t>
      </w:r>
    </w:p>
    <w:p>
      <w:pPr>
        <w:spacing w:after="0" w:line="5" w:lineRule="exact"/>
        <w:rPr>
          <w:sz w:val="20"/>
          <w:szCs w:val="20"/>
          <w:color w:val="auto"/>
        </w:rPr>
      </w:pPr>
    </w:p>
    <w:p>
      <w:pPr>
        <w:ind w:left="660" w:right="280" w:hanging="328"/>
        <w:spacing w:after="0" w:line="231"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2"/>
          <w:szCs w:val="22"/>
          <w:color w:val="auto"/>
        </w:rPr>
        <w:t>Dell expanded its leading server portfolio with new PowerEdge servers, which improve energy and cost efficiency and make systems more intelligent with up to 2.9x greater AI inferencing across data centers, large-scale public clouds, telecom and edge locations.</w:t>
      </w:r>
    </w:p>
    <w:p>
      <w:pPr>
        <w:spacing w:after="0" w:line="1" w:lineRule="exact"/>
        <w:rPr>
          <w:rFonts w:ascii="Arial" w:cs="Arial" w:eastAsia="Arial" w:hAnsi="Arial"/>
          <w:sz w:val="22"/>
          <w:szCs w:val="22"/>
          <w:color w:val="auto"/>
        </w:rPr>
      </w:pPr>
    </w:p>
    <w:p>
      <w:pPr>
        <w:ind w:left="660" w:right="480" w:hanging="328"/>
        <w:spacing w:after="0" w:line="241" w:lineRule="auto"/>
        <w:tabs>
          <w:tab w:leader="none" w:pos="655" w:val="left"/>
        </w:tabs>
        <w:numPr>
          <w:ilvl w:val="0"/>
          <w:numId w:val="5"/>
        </w:numPr>
        <w:rPr>
          <w:rFonts w:ascii="Arial" w:cs="Arial" w:eastAsia="Arial" w:hAnsi="Arial"/>
          <w:sz w:val="21"/>
          <w:szCs w:val="21"/>
          <w:color w:val="auto"/>
        </w:rPr>
      </w:pPr>
      <w:r>
        <w:rPr>
          <w:rFonts w:ascii="Arial" w:cs="Arial" w:eastAsia="Arial" w:hAnsi="Arial"/>
          <w:sz w:val="21"/>
          <w:szCs w:val="21"/>
          <w:color w:val="auto"/>
        </w:rPr>
        <w:t>Dell expanded its technology ecosystem and solutions, including Dell Telecom Infrastructure Blocks for Red Hat, to accelerate the adoption of open, cloud-native technologies in the telecommunications industry.</w:t>
      </w:r>
    </w:p>
    <w:p>
      <w:pPr>
        <w:spacing w:after="0" w:line="1" w:lineRule="exact"/>
        <w:rPr>
          <w:rFonts w:ascii="Arial" w:cs="Arial" w:eastAsia="Arial" w:hAnsi="Arial"/>
          <w:sz w:val="21"/>
          <w:szCs w:val="21"/>
          <w:color w:val="auto"/>
        </w:rPr>
      </w:pPr>
    </w:p>
    <w:p>
      <w:pPr>
        <w:ind w:left="660" w:hanging="328"/>
        <w:spacing w:after="0" w:line="230"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Dell launched offerings for hybrid work, including:</w:t>
      </w:r>
    </w:p>
    <w:p>
      <w:pPr>
        <w:ind w:left="1300" w:right="180" w:hanging="320"/>
        <w:spacing w:after="0" w:line="224" w:lineRule="auto"/>
        <w:tabs>
          <w:tab w:leader="none" w:pos="1296" w:val="left"/>
        </w:tabs>
        <w:numPr>
          <w:ilvl w:val="1"/>
          <w:numId w:val="5"/>
        </w:numPr>
        <w:rPr>
          <w:rFonts w:ascii="Arial" w:cs="Arial" w:eastAsia="Arial" w:hAnsi="Arial"/>
          <w:sz w:val="22"/>
          <w:szCs w:val="22"/>
          <w:color w:val="auto"/>
        </w:rPr>
      </w:pPr>
      <w:r>
        <w:rPr>
          <w:rFonts w:ascii="Arial" w:cs="Arial" w:eastAsia="Arial" w:hAnsi="Arial"/>
          <w:sz w:val="22"/>
          <w:szCs w:val="22"/>
          <w:color w:val="auto"/>
        </w:rPr>
        <w:t>The UltraSharp 6K Monitor with intelligent and secure collaboration, better sharpness and higher contrast as the world’s first 6K resolution monitor with IPS black panel technology.</w:t>
      </w:r>
    </w:p>
    <w:p>
      <w:pPr>
        <w:ind w:left="1300" w:right="380" w:hanging="320"/>
        <w:spacing w:after="0" w:line="236" w:lineRule="auto"/>
        <w:tabs>
          <w:tab w:leader="none" w:pos="1296" w:val="left"/>
        </w:tabs>
        <w:numPr>
          <w:ilvl w:val="1"/>
          <w:numId w:val="5"/>
        </w:numPr>
        <w:rPr>
          <w:rFonts w:ascii="Arial" w:cs="Arial" w:eastAsia="Arial" w:hAnsi="Arial"/>
          <w:sz w:val="22"/>
          <w:szCs w:val="22"/>
          <w:color w:val="auto"/>
        </w:rPr>
      </w:pPr>
      <w:r>
        <w:rPr>
          <w:rFonts w:ascii="Arial" w:cs="Arial" w:eastAsia="Arial" w:hAnsi="Arial"/>
          <w:sz w:val="22"/>
          <w:szCs w:val="22"/>
          <w:color w:val="auto"/>
        </w:rPr>
        <w:t>The Dell Premier Collaboration Keyboard, the world’s first keyboard certified by Zoom, with dedicated touch controls to easily manage Zoom calls.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320" w:top="1098" w:right="39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Executive Quotes:</w:t>
      </w:r>
    </w:p>
    <w:p>
      <w:pPr>
        <w:spacing w:after="0" w:line="239" w:lineRule="exact"/>
        <w:rPr>
          <w:sz w:val="20"/>
          <w:szCs w:val="20"/>
          <w:color w:val="auto"/>
        </w:rPr>
      </w:pPr>
    </w:p>
    <w:p>
      <w:pPr>
        <w:ind w:left="660" w:hanging="328"/>
        <w:spacing w:after="0" w:line="239"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FY23, we accelerated our innovation agenda, drove share gains and delivered strong profitability in a challenging environment – resulting in record revenue of $102.3 billion, record operating income and record ISG revenue of $38.4 billion,” said Chuck Whitten, co-chief operating officer, Dell Technologies. “The long-term trends are in our favor, as data increases exponentially and we continue to help customers navigate the complexities of hybrid work, multicloud and edge.”</w:t>
      </w:r>
    </w:p>
    <w:p>
      <w:pPr>
        <w:spacing w:after="0" w:line="225" w:lineRule="exact"/>
        <w:rPr>
          <w:rFonts w:ascii="Arial" w:cs="Arial" w:eastAsia="Arial" w:hAnsi="Arial"/>
          <w:sz w:val="22"/>
          <w:szCs w:val="22"/>
          <w:color w:val="auto"/>
        </w:rPr>
      </w:pPr>
    </w:p>
    <w:p>
      <w:pPr>
        <w:ind w:left="660" w:right="200" w:hanging="328"/>
        <w:spacing w:after="0" w:line="246" w:lineRule="auto"/>
        <w:tabs>
          <w:tab w:leader="none" w:pos="655" w:val="left"/>
        </w:tabs>
        <w:numPr>
          <w:ilvl w:val="0"/>
          <w:numId w:val="6"/>
        </w:numPr>
        <w:rPr>
          <w:rFonts w:ascii="Arial" w:cs="Arial" w:eastAsia="Arial" w:hAnsi="Arial"/>
          <w:sz w:val="21"/>
          <w:szCs w:val="21"/>
          <w:color w:val="auto"/>
        </w:rPr>
      </w:pPr>
      <w:r>
        <w:rPr>
          <w:rFonts w:ascii="Arial" w:cs="Arial" w:eastAsia="Arial" w:hAnsi="Arial"/>
          <w:sz w:val="21"/>
          <w:szCs w:val="21"/>
          <w:color w:val="auto"/>
        </w:rPr>
        <w:t>“Our end-to-end portfolio is a proven competitive advantage in this changing environment,” said Jeff Clarke, vice chairman and co-chief operating officer, Dell Technologies. “In ISG we had our eighth consecutive quarter of growth in the fourth quarter with revenue of $9.9 billion, record profitability, and record storage revenue of $5 billion. In CSG, we are focusing on the most profitable segments of the PC market to outperform the industry. We are poised to capture growth even as customer spending priorities shift.”</w:t>
      </w:r>
    </w:p>
    <w:p>
      <w:pPr>
        <w:spacing w:after="0" w:line="206" w:lineRule="exact"/>
        <w:rPr>
          <w:rFonts w:ascii="Arial" w:cs="Arial" w:eastAsia="Arial" w:hAnsi="Arial"/>
          <w:sz w:val="21"/>
          <w:szCs w:val="21"/>
          <w:color w:val="auto"/>
        </w:rPr>
      </w:pPr>
    </w:p>
    <w:p>
      <w:pPr>
        <w:ind w:left="660" w:right="260" w:hanging="328"/>
        <w:spacing w:after="0" w:line="284" w:lineRule="auto"/>
        <w:tabs>
          <w:tab w:leader="none" w:pos="655" w:val="left"/>
        </w:tabs>
        <w:numPr>
          <w:ilvl w:val="0"/>
          <w:numId w:val="6"/>
        </w:numPr>
        <w:rPr>
          <w:rFonts w:ascii="Arial" w:cs="Arial" w:eastAsia="Arial" w:hAnsi="Arial"/>
          <w:sz w:val="19"/>
          <w:szCs w:val="19"/>
          <w:color w:val="auto"/>
        </w:rPr>
      </w:pPr>
      <w:r>
        <w:rPr>
          <w:rFonts w:ascii="Arial" w:cs="Arial" w:eastAsia="Arial" w:hAnsi="Arial"/>
          <w:sz w:val="19"/>
          <w:szCs w:val="19"/>
          <w:color w:val="auto"/>
        </w:rPr>
        <w:t>“We continue to deliver for our customers and meet our capital return commitments by taking a disciplined approach to managing our business,” said Tom Sweet, chief financial officer, Dell Technologies. “We returned approximately</w:t>
      </w:r>
    </w:p>
    <w:p>
      <w:pPr>
        <w:ind w:left="660" w:right="80"/>
        <w:spacing w:after="0" w:line="323" w:lineRule="auto"/>
        <w:rPr>
          <w:rFonts w:ascii="Arial" w:cs="Arial" w:eastAsia="Arial" w:hAnsi="Arial"/>
          <w:sz w:val="19"/>
          <w:szCs w:val="19"/>
          <w:color w:val="auto"/>
        </w:rPr>
      </w:pPr>
      <w:r>
        <w:rPr>
          <w:rFonts w:ascii="Arial" w:cs="Arial" w:eastAsia="Arial" w:hAnsi="Arial"/>
          <w:sz w:val="19"/>
          <w:szCs w:val="19"/>
          <w:color w:val="auto"/>
        </w:rPr>
        <w:t>$3.8 billion of capital to our shareholders in FY23 and are increasing our annual dividend by 12% in FY24, reflecting our confidence in our long-term business model and ability to generate and grow our cash flow over time.”</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Dell Technologies World</w:t>
      </w:r>
    </w:p>
    <w:p>
      <w:pPr>
        <w:spacing w:after="0" w:line="14" w:lineRule="exact"/>
        <w:rPr>
          <w:sz w:val="20"/>
          <w:szCs w:val="20"/>
          <w:color w:val="auto"/>
        </w:rPr>
      </w:pPr>
    </w:p>
    <w:p>
      <w:pPr>
        <w:ind w:right="100"/>
        <w:spacing w:after="0" w:line="270" w:lineRule="auto"/>
        <w:rPr>
          <w:sz w:val="20"/>
          <w:szCs w:val="20"/>
          <w:color w:val="auto"/>
        </w:rPr>
      </w:pPr>
      <w:r>
        <w:rPr>
          <w:rFonts w:ascii="Arial" w:cs="Arial" w:eastAsia="Arial" w:hAnsi="Arial"/>
          <w:sz w:val="19"/>
          <w:szCs w:val="19"/>
          <w:color w:val="auto"/>
        </w:rPr>
        <w:t>Join us May 22 – 25 for Dell Technologies World, the company’s flagship event that brings together the latest trends, technology and thought leaders. During the event, customers and partners will explore the connected ecosystem of IT infrastructure, applications, devices and security along with our Dell APEX and multicloud solutions that give customers greater flexibility to scale IT to meet business needs and transform their ideas into the innovations that shape our future. Register here.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14" w:lineRule="exact"/>
        <w:rPr>
          <w:sz w:val="20"/>
          <w:szCs w:val="20"/>
          <w:color w:val="auto"/>
        </w:rPr>
      </w:pPr>
    </w:p>
    <w:p>
      <w:pPr>
        <w:spacing w:after="0" w:line="227" w:lineRule="auto"/>
        <w:rPr>
          <w:sz w:val="20"/>
          <w:szCs w:val="20"/>
          <w:color w:val="auto"/>
        </w:rPr>
      </w:pPr>
      <w:r>
        <w:rPr>
          <w:rFonts w:ascii="Arial" w:cs="Arial" w:eastAsia="Arial" w:hAnsi="Arial"/>
          <w:sz w:val="22"/>
          <w:szCs w:val="22"/>
          <w:color w:val="auto"/>
        </w:rPr>
        <w:t>As previously announced, the Company will hold a conference call to discuss its performance and financial guidance on March 2, 2023, at 3:30 p.m. CST. Prior to the start of the conference call, prepared remarks and a presentation containing additional financial and operating information prior to financial guidance may be downloaded from investors.delltechnologies.com. The conference call will be broadcast live over the internet and can be accessed at https://investors.delltechnologies.com/news-events/upcoming-events</w:t>
      </w:r>
    </w:p>
    <w:p>
      <w:pPr>
        <w:spacing w:after="0" w:line="203" w:lineRule="exact"/>
        <w:rPr>
          <w:sz w:val="20"/>
          <w:szCs w:val="20"/>
          <w:color w:val="auto"/>
        </w:rPr>
      </w:pPr>
    </w:p>
    <w:p>
      <w:pPr>
        <w:ind w:right="640"/>
        <w:spacing w:after="0" w:line="274" w:lineRule="auto"/>
        <w:rPr>
          <w:sz w:val="20"/>
          <w:szCs w:val="20"/>
          <w:color w:val="auto"/>
        </w:rPr>
      </w:pPr>
      <w:r>
        <w:rPr>
          <w:rFonts w:ascii="Arial" w:cs="Arial" w:eastAsia="Arial" w:hAnsi="Arial"/>
          <w:sz w:val="21"/>
          <w:szCs w:val="21"/>
          <w:color w:val="auto"/>
        </w:rPr>
        <w:t>For those unable to listen to the live broadcast, the final remarks and presentation with financial guidance will be available following the broadcast, and an archived version will be available at the same location for one year.</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Social and Governance (ESG)</w:t>
      </w:r>
    </w:p>
    <w:p>
      <w:pPr>
        <w:spacing w:after="0" w:line="14" w:lineRule="exact"/>
        <w:rPr>
          <w:sz w:val="20"/>
          <w:szCs w:val="20"/>
          <w:color w:val="auto"/>
        </w:rPr>
      </w:pPr>
    </w:p>
    <w:p>
      <w:pPr>
        <w:ind w:right="620"/>
        <w:spacing w:after="0" w:line="234" w:lineRule="auto"/>
        <w:rPr>
          <w:sz w:val="20"/>
          <w:szCs w:val="20"/>
          <w:color w:val="auto"/>
        </w:rPr>
      </w:pPr>
      <w:r>
        <w:rPr>
          <w:rFonts w:ascii="Arial" w:cs="Arial" w:eastAsia="Arial" w:hAnsi="Arial"/>
          <w:sz w:val="22"/>
          <w:szCs w:val="22"/>
          <w:color w:val="auto"/>
        </w:rPr>
        <w:t>Our Environmental, Social and Governance (ESG) efforts focus on driving positive impact for people and our planet while delivering long-term value for our stakeholders. Explore our ESG resources at https://www.dell.com/en-us/dt/corporate/social-impact/reporting/esg-governance.htm.</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Dell Technologies</w:t>
      </w:r>
    </w:p>
    <w:p>
      <w:pPr>
        <w:spacing w:after="0" w:line="14"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Dell Technologies (NYSE:DELL) helps organizations and individuals build their digital future and transform how they work, live and play. The company provides customers with the industry’s broadest and most innovative technology and services portfolio for the data era.</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84"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Contacts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Investors: Investor_Relations@Dell.com</w:t>
      </w:r>
    </w:p>
    <w:p>
      <w:pPr>
        <w:spacing w:after="0"/>
        <w:rPr>
          <w:sz w:val="20"/>
          <w:szCs w:val="20"/>
          <w:color w:val="auto"/>
        </w:rPr>
      </w:pPr>
      <w:r>
        <w:rPr>
          <w:rFonts w:ascii="Arial" w:cs="Arial" w:eastAsia="Arial" w:hAnsi="Arial"/>
          <w:sz w:val="22"/>
          <w:szCs w:val="22"/>
          <w:color w:val="auto"/>
        </w:rPr>
        <w:t>Media: Media.Relations@Dell.com</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w:t>
      </w:r>
    </w:p>
    <w:p>
      <w:pPr>
        <w:spacing w:after="0" w:line="245"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color w:val="auto"/>
        </w:rPr>
        <w:t>Copyright © 2023 Dell Inc. or its subsidiaries. All Rights Reserved. Dell Technologies, Dell, EMC and Dell EMC are trademarks of Dell Inc. or its subsidiaries. Other trademarks may be trademarks of their respective owners.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9"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i w:val="1"/>
          <w:iCs w:val="1"/>
          <w:color w:val="auto"/>
        </w:rPr>
        <w:t>This press release presents information about Dell Technologies’ non-GAAP net revenue, non-GAAP gross margin, non-GAAP operating expenses, non-GAAP operating income, non-GAAP net income, non-GAAP net income attributable to non-controlling interests, non-GAAP net income attributable to Dell Technologies Inc. - basic, non-GAAP net income attributable to Dell Technologies Inc. - diluted, non-GAAP earnings per share attributable to Dell Technologies Inc. - basic, and non-GAAP earnings per share attributable to Dell Technologies Inc. - diluted, which are non-GAAP financial measures provided as a supplement to the results provided in accordance with generally accepted accounting principles in the United States of America (“GAAP”). A reconciliation of each non-GAAP financial measure to the most directly comparable GAAP financial measure is provided in the attached tables for each of the fiscal periods indicated.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Special Note on Forward-Looking Statements:</w:t>
      </w:r>
    </w:p>
    <w:p>
      <w:pPr>
        <w:spacing w:after="0" w:line="22" w:lineRule="exact"/>
        <w:rPr>
          <w:sz w:val="20"/>
          <w:szCs w:val="20"/>
          <w:color w:val="auto"/>
        </w:rPr>
      </w:pPr>
    </w:p>
    <w:p>
      <w:pPr>
        <w:ind w:right="180"/>
        <w:spacing w:after="0" w:line="283" w:lineRule="auto"/>
        <w:rPr>
          <w:sz w:val="20"/>
          <w:szCs w:val="20"/>
          <w:color w:val="auto"/>
        </w:rPr>
      </w:pPr>
      <w:r>
        <w:rPr>
          <w:rFonts w:ascii="Arial" w:cs="Arial" w:eastAsia="Arial" w:hAnsi="Arial"/>
          <w:sz w:val="15"/>
          <w:szCs w:val="15"/>
          <w:i w:val="1"/>
          <w:iCs w:val="1"/>
          <w:color w:val="auto"/>
        </w:rPr>
        <w:t>Statements in this press release that relate to future results and events are forward-looking statements within the meaning of Section 21E of the Securities Exchange Act of 1934 and Section 27A of the Securities Act of 1933 and are based on Dell Technologies’ current expectations. In some cases, you can identify these statements by such forward-looking words as “anticipate,” “believe,” “confidence,” “could,” “estimate,” “expect,” “guidance,” “intend,” “may,” “objective,” “outlook,” “plan,” “project,” “possible,” “potential,” “should,” “will” and “would,” or similar words or expressions that refer to future events or outcomes.</w:t>
      </w:r>
    </w:p>
    <w:p>
      <w:pPr>
        <w:spacing w:after="0" w:line="195" w:lineRule="exact"/>
        <w:rPr>
          <w:sz w:val="20"/>
          <w:szCs w:val="20"/>
          <w:color w:val="auto"/>
        </w:rPr>
      </w:pPr>
    </w:p>
    <w:p>
      <w:pPr>
        <w:ind w:right="40"/>
        <w:spacing w:after="0" w:line="293" w:lineRule="auto"/>
        <w:rPr>
          <w:sz w:val="20"/>
          <w:szCs w:val="20"/>
          <w:color w:val="auto"/>
        </w:rPr>
      </w:pPr>
      <w:r>
        <w:rPr>
          <w:rFonts w:ascii="Arial" w:cs="Arial" w:eastAsia="Arial" w:hAnsi="Arial"/>
          <w:sz w:val="14"/>
          <w:szCs w:val="14"/>
          <w:i w:val="1"/>
          <w:iCs w:val="1"/>
          <w:color w:val="auto"/>
        </w:rPr>
        <w:t>Dell Technologies’ results or events in future periods could differ materially from those expressed or implied by these forward-looking statements because of risks, uncertainties, and other factors that include, but are not limited to, the following: risks and uncertainties relating to our spin-off of VMware, Inc., including the potential effects on our business of the transaction; the effects of the COVID-19 pandemic; competitive pressures; Dell Technologies’ reliance on third-party suppliers for products and components, including reliance on single-source or limited-source suppliers; Dell Technologies’ ability to achieve favorable pricing from its vendors; adverse global economic conditions and instability in financial markets; Dell Technologies’ execution of its growth, business and acquisition strategies; the success of Dell Technologies’ cost efficiency measures; Dell Technologies’ ability to manage solutions and products and services transitions in an effective manner; Dell Technologies’ ability to deliver high-quality products, software, and services; cyber attacks or other data security incidents; Dell Technologies’ foreign operations and ability to generate substantial non-U.S. net revenue; Dell Technologies’ product, services, customer, and geographic sales mix, and seasonal sales trends; the performance of Dell Technologies’ sales channel partners; access to the capital markets by Dell Technologies or its customers; material impairment of the value of goodwill or intangible assets; weak economic conditions and the effect of additional regulation on Dell Technologies’ financial services activities; counterparty default risks; the loss by Dell Technologies of any contracts for ISG services and solutions and its ability to perform such contracts at their estimated costs; loss by Dell Technologies of government contracts; Dell Technologies’ ability to develop and protect its proprietary intellectual property or obtain licenses to intellectual property developed by others on commercially reasonable and competitive terms; disruptions in Dell Technologies’ infrastructure; Dell Technologies’ ability to hedge effectively its exposure to fluctuations in foreign currency exchange rates and interest rates; expiration of tax holidays or favorable tax rate structures, or unfavorable outcomes in tax audits and other tax compliance matters; impairment of portfolio investments; unfavorable results of legal proceedings, including the risk associated with final court approval of the recently announced litigation settlement; compliance requirements of changing environmental and safety laws or other laws; the effect of armed hostilities, terrorism, natural disasters, and public health issues; the effect of global climate change and legal, regulatory, or market measures to address climate change; Dell Technologies’ dependence on the services of Michael Dell and key employees; Dell Technologies’ level of indebtedness; the effect of the transition from LIBOR as a reference rate to calculate interest rates under our variable-rate indebtedness; and business and financial factors and legal restrictions affecting continuation of Dell Technologies’ quarterly cash dividend policy and dividend rate.</w:t>
      </w:r>
    </w:p>
    <w:p>
      <w:pPr>
        <w:spacing w:after="0" w:line="200" w:lineRule="exact"/>
        <w:rPr>
          <w:sz w:val="20"/>
          <w:szCs w:val="20"/>
          <w:color w:val="auto"/>
        </w:rPr>
      </w:pPr>
    </w:p>
    <w:p>
      <w:pPr>
        <w:spacing w:after="0" w:line="204" w:lineRule="exact"/>
        <w:rPr>
          <w:sz w:val="20"/>
          <w:szCs w:val="20"/>
          <w:color w:val="auto"/>
        </w:rPr>
      </w:pPr>
    </w:p>
    <w:p>
      <w:pPr>
        <w:spacing w:after="0" w:line="258" w:lineRule="auto"/>
        <w:rPr>
          <w:sz w:val="20"/>
          <w:szCs w:val="20"/>
          <w:color w:val="auto"/>
        </w:rPr>
      </w:pPr>
      <w:r>
        <w:rPr>
          <w:rFonts w:ascii="Arial" w:cs="Arial" w:eastAsia="Arial" w:hAnsi="Arial"/>
          <w:sz w:val="16"/>
          <w:szCs w:val="16"/>
          <w:i w:val="1"/>
          <w:iCs w:val="1"/>
          <w:color w:val="auto"/>
        </w:rPr>
        <w:t>This list of risks, uncertainties, and other factors is not complete. Dell Technologies discusses some of these matters more fully, as well as certain risk factors that could affect Dell Technologies’ business, financial condition, results of operations, and prospects, in its reports filed with the SEC, including Dell Technologies’ annual report on Form 10-K for the fiscal year ended January 28, 2022, quarterly reports on Form 10-Q, and current reports on Form 8-K. These filings are available for review through the SEC’s website at www.sec.gov. Any or all forward-looking statements Dell Technologies makes may turn out to be wrong and can be affected by inaccurate assumptions Dell Technologies might make or by known or unknown risks, uncertainties and other factors, including those identified in this press release. Accordingly, you should not place undue reliance on the forward-looking statements made in this press release, which speak only as of its date. Dell Technologies does not undertake to update, and expressly disclaims any duty to update, its forward-looking statements, whether as a result of circumstances or events that arise after the date they are made, new information, or otherwise.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327"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DELL TECHNOLOGIES INC.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Spin-Off of VMware, Inc. — On November 1, 2021, Dell Technologies Inc. completed its spin-off of VMware, Inc. (“VMware”) by means of a special stock dividend (the “VMware Spin-off”). In accordance with applicable accounting guidance, the results of VMware, excluding Dell’s resale of VMware offerings, are presented as discontinued operations in the Condensed Consolidated Statements of Income and, as such, have been excluded from both continuing operations and segment results for all periods presented prior to the completion of the spin-off. The Condensed Consolidated Statements of Cash Flows are presented on a consolidated basis for both continuing operations and discontinued operations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9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Related Financial Highlights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percentages; 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6"/>
                <w:szCs w:val="16"/>
                <w:b w:val="1"/>
                <w:bCs w:val="1"/>
                <w:color w:val="auto"/>
              </w:rPr>
              <w:t>Fiscal Year Ended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February 3, 2023</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January 28, 2022</w:t>
            </w:r>
          </w:p>
        </w:tc>
        <w:tc>
          <w:tcPr>
            <w:tcW w:w="10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Change</w:t>
            </w: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February 3, 2023</w:t>
            </w: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January 28, 2022</w:t>
            </w:r>
          </w:p>
        </w:tc>
        <w:tc>
          <w:tcPr>
            <w:tcW w:w="100" w:type="dxa"/>
            <w:vAlign w:val="bottom"/>
          </w:tcPr>
          <w:p>
            <w:pPr>
              <w:spacing w:after="0"/>
              <w:rPr>
                <w:sz w:val="18"/>
                <w:szCs w:val="18"/>
                <w:color w:val="auto"/>
              </w:rPr>
            </w:pPr>
          </w:p>
        </w:tc>
        <w:tc>
          <w:tcPr>
            <w:tcW w:w="780" w:type="dxa"/>
            <w:vAlign w:val="bottom"/>
          </w:tcPr>
          <w:p>
            <w:pPr>
              <w:ind w:left="120"/>
              <w:spacing w:after="0"/>
              <w:rPr>
                <w:sz w:val="20"/>
                <w:szCs w:val="20"/>
                <w:color w:val="auto"/>
              </w:rPr>
            </w:pPr>
            <w:r>
              <w:rPr>
                <w:rFonts w:ascii="Arial" w:cs="Arial" w:eastAsia="Arial" w:hAnsi="Arial"/>
                <w:sz w:val="16"/>
                <w:szCs w:val="16"/>
                <w:b w:val="1"/>
                <w:bCs w:val="1"/>
                <w:color w:val="auto"/>
              </w:rPr>
              <w:t>Change</w:t>
            </w: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4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Net revenue:</w:t>
            </w: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Products</w:t>
            </w: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19,038</w:t>
            </w:r>
          </w:p>
        </w:tc>
        <w:tc>
          <w:tcPr>
            <w:tcW w:w="1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22,469</w:t>
            </w:r>
          </w:p>
        </w:tc>
        <w:tc>
          <w:tcPr>
            <w:tcW w:w="88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(15)%</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79,250</w:t>
            </w:r>
          </w:p>
        </w:tc>
        <w:tc>
          <w:tcPr>
            <w:tcW w:w="8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79,830</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4"/>
              </w:rPr>
              <w:t>(1)%</w:t>
            </w:r>
          </w:p>
        </w:tc>
      </w:tr>
      <w:tr>
        <w:trPr>
          <w:trHeight w:val="229"/>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5,523</w:t>
            </w:r>
          </w:p>
        </w:tc>
        <w:tc>
          <w:tcPr>
            <w:tcW w:w="8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23,051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21,367</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8%</w:t>
            </w:r>
          </w:p>
        </w:tc>
      </w:tr>
      <w:tr>
        <w:trPr>
          <w:trHeight w:val="223"/>
        </w:trPr>
        <w:tc>
          <w:tcPr>
            <w:tcW w:w="20" w:type="dxa"/>
            <w:vAlign w:val="bottom"/>
            <w:tcBorders>
              <w:bottom w:val="single" w:sz="8" w:color="CCEEFF"/>
            </w:tcBorders>
          </w:tcPr>
          <w:p>
            <w:pPr>
              <w:spacing w:after="0"/>
              <w:rPr>
                <w:sz w:val="19"/>
                <w:szCs w:val="19"/>
                <w:color w:val="auto"/>
              </w:rPr>
            </w:pPr>
          </w:p>
        </w:tc>
        <w:tc>
          <w:tcPr>
            <w:tcW w:w="41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net revenue</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25,039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27,992</w:t>
            </w:r>
          </w:p>
        </w:tc>
        <w:tc>
          <w:tcPr>
            <w:tcW w:w="88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5"/>
              </w:rPr>
              <w:t>(11)%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102,301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101,197</w:t>
            </w:r>
          </w:p>
        </w:tc>
        <w:tc>
          <w:tcPr>
            <w:tcW w:w="88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2"/>
              </w:rPr>
              <w:t>1%</w:t>
            </w:r>
          </w:p>
        </w:tc>
      </w:tr>
      <w:tr>
        <w:trPr>
          <w:trHeight w:val="209"/>
        </w:trPr>
        <w:tc>
          <w:tcPr>
            <w:tcW w:w="2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Cost of net revenue:</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Products</w:t>
            </w:r>
          </w:p>
        </w:tc>
        <w:tc>
          <w:tcPr>
            <w:tcW w:w="3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15,748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19,265</w:t>
            </w:r>
          </w:p>
        </w:tc>
        <w:tc>
          <w:tcPr>
            <w:tcW w:w="88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66,029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67,224</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4"/>
              </w:rPr>
              <w:t>(2)%</w:t>
            </w:r>
          </w:p>
        </w:tc>
      </w:tr>
      <w:tr>
        <w:trPr>
          <w:trHeight w:val="230"/>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3,109</w:t>
            </w:r>
          </w:p>
        </w:tc>
        <w:tc>
          <w:tcPr>
            <w:tcW w:w="8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13,586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12,082</w:t>
            </w:r>
          </w:p>
        </w:tc>
        <w:tc>
          <w:tcPr>
            <w:tcW w:w="8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12%</w:t>
            </w:r>
          </w:p>
        </w:tc>
      </w:tr>
      <w:tr>
        <w:trPr>
          <w:trHeight w:val="223"/>
        </w:trPr>
        <w:tc>
          <w:tcPr>
            <w:tcW w:w="20" w:type="dxa"/>
            <w:vAlign w:val="bottom"/>
            <w:tcBorders>
              <w:bottom w:val="single" w:sz="8" w:color="CCEEFF"/>
            </w:tcBorders>
          </w:tcPr>
          <w:p>
            <w:pPr>
              <w:spacing w:after="0"/>
              <w:rPr>
                <w:sz w:val="19"/>
                <w:szCs w:val="19"/>
                <w:color w:val="auto"/>
              </w:rPr>
            </w:pPr>
          </w:p>
        </w:tc>
        <w:tc>
          <w:tcPr>
            <w:tcW w:w="41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cost of net revenue</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22,374</w:t>
            </w:r>
          </w:p>
        </w:tc>
        <w:tc>
          <w:tcPr>
            <w:tcW w:w="88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5"/>
              </w:rPr>
              <w:t>(14)%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79,615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79,306</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5,618</w:t>
            </w:r>
          </w:p>
        </w:tc>
        <w:tc>
          <w:tcPr>
            <w:tcW w:w="8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22,686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21,891</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4%</w:t>
            </w:r>
          </w:p>
        </w:tc>
      </w:tr>
      <w:tr>
        <w:trPr>
          <w:trHeight w:val="229"/>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i w:val="1"/>
                <w:iCs w:val="1"/>
                <w:color w:val="auto"/>
              </w:rPr>
              <w:t>Operating expenses:</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3,398</w:t>
            </w:r>
          </w:p>
        </w:tc>
        <w:tc>
          <w:tcPr>
            <w:tcW w:w="8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14,655</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(4)%</w:t>
            </w:r>
          </w:p>
        </w:tc>
      </w:tr>
      <w:tr>
        <w:trPr>
          <w:trHeight w:val="229"/>
        </w:trPr>
        <w:tc>
          <w:tcPr>
            <w:tcW w:w="20" w:type="dxa"/>
            <w:vAlign w:val="bottom"/>
            <w:tcBorders>
              <w:bottom w:val="single" w:sz="8" w:color="CCEEFF"/>
            </w:tcBorders>
          </w:tcPr>
          <w:p>
            <w:pPr>
              <w:spacing w:after="0"/>
              <w:rPr>
                <w:sz w:val="19"/>
                <w:szCs w:val="19"/>
                <w:color w:val="auto"/>
              </w:rPr>
            </w:pPr>
          </w:p>
        </w:tc>
        <w:tc>
          <w:tcPr>
            <w:tcW w:w="41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611</w:t>
            </w:r>
          </w:p>
        </w:tc>
        <w:tc>
          <w:tcPr>
            <w:tcW w:w="88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4"/>
              </w:rPr>
              <w:t>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2,779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2,577</w:t>
            </w:r>
          </w:p>
        </w:tc>
        <w:tc>
          <w:tcPr>
            <w:tcW w:w="88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2"/>
              </w:rPr>
              <w:t>8%</w:t>
            </w:r>
          </w:p>
        </w:tc>
      </w:tr>
      <w:tr>
        <w:trPr>
          <w:trHeight w:val="223"/>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4,009</w:t>
            </w:r>
          </w:p>
        </w:tc>
        <w:tc>
          <w:tcPr>
            <w:tcW w:w="8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16,915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17,232</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(2)%</w:t>
            </w:r>
          </w:p>
        </w:tc>
      </w:tr>
      <w:tr>
        <w:trPr>
          <w:trHeight w:val="223"/>
        </w:trPr>
        <w:tc>
          <w:tcPr>
            <w:tcW w:w="20" w:type="dxa"/>
            <w:vAlign w:val="bottom"/>
          </w:tcPr>
          <w:p>
            <w:pPr>
              <w:spacing w:after="0"/>
              <w:rPr>
                <w:sz w:val="19"/>
                <w:szCs w:val="19"/>
                <w:color w:val="auto"/>
              </w:rPr>
            </w:pP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1,609</w:t>
            </w:r>
          </w:p>
        </w:tc>
        <w:tc>
          <w:tcPr>
            <w:tcW w:w="88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5,771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4,659</w:t>
            </w:r>
          </w:p>
        </w:tc>
        <w:tc>
          <w:tcPr>
            <w:tcW w:w="8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24%</w:t>
            </w:r>
          </w:p>
        </w:tc>
      </w:tr>
      <w:tr>
        <w:trPr>
          <w:trHeight w:val="230"/>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net</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(1,657)</w:t>
            </w:r>
          </w:p>
        </w:tc>
        <w:tc>
          <w:tcPr>
            <w:tcW w:w="8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(2,546)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1,264</w:t>
            </w:r>
          </w:p>
        </w:tc>
        <w:tc>
          <w:tcPr>
            <w:tcW w:w="8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(301)%</w:t>
            </w:r>
          </w:p>
        </w:tc>
      </w:tr>
      <w:tr>
        <w:trPr>
          <w:trHeight w:val="223"/>
        </w:trPr>
        <w:tc>
          <w:tcPr>
            <w:tcW w:w="20" w:type="dxa"/>
            <w:vAlign w:val="bottom"/>
          </w:tcPr>
          <w:p>
            <w:pPr>
              <w:spacing w:after="0"/>
              <w:rPr>
                <w:sz w:val="19"/>
                <w:szCs w:val="19"/>
                <w:color w:val="auto"/>
              </w:rPr>
            </w:pP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3,225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5,923</w:t>
            </w:r>
          </w:p>
        </w:tc>
        <w:tc>
          <w:tcPr>
            <w:tcW w:w="88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(46)%</w:t>
            </w:r>
          </w:p>
        </w:tc>
      </w:tr>
      <w:tr>
        <w:trPr>
          <w:trHeight w:val="230"/>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803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981</w:t>
            </w:r>
          </w:p>
        </w:tc>
        <w:tc>
          <w:tcPr>
            <w:tcW w:w="8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(18)%</w:t>
            </w:r>
          </w:p>
        </w:tc>
      </w:tr>
      <w:tr>
        <w:trPr>
          <w:trHeight w:val="223"/>
        </w:trPr>
        <w:tc>
          <w:tcPr>
            <w:tcW w:w="20" w:type="dxa"/>
            <w:vAlign w:val="bottom"/>
          </w:tcPr>
          <w:p>
            <w:pPr>
              <w:spacing w:after="0"/>
              <w:rPr>
                <w:sz w:val="19"/>
                <w:szCs w:val="19"/>
                <w:color w:val="auto"/>
              </w:rPr>
            </w:pP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Net income from continuing operations</w:t>
            </w:r>
          </w:p>
        </w:tc>
        <w:tc>
          <w:tcPr>
            <w:tcW w:w="3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2,422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4,942</w:t>
            </w:r>
          </w:p>
        </w:tc>
        <w:tc>
          <w:tcPr>
            <w:tcW w:w="88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(51)%</w:t>
            </w:r>
          </w:p>
        </w:tc>
      </w:tr>
      <w:tr>
        <w:trPr>
          <w:trHeight w:val="175"/>
        </w:trPr>
        <w:tc>
          <w:tcPr>
            <w:tcW w:w="20" w:type="dxa"/>
            <w:vAlign w:val="bottom"/>
            <w:shd w:val="clear" w:color="auto" w:fill="CCEEFF"/>
          </w:tcPr>
          <w:p>
            <w:pPr>
              <w:spacing w:after="0"/>
              <w:rPr>
                <w:sz w:val="15"/>
                <w:szCs w:val="15"/>
                <w:color w:val="auto"/>
              </w:rPr>
            </w:pPr>
          </w:p>
        </w:tc>
        <w:tc>
          <w:tcPr>
            <w:tcW w:w="414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6"/>
              </w:rPr>
              <w:t>Income from discontinued operations, net of income</w:t>
            </w: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taxes</w:t>
            </w:r>
          </w:p>
        </w:tc>
        <w:tc>
          <w:tcPr>
            <w:tcW w:w="3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8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765</w:t>
            </w:r>
          </w:p>
        </w:tc>
        <w:tc>
          <w:tcPr>
            <w:tcW w:w="8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(100)%</w:t>
            </w:r>
          </w:p>
        </w:tc>
      </w:tr>
      <w:tr>
        <w:trPr>
          <w:trHeight w:val="223"/>
        </w:trPr>
        <w:tc>
          <w:tcPr>
            <w:tcW w:w="20" w:type="dxa"/>
            <w:vAlign w:val="bottom"/>
          </w:tcPr>
          <w:p>
            <w:pPr>
              <w:spacing w:after="0"/>
              <w:rPr>
                <w:sz w:val="19"/>
                <w:szCs w:val="19"/>
                <w:color w:val="auto"/>
              </w:rPr>
            </w:pPr>
          </w:p>
        </w:tc>
        <w:tc>
          <w:tcPr>
            <w:tcW w:w="41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rPr>
              <w:t>NM</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2,422</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5,707</w:t>
            </w:r>
          </w:p>
        </w:tc>
        <w:tc>
          <w:tcPr>
            <w:tcW w:w="88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(58)%</w:t>
            </w:r>
          </w:p>
        </w:tc>
      </w:tr>
      <w:tr>
        <w:trPr>
          <w:trHeight w:val="230"/>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Less: Net loss attributable to non-controlling interests</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(700)%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8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(233)%</w:t>
            </w:r>
          </w:p>
        </w:tc>
      </w:tr>
      <w:tr>
        <w:trPr>
          <w:trHeight w:val="175"/>
        </w:trPr>
        <w:tc>
          <w:tcPr>
            <w:tcW w:w="20" w:type="dxa"/>
            <w:vAlign w:val="bottom"/>
          </w:tcPr>
          <w:p>
            <w:pPr>
              <w:spacing w:after="0"/>
              <w:rPr>
                <w:sz w:val="15"/>
                <w:szCs w:val="15"/>
                <w:color w:val="auto"/>
              </w:rPr>
            </w:pPr>
          </w:p>
        </w:tc>
        <w:tc>
          <w:tcPr>
            <w:tcW w:w="414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Less: Net income attributable to non-controlling</w:t>
            </w: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interests of discontinued operations</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150</w:t>
            </w:r>
          </w:p>
        </w:tc>
        <w:tc>
          <w:tcPr>
            <w:tcW w:w="8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(100)%</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Dell Technologies Inc.</w:t>
            </w:r>
          </w:p>
        </w:tc>
        <w:tc>
          <w:tcPr>
            <w:tcW w:w="3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NM</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2,442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5,563</w:t>
            </w:r>
          </w:p>
        </w:tc>
        <w:tc>
          <w:tcPr>
            <w:tcW w:w="880" w:type="dxa"/>
            <w:vAlign w:val="bottom"/>
            <w:tcBorders>
              <w:top w:val="single" w:sz="8" w:color="CCEEFF"/>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(56)%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Percentage of Total Net Revenue:</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Gross margin</w:t>
            </w:r>
          </w:p>
        </w:tc>
        <w:tc>
          <w:tcPr>
            <w:tcW w:w="17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23.0 %</w:t>
            </w: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20.1 %</w:t>
            </w:r>
          </w:p>
        </w:tc>
        <w:tc>
          <w:tcPr>
            <w:tcW w:w="10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22.2 %</w:t>
            </w:r>
          </w:p>
        </w:tc>
        <w:tc>
          <w:tcPr>
            <w:tcW w:w="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21.6 %</w:t>
            </w:r>
          </w:p>
        </w:tc>
        <w:tc>
          <w:tcPr>
            <w:tcW w:w="10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Net income (loss) from continuing operations</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rate</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are based on underlying data and may not visually foot due to rounding.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93"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Accounts receivable, net</w:t>
      </w:r>
    </w:p>
    <w:p>
      <w:pPr>
        <w:spacing w:after="0" w:line="23" w:lineRule="exact"/>
        <w:rPr>
          <w:sz w:val="20"/>
          <w:szCs w:val="20"/>
          <w:color w:val="auto"/>
        </w:rPr>
      </w:pPr>
    </w:p>
    <w:p>
      <w:pPr>
        <w:ind w:left="120" w:right="160" w:firstLine="27"/>
        <w:spacing w:after="0" w:line="266" w:lineRule="auto"/>
        <w:rPr>
          <w:sz w:val="20"/>
          <w:szCs w:val="20"/>
          <w:color w:val="auto"/>
        </w:rPr>
      </w:pPr>
      <w:r>
        <w:rPr>
          <w:rFonts w:ascii="Arial" w:cs="Arial" w:eastAsia="Arial" w:hAnsi="Arial"/>
          <w:sz w:val="18"/>
          <w:szCs w:val="18"/>
          <w:color w:val="auto"/>
        </w:rPr>
        <w:t>Due from related party, net Short-term financing receivables, net Inventories</w:t>
      </w:r>
    </w:p>
    <w:p>
      <w:pPr>
        <w:ind w:left="120"/>
        <w:spacing w:after="0"/>
        <w:rPr>
          <w:sz w:val="20"/>
          <w:szCs w:val="20"/>
          <w:color w:val="auto"/>
        </w:rPr>
      </w:pPr>
      <w:r>
        <w:rPr>
          <w:rFonts w:ascii="Arial" w:cs="Arial" w:eastAsia="Arial" w:hAnsi="Arial"/>
          <w:sz w:val="18"/>
          <w:szCs w:val="18"/>
          <w:color w:val="auto"/>
        </w:rPr>
        <w:t>Other current assets</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current assets</w:t>
      </w:r>
    </w:p>
    <w:p>
      <w:pPr>
        <w:spacing w:after="0" w:line="23" w:lineRule="exact"/>
        <w:rPr>
          <w:sz w:val="20"/>
          <w:szCs w:val="20"/>
          <w:color w:val="auto"/>
        </w:rPr>
      </w:pPr>
    </w:p>
    <w:p>
      <w:pPr>
        <w:ind w:left="20" w:right="260"/>
        <w:spacing w:after="0" w:line="266" w:lineRule="auto"/>
        <w:rPr>
          <w:sz w:val="20"/>
          <w:szCs w:val="20"/>
          <w:color w:val="auto"/>
        </w:rPr>
      </w:pPr>
      <w:r>
        <w:rPr>
          <w:rFonts w:ascii="Arial" w:cs="Arial" w:eastAsia="Arial" w:hAnsi="Arial"/>
          <w:sz w:val="18"/>
          <w:szCs w:val="18"/>
          <w:color w:val="auto"/>
        </w:rPr>
        <w:t>Property, plant, and equipment, net Long-term investments Long-term financing receivables, net Goodwill</w:t>
      </w:r>
    </w:p>
    <w:p>
      <w:pPr>
        <w:ind w:left="20"/>
        <w:spacing w:after="0"/>
        <w:rPr>
          <w:sz w:val="20"/>
          <w:szCs w:val="20"/>
          <w:color w:val="auto"/>
        </w:rPr>
      </w:pPr>
      <w:r>
        <w:rPr>
          <w:rFonts w:ascii="Arial" w:cs="Arial" w:eastAsia="Arial" w:hAnsi="Arial"/>
          <w:sz w:val="18"/>
          <w:szCs w:val="18"/>
          <w:color w:val="auto"/>
        </w:rPr>
        <w:t>Intangible assets, net</w:t>
      </w:r>
    </w:p>
    <w:p>
      <w:pPr>
        <w:spacing w:after="0" w:line="23" w:lineRule="exact"/>
        <w:rPr>
          <w:sz w:val="20"/>
          <w:szCs w:val="20"/>
          <w:color w:val="auto"/>
        </w:rPr>
      </w:pPr>
    </w:p>
    <w:p>
      <w:pPr>
        <w:ind w:left="20" w:right="980"/>
        <w:spacing w:after="0" w:line="325" w:lineRule="auto"/>
        <w:rPr>
          <w:sz w:val="20"/>
          <w:szCs w:val="20"/>
          <w:color w:val="auto"/>
        </w:rPr>
      </w:pPr>
      <w:r>
        <w:rPr>
          <w:rFonts w:ascii="Arial" w:cs="Arial" w:eastAsia="Arial" w:hAnsi="Arial"/>
          <w:sz w:val="16"/>
          <w:szCs w:val="16"/>
          <w:color w:val="auto"/>
        </w:rPr>
        <w:t>Due from related party, net Other non-current assets</w:t>
      </w:r>
    </w:p>
    <w:p>
      <w:pPr>
        <w:ind w:left="3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3660"/>
        <w:spacing w:after="0"/>
        <w:rPr>
          <w:sz w:val="20"/>
          <w:szCs w:val="20"/>
          <w:color w:val="auto"/>
        </w:rPr>
      </w:pPr>
      <w:r>
        <w:rPr>
          <w:rFonts w:ascii="Arial" w:cs="Arial" w:eastAsia="Arial" w:hAnsi="Arial"/>
          <w:sz w:val="18"/>
          <w:szCs w:val="18"/>
          <w:b w:val="1"/>
          <w:bCs w:val="1"/>
          <w:color w:val="auto"/>
        </w:rPr>
        <w:t>DELL TECHNOLOGIES INC.</w:t>
      </w:r>
    </w:p>
    <w:p>
      <w:pPr>
        <w:spacing w:after="0" w:line="27" w:lineRule="exact"/>
        <w:rPr>
          <w:sz w:val="20"/>
          <w:szCs w:val="20"/>
          <w:color w:val="auto"/>
        </w:rPr>
      </w:pPr>
    </w:p>
    <w:p>
      <w:pPr>
        <w:jc w:val="center"/>
        <w:ind w:right="3660"/>
        <w:spacing w:after="0"/>
        <w:rPr>
          <w:sz w:val="20"/>
          <w:szCs w:val="20"/>
          <w:color w:val="auto"/>
        </w:rPr>
      </w:pPr>
      <w:r>
        <w:rPr>
          <w:rFonts w:ascii="Arial" w:cs="Arial" w:eastAsia="Arial" w:hAnsi="Arial"/>
          <w:sz w:val="17"/>
          <w:szCs w:val="17"/>
          <w:b w:val="1"/>
          <w:bCs w:val="1"/>
          <w:color w:val="auto"/>
        </w:rPr>
        <w:t>Consolidated Statements of Financial Position</w:t>
      </w:r>
    </w:p>
    <w:p>
      <w:pPr>
        <w:spacing w:after="0" w:line="21" w:lineRule="exact"/>
        <w:rPr>
          <w:sz w:val="20"/>
          <w:szCs w:val="20"/>
          <w:color w:val="auto"/>
        </w:rPr>
      </w:pPr>
    </w:p>
    <w:p>
      <w:pPr>
        <w:jc w:val="center"/>
        <w:ind w:right="3660"/>
        <w:spacing w:after="0"/>
        <w:rPr>
          <w:sz w:val="20"/>
          <w:szCs w:val="20"/>
          <w:color w:val="auto"/>
        </w:rPr>
      </w:pPr>
      <w:r>
        <w:rPr>
          <w:rFonts w:ascii="Arial" w:cs="Arial" w:eastAsia="Arial" w:hAnsi="Arial"/>
          <w:sz w:val="18"/>
          <w:szCs w:val="18"/>
          <w:b w:val="1"/>
          <w:bCs w:val="1"/>
          <w:color w:val="auto"/>
        </w:rPr>
        <w:t>(in millions; unaudited)</w:t>
      </w:r>
    </w:p>
    <w:p>
      <w:pPr>
        <w:spacing w:after="0" w:line="139"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1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0"/>
                <w:szCs w:val="20"/>
                <w:color w:val="auto"/>
              </w:rPr>
            </w:pPr>
          </w:p>
        </w:tc>
        <w:tc>
          <w:tcPr>
            <w:tcW w:w="1940" w:type="dxa"/>
            <w:vAlign w:val="bottom"/>
            <w:gridSpan w:val="2"/>
          </w:tcPr>
          <w:p>
            <w:pPr>
              <w:ind w:left="140"/>
              <w:spacing w:after="0"/>
              <w:rPr>
                <w:sz w:val="20"/>
                <w:szCs w:val="20"/>
                <w:color w:val="auto"/>
              </w:rPr>
            </w:pPr>
            <w:r>
              <w:rPr>
                <w:rFonts w:ascii="Arial" w:cs="Arial" w:eastAsia="Arial" w:hAnsi="Arial"/>
                <w:sz w:val="18"/>
                <w:szCs w:val="18"/>
                <w:b w:val="1"/>
                <w:bCs w:val="1"/>
                <w:color w:val="auto"/>
              </w:rPr>
              <w:t>February 3, 2023</w:t>
            </w:r>
          </w:p>
        </w:tc>
        <w:tc>
          <w:tcPr>
            <w:tcW w:w="260" w:type="dxa"/>
            <w:vAlign w:val="bottom"/>
          </w:tcPr>
          <w:p>
            <w:pPr>
              <w:spacing w:after="0"/>
              <w:rPr>
                <w:sz w:val="20"/>
                <w:szCs w:val="20"/>
                <w:color w:val="auto"/>
              </w:rPr>
            </w:pPr>
          </w:p>
        </w:tc>
        <w:tc>
          <w:tcPr>
            <w:tcW w:w="184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January 28, 2022</w:t>
            </w:r>
          </w:p>
        </w:tc>
        <w:tc>
          <w:tcPr>
            <w:tcW w:w="0" w:type="dxa"/>
            <w:vAlign w:val="bottom"/>
          </w:tcPr>
          <w:p>
            <w:pPr>
              <w:spacing w:after="0"/>
              <w:rPr>
                <w:sz w:val="1"/>
                <w:szCs w:val="1"/>
                <w:color w:val="auto"/>
              </w:rPr>
            </w:pPr>
          </w:p>
        </w:tc>
      </w:tr>
      <w:tr>
        <w:trPr>
          <w:trHeight w:val="209"/>
        </w:trPr>
        <w:tc>
          <w:tcPr>
            <w:tcW w:w="168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19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8,607</w:t>
            </w:r>
          </w:p>
        </w:tc>
        <w:tc>
          <w:tcPr>
            <w:tcW w:w="8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9,477</w:t>
            </w:r>
          </w:p>
        </w:tc>
        <w:tc>
          <w:tcPr>
            <w:tcW w:w="0" w:type="dxa"/>
            <w:vAlign w:val="bottom"/>
          </w:tcPr>
          <w:p>
            <w:pPr>
              <w:spacing w:after="0"/>
              <w:rPr>
                <w:sz w:val="1"/>
                <w:szCs w:val="1"/>
                <w:color w:val="auto"/>
              </w:rPr>
            </w:pPr>
          </w:p>
        </w:tc>
      </w:tr>
      <w:tr>
        <w:trPr>
          <w:trHeight w:val="229"/>
        </w:trPr>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12,482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12,912</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5,281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5,089</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4,776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5,898</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10,827</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11,526</w:t>
            </w:r>
          </w:p>
        </w:tc>
        <w:tc>
          <w:tcPr>
            <w:tcW w:w="0" w:type="dxa"/>
            <w:vAlign w:val="bottom"/>
          </w:tcPr>
          <w:p>
            <w:pPr>
              <w:spacing w:after="0"/>
              <w:rPr>
                <w:sz w:val="1"/>
                <w:szCs w:val="1"/>
                <w:color w:val="auto"/>
              </w:rPr>
            </w:pPr>
          </w:p>
        </w:tc>
      </w:tr>
      <w:tr>
        <w:trPr>
          <w:trHeight w:val="222"/>
        </w:trPr>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42,351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45,033</w:t>
            </w:r>
          </w:p>
        </w:tc>
        <w:tc>
          <w:tcPr>
            <w:tcW w:w="0" w:type="dxa"/>
            <w:vAlign w:val="bottom"/>
          </w:tcPr>
          <w:p>
            <w:pPr>
              <w:spacing w:after="0"/>
              <w:rPr>
                <w:sz w:val="1"/>
                <w:szCs w:val="1"/>
                <w:color w:val="auto"/>
              </w:rPr>
            </w:pPr>
          </w:p>
        </w:tc>
      </w:tr>
      <w:tr>
        <w:trPr>
          <w:trHeight w:val="229"/>
        </w:trPr>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6,209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5,415</w:t>
            </w:r>
          </w:p>
        </w:tc>
        <w:tc>
          <w:tcPr>
            <w:tcW w:w="0" w:type="dxa"/>
            <w:vAlign w:val="bottom"/>
          </w:tcPr>
          <w:p>
            <w:pPr>
              <w:spacing w:after="0"/>
              <w:rPr>
                <w:sz w:val="1"/>
                <w:szCs w:val="1"/>
                <w:color w:val="auto"/>
              </w:rPr>
            </w:pPr>
          </w:p>
        </w:tc>
      </w:tr>
      <w:tr>
        <w:trPr>
          <w:trHeight w:val="229"/>
        </w:trPr>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1,518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5,638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5,522</w:t>
            </w:r>
          </w:p>
        </w:tc>
        <w:tc>
          <w:tcPr>
            <w:tcW w:w="0" w:type="dxa"/>
            <w:vAlign w:val="bottom"/>
          </w:tcPr>
          <w:p>
            <w:pPr>
              <w:spacing w:after="0"/>
              <w:rPr>
                <w:sz w:val="1"/>
                <w:szCs w:val="1"/>
                <w:color w:val="auto"/>
              </w:rPr>
            </w:pPr>
          </w:p>
        </w:tc>
      </w:tr>
      <w:tr>
        <w:trPr>
          <w:trHeight w:val="229"/>
        </w:trPr>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19,676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19,770</w:t>
            </w:r>
          </w:p>
        </w:tc>
        <w:tc>
          <w:tcPr>
            <w:tcW w:w="0" w:type="dxa"/>
            <w:vAlign w:val="bottom"/>
          </w:tcPr>
          <w:p>
            <w:pPr>
              <w:spacing w:after="0"/>
              <w:rPr>
                <w:sz w:val="1"/>
                <w:szCs w:val="1"/>
                <w:color w:val="auto"/>
              </w:rPr>
            </w:pPr>
          </w:p>
        </w:tc>
      </w:tr>
      <w:tr>
        <w:trPr>
          <w:trHeight w:val="229"/>
        </w:trPr>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6,468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7,461</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7,311</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6,985</w:t>
            </w:r>
          </w:p>
        </w:tc>
        <w:tc>
          <w:tcPr>
            <w:tcW w:w="0" w:type="dxa"/>
            <w:vAlign w:val="bottom"/>
          </w:tcPr>
          <w:p>
            <w:pPr>
              <w:spacing w:after="0"/>
              <w:rPr>
                <w:sz w:val="1"/>
                <w:szCs w:val="1"/>
                <w:color w:val="auto"/>
              </w:rPr>
            </w:pPr>
          </w:p>
        </w:tc>
      </w:tr>
      <w:tr>
        <w:trPr>
          <w:trHeight w:val="224"/>
        </w:trPr>
        <w:tc>
          <w:tcPr>
            <w:tcW w:w="16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89,611</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92,735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-2348865</wp:posOffset>
            </wp:positionV>
            <wp:extent cx="71323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-2057400</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-1765935</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-1474470</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-1174115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-882650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-591185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-299720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0</wp:posOffset>
            </wp:positionV>
            <wp:extent cx="27171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-127635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2940" w:space="720"/>
            <w:col w:w="7580"/>
          </w:cols>
          <w:pgMar w:left="320" w:top="1093" w:right="339" w:bottom="1440" w:gutter="0" w:footer="0" w:header="0"/>
        </w:sectPr>
      </w:pPr>
    </w:p>
    <w:tbl>
      <w:tblPr>
        <w:tblLayout w:type="fixed"/>
        <w:tblInd w:w="0" w:type="dxa"/>
        <w:tblCellMar>
          <w:top w:w="0" w:type="dxa"/>
          <w:left w:w="0" w:type="dxa"/>
          <w:bottom w:w="0" w:type="dxa"/>
          <w:right w:w="0" w:type="dxa"/>
        </w:tblCellMar>
      </w:tblPr>
      <w:tr>
        <w:trPr>
          <w:trHeight w:val="229"/>
        </w:trPr>
        <w:tc>
          <w:tcPr>
            <w:tcW w:w="69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debt</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w:t>
            </w:r>
          </w:p>
        </w:tc>
      </w:tr>
      <w:tr>
        <w:trPr>
          <w:trHeight w:val="230"/>
        </w:trPr>
        <w:tc>
          <w:tcPr>
            <w:tcW w:w="69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18,598</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27,143</w:t>
            </w:r>
          </w:p>
        </w:tc>
      </w:tr>
      <w:tr>
        <w:trPr>
          <w:trHeight w:val="230"/>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Due to related party</w:t>
            </w: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r>
      <w:tr>
        <w:trPr>
          <w:trHeight w:val="230"/>
        </w:trPr>
        <w:tc>
          <w:tcPr>
            <w:tcW w:w="6960" w:type="dxa"/>
            <w:vAlign w:val="bottom"/>
          </w:tcPr>
          <w:p>
            <w:pPr>
              <w:ind w:left="140"/>
              <w:spacing w:after="0"/>
              <w:rPr>
                <w:sz w:val="20"/>
                <w:szCs w:val="20"/>
                <w:color w:val="auto"/>
              </w:rPr>
            </w:pPr>
            <w:r>
              <w:rPr>
                <w:rFonts w:ascii="Arial" w:cs="Arial" w:eastAsia="Arial" w:hAnsi="Arial"/>
                <w:sz w:val="18"/>
                <w:szCs w:val="18"/>
                <w:color w:val="auto"/>
              </w:rPr>
              <w:t>Accrued and other</w:t>
            </w: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8,874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7,578</w:t>
            </w:r>
          </w:p>
        </w:tc>
      </w:tr>
      <w:tr>
        <w:trPr>
          <w:trHeight w:val="229"/>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deferred revenue</w:t>
            </w:r>
          </w:p>
        </w:tc>
        <w:tc>
          <w:tcPr>
            <w:tcW w:w="8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15,542</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14,261</w:t>
            </w:r>
          </w:p>
        </w:tc>
      </w:tr>
      <w:tr>
        <w:trPr>
          <w:trHeight w:val="223"/>
        </w:trPr>
        <w:tc>
          <w:tcPr>
            <w:tcW w:w="696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51,654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56,219</w:t>
            </w:r>
          </w:p>
        </w:tc>
      </w:tr>
      <w:tr>
        <w:trPr>
          <w:trHeight w:val="229"/>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21,131</w:t>
            </w:r>
          </w:p>
        </w:tc>
      </w:tr>
      <w:tr>
        <w:trPr>
          <w:trHeight w:val="230"/>
        </w:trPr>
        <w:tc>
          <w:tcPr>
            <w:tcW w:w="6960" w:type="dxa"/>
            <w:vAlign w:val="bottom"/>
          </w:tcPr>
          <w:p>
            <w:pPr>
              <w:ind w:left="40"/>
              <w:spacing w:after="0"/>
              <w:rPr>
                <w:sz w:val="20"/>
                <w:szCs w:val="20"/>
                <w:color w:val="auto"/>
              </w:rPr>
            </w:pPr>
            <w:r>
              <w:rPr>
                <w:rFonts w:ascii="Arial" w:cs="Arial" w:eastAsia="Arial" w:hAnsi="Arial"/>
                <w:sz w:val="18"/>
                <w:szCs w:val="18"/>
                <w:color w:val="auto"/>
              </w:rPr>
              <w:t>Long-term deferred revenue</w:t>
            </w: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14,744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13,312</w:t>
            </w:r>
          </w:p>
        </w:tc>
      </w:tr>
      <w:tr>
        <w:trPr>
          <w:trHeight w:val="230"/>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8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r>
      <w:tr>
        <w:trPr>
          <w:trHeight w:val="223"/>
        </w:trPr>
        <w:tc>
          <w:tcPr>
            <w:tcW w:w="696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92,636</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94,315</w:t>
            </w: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 (deficit):</w:t>
            </w: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960" w:type="dxa"/>
            <w:vAlign w:val="bottom"/>
          </w:tcPr>
          <w:p>
            <w:pPr>
              <w:ind w:left="120"/>
              <w:spacing w:after="0"/>
              <w:rPr>
                <w:sz w:val="20"/>
                <w:szCs w:val="20"/>
                <w:color w:val="auto"/>
              </w:rPr>
            </w:pPr>
            <w:r>
              <w:rPr>
                <w:rFonts w:ascii="Arial" w:cs="Arial" w:eastAsia="Arial" w:hAnsi="Arial"/>
                <w:sz w:val="18"/>
                <w:szCs w:val="18"/>
                <w:color w:val="auto"/>
              </w:rPr>
              <w:t>Total Dell Technologies Inc. stockholders’ equity (deficit)</w:t>
            </w: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(3,122)</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(1,685)</w:t>
            </w:r>
          </w:p>
        </w:tc>
      </w:tr>
      <w:tr>
        <w:trPr>
          <w:trHeight w:val="230"/>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8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69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 (deficit)</w:t>
            </w:r>
          </w:p>
        </w:tc>
        <w:tc>
          <w:tcPr>
            <w:tcW w:w="8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w:t>
            </w:r>
          </w:p>
        </w:tc>
      </w:tr>
      <w:tr>
        <w:trPr>
          <w:trHeight w:val="248"/>
        </w:trPr>
        <w:tc>
          <w:tcPr>
            <w:tcW w:w="6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89,611</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92,735</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93"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20"/>
                <w:szCs w:val="20"/>
                <w:color w:val="auto"/>
              </w:rPr>
            </w:pPr>
          </w:p>
        </w:tc>
        <w:tc>
          <w:tcPr>
            <w:tcW w:w="1740" w:type="dxa"/>
            <w:vAlign w:val="bottom"/>
            <w:gridSpan w:val="3"/>
          </w:tcPr>
          <w:p>
            <w:pPr>
              <w:ind w:left="300"/>
              <w:spacing w:after="0"/>
              <w:rPr>
                <w:sz w:val="20"/>
                <w:szCs w:val="20"/>
                <w:color w:val="auto"/>
              </w:rPr>
            </w:pPr>
            <w:r>
              <w:rPr>
                <w:rFonts w:ascii="Arial" w:cs="Arial" w:eastAsia="Arial" w:hAnsi="Arial"/>
                <w:sz w:val="18"/>
                <w:szCs w:val="18"/>
                <w:b w:val="1"/>
                <w:bCs w:val="1"/>
                <w:color w:val="auto"/>
                <w:w w:val="91"/>
              </w:rPr>
              <w:t>Fiscal Year Ended</w:t>
            </w:r>
          </w:p>
        </w:tc>
        <w:tc>
          <w:tcPr>
            <w:tcW w:w="680" w:type="dxa"/>
            <w:vAlign w:val="bottom"/>
          </w:tcPr>
          <w:p>
            <w:pPr>
              <w:spacing w:after="0"/>
              <w:rPr>
                <w:sz w:val="20"/>
                <w:szCs w:val="20"/>
                <w:color w:val="auto"/>
              </w:rPr>
            </w:pPr>
          </w:p>
        </w:tc>
      </w:tr>
      <w:tr>
        <w:trPr>
          <w:trHeight w:val="169"/>
        </w:trPr>
        <w:tc>
          <w:tcPr>
            <w:tcW w:w="54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6"/>
              </w:rPr>
              <w:t>January 28,</w:t>
            </w:r>
          </w:p>
        </w:tc>
        <w:tc>
          <w:tcPr>
            <w:tcW w:w="16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r>
      <w:tr>
        <w:trPr>
          <w:trHeight w:val="243"/>
        </w:trPr>
        <w:tc>
          <w:tcPr>
            <w:tcW w:w="5480" w:type="dxa"/>
            <w:vAlign w:val="bottom"/>
          </w:tcPr>
          <w:p>
            <w:pPr>
              <w:spacing w:after="0"/>
              <w:rPr>
                <w:sz w:val="21"/>
                <w:szCs w:val="21"/>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February 3, 2023</w:t>
            </w:r>
          </w:p>
        </w:tc>
        <w:tc>
          <w:tcPr>
            <w:tcW w:w="160" w:type="dxa"/>
            <w:vAlign w:val="bottom"/>
          </w:tcPr>
          <w:p>
            <w:pPr>
              <w:spacing w:after="0"/>
              <w:rPr>
                <w:sz w:val="21"/>
                <w:szCs w:val="21"/>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1"/>
                <w:szCs w:val="21"/>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February 3, 2023</w:t>
            </w: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January 28, 2022</w:t>
            </w:r>
          </w:p>
        </w:tc>
      </w:tr>
      <w:tr>
        <w:trPr>
          <w:trHeight w:val="209"/>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5,707</w:t>
            </w:r>
          </w:p>
        </w:tc>
      </w:tr>
      <w:tr>
        <w:trPr>
          <w:trHeight w:val="175"/>
        </w:trPr>
        <w:tc>
          <w:tcPr>
            <w:tcW w:w="54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Adjustments to reconcile net income to net cash provided by operating</w:t>
            </w: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43"/>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activities:</w:t>
            </w:r>
          </w:p>
        </w:tc>
        <w:tc>
          <w:tcPr>
            <w:tcW w:w="3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r>
      <w:tr>
        <w:trPr>
          <w:trHeight w:val="223"/>
        </w:trPr>
        <w:tc>
          <w:tcPr>
            <w:tcW w:w="54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Change in cash from operating activities</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3,093</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10,307</w:t>
            </w: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Purchases of equity and other investments</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held-to-maturity investments</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Maturities and sales of equity and other investments</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 and capitalized software development costs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w:t>
            </w: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Acquisition of businesses and assets, net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Divestitures of businesses and assets, net</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w:t>
            </w:r>
          </w:p>
        </w:tc>
      </w:tr>
      <w:tr>
        <w:trPr>
          <w:trHeight w:val="229"/>
        </w:trPr>
        <w:tc>
          <w:tcPr>
            <w:tcW w:w="5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5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 in cash from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r>
      <w:tr>
        <w:trPr>
          <w:trHeight w:val="209"/>
        </w:trPr>
        <w:tc>
          <w:tcPr>
            <w:tcW w:w="548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by VMware, Inc. to non-controlling interests</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Proceeds from the issuance of common stock</w:t>
            </w:r>
          </w:p>
        </w:tc>
        <w:tc>
          <w:tcPr>
            <w:tcW w:w="3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parent common stock (a)</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Repurchases of subsidiary common stock (a)</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(1,175)</w:t>
            </w: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of dividends to stockholders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Proceeds from debt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7,388</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12,479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20,425</w:t>
            </w: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of debt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(13,654)</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(26,723)</w:t>
            </w:r>
          </w:p>
        </w:tc>
      </w:tr>
      <w:tr>
        <w:trPr>
          <w:trHeight w:val="175"/>
        </w:trPr>
        <w:tc>
          <w:tcPr>
            <w:tcW w:w="5480" w:type="dxa"/>
            <w:vAlign w:val="bottom"/>
          </w:tcPr>
          <w:p>
            <w:pPr>
              <w:ind w:left="140"/>
              <w:spacing w:after="0" w:line="176" w:lineRule="exact"/>
              <w:rPr>
                <w:sz w:val="20"/>
                <w:szCs w:val="20"/>
                <w:color w:val="auto"/>
              </w:rPr>
            </w:pPr>
            <w:r>
              <w:rPr>
                <w:rFonts w:ascii="Arial" w:cs="Arial" w:eastAsia="Arial" w:hAnsi="Arial"/>
                <w:sz w:val="18"/>
                <w:szCs w:val="18"/>
                <w:color w:val="auto"/>
                <w:w w:val="95"/>
              </w:rPr>
              <w:t>Net transfer of cash, cash equivalents, and restricted cash to VMware,</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43"/>
        </w:trPr>
        <w:tc>
          <w:tcPr>
            <w:tcW w:w="5480" w:type="dxa"/>
            <w:vAlign w:val="bottom"/>
          </w:tcPr>
          <w:p>
            <w:pPr>
              <w:ind w:left="140"/>
              <w:spacing w:after="0"/>
              <w:rPr>
                <w:sz w:val="20"/>
                <w:szCs w:val="20"/>
                <w:color w:val="auto"/>
              </w:rPr>
            </w:pPr>
            <w:r>
              <w:rPr>
                <w:rFonts w:ascii="Arial" w:cs="Arial" w:eastAsia="Arial" w:hAnsi="Arial"/>
                <w:sz w:val="18"/>
                <w:szCs w:val="18"/>
                <w:color w:val="auto"/>
              </w:rPr>
              <w:t>Inc.</w:t>
            </w:r>
          </w:p>
        </w:tc>
        <w:tc>
          <w:tcPr>
            <w:tcW w:w="3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(5,052)</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(5,052)</w:t>
            </w: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Debt-related costs and other, net</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r>
      <w:tr>
        <w:trPr>
          <w:trHeight w:val="223"/>
        </w:trPr>
        <w:tc>
          <w:tcPr>
            <w:tcW w:w="54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Change in cash from financing activities</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(15,581)</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(16,609)</w:t>
            </w:r>
          </w:p>
        </w:tc>
      </w:tr>
      <w:tr>
        <w:trPr>
          <w:trHeight w:val="156"/>
        </w:trPr>
        <w:tc>
          <w:tcPr>
            <w:tcW w:w="54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2"/>
              </w:rPr>
              <w:t>Effect of exchange rate changes on cash, cash equivalents, and restricted</w:t>
            </w: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24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Change in cash, cash equivalents, and restricted cash</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3,670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(13,287)</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(1,188)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(5,102)</w:t>
            </w:r>
          </w:p>
        </w:tc>
      </w:tr>
      <w:tr>
        <w:trPr>
          <w:trHeight w:val="175"/>
        </w:trPr>
        <w:tc>
          <w:tcPr>
            <w:tcW w:w="5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Cash, cash equivalents, and restricted cash at beginning of the period,</w:t>
            </w: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4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including cash attributable to discontinued operations</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23,369</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10,082</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15,184</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w w:val="96"/>
              </w:rPr>
              <w:t>Cash, cash equivalents, and restricted cash from continuing operations</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10,082</w:t>
            </w:r>
          </w:p>
        </w:tc>
        <w:tc>
          <w:tcPr>
            <w:tcW w:w="16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8,894</w:t>
            </w:r>
          </w:p>
        </w:tc>
        <w:tc>
          <w:tcPr>
            <w:tcW w:w="100" w:type="dxa"/>
            <w:vAlign w:val="bottom"/>
          </w:tcPr>
          <w:p>
            <w:pPr>
              <w:spacing w:after="0"/>
              <w:rPr>
                <w:sz w:val="19"/>
                <w:szCs w:val="19"/>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10,082</w:t>
            </w:r>
          </w:p>
        </w:tc>
      </w:tr>
      <w:tr>
        <w:trPr>
          <w:trHeight w:val="20"/>
        </w:trPr>
        <w:tc>
          <w:tcPr>
            <w:tcW w:w="5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17"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Common stock repurchases are inclusive of employee tax withholding on stock-based compensation.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8</w:t>
      </w:r>
    </w:p>
    <w:p>
      <w:pPr>
        <w:sectPr>
          <w:pgSz w:w="11900" w:h="16838" w:orient="portrait"/>
          <w:cols w:equalWidth="0" w:num="1">
            <w:col w:w="11240"/>
          </w:cols>
          <w:pgMar w:left="320" w:top="109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percentages; unaudited; continued on next page)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Fiscal Year Ended</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b w:val="1"/>
                <w:bCs w:val="1"/>
                <w:color w:val="auto"/>
              </w:rPr>
              <w:t>February 3, 2023</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January 28, 2022</w:t>
            </w:r>
          </w:p>
        </w:tc>
        <w:tc>
          <w:tcPr>
            <w:tcW w:w="8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Change</w:t>
            </w:r>
          </w:p>
        </w:tc>
        <w:tc>
          <w:tcPr>
            <w:tcW w:w="1540" w:type="dxa"/>
            <w:vAlign w:val="bottom"/>
            <w:gridSpan w:val="3"/>
          </w:tcPr>
          <w:p>
            <w:pPr>
              <w:ind w:left="60"/>
              <w:spacing w:after="0"/>
              <w:rPr>
                <w:sz w:val="20"/>
                <w:szCs w:val="20"/>
                <w:color w:val="auto"/>
              </w:rPr>
            </w:pPr>
            <w:r>
              <w:rPr>
                <w:rFonts w:ascii="Arial" w:cs="Arial" w:eastAsia="Arial" w:hAnsi="Arial"/>
                <w:sz w:val="18"/>
                <w:szCs w:val="18"/>
                <w:b w:val="1"/>
                <w:bCs w:val="1"/>
                <w:color w:val="auto"/>
              </w:rPr>
              <w:t>February 3, 2023</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January 28, 2022</w:t>
            </w:r>
          </w:p>
        </w:tc>
        <w:tc>
          <w:tcPr>
            <w:tcW w:w="100" w:type="dxa"/>
            <w:vAlign w:val="bottom"/>
          </w:tcPr>
          <w:p>
            <w:pPr>
              <w:spacing w:after="0"/>
              <w:rPr>
                <w:sz w:val="19"/>
                <w:szCs w:val="19"/>
                <w:color w:val="auto"/>
              </w:rPr>
            </w:pPr>
          </w:p>
        </w:tc>
        <w:tc>
          <w:tcPr>
            <w:tcW w:w="820" w:type="dxa"/>
            <w:vAlign w:val="bottom"/>
          </w:tcPr>
          <w:p>
            <w:pPr>
              <w:ind w:left="120"/>
              <w:spacing w:after="0"/>
              <w:rPr>
                <w:sz w:val="20"/>
                <w:szCs w:val="20"/>
                <w:color w:val="auto"/>
              </w:rPr>
            </w:pPr>
            <w:r>
              <w:rPr>
                <w:rFonts w:ascii="Arial" w:cs="Arial" w:eastAsia="Arial" w:hAnsi="Arial"/>
                <w:sz w:val="18"/>
                <w:szCs w:val="18"/>
                <w:b w:val="1"/>
                <w:bCs w:val="1"/>
                <w:color w:val="auto"/>
              </w:rPr>
              <w:t>Change</w:t>
            </w: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740" w:type="dxa"/>
            <w:vAlign w:val="bottom"/>
            <w:tcBorders>
              <w:top w:val="single" w:sz="8" w:color="CCEEFF"/>
              <w:bottom w:val="single" w:sz="8" w:color="auto"/>
            </w:tcBorders>
            <w:gridSpan w:val="2"/>
            <w:shd w:val="clear" w:color="auto" w:fill="CCEEFF"/>
          </w:tcPr>
          <w:p>
            <w:pPr>
              <w:spacing w:after="0" w:line="169" w:lineRule="exact"/>
              <w:rPr>
                <w:sz w:val="20"/>
                <w:szCs w:val="20"/>
                <w:color w:val="auto"/>
              </w:rPr>
            </w:pPr>
            <w:r>
              <w:rPr>
                <w:rFonts w:ascii="Arial" w:cs="Arial" w:eastAsia="Arial" w:hAnsi="Arial"/>
                <w:sz w:val="18"/>
                <w:szCs w:val="18"/>
                <w:i w:val="1"/>
                <w:iCs w:val="1"/>
                <w:color w:val="auto"/>
                <w:w w:val="92"/>
              </w:rPr>
              <w:t>Infrastructure Solutions Group (ISG):</w:t>
            </w:r>
          </w:p>
        </w:tc>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3380" w:type="dxa"/>
            <w:vAlign w:val="bottom"/>
            <w:gridSpan w:val="3"/>
          </w:tcPr>
          <w:p>
            <w:pPr>
              <w:ind w:left="120"/>
              <w:spacing w:after="0"/>
              <w:rPr>
                <w:sz w:val="20"/>
                <w:szCs w:val="20"/>
                <w:color w:val="auto"/>
              </w:rPr>
            </w:pPr>
            <w:r>
              <w:rPr>
                <w:rFonts w:ascii="Arial" w:cs="Arial" w:eastAsia="Arial" w:hAnsi="Arial"/>
                <w:sz w:val="18"/>
                <w:szCs w:val="18"/>
                <w:color w:val="auto"/>
              </w:rPr>
              <w:t>Net revenue:</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3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Servers and networking</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4,940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4,720</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20,398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17,901</w:t>
            </w:r>
          </w:p>
        </w:tc>
        <w:tc>
          <w:tcPr>
            <w:tcW w:w="9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14%</w:t>
            </w:r>
          </w:p>
        </w:tc>
      </w:tr>
      <w:tr>
        <w:trPr>
          <w:trHeight w:val="230"/>
        </w:trPr>
        <w:tc>
          <w:tcPr>
            <w:tcW w:w="20" w:type="dxa"/>
            <w:vAlign w:val="bottom"/>
            <w:tcBorders>
              <w:bottom w:val="single" w:sz="8" w:color="CCEEFF"/>
            </w:tcBorders>
          </w:tcPr>
          <w:p>
            <w:pPr>
              <w:spacing w:after="0"/>
              <w:rPr>
                <w:sz w:val="19"/>
                <w:szCs w:val="19"/>
                <w:color w:val="auto"/>
              </w:rPr>
            </w:pPr>
          </w:p>
        </w:tc>
        <w:tc>
          <w:tcPr>
            <w:tcW w:w="338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Storage</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4,965</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4,499</w:t>
            </w:r>
          </w:p>
        </w:tc>
        <w:tc>
          <w:tcPr>
            <w:tcW w:w="9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88"/>
              </w:rPr>
              <w:t>10%</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17,958</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16,465</w:t>
            </w:r>
          </w:p>
        </w:tc>
        <w:tc>
          <w:tcPr>
            <w:tcW w:w="9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2"/>
              </w:rPr>
              <w:t>9%</w:t>
            </w:r>
          </w:p>
        </w:tc>
      </w:tr>
      <w:tr>
        <w:trPr>
          <w:trHeight w:val="223"/>
        </w:trPr>
        <w:tc>
          <w:tcPr>
            <w:tcW w:w="20" w:type="dxa"/>
            <w:vAlign w:val="bottom"/>
            <w:shd w:val="clear" w:color="auto" w:fill="CCEEFF"/>
          </w:tcPr>
          <w:p>
            <w:pPr>
              <w:spacing w:after="0"/>
              <w:rPr>
                <w:sz w:val="19"/>
                <w:szCs w:val="19"/>
                <w:color w:val="auto"/>
              </w:rPr>
            </w:pPr>
          </w:p>
        </w:tc>
        <w:tc>
          <w:tcPr>
            <w:tcW w:w="33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ISG net revenue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9,905</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9,219</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38,356</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34,366</w:t>
            </w:r>
          </w:p>
        </w:tc>
        <w:tc>
          <w:tcPr>
            <w:tcW w:w="9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12%</w:t>
            </w:r>
          </w:p>
        </w:tc>
      </w:tr>
      <w:tr>
        <w:trPr>
          <w:trHeight w:val="250"/>
        </w:trPr>
        <w:tc>
          <w:tcPr>
            <w:tcW w:w="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0"/>
        </w:trPr>
        <w:tc>
          <w:tcPr>
            <w:tcW w:w="20" w:type="dxa"/>
            <w:vAlign w:val="bottom"/>
            <w:shd w:val="clear" w:color="auto" w:fill="CCEEFF"/>
          </w:tcPr>
          <w:p>
            <w:pPr>
              <w:spacing w:after="0"/>
              <w:rPr>
                <w:sz w:val="19"/>
                <w:szCs w:val="19"/>
                <w:color w:val="auto"/>
              </w:rPr>
            </w:pPr>
          </w:p>
        </w:tc>
        <w:tc>
          <w:tcPr>
            <w:tcW w:w="3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Operating Income:</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38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ISG operating income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1,102</w:t>
            </w:r>
          </w:p>
        </w:tc>
        <w:tc>
          <w:tcPr>
            <w:tcW w:w="9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88"/>
              </w:rPr>
              <w:t>40%</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5,045</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3,736</w:t>
            </w:r>
          </w:p>
        </w:tc>
        <w:tc>
          <w:tcPr>
            <w:tcW w:w="92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4"/>
              </w:rPr>
              <w:t>35%</w:t>
            </w:r>
          </w:p>
        </w:tc>
      </w:tr>
      <w:tr>
        <w:trPr>
          <w:trHeight w:val="223"/>
        </w:trPr>
        <w:tc>
          <w:tcPr>
            <w:tcW w:w="20" w:type="dxa"/>
            <w:vAlign w:val="bottom"/>
            <w:shd w:val="clear" w:color="auto" w:fill="CCEEFF"/>
          </w:tcPr>
          <w:p>
            <w:pPr>
              <w:spacing w:after="0"/>
              <w:rPr>
                <w:sz w:val="19"/>
                <w:szCs w:val="19"/>
                <w:color w:val="auto"/>
              </w:rPr>
            </w:pPr>
          </w:p>
        </w:tc>
        <w:tc>
          <w:tcPr>
            <w:tcW w:w="338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 of ISG net revenue</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15.6 %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12.0 %</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13.2 %</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10.9 %</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380" w:type="dxa"/>
            <w:vAlign w:val="bottom"/>
            <w:gridSpan w:val="3"/>
          </w:tcPr>
          <w:p>
            <w:pPr>
              <w:ind w:left="200"/>
              <w:spacing w:after="0" w:line="176" w:lineRule="exact"/>
              <w:rPr>
                <w:sz w:val="20"/>
                <w:szCs w:val="20"/>
                <w:color w:val="auto"/>
              </w:rPr>
            </w:pPr>
            <w:r>
              <w:rPr>
                <w:rFonts w:ascii="Arial" w:cs="Arial" w:eastAsia="Arial" w:hAnsi="Arial"/>
                <w:sz w:val="18"/>
                <w:szCs w:val="18"/>
                <w:i w:val="1"/>
                <w:iCs w:val="1"/>
                <w:color w:val="auto"/>
              </w:rPr>
              <w:t>% of total reportable segment operating</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3380" w:type="dxa"/>
            <w:vAlign w:val="bottom"/>
            <w:gridSpan w:val="3"/>
          </w:tcPr>
          <w:p>
            <w:pPr>
              <w:ind w:left="200"/>
              <w:spacing w:after="0"/>
              <w:rPr>
                <w:sz w:val="20"/>
                <w:szCs w:val="20"/>
                <w:color w:val="auto"/>
              </w:rPr>
            </w:pPr>
            <w:r>
              <w:rPr>
                <w:rFonts w:ascii="Arial" w:cs="Arial" w:eastAsia="Arial" w:hAnsi="Arial"/>
                <w:sz w:val="18"/>
                <w:szCs w:val="18"/>
                <w:i w:val="1"/>
                <w:iCs w:val="1"/>
                <w:color w:val="auto"/>
              </w:rPr>
              <w:t>income</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70 %</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i w:val="1"/>
                <w:iCs w:val="1"/>
                <w:color w:val="auto"/>
              </w:rPr>
              <w:t>49 %</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57 %</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i w:val="1"/>
                <w:iCs w:val="1"/>
                <w:color w:val="auto"/>
              </w:rPr>
              <w:t>46 %</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2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3380" w:type="dxa"/>
            <w:vAlign w:val="bottom"/>
            <w:gridSpan w:val="3"/>
          </w:tcPr>
          <w:p>
            <w:pPr>
              <w:spacing w:after="0" w:line="189" w:lineRule="exact"/>
              <w:rPr>
                <w:sz w:val="20"/>
                <w:szCs w:val="20"/>
                <w:color w:val="auto"/>
              </w:rPr>
            </w:pPr>
            <w:r>
              <w:rPr>
                <w:rFonts w:ascii="Arial" w:cs="Arial" w:eastAsia="Arial" w:hAnsi="Arial"/>
                <w:sz w:val="18"/>
                <w:szCs w:val="18"/>
                <w:i w:val="1"/>
                <w:iCs w:val="1"/>
                <w:color w:val="auto"/>
              </w:rPr>
              <w:t>Client Solutions Group (CSG):</w:t>
            </w: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Net revenue:</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380" w:type="dxa"/>
            <w:vAlign w:val="bottom"/>
            <w:gridSpan w:val="3"/>
          </w:tcPr>
          <w:p>
            <w:pPr>
              <w:ind w:left="200"/>
              <w:spacing w:after="0"/>
              <w:rPr>
                <w:sz w:val="20"/>
                <w:szCs w:val="20"/>
                <w:color w:val="auto"/>
              </w:rPr>
            </w:pPr>
            <w:r>
              <w:rPr>
                <w:rFonts w:ascii="Arial" w:cs="Arial" w:eastAsia="Arial" w:hAnsi="Arial"/>
                <w:sz w:val="18"/>
                <w:szCs w:val="18"/>
                <w:color w:val="auto"/>
              </w:rPr>
              <w:t>Commercial</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10,697</w:t>
            </w:r>
          </w:p>
        </w:tc>
        <w:tc>
          <w:tcPr>
            <w:tcW w:w="10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12,891</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(17)%</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45,556</w:t>
            </w:r>
          </w:p>
        </w:tc>
        <w:tc>
          <w:tcPr>
            <w:tcW w:w="100" w:type="dxa"/>
            <w:vAlign w:val="bottom"/>
          </w:tcPr>
          <w:p>
            <w:pPr>
              <w:spacing w:after="0"/>
              <w:rPr>
                <w:sz w:val="19"/>
                <w:szCs w:val="19"/>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45,576</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r>
      <w:tr>
        <w:trPr>
          <w:trHeight w:val="229"/>
        </w:trPr>
        <w:tc>
          <w:tcPr>
            <w:tcW w:w="20" w:type="dxa"/>
            <w:vAlign w:val="bottom"/>
            <w:shd w:val="clear" w:color="auto" w:fill="CCEEFF"/>
          </w:tcPr>
          <w:p>
            <w:pPr>
              <w:spacing w:after="0"/>
              <w:rPr>
                <w:sz w:val="19"/>
                <w:szCs w:val="19"/>
                <w:color w:val="auto"/>
              </w:rPr>
            </w:pPr>
          </w:p>
        </w:tc>
        <w:tc>
          <w:tcPr>
            <w:tcW w:w="33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Consumer</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2,664</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4,438</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(40)%</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12,657</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15,888</w:t>
            </w:r>
          </w:p>
        </w:tc>
        <w:tc>
          <w:tcPr>
            <w:tcW w:w="9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(20)%</w:t>
            </w:r>
          </w:p>
        </w:tc>
      </w:tr>
      <w:tr>
        <w:trPr>
          <w:trHeight w:val="223"/>
        </w:trPr>
        <w:tc>
          <w:tcPr>
            <w:tcW w:w="20" w:type="dxa"/>
            <w:vAlign w:val="bottom"/>
            <w:tcBorders>
              <w:bottom w:val="single" w:sz="8" w:color="CCEEFF"/>
            </w:tcBorders>
          </w:tcPr>
          <w:p>
            <w:pPr>
              <w:spacing w:after="0"/>
              <w:rPr>
                <w:sz w:val="19"/>
                <w:szCs w:val="19"/>
                <w:color w:val="auto"/>
              </w:rPr>
            </w:pPr>
          </w:p>
        </w:tc>
        <w:tc>
          <w:tcPr>
            <w:tcW w:w="338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Total CSG net revenue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13,361</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17,329</w:t>
            </w:r>
          </w:p>
        </w:tc>
        <w:tc>
          <w:tcPr>
            <w:tcW w:w="9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1"/>
              </w:rPr>
              <w:t>(23)%</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58,213</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61,464</w:t>
            </w:r>
          </w:p>
        </w:tc>
        <w:tc>
          <w:tcPr>
            <w:tcW w:w="9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4"/>
              </w:rPr>
              <w:t>(5)%</w:t>
            </w:r>
          </w:p>
        </w:tc>
      </w:tr>
      <w:tr>
        <w:trPr>
          <w:trHeight w:val="250"/>
        </w:trPr>
        <w:tc>
          <w:tcPr>
            <w:tcW w:w="20" w:type="dxa"/>
            <w:vAlign w:val="bottom"/>
            <w:shd w:val="clear" w:color="auto" w:fill="CCEEFF"/>
          </w:tcPr>
          <w:p>
            <w:pPr>
              <w:spacing w:after="0"/>
              <w:rPr>
                <w:sz w:val="21"/>
                <w:szCs w:val="21"/>
                <w:color w:val="auto"/>
              </w:rPr>
            </w:pPr>
          </w:p>
        </w:tc>
        <w:tc>
          <w:tcPr>
            <w:tcW w:w="22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38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Operating Income:</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33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CSG operating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1,157</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(42)%</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3,824</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4,365</w:t>
            </w:r>
          </w:p>
        </w:tc>
        <w:tc>
          <w:tcPr>
            <w:tcW w:w="9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(12)%</w:t>
            </w:r>
          </w:p>
        </w:tc>
      </w:tr>
      <w:tr>
        <w:trPr>
          <w:trHeight w:val="223"/>
        </w:trPr>
        <w:tc>
          <w:tcPr>
            <w:tcW w:w="20" w:type="dxa"/>
            <w:vAlign w:val="bottom"/>
          </w:tcPr>
          <w:p>
            <w:pPr>
              <w:spacing w:after="0"/>
              <w:rPr>
                <w:sz w:val="19"/>
                <w:szCs w:val="19"/>
                <w:color w:val="auto"/>
              </w:rPr>
            </w:pPr>
          </w:p>
        </w:tc>
        <w:tc>
          <w:tcPr>
            <w:tcW w:w="3380" w:type="dxa"/>
            <w:vAlign w:val="bottom"/>
            <w:gridSpan w:val="3"/>
          </w:tcPr>
          <w:p>
            <w:pPr>
              <w:ind w:left="200"/>
              <w:spacing w:after="0"/>
              <w:rPr>
                <w:sz w:val="20"/>
                <w:szCs w:val="20"/>
                <w:color w:val="auto"/>
              </w:rPr>
            </w:pPr>
            <w:r>
              <w:rPr>
                <w:rFonts w:ascii="Arial" w:cs="Arial" w:eastAsia="Arial" w:hAnsi="Arial"/>
                <w:sz w:val="18"/>
                <w:szCs w:val="18"/>
                <w:i w:val="1"/>
                <w:iCs w:val="1"/>
                <w:color w:val="auto"/>
              </w:rPr>
              <w:t>% of CSG net revenue</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5.0 %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i w:val="1"/>
                <w:iCs w:val="1"/>
                <w:color w:val="auto"/>
              </w:rPr>
              <w:t>6.7 %</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6.6 %</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i w:val="1"/>
                <w:iCs w:val="1"/>
                <w:color w:val="auto"/>
              </w:rPr>
              <w:t>7.1 %</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75"/>
        </w:trPr>
        <w:tc>
          <w:tcPr>
            <w:tcW w:w="20" w:type="dxa"/>
            <w:vAlign w:val="bottom"/>
            <w:shd w:val="clear" w:color="auto" w:fill="CCEEFF"/>
          </w:tcPr>
          <w:p>
            <w:pPr>
              <w:spacing w:after="0"/>
              <w:rPr>
                <w:sz w:val="15"/>
                <w:szCs w:val="15"/>
                <w:color w:val="auto"/>
              </w:rPr>
            </w:pPr>
          </w:p>
        </w:tc>
        <w:tc>
          <w:tcPr>
            <w:tcW w:w="338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8"/>
                <w:szCs w:val="18"/>
                <w:i w:val="1"/>
                <w:iCs w:val="1"/>
                <w:color w:val="auto"/>
              </w:rPr>
              <w:t>% of total reportable segment operating</w:t>
            </w: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338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income</w:t>
            </w: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30 %</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51 %</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43 %</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54 %</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are based on underlying data and may not visually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9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percentages; unaudited; continued)</w:t>
      </w:r>
    </w:p>
    <w:p>
      <w:pPr>
        <w:spacing w:after="0" w:line="139"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Fiscal Year Ended</w:t>
            </w:r>
          </w:p>
        </w:tc>
        <w:tc>
          <w:tcPr>
            <w:tcW w:w="780" w:type="dxa"/>
            <w:vAlign w:val="bottom"/>
            <w:tcBorders>
              <w:bottom w:val="single" w:sz="8" w:color="auto"/>
            </w:tcBorders>
          </w:tcPr>
          <w:p>
            <w:pPr>
              <w:spacing w:after="0"/>
              <w:rPr>
                <w:sz w:val="20"/>
                <w:szCs w:val="20"/>
                <w:color w:val="auto"/>
              </w:rPr>
            </w:pPr>
          </w:p>
        </w:tc>
      </w:tr>
      <w:tr>
        <w:trPr>
          <w:trHeight w:val="223"/>
        </w:trPr>
        <w:tc>
          <w:tcPr>
            <w:tcW w:w="3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20" w:type="dxa"/>
            <w:vAlign w:val="bottom"/>
            <w:gridSpan w:val="3"/>
          </w:tcPr>
          <w:p>
            <w:pPr>
              <w:ind w:left="100"/>
              <w:spacing w:after="0"/>
              <w:rPr>
                <w:sz w:val="20"/>
                <w:szCs w:val="20"/>
                <w:color w:val="auto"/>
              </w:rPr>
            </w:pPr>
            <w:r>
              <w:rPr>
                <w:rFonts w:ascii="Arial" w:cs="Arial" w:eastAsia="Arial" w:hAnsi="Arial"/>
                <w:sz w:val="18"/>
                <w:szCs w:val="18"/>
                <w:b w:val="1"/>
                <w:bCs w:val="1"/>
                <w:color w:val="auto"/>
              </w:rPr>
              <w:t>February 3, 2023</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7"/>
              </w:rPr>
              <w:t>January 28, 2022</w:t>
            </w:r>
          </w:p>
        </w:tc>
        <w:tc>
          <w:tcPr>
            <w:tcW w:w="80" w:type="dxa"/>
            <w:vAlign w:val="bottom"/>
          </w:tcPr>
          <w:p>
            <w:pPr>
              <w:spacing w:after="0"/>
              <w:rPr>
                <w:sz w:val="19"/>
                <w:szCs w:val="19"/>
                <w:color w:val="auto"/>
              </w:rPr>
            </w:pPr>
          </w:p>
        </w:tc>
        <w:tc>
          <w:tcPr>
            <w:tcW w:w="1620" w:type="dxa"/>
            <w:vAlign w:val="bottom"/>
            <w:gridSpan w:val="3"/>
          </w:tcPr>
          <w:p>
            <w:pPr>
              <w:ind w:left="100"/>
              <w:spacing w:after="0"/>
              <w:rPr>
                <w:sz w:val="20"/>
                <w:szCs w:val="20"/>
                <w:color w:val="auto"/>
              </w:rPr>
            </w:pPr>
            <w:r>
              <w:rPr>
                <w:rFonts w:ascii="Arial" w:cs="Arial" w:eastAsia="Arial" w:hAnsi="Arial"/>
                <w:sz w:val="18"/>
                <w:szCs w:val="18"/>
                <w:b w:val="1"/>
                <w:bCs w:val="1"/>
                <w:color w:val="auto"/>
              </w:rPr>
              <w:t>February 3, 2023</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7"/>
              </w:rPr>
              <w:t>January 28, 2022</w:t>
            </w:r>
          </w:p>
        </w:tc>
      </w:tr>
      <w:tr>
        <w:trPr>
          <w:trHeight w:val="190"/>
        </w:trPr>
        <w:tc>
          <w:tcPr>
            <w:tcW w:w="314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i w:val="1"/>
                <w:iCs w:val="1"/>
                <w:color w:val="auto"/>
                <w:w w:val="90"/>
              </w:rPr>
              <w:t>Reconciliation to consolidated net revenue:</w:t>
            </w:r>
          </w:p>
        </w:tc>
        <w:tc>
          <w:tcPr>
            <w:tcW w:w="12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29"/>
        </w:trPr>
        <w:tc>
          <w:tcPr>
            <w:tcW w:w="4360" w:type="dxa"/>
            <w:vAlign w:val="bottom"/>
            <w:gridSpan w:val="3"/>
          </w:tcPr>
          <w:p>
            <w:pPr>
              <w:ind w:left="120"/>
              <w:spacing w:after="0"/>
              <w:rPr>
                <w:sz w:val="20"/>
                <w:szCs w:val="20"/>
                <w:color w:val="auto"/>
              </w:rPr>
            </w:pPr>
            <w:r>
              <w:rPr>
                <w:rFonts w:ascii="Arial" w:cs="Arial" w:eastAsia="Arial" w:hAnsi="Arial"/>
                <w:sz w:val="18"/>
                <w:szCs w:val="18"/>
                <w:color w:val="auto"/>
              </w:rPr>
              <w:t>Reportable segment net revenue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23,266</w:t>
            </w:r>
          </w:p>
        </w:tc>
        <w:tc>
          <w:tcPr>
            <w:tcW w:w="8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26,548</w:t>
            </w:r>
          </w:p>
        </w:tc>
        <w:tc>
          <w:tcPr>
            <w:tcW w:w="8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96,569</w:t>
            </w:r>
          </w:p>
        </w:tc>
        <w:tc>
          <w:tcPr>
            <w:tcW w:w="80" w:type="dxa"/>
            <w:vAlign w:val="bottom"/>
          </w:tcPr>
          <w:p>
            <w:pPr>
              <w:spacing w:after="0"/>
              <w:rPr>
                <w:sz w:val="19"/>
                <w:szCs w:val="19"/>
                <w:color w:val="auto"/>
              </w:rPr>
            </w:pP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95,830</w:t>
            </w:r>
          </w:p>
        </w:tc>
      </w:tr>
      <w:tr>
        <w:trPr>
          <w:trHeight w:val="229"/>
        </w:trPr>
        <w:tc>
          <w:tcPr>
            <w:tcW w:w="4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 businesses (a)</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5,388</w:t>
            </w:r>
          </w:p>
        </w:tc>
      </w:tr>
      <w:tr>
        <w:trPr>
          <w:trHeight w:val="230"/>
        </w:trPr>
        <w:tc>
          <w:tcPr>
            <w:tcW w:w="4360" w:type="dxa"/>
            <w:vAlign w:val="bottom"/>
            <w:gridSpan w:val="3"/>
          </w:tcPr>
          <w:p>
            <w:pPr>
              <w:ind w:left="200"/>
              <w:spacing w:after="0"/>
              <w:rPr>
                <w:sz w:val="20"/>
                <w:szCs w:val="20"/>
                <w:color w:val="auto"/>
              </w:rPr>
            </w:pPr>
            <w:r>
              <w:rPr>
                <w:rFonts w:ascii="Arial" w:cs="Arial" w:eastAsia="Arial" w:hAnsi="Arial"/>
                <w:sz w:val="18"/>
                <w:szCs w:val="18"/>
                <w:color w:val="auto"/>
              </w:rPr>
              <w:t>Unallocated transactions (b)</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4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Impact of purchase accounting (c)</w:t>
            </w: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4360" w:type="dxa"/>
            <w:vAlign w:val="bottom"/>
            <w:gridSpan w:val="3"/>
          </w:tcPr>
          <w:p>
            <w:pPr>
              <w:ind w:left="480"/>
              <w:spacing w:after="0"/>
              <w:rPr>
                <w:sz w:val="20"/>
                <w:szCs w:val="20"/>
                <w:color w:val="auto"/>
              </w:rPr>
            </w:pPr>
            <w:r>
              <w:rPr>
                <w:rFonts w:ascii="Arial" w:cs="Arial" w:eastAsia="Arial" w:hAnsi="Arial"/>
                <w:sz w:val="18"/>
                <w:szCs w:val="18"/>
                <w:color w:val="auto"/>
              </w:rPr>
              <w:t>Total consolidated net revenue</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25,039</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27,992</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102,301</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101,197</w:t>
            </w: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3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189"/>
        </w:trPr>
        <w:tc>
          <w:tcPr>
            <w:tcW w:w="4360" w:type="dxa"/>
            <w:vAlign w:val="bottom"/>
            <w:gridSpan w:val="3"/>
          </w:tcPr>
          <w:p>
            <w:pPr>
              <w:spacing w:after="0" w:line="189" w:lineRule="exact"/>
              <w:rPr>
                <w:sz w:val="20"/>
                <w:szCs w:val="20"/>
                <w:color w:val="auto"/>
              </w:rPr>
            </w:pPr>
            <w:r>
              <w:rPr>
                <w:rFonts w:ascii="Arial" w:cs="Arial" w:eastAsia="Arial" w:hAnsi="Arial"/>
                <w:sz w:val="18"/>
                <w:szCs w:val="18"/>
                <w:i w:val="1"/>
                <w:iCs w:val="1"/>
                <w:color w:val="auto"/>
              </w:rPr>
              <w:t>Reconciliation to consolidated operating income:</w:t>
            </w: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
        </w:trPr>
        <w:tc>
          <w:tcPr>
            <w:tcW w:w="31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0"/>
        </w:trPr>
        <w:tc>
          <w:tcPr>
            <w:tcW w:w="43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Reportable segment operating income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8,869</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w:t>
            </w:r>
          </w:p>
        </w:tc>
      </w:tr>
      <w:tr>
        <w:trPr>
          <w:trHeight w:val="229"/>
        </w:trPr>
        <w:tc>
          <w:tcPr>
            <w:tcW w:w="4360" w:type="dxa"/>
            <w:vAlign w:val="bottom"/>
            <w:gridSpan w:val="3"/>
          </w:tcPr>
          <w:p>
            <w:pPr>
              <w:ind w:left="200"/>
              <w:spacing w:after="0"/>
              <w:rPr>
                <w:sz w:val="20"/>
                <w:szCs w:val="20"/>
                <w:color w:val="auto"/>
              </w:rPr>
            </w:pPr>
            <w:r>
              <w:rPr>
                <w:rFonts w:ascii="Arial" w:cs="Arial" w:eastAsia="Arial" w:hAnsi="Arial"/>
                <w:sz w:val="18"/>
                <w:szCs w:val="18"/>
                <w:color w:val="auto"/>
              </w:rPr>
              <w:t>Other businesses (a)</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30"/>
        </w:trPr>
        <w:tc>
          <w:tcPr>
            <w:tcW w:w="4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Unallocated transactions (b)</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4360" w:type="dxa"/>
            <w:vAlign w:val="bottom"/>
            <w:gridSpan w:val="3"/>
          </w:tcPr>
          <w:p>
            <w:pPr>
              <w:ind w:left="200"/>
              <w:spacing w:after="0"/>
              <w:rPr>
                <w:sz w:val="20"/>
                <w:szCs w:val="20"/>
                <w:color w:val="auto"/>
              </w:rPr>
            </w:pPr>
            <w:r>
              <w:rPr>
                <w:rFonts w:ascii="Arial" w:cs="Arial" w:eastAsia="Arial" w:hAnsi="Arial"/>
                <w:sz w:val="18"/>
                <w:szCs w:val="18"/>
                <w:color w:val="auto"/>
              </w:rPr>
              <w:t>Impact of purchase accounting (c)</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4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r>
      <w:tr>
        <w:trPr>
          <w:trHeight w:val="230"/>
        </w:trPr>
        <w:tc>
          <w:tcPr>
            <w:tcW w:w="4360" w:type="dxa"/>
            <w:vAlign w:val="bottom"/>
            <w:gridSpan w:val="3"/>
          </w:tcPr>
          <w:p>
            <w:pPr>
              <w:ind w:left="200"/>
              <w:spacing w:after="0"/>
              <w:rPr>
                <w:sz w:val="20"/>
                <w:szCs w:val="20"/>
                <w:color w:val="auto"/>
              </w:rPr>
            </w:pPr>
            <w:r>
              <w:rPr>
                <w:rFonts w:ascii="Arial" w:cs="Arial" w:eastAsia="Arial" w:hAnsi="Arial"/>
                <w:sz w:val="18"/>
                <w:szCs w:val="18"/>
                <w:color w:val="auto"/>
              </w:rPr>
              <w:t>Transaction-related (income) expenses (d)</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29"/>
        </w:trPr>
        <w:tc>
          <w:tcPr>
            <w:tcW w:w="4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 (e)</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29"/>
        </w:trPr>
        <w:tc>
          <w:tcPr>
            <w:tcW w:w="436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Other corporate expenses (f)</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r>
      <w:tr>
        <w:trPr>
          <w:trHeight w:val="248"/>
        </w:trPr>
        <w:tc>
          <w:tcPr>
            <w:tcW w:w="436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Total consolidated operating income</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4,659</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17" w:lineRule="exact"/>
        <w:rPr>
          <w:sz w:val="20"/>
          <w:szCs w:val="20"/>
          <w:color w:val="auto"/>
        </w:rPr>
      </w:pPr>
    </w:p>
    <w:p>
      <w:pPr>
        <w:ind w:left="340" w:right="880" w:hanging="332"/>
        <w:spacing w:after="0" w:line="264" w:lineRule="auto"/>
        <w:tabs>
          <w:tab w:leader="none" w:pos="337"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businesses consists of: 1) Dell’s resale of standalone VMware, Inc. products and services, “VMware Resale,” 2) Secureworks, and 3) Virtustream, and do not meet the requirements for a reportable segment, either individually or collectively.</w:t>
      </w: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Unallocated transactions includes other corporate items that are not allocated to Dell Technologies’ reportable segments.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Impact of purchase accounting includes non-cash purchase accounting adjustments that are primarily related to the EMC merger transaction.</w:t>
      </w:r>
    </w:p>
    <w:p>
      <w:pPr>
        <w:spacing w:after="0" w:line="20" w:lineRule="exact"/>
        <w:rPr>
          <w:rFonts w:ascii="Arial" w:cs="Arial" w:eastAsia="Arial" w:hAnsi="Arial"/>
          <w:sz w:val="17"/>
          <w:szCs w:val="17"/>
          <w:color w:val="auto"/>
        </w:rPr>
      </w:pPr>
    </w:p>
    <w:p>
      <w:pPr>
        <w:ind w:left="340" w:right="20" w:hanging="332"/>
        <w:spacing w:after="0" w:line="250"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Transaction-related (income) expenses includes acquisition, integration, and divestiture related costs. From time to time, this category also may include transaction-related income related to divestitures of businesses or asset sales.</w:t>
      </w: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Stock-based compensation expense consists of equity awards granted based on the estimated fair value of those awards at grant date.</w:t>
      </w:r>
    </w:p>
    <w:p>
      <w:pPr>
        <w:spacing w:after="0" w:line="9" w:lineRule="exact"/>
        <w:rPr>
          <w:rFonts w:ascii="Arial" w:cs="Arial" w:eastAsia="Arial" w:hAnsi="Arial"/>
          <w:sz w:val="18"/>
          <w:szCs w:val="18"/>
          <w:color w:val="auto"/>
        </w:rPr>
      </w:pPr>
    </w:p>
    <w:p>
      <w:pPr>
        <w:ind w:left="340" w:hanging="332"/>
        <w:spacing w:after="0" w:line="295" w:lineRule="auto"/>
        <w:tabs>
          <w:tab w:leader="none" w:pos="331"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 corporate expenses includes impairment charges, incentive charges related to equity investments, severance, payroll taxes associated with stock-based compensation, facilities action, and other costs. During the three months ended February 3, 2023, other corporate expenses includes $367 million of severance expense incurred in connection with the Company’s workforce reduction announced on February 6, 2023. During the fiscal year ended February 3, 2023, other corporate expenses includes impairment and other costs incurred in connection with exiting the Company’s business in Russia.</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93" w:right="33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8"/>
          <w:szCs w:val="18"/>
          <w:b w:val="1"/>
          <w:bCs w:val="1"/>
          <w:color w:val="auto"/>
        </w:rPr>
        <w:t>SUPPLEMENTAL SELECTED NON-GAAP FINANCIAL MEASURES</w:t>
      </w:r>
    </w:p>
    <w:p>
      <w:pPr>
        <w:spacing w:after="0" w:line="36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These tables present information about the Company’s non-GAAP net revenue, non-GAAP gross margin, non-GAAP operating expenses, non-GAAP operating income, non-GAAP net income, non-GAAP net income attributable to Dell Technologies Inc. - basic and diluted, non-GAAP earnings per share attributable to Dell Technologies Inc. - basic, and non-GAAP earnings per share attributable to Dell Technologies Inc. - diluted, which are non-GAAP financial measures provided as a supplement to the results provided in accordance with generally accepted accounting principles in the United States of America (“GAAP”). A detailed discussion of Dell Technologies’ reasons for including these non-GAAP financial measures, the limitations associated with these measures, the items excluded from these measures, and our reason for excluding those items are presented in “Management’s Discussion and Analysis of Financial Condition and Results of Operations — Non-GAAP Financial Measures” in our periodic reports filed with the SEC. Dell Technologies encourages investors to review the non-GAAP discussion in these reports in conjunction with the presentation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320" w:top="1093" w:right="39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and percentages; 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gridSpan w:val="5"/>
          </w:tcPr>
          <w:p>
            <w:pPr>
              <w:ind w:left="680"/>
              <w:spacing w:after="0"/>
              <w:rPr>
                <w:sz w:val="20"/>
                <w:szCs w:val="20"/>
                <w:color w:val="auto"/>
              </w:rPr>
            </w:pPr>
            <w:r>
              <w:rPr>
                <w:rFonts w:ascii="Arial" w:cs="Arial" w:eastAsia="Arial" w:hAnsi="Arial"/>
                <w:sz w:val="18"/>
                <w:szCs w:val="18"/>
                <w:b w:val="1"/>
                <w:bCs w:val="1"/>
                <w:color w:val="auto"/>
              </w:rPr>
              <w:t>Three Months Ended</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gridSpan w:val="5"/>
          </w:tcPr>
          <w:p>
            <w:pPr>
              <w:ind w:left="780"/>
              <w:spacing w:after="0"/>
              <w:rPr>
                <w:sz w:val="20"/>
                <w:szCs w:val="20"/>
                <w:color w:val="auto"/>
              </w:rPr>
            </w:pPr>
            <w:r>
              <w:rPr>
                <w:rFonts w:ascii="Arial" w:cs="Arial" w:eastAsia="Arial" w:hAnsi="Arial"/>
                <w:sz w:val="18"/>
                <w:szCs w:val="18"/>
                <w:b w:val="1"/>
                <w:bCs w:val="1"/>
                <w:color w:val="auto"/>
              </w:rPr>
              <w:t>Fiscal Year Ended</w:t>
            </w:r>
          </w:p>
        </w:tc>
        <w:tc>
          <w:tcPr>
            <w:tcW w:w="900" w:type="dxa"/>
            <w:vAlign w:val="bottom"/>
          </w:tcPr>
          <w:p>
            <w:pPr>
              <w:spacing w:after="0"/>
              <w:rPr>
                <w:sz w:val="20"/>
                <w:szCs w:val="20"/>
                <w:color w:val="auto"/>
              </w:rPr>
            </w:pPr>
          </w:p>
        </w:tc>
      </w:tr>
      <w:tr>
        <w:trPr>
          <w:trHeight w:val="223"/>
        </w:trPr>
        <w:tc>
          <w:tcPr>
            <w:tcW w:w="27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February 3, 2023</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January 28, 2022</w:t>
            </w:r>
          </w:p>
        </w:tc>
        <w:tc>
          <w:tcPr>
            <w:tcW w:w="8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b w:val="1"/>
                <w:bCs w:val="1"/>
                <w:color w:val="auto"/>
              </w:rPr>
              <w:t>Change</w:t>
            </w:r>
          </w:p>
        </w:tc>
        <w:tc>
          <w:tcPr>
            <w:tcW w:w="1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February 3, 2023</w:t>
            </w: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January 28, 2022</w:t>
            </w:r>
          </w:p>
        </w:tc>
        <w:tc>
          <w:tcPr>
            <w:tcW w:w="100" w:type="dxa"/>
            <w:vAlign w:val="bottom"/>
          </w:tcPr>
          <w:p>
            <w:pPr>
              <w:spacing w:after="0"/>
              <w:rPr>
                <w:sz w:val="19"/>
                <w:szCs w:val="19"/>
                <w:color w:val="auto"/>
              </w:rPr>
            </w:pPr>
          </w:p>
        </w:tc>
        <w:tc>
          <w:tcPr>
            <w:tcW w:w="900" w:type="dxa"/>
            <w:vAlign w:val="bottom"/>
          </w:tcPr>
          <w:p>
            <w:pPr>
              <w:ind w:left="160"/>
              <w:spacing w:after="0"/>
              <w:rPr>
                <w:sz w:val="20"/>
                <w:szCs w:val="20"/>
                <w:color w:val="auto"/>
              </w:rPr>
            </w:pPr>
            <w:r>
              <w:rPr>
                <w:rFonts w:ascii="Arial" w:cs="Arial" w:eastAsia="Arial" w:hAnsi="Arial"/>
                <w:sz w:val="18"/>
                <w:szCs w:val="18"/>
                <w:b w:val="1"/>
                <w:bCs w:val="1"/>
                <w:color w:val="auto"/>
              </w:rPr>
              <w:t>Change</w:t>
            </w: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25,039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28,000</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102,301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101,229</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r>
      <w:tr>
        <w:trPr>
          <w:trHeight w:val="229"/>
        </w:trPr>
        <w:tc>
          <w:tcPr>
            <w:tcW w:w="2700" w:type="dxa"/>
            <w:vAlign w:val="bottom"/>
          </w:tcPr>
          <w:p>
            <w:pPr>
              <w:ind w:left="40"/>
              <w:spacing w:after="0"/>
              <w:rPr>
                <w:sz w:val="20"/>
                <w:szCs w:val="20"/>
                <w:color w:val="auto"/>
              </w:rPr>
            </w:pPr>
            <w:r>
              <w:rPr>
                <w:rFonts w:ascii="Arial" w:cs="Arial" w:eastAsia="Arial" w:hAnsi="Arial"/>
                <w:sz w:val="18"/>
                <w:szCs w:val="18"/>
                <w:color w:val="auto"/>
              </w:rPr>
              <w:t>Non-GAAP gross margin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5,971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5,818</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23,427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22,684</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3%</w:t>
            </w:r>
          </w:p>
        </w:tc>
      </w:tr>
      <w:tr>
        <w:trPr>
          <w:trHeight w:val="230"/>
        </w:trPr>
        <w:tc>
          <w:tcPr>
            <w:tcW w:w="270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 of non-GAAP net revenue</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23.8 %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20.8 %</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22.9 %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22.4 %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2700" w:type="dxa"/>
            <w:vAlign w:val="bottom"/>
          </w:tcPr>
          <w:p>
            <w:pPr>
              <w:ind w:left="40"/>
              <w:spacing w:after="0"/>
              <w:rPr>
                <w:sz w:val="20"/>
                <w:szCs w:val="20"/>
                <w:color w:val="auto"/>
              </w:rPr>
            </w:pPr>
            <w:r>
              <w:rPr>
                <w:rFonts w:ascii="Arial" w:cs="Arial" w:eastAsia="Arial" w:hAnsi="Arial"/>
                <w:sz w:val="18"/>
                <w:szCs w:val="18"/>
                <w:color w:val="auto"/>
              </w:rPr>
              <w:t>Non-GAAP 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3,801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3,627</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14,790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14,899</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w:t>
            </w:r>
          </w:p>
        </w:tc>
      </w:tr>
      <w:tr>
        <w:trPr>
          <w:trHeight w:val="229"/>
        </w:trPr>
        <w:tc>
          <w:tcPr>
            <w:tcW w:w="270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 of non-GAAP net revenue</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15.1 %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13.0 %</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14.7 %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Non-GAAP operating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2,170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2,191</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8,637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7,785</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11%</w:t>
            </w:r>
          </w:p>
        </w:tc>
      </w:tr>
      <w:tr>
        <w:trPr>
          <w:trHeight w:val="229"/>
        </w:trPr>
        <w:tc>
          <w:tcPr>
            <w:tcW w:w="270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 of non-GAAP net revenue</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8.7 %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7.8 %</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7.7 %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Non-GAAP 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1,322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1,390</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5,727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4,924</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16%</w:t>
            </w:r>
          </w:p>
        </w:tc>
      </w:tr>
      <w:tr>
        <w:trPr>
          <w:trHeight w:val="229"/>
        </w:trPr>
        <w:tc>
          <w:tcPr>
            <w:tcW w:w="270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 of non-GAAP net revenue</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5.3 %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5.0 %</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4.9 %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75"/>
        </w:trPr>
        <w:tc>
          <w:tcPr>
            <w:tcW w:w="2700" w:type="dxa"/>
            <w:vAlign w:val="bottom"/>
          </w:tcPr>
          <w:p>
            <w:pPr>
              <w:ind w:left="20"/>
              <w:spacing w:after="0" w:line="176" w:lineRule="exact"/>
              <w:rPr>
                <w:sz w:val="20"/>
                <w:szCs w:val="20"/>
                <w:color w:val="auto"/>
              </w:rPr>
            </w:pPr>
            <w:r>
              <w:rPr>
                <w:rFonts w:ascii="Arial" w:cs="Arial" w:eastAsia="Arial" w:hAnsi="Arial"/>
                <w:sz w:val="18"/>
                <w:szCs w:val="18"/>
                <w:color w:val="auto"/>
              </w:rPr>
              <w:t>Non-GAAP earnings per share -</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22%</w:t>
            </w:r>
          </w:p>
        </w:tc>
      </w:tr>
    </w:tbl>
    <w:p>
      <w:pPr>
        <w:spacing w:after="0" w:line="200" w:lineRule="exact"/>
        <w:rPr>
          <w:sz w:val="20"/>
          <w:szCs w:val="20"/>
          <w:color w:val="auto"/>
        </w:rPr>
      </w:pPr>
    </w:p>
    <w:p>
      <w:pPr>
        <w:spacing w:after="0" w:line="204"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Amounts are based on underlying data and may not visually foot due to rounding.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093" w:right="339" w:bottom="1440" w:gutter="0" w:footer="0" w:header="0"/>
        </w:sectPr>
      </w:pPr>
    </w:p>
    <w:bookmarkStart w:id="15" w:name="page16"/>
    <w:bookmarkEnd w:id="15"/>
    <w:p>
      <w:pPr>
        <w:jc w:val="center"/>
        <w:ind w:left="1020"/>
        <w:spacing w:after="0"/>
        <w:rPr>
          <w:sz w:val="20"/>
          <w:szCs w:val="20"/>
          <w:color w:val="auto"/>
        </w:rPr>
      </w:pPr>
      <w:r>
        <w:rPr>
          <w:rFonts w:ascii="Arial" w:cs="Arial" w:eastAsia="Arial" w:hAnsi="Arial"/>
          <w:sz w:val="18"/>
          <w:szCs w:val="18"/>
          <w:b w:val="1"/>
          <w:bCs w:val="1"/>
          <w:color w:val="auto"/>
        </w:rPr>
        <w:t>DELL TECHNOLOGIES INC.</w:t>
      </w:r>
    </w:p>
    <w:p>
      <w:pPr>
        <w:spacing w:after="0" w:line="27" w:lineRule="exact"/>
        <w:rPr>
          <w:sz w:val="20"/>
          <w:szCs w:val="20"/>
          <w:color w:val="auto"/>
        </w:rPr>
      </w:pPr>
    </w:p>
    <w:p>
      <w:pPr>
        <w:jc w:val="center"/>
        <w:ind w:left="1020"/>
        <w:spacing w:after="0"/>
        <w:rPr>
          <w:sz w:val="20"/>
          <w:szCs w:val="20"/>
          <w:color w:val="auto"/>
        </w:rPr>
      </w:pPr>
      <w:r>
        <w:rPr>
          <w:rFonts w:ascii="Arial" w:cs="Arial" w:eastAsia="Arial" w:hAnsi="Arial"/>
          <w:sz w:val="18"/>
          <w:szCs w:val="18"/>
          <w:b w:val="1"/>
          <w:bCs w:val="1"/>
          <w:color w:val="auto"/>
        </w:rPr>
        <w:t>Reconciliation of Selected Non-GAAP Financial Measures</w:t>
      </w:r>
    </w:p>
    <w:p>
      <w:pPr>
        <w:spacing w:after="0" w:line="9" w:lineRule="exact"/>
        <w:rPr>
          <w:sz w:val="20"/>
          <w:szCs w:val="20"/>
          <w:color w:val="auto"/>
        </w:rPr>
      </w:pPr>
    </w:p>
    <w:p>
      <w:pPr>
        <w:jc w:val="center"/>
        <w:ind w:left="1020"/>
        <w:spacing w:after="0"/>
        <w:rPr>
          <w:sz w:val="20"/>
          <w:szCs w:val="20"/>
          <w:color w:val="auto"/>
        </w:rPr>
      </w:pPr>
      <w:r>
        <w:rPr>
          <w:rFonts w:ascii="Arial" w:cs="Arial" w:eastAsia="Arial" w:hAnsi="Arial"/>
          <w:sz w:val="18"/>
          <w:szCs w:val="18"/>
          <w:b w:val="1"/>
          <w:bCs w:val="1"/>
          <w:color w:val="auto"/>
        </w:rPr>
        <w:t>(in millions, except percentages; unaudited; continued on next page)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Fiscal Year Ended</w:t>
            </w:r>
          </w:p>
        </w:tc>
        <w:tc>
          <w:tcPr>
            <w:tcW w:w="760" w:type="dxa"/>
            <w:vAlign w:val="bottom"/>
            <w:tcBorders>
              <w:bottom w:val="single" w:sz="8" w:color="auto"/>
            </w:tcBorders>
          </w:tcPr>
          <w:p>
            <w:pPr>
              <w:spacing w:after="0"/>
              <w:rPr>
                <w:sz w:val="20"/>
                <w:szCs w:val="20"/>
                <w:color w:val="auto"/>
              </w:rPr>
            </w:pPr>
          </w:p>
        </w:tc>
      </w:tr>
      <w:tr>
        <w:trPr>
          <w:trHeight w:val="223"/>
        </w:trPr>
        <w:tc>
          <w:tcPr>
            <w:tcW w:w="2840" w:type="dxa"/>
            <w:vAlign w:val="bottom"/>
          </w:tcPr>
          <w:p>
            <w:pPr>
              <w:spacing w:after="0"/>
              <w:rPr>
                <w:sz w:val="19"/>
                <w:szCs w:val="19"/>
                <w:color w:val="auto"/>
              </w:rPr>
            </w:pPr>
          </w:p>
        </w:tc>
        <w:tc>
          <w:tcPr>
            <w:tcW w:w="1580" w:type="dxa"/>
            <w:vAlign w:val="bottom"/>
            <w:gridSpan w:val="3"/>
          </w:tcPr>
          <w:p>
            <w:pPr>
              <w:ind w:left="80"/>
              <w:spacing w:after="0"/>
              <w:rPr>
                <w:sz w:val="20"/>
                <w:szCs w:val="20"/>
                <w:color w:val="auto"/>
              </w:rPr>
            </w:pPr>
            <w:r>
              <w:rPr>
                <w:rFonts w:ascii="Arial" w:cs="Arial" w:eastAsia="Arial" w:hAnsi="Arial"/>
                <w:sz w:val="18"/>
                <w:szCs w:val="18"/>
                <w:b w:val="1"/>
                <w:bCs w:val="1"/>
                <w:color w:val="auto"/>
              </w:rPr>
              <w:t>February 3, 2023</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January 28, 2022</w:t>
            </w:r>
          </w:p>
        </w:tc>
        <w:tc>
          <w:tcPr>
            <w:tcW w:w="100" w:type="dxa"/>
            <w:vAlign w:val="bottom"/>
          </w:tcPr>
          <w:p>
            <w:pPr>
              <w:spacing w:after="0"/>
              <w:rPr>
                <w:sz w:val="19"/>
                <w:szCs w:val="19"/>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Change</w:t>
            </w:r>
          </w:p>
        </w:tc>
        <w:tc>
          <w:tcPr>
            <w:tcW w:w="1600" w:type="dxa"/>
            <w:vAlign w:val="bottom"/>
            <w:gridSpan w:val="3"/>
          </w:tcPr>
          <w:p>
            <w:pPr>
              <w:ind w:left="100"/>
              <w:spacing w:after="0"/>
              <w:rPr>
                <w:sz w:val="20"/>
                <w:szCs w:val="20"/>
                <w:color w:val="auto"/>
              </w:rPr>
            </w:pPr>
            <w:r>
              <w:rPr>
                <w:rFonts w:ascii="Arial" w:cs="Arial" w:eastAsia="Arial" w:hAnsi="Arial"/>
                <w:sz w:val="18"/>
                <w:szCs w:val="18"/>
                <w:b w:val="1"/>
                <w:bCs w:val="1"/>
                <w:color w:val="auto"/>
              </w:rPr>
              <w:t>February 3, 2023</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January 28, 2022</w:t>
            </w:r>
          </w:p>
        </w:tc>
      </w:tr>
      <w:tr>
        <w:trPr>
          <w:trHeight w:val="222"/>
        </w:trPr>
        <w:tc>
          <w:tcPr>
            <w:tcW w:w="2840" w:type="dxa"/>
            <w:vAlign w:val="bottom"/>
          </w:tcPr>
          <w:p>
            <w:pPr>
              <w:spacing w:after="0"/>
              <w:rPr>
                <w:sz w:val="20"/>
                <w:szCs w:val="20"/>
                <w:color w:val="auto"/>
              </w:rPr>
            </w:pPr>
            <w:r>
              <w:rPr>
                <w:rFonts w:ascii="Arial" w:cs="Arial" w:eastAsia="Arial" w:hAnsi="Arial"/>
                <w:sz w:val="18"/>
                <w:szCs w:val="18"/>
                <w:color w:val="auto"/>
              </w:rPr>
              <w:t>Net revenue</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25,039</w:t>
            </w:r>
          </w:p>
        </w:tc>
        <w:tc>
          <w:tcPr>
            <w:tcW w:w="80" w:type="dxa"/>
            <w:vAlign w:val="bottom"/>
          </w:tcPr>
          <w:p>
            <w:pPr>
              <w:spacing w:after="0"/>
              <w:rPr>
                <w:sz w:val="19"/>
                <w:szCs w:val="19"/>
                <w:color w:val="auto"/>
              </w:rPr>
            </w:pP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27,992</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(11)%</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102,301</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101,197</w:t>
            </w:r>
          </w:p>
        </w:tc>
      </w:tr>
      <w:tr>
        <w:trPr>
          <w:trHeight w:val="229"/>
        </w:trPr>
        <w:tc>
          <w:tcPr>
            <w:tcW w:w="2840" w:type="dxa"/>
            <w:vAlign w:val="bottom"/>
          </w:tcPr>
          <w:p>
            <w:pPr>
              <w:ind w:left="120"/>
              <w:spacing w:after="0"/>
              <w:rPr>
                <w:sz w:val="20"/>
                <w:szCs w:val="20"/>
                <w:color w:val="auto"/>
              </w:rPr>
            </w:pPr>
            <w:r>
              <w:rPr>
                <w:rFonts w:ascii="Arial" w:cs="Arial" w:eastAsia="Arial" w:hAnsi="Arial"/>
                <w:sz w:val="18"/>
                <w:szCs w:val="18"/>
                <w:color w:val="auto"/>
              </w:rPr>
              <w:t>Non-GAAP adjustments: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2840" w:type="dxa"/>
            <w:vAlign w:val="bottom"/>
          </w:tcPr>
          <w:p>
            <w:pPr>
              <w:ind w:left="200"/>
              <w:spacing w:after="0"/>
              <w:rPr>
                <w:sz w:val="20"/>
                <w:szCs w:val="20"/>
                <w:color w:val="auto"/>
              </w:rPr>
            </w:pPr>
            <w:r>
              <w:rPr>
                <w:rFonts w:ascii="Arial" w:cs="Arial" w:eastAsia="Arial" w:hAnsi="Arial"/>
                <w:sz w:val="18"/>
                <w:szCs w:val="18"/>
                <w:color w:val="auto"/>
              </w:rPr>
              <w:t>Impact of purchase accounting</w:t>
            </w:r>
          </w:p>
        </w:tc>
        <w:tc>
          <w:tcPr>
            <w:tcW w:w="4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2840" w:type="dxa"/>
            <w:vAlign w:val="bottom"/>
          </w:tcPr>
          <w:p>
            <w:pPr>
              <w:ind w:left="340"/>
              <w:spacing w:after="0"/>
              <w:rPr>
                <w:sz w:val="20"/>
                <w:szCs w:val="20"/>
                <w:color w:val="auto"/>
              </w:rPr>
            </w:pPr>
            <w:r>
              <w:rPr>
                <w:rFonts w:ascii="Arial" w:cs="Arial" w:eastAsia="Arial" w:hAnsi="Arial"/>
                <w:sz w:val="18"/>
                <w:szCs w:val="18"/>
                <w:color w:val="auto"/>
              </w:rPr>
              <w:t>Non-GAAP net revenue</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25,039</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28,000</w:t>
            </w:r>
          </w:p>
        </w:tc>
        <w:tc>
          <w:tcPr>
            <w:tcW w:w="10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(11)%</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102,301</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101,229</w:t>
            </w:r>
          </w:p>
        </w:tc>
      </w:tr>
      <w:tr>
        <w:trPr>
          <w:trHeight w:val="21"/>
        </w:trPr>
        <w:tc>
          <w:tcPr>
            <w:tcW w:w="2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65"/>
        </w:trPr>
        <w:tc>
          <w:tcPr>
            <w:tcW w:w="2840" w:type="dxa"/>
            <w:vAlign w:val="bottom"/>
          </w:tcPr>
          <w:p>
            <w:pPr>
              <w:spacing w:after="0"/>
              <w:rPr>
                <w:sz w:val="20"/>
                <w:szCs w:val="20"/>
                <w:color w:val="auto"/>
              </w:rPr>
            </w:pPr>
            <w:r>
              <w:rPr>
                <w:rFonts w:ascii="Arial" w:cs="Arial" w:eastAsia="Arial" w:hAnsi="Arial"/>
                <w:sz w:val="18"/>
                <w:szCs w:val="18"/>
                <w:color w:val="auto"/>
              </w:rPr>
              <w:t>Gross margin</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5,756</w:t>
            </w:r>
          </w:p>
        </w:tc>
        <w:tc>
          <w:tcPr>
            <w:tcW w:w="80" w:type="dxa"/>
            <w:vAlign w:val="bottom"/>
          </w:tcPr>
          <w:p>
            <w:pPr>
              <w:spacing w:after="0"/>
              <w:rPr>
                <w:sz w:val="24"/>
                <w:szCs w:val="24"/>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5,618</w:t>
            </w:r>
          </w:p>
        </w:tc>
        <w:tc>
          <w:tcPr>
            <w:tcW w:w="10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22,686</w:t>
            </w:r>
          </w:p>
        </w:tc>
        <w:tc>
          <w:tcPr>
            <w:tcW w:w="80" w:type="dxa"/>
            <w:vAlign w:val="bottom"/>
          </w:tcPr>
          <w:p>
            <w:pPr>
              <w:spacing w:after="0"/>
              <w:rPr>
                <w:sz w:val="24"/>
                <w:szCs w:val="24"/>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21,891</w:t>
            </w:r>
          </w:p>
        </w:tc>
      </w:tr>
      <w:tr>
        <w:trPr>
          <w:trHeight w:val="230"/>
        </w:trPr>
        <w:tc>
          <w:tcPr>
            <w:tcW w:w="2840" w:type="dxa"/>
            <w:vAlign w:val="bottom"/>
          </w:tcPr>
          <w:p>
            <w:pPr>
              <w:ind w:left="120"/>
              <w:spacing w:after="0"/>
              <w:rPr>
                <w:sz w:val="20"/>
                <w:szCs w:val="20"/>
                <w:color w:val="auto"/>
              </w:rPr>
            </w:pPr>
            <w:r>
              <w:rPr>
                <w:rFonts w:ascii="Arial" w:cs="Arial" w:eastAsia="Arial" w:hAnsi="Arial"/>
                <w:sz w:val="18"/>
                <w:szCs w:val="18"/>
                <w:color w:val="auto"/>
              </w:rPr>
              <w:t>Non-GAAP adjustments: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284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29"/>
        </w:trPr>
        <w:tc>
          <w:tcPr>
            <w:tcW w:w="2840" w:type="dxa"/>
            <w:vAlign w:val="bottom"/>
          </w:tcPr>
          <w:p>
            <w:pPr>
              <w:ind w:left="200"/>
              <w:spacing w:after="0"/>
              <w:rPr>
                <w:sz w:val="20"/>
                <w:szCs w:val="20"/>
                <w:color w:val="auto"/>
              </w:rPr>
            </w:pPr>
            <w:r>
              <w:rPr>
                <w:rFonts w:ascii="Arial" w:cs="Arial" w:eastAsia="Arial" w:hAnsi="Arial"/>
                <w:sz w:val="18"/>
                <w:szCs w:val="18"/>
                <w:color w:val="auto"/>
              </w:rPr>
              <w:t>Impact of purchase accounting</w:t>
            </w:r>
          </w:p>
        </w:tc>
        <w:tc>
          <w:tcPr>
            <w:tcW w:w="4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2840" w:type="dxa"/>
            <w:vAlign w:val="bottom"/>
          </w:tcPr>
          <w:p>
            <w:pPr>
              <w:ind w:left="200"/>
              <w:spacing w:after="0"/>
              <w:rPr>
                <w:sz w:val="20"/>
                <w:szCs w:val="20"/>
                <w:color w:val="auto"/>
              </w:rPr>
            </w:pPr>
            <w:r>
              <w:rPr>
                <w:rFonts w:ascii="Arial" w:cs="Arial" w:eastAsia="Arial" w:hAnsi="Arial"/>
                <w:sz w:val="18"/>
                <w:szCs w:val="18"/>
                <w:color w:val="auto"/>
                <w:w w:val="90"/>
              </w:rPr>
              <w:t>Stock-based compensation expense</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2840" w:type="dxa"/>
            <w:vAlign w:val="bottom"/>
          </w:tcPr>
          <w:p>
            <w:pPr>
              <w:ind w:left="200"/>
              <w:spacing w:after="0"/>
              <w:rPr>
                <w:sz w:val="20"/>
                <w:szCs w:val="20"/>
                <w:color w:val="auto"/>
              </w:rPr>
            </w:pPr>
            <w:r>
              <w:rPr>
                <w:rFonts w:ascii="Arial" w:cs="Arial" w:eastAsia="Arial" w:hAnsi="Arial"/>
                <w:sz w:val="18"/>
                <w:szCs w:val="18"/>
                <w:color w:val="auto"/>
              </w:rPr>
              <w:t>Other corporate expenses</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2840" w:type="dxa"/>
            <w:vAlign w:val="bottom"/>
          </w:tcPr>
          <w:p>
            <w:pPr>
              <w:ind w:left="340"/>
              <w:spacing w:after="0"/>
              <w:rPr>
                <w:sz w:val="20"/>
                <w:szCs w:val="20"/>
                <w:color w:val="auto"/>
              </w:rPr>
            </w:pPr>
            <w:r>
              <w:rPr>
                <w:rFonts w:ascii="Arial" w:cs="Arial" w:eastAsia="Arial" w:hAnsi="Arial"/>
                <w:sz w:val="18"/>
                <w:szCs w:val="18"/>
                <w:color w:val="auto"/>
              </w:rPr>
              <w:t>Non-GAAP gross margin</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80" w:type="dxa"/>
            <w:vAlign w:val="bottom"/>
          </w:tcPr>
          <w:p>
            <w:pPr>
              <w:spacing w:after="0"/>
              <w:rPr>
                <w:sz w:val="19"/>
                <w:szCs w:val="19"/>
                <w:color w:val="auto"/>
              </w:rPr>
            </w:pP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5,818</w:t>
            </w:r>
          </w:p>
        </w:tc>
        <w:tc>
          <w:tcPr>
            <w:tcW w:w="10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23,427</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22,684</w:t>
            </w:r>
          </w:p>
        </w:tc>
      </w:tr>
      <w:tr>
        <w:trPr>
          <w:trHeight w:val="21"/>
        </w:trPr>
        <w:tc>
          <w:tcPr>
            <w:tcW w:w="2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65"/>
        </w:trPr>
        <w:tc>
          <w:tcPr>
            <w:tcW w:w="2840" w:type="dxa"/>
            <w:vAlign w:val="bottom"/>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4,567</w:t>
            </w:r>
          </w:p>
        </w:tc>
        <w:tc>
          <w:tcPr>
            <w:tcW w:w="80" w:type="dxa"/>
            <w:vAlign w:val="bottom"/>
          </w:tcPr>
          <w:p>
            <w:pPr>
              <w:spacing w:after="0"/>
              <w:rPr>
                <w:sz w:val="24"/>
                <w:szCs w:val="24"/>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4,009</w:t>
            </w:r>
          </w:p>
        </w:tc>
        <w:tc>
          <w:tcPr>
            <w:tcW w:w="104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14%</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16,915</w:t>
            </w:r>
          </w:p>
        </w:tc>
        <w:tc>
          <w:tcPr>
            <w:tcW w:w="80" w:type="dxa"/>
            <w:vAlign w:val="bottom"/>
          </w:tcPr>
          <w:p>
            <w:pPr>
              <w:spacing w:after="0"/>
              <w:rPr>
                <w:sz w:val="24"/>
                <w:szCs w:val="24"/>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17,232</w:t>
            </w:r>
          </w:p>
        </w:tc>
      </w:tr>
      <w:tr>
        <w:trPr>
          <w:trHeight w:val="230"/>
        </w:trPr>
        <w:tc>
          <w:tcPr>
            <w:tcW w:w="2840" w:type="dxa"/>
            <w:vAlign w:val="bottom"/>
          </w:tcPr>
          <w:p>
            <w:pPr>
              <w:ind w:left="120"/>
              <w:spacing w:after="0"/>
              <w:rPr>
                <w:sz w:val="20"/>
                <w:szCs w:val="20"/>
                <w:color w:val="auto"/>
              </w:rPr>
            </w:pPr>
            <w:r>
              <w:rPr>
                <w:rFonts w:ascii="Arial" w:cs="Arial" w:eastAsia="Arial" w:hAnsi="Arial"/>
                <w:sz w:val="18"/>
                <w:szCs w:val="18"/>
                <w:color w:val="auto"/>
              </w:rPr>
              <w:t>Non-GAAP adjustments: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284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(556)</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(1,043)</w:t>
            </w:r>
          </w:p>
        </w:tc>
      </w:tr>
      <w:tr>
        <w:trPr>
          <w:trHeight w:val="229"/>
        </w:trPr>
        <w:tc>
          <w:tcPr>
            <w:tcW w:w="2840" w:type="dxa"/>
            <w:vAlign w:val="bottom"/>
          </w:tcPr>
          <w:p>
            <w:pPr>
              <w:ind w:left="200"/>
              <w:spacing w:after="0"/>
              <w:rPr>
                <w:sz w:val="20"/>
                <w:szCs w:val="20"/>
                <w:color w:val="auto"/>
              </w:rPr>
            </w:pPr>
            <w:r>
              <w:rPr>
                <w:rFonts w:ascii="Arial" w:cs="Arial" w:eastAsia="Arial" w:hAnsi="Arial"/>
                <w:sz w:val="18"/>
                <w:szCs w:val="18"/>
                <w:color w:val="auto"/>
              </w:rPr>
              <w:t>Impact of purchase accounting</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76"/>
        </w:trPr>
        <w:tc>
          <w:tcPr>
            <w:tcW w:w="2840" w:type="dxa"/>
            <w:vAlign w:val="bottom"/>
          </w:tcPr>
          <w:p>
            <w:pPr>
              <w:ind w:left="200"/>
              <w:spacing w:after="0" w:line="176" w:lineRule="exact"/>
              <w:rPr>
                <w:sz w:val="20"/>
                <w:szCs w:val="20"/>
                <w:color w:val="auto"/>
              </w:rPr>
            </w:pPr>
            <w:r>
              <w:rPr>
                <w:rFonts w:ascii="Arial" w:cs="Arial" w:eastAsia="Arial" w:hAnsi="Arial"/>
                <w:sz w:val="18"/>
                <w:szCs w:val="18"/>
                <w:color w:val="auto"/>
              </w:rPr>
              <w:t>Transaction-related (income)</w:t>
            </w: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42"/>
        </w:trPr>
        <w:tc>
          <w:tcPr>
            <w:tcW w:w="2840" w:type="dxa"/>
            <w:vAlign w:val="bottom"/>
          </w:tcPr>
          <w:p>
            <w:pPr>
              <w:ind w:left="200"/>
              <w:spacing w:after="0"/>
              <w:rPr>
                <w:sz w:val="20"/>
                <w:szCs w:val="20"/>
                <w:color w:val="auto"/>
              </w:rPr>
            </w:pPr>
            <w:r>
              <w:rPr>
                <w:rFonts w:ascii="Arial" w:cs="Arial" w:eastAsia="Arial" w:hAnsi="Arial"/>
                <w:sz w:val="18"/>
                <w:szCs w:val="18"/>
                <w:color w:val="auto"/>
              </w:rPr>
              <w:t>expenses</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30"/>
        </w:trPr>
        <w:tc>
          <w:tcPr>
            <w:tcW w:w="2840" w:type="dxa"/>
            <w:vAlign w:val="bottom"/>
          </w:tcPr>
          <w:p>
            <w:pPr>
              <w:ind w:left="200"/>
              <w:spacing w:after="0"/>
              <w:rPr>
                <w:sz w:val="20"/>
                <w:szCs w:val="20"/>
                <w:color w:val="auto"/>
              </w:rPr>
            </w:pPr>
            <w:r>
              <w:rPr>
                <w:rFonts w:ascii="Arial" w:cs="Arial" w:eastAsia="Arial" w:hAnsi="Arial"/>
                <w:sz w:val="18"/>
                <w:szCs w:val="18"/>
                <w:color w:val="auto"/>
                <w:w w:val="90"/>
              </w:rPr>
              <w:t>Stock-based compensation expense</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(779)</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30"/>
        </w:trPr>
        <w:tc>
          <w:tcPr>
            <w:tcW w:w="2840" w:type="dxa"/>
            <w:vAlign w:val="bottom"/>
          </w:tcPr>
          <w:p>
            <w:pPr>
              <w:ind w:left="200"/>
              <w:spacing w:after="0"/>
              <w:rPr>
                <w:sz w:val="20"/>
                <w:szCs w:val="20"/>
                <w:color w:val="auto"/>
              </w:rPr>
            </w:pPr>
            <w:r>
              <w:rPr>
                <w:rFonts w:ascii="Arial" w:cs="Arial" w:eastAsia="Arial" w:hAnsi="Arial"/>
                <w:sz w:val="18"/>
                <w:szCs w:val="18"/>
                <w:color w:val="auto"/>
              </w:rPr>
              <w:t>Other corporate expenses</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r>
      <w:tr>
        <w:trPr>
          <w:trHeight w:val="223"/>
        </w:trPr>
        <w:tc>
          <w:tcPr>
            <w:tcW w:w="2840" w:type="dxa"/>
            <w:vAlign w:val="bottom"/>
          </w:tcPr>
          <w:p>
            <w:pPr>
              <w:ind w:left="340"/>
              <w:spacing w:after="0"/>
              <w:rPr>
                <w:sz w:val="20"/>
                <w:szCs w:val="20"/>
                <w:color w:val="auto"/>
              </w:rPr>
            </w:pPr>
            <w:r>
              <w:rPr>
                <w:rFonts w:ascii="Arial" w:cs="Arial" w:eastAsia="Arial" w:hAnsi="Arial"/>
                <w:sz w:val="18"/>
                <w:szCs w:val="18"/>
                <w:color w:val="auto"/>
                <w:w w:val="98"/>
              </w:rPr>
              <w:t>Non-GAAP operating expenses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3,801</w:t>
            </w:r>
          </w:p>
        </w:tc>
        <w:tc>
          <w:tcPr>
            <w:tcW w:w="80" w:type="dxa"/>
            <w:vAlign w:val="bottom"/>
          </w:tcPr>
          <w:p>
            <w:pPr>
              <w:spacing w:after="0"/>
              <w:rPr>
                <w:sz w:val="19"/>
                <w:szCs w:val="19"/>
                <w:color w:val="auto"/>
              </w:rPr>
            </w:pP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w:t>
            </w:r>
          </w:p>
        </w:tc>
        <w:tc>
          <w:tcPr>
            <w:tcW w:w="10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14,790</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14,899</w:t>
            </w:r>
          </w:p>
        </w:tc>
      </w:tr>
      <w:tr>
        <w:trPr>
          <w:trHeight w:val="20"/>
        </w:trPr>
        <w:tc>
          <w:tcPr>
            <w:tcW w:w="2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65"/>
        </w:trPr>
        <w:tc>
          <w:tcPr>
            <w:tcW w:w="2840" w:type="dxa"/>
            <w:vAlign w:val="bottom"/>
          </w:tcPr>
          <w:p>
            <w:pPr>
              <w:spacing w:after="0"/>
              <w:rPr>
                <w:sz w:val="20"/>
                <w:szCs w:val="20"/>
                <w:color w:val="auto"/>
              </w:rPr>
            </w:pPr>
            <w:r>
              <w:rPr>
                <w:rFonts w:ascii="Arial" w:cs="Arial" w:eastAsia="Arial" w:hAnsi="Arial"/>
                <w:sz w:val="18"/>
                <w:szCs w:val="18"/>
                <w:color w:val="auto"/>
              </w:rPr>
              <w:t>Operating income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1,189</w:t>
            </w:r>
          </w:p>
        </w:tc>
        <w:tc>
          <w:tcPr>
            <w:tcW w:w="80" w:type="dxa"/>
            <w:vAlign w:val="bottom"/>
          </w:tcPr>
          <w:p>
            <w:pPr>
              <w:spacing w:after="0"/>
              <w:rPr>
                <w:sz w:val="24"/>
                <w:szCs w:val="24"/>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1,609</w:t>
            </w:r>
          </w:p>
        </w:tc>
        <w:tc>
          <w:tcPr>
            <w:tcW w:w="10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(26)%</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5,771</w:t>
            </w:r>
          </w:p>
        </w:tc>
        <w:tc>
          <w:tcPr>
            <w:tcW w:w="80" w:type="dxa"/>
            <w:vAlign w:val="bottom"/>
          </w:tcPr>
          <w:p>
            <w:pPr>
              <w:spacing w:after="0"/>
              <w:rPr>
                <w:sz w:val="24"/>
                <w:szCs w:val="24"/>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4,659</w:t>
            </w:r>
          </w:p>
        </w:tc>
      </w:tr>
      <w:tr>
        <w:trPr>
          <w:trHeight w:val="230"/>
        </w:trPr>
        <w:tc>
          <w:tcPr>
            <w:tcW w:w="2840" w:type="dxa"/>
            <w:vAlign w:val="bottom"/>
          </w:tcPr>
          <w:p>
            <w:pPr>
              <w:ind w:left="120"/>
              <w:spacing w:after="0"/>
              <w:rPr>
                <w:sz w:val="20"/>
                <w:szCs w:val="20"/>
                <w:color w:val="auto"/>
              </w:rPr>
            </w:pPr>
            <w:r>
              <w:rPr>
                <w:rFonts w:ascii="Arial" w:cs="Arial" w:eastAsia="Arial" w:hAnsi="Arial"/>
                <w:sz w:val="18"/>
                <w:szCs w:val="18"/>
                <w:color w:val="auto"/>
              </w:rPr>
              <w:t>Non-GAAP adjustments: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284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970</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1,641</w:t>
            </w:r>
          </w:p>
        </w:tc>
      </w:tr>
      <w:tr>
        <w:trPr>
          <w:trHeight w:val="230"/>
        </w:trPr>
        <w:tc>
          <w:tcPr>
            <w:tcW w:w="2840" w:type="dxa"/>
            <w:vAlign w:val="bottom"/>
          </w:tcPr>
          <w:p>
            <w:pPr>
              <w:ind w:left="200"/>
              <w:spacing w:after="0"/>
              <w:rPr>
                <w:sz w:val="20"/>
                <w:szCs w:val="20"/>
                <w:color w:val="auto"/>
              </w:rPr>
            </w:pPr>
            <w:r>
              <w:rPr>
                <w:rFonts w:ascii="Arial" w:cs="Arial" w:eastAsia="Arial" w:hAnsi="Arial"/>
                <w:sz w:val="18"/>
                <w:szCs w:val="18"/>
                <w:color w:val="auto"/>
              </w:rPr>
              <w:t>Impact of purchase accounting</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176"/>
        </w:trPr>
        <w:tc>
          <w:tcPr>
            <w:tcW w:w="2840" w:type="dxa"/>
            <w:vAlign w:val="bottom"/>
          </w:tcPr>
          <w:p>
            <w:pPr>
              <w:ind w:left="200"/>
              <w:spacing w:after="0" w:line="176" w:lineRule="exact"/>
              <w:rPr>
                <w:sz w:val="20"/>
                <w:szCs w:val="20"/>
                <w:color w:val="auto"/>
              </w:rPr>
            </w:pPr>
            <w:r>
              <w:rPr>
                <w:rFonts w:ascii="Arial" w:cs="Arial" w:eastAsia="Arial" w:hAnsi="Arial"/>
                <w:sz w:val="18"/>
                <w:szCs w:val="18"/>
                <w:color w:val="auto"/>
              </w:rPr>
              <w:t>Transaction-related (income)</w:t>
            </w: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42"/>
        </w:trPr>
        <w:tc>
          <w:tcPr>
            <w:tcW w:w="2840" w:type="dxa"/>
            <w:vAlign w:val="bottom"/>
          </w:tcPr>
          <w:p>
            <w:pPr>
              <w:ind w:left="200"/>
              <w:spacing w:after="0"/>
              <w:rPr>
                <w:sz w:val="20"/>
                <w:szCs w:val="20"/>
                <w:color w:val="auto"/>
              </w:rPr>
            </w:pPr>
            <w:r>
              <w:rPr>
                <w:rFonts w:ascii="Arial" w:cs="Arial" w:eastAsia="Arial" w:hAnsi="Arial"/>
                <w:sz w:val="18"/>
                <w:szCs w:val="18"/>
                <w:color w:val="auto"/>
              </w:rPr>
              <w:t>expenses</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30"/>
        </w:trPr>
        <w:tc>
          <w:tcPr>
            <w:tcW w:w="2840" w:type="dxa"/>
            <w:vAlign w:val="bottom"/>
          </w:tcPr>
          <w:p>
            <w:pPr>
              <w:ind w:left="200"/>
              <w:spacing w:after="0"/>
              <w:rPr>
                <w:sz w:val="20"/>
                <w:szCs w:val="20"/>
                <w:color w:val="auto"/>
              </w:rPr>
            </w:pPr>
            <w:r>
              <w:rPr>
                <w:rFonts w:ascii="Arial" w:cs="Arial" w:eastAsia="Arial" w:hAnsi="Arial"/>
                <w:sz w:val="18"/>
                <w:szCs w:val="18"/>
                <w:color w:val="auto"/>
                <w:w w:val="90"/>
              </w:rPr>
              <w:t>Stock-based compensation expense</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931</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808</w:t>
            </w:r>
          </w:p>
        </w:tc>
      </w:tr>
      <w:tr>
        <w:trPr>
          <w:trHeight w:val="230"/>
        </w:trPr>
        <w:tc>
          <w:tcPr>
            <w:tcW w:w="2840" w:type="dxa"/>
            <w:vAlign w:val="bottom"/>
          </w:tcPr>
          <w:p>
            <w:pPr>
              <w:ind w:left="200"/>
              <w:spacing w:after="0"/>
              <w:rPr>
                <w:sz w:val="20"/>
                <w:szCs w:val="20"/>
                <w:color w:val="auto"/>
              </w:rPr>
            </w:pPr>
            <w:r>
              <w:rPr>
                <w:rFonts w:ascii="Arial" w:cs="Arial" w:eastAsia="Arial" w:hAnsi="Arial"/>
                <w:sz w:val="18"/>
                <w:szCs w:val="18"/>
                <w:color w:val="auto"/>
              </w:rPr>
              <w:t>Other corporate expenses</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r>
      <w:tr>
        <w:trPr>
          <w:trHeight w:val="223"/>
        </w:trPr>
        <w:tc>
          <w:tcPr>
            <w:tcW w:w="2840" w:type="dxa"/>
            <w:vAlign w:val="bottom"/>
          </w:tcPr>
          <w:p>
            <w:pPr>
              <w:ind w:left="340"/>
              <w:spacing w:after="0"/>
              <w:rPr>
                <w:sz w:val="20"/>
                <w:szCs w:val="20"/>
                <w:color w:val="auto"/>
              </w:rPr>
            </w:pPr>
            <w:r>
              <w:rPr>
                <w:rFonts w:ascii="Arial" w:cs="Arial" w:eastAsia="Arial" w:hAnsi="Arial"/>
                <w:sz w:val="18"/>
                <w:szCs w:val="18"/>
                <w:color w:val="auto"/>
              </w:rPr>
              <w:t>Non-GAAP operating income</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w:t>
            </w:r>
          </w:p>
        </w:tc>
        <w:tc>
          <w:tcPr>
            <w:tcW w:w="80" w:type="dxa"/>
            <w:vAlign w:val="bottom"/>
          </w:tcPr>
          <w:p>
            <w:pPr>
              <w:spacing w:after="0"/>
              <w:rPr>
                <w:sz w:val="19"/>
                <w:szCs w:val="19"/>
                <w:color w:val="auto"/>
              </w:rPr>
            </w:pP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w:t>
            </w:r>
          </w:p>
        </w:tc>
        <w:tc>
          <w:tcPr>
            <w:tcW w:w="10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8,637</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7,785</w:t>
            </w:r>
          </w:p>
        </w:tc>
      </w:tr>
      <w:tr>
        <w:trPr>
          <w:trHeight w:val="21"/>
        </w:trPr>
        <w:tc>
          <w:tcPr>
            <w:tcW w:w="2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-4516755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-4199890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-3882390</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-3590925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-3299460</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-2982595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-2665095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-2373630</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-1962150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-1670685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-1328420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-1036320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-745490</wp:posOffset>
            </wp:positionV>
            <wp:extent cx="7132320" cy="266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-333375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-4817110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Change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32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3%</w:t>
      </w:r>
    </w:p>
    <w:p>
      <w:pPr>
        <w:spacing w:after="0" w:line="29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w:t>
      </w:r>
    </w:p>
    <w:p>
      <w:pPr>
        <w:sectPr>
          <w:pgSz w:w="11900" w:h="16838" w:orient="portrait"/>
          <w:cols w:equalWidth="0" w:num="2">
            <w:col w:w="10180" w:space="280"/>
            <w:col w:w="580"/>
          </w:cols>
          <w:pgMar w:left="340" w:top="1093" w:right="519" w:bottom="1440" w:gutter="0" w:footer="0" w:header="0"/>
        </w:sectPr>
      </w:pPr>
    </w:p>
    <w:bookmarkStart w:id="16" w:name="page17"/>
    <w:bookmarkEnd w:id="16"/>
    <w:p>
      <w:pPr>
        <w:jc w:val="center"/>
        <w:ind w:left="920"/>
        <w:spacing w:after="0"/>
        <w:rPr>
          <w:sz w:val="20"/>
          <w:szCs w:val="20"/>
          <w:color w:val="auto"/>
        </w:rPr>
      </w:pPr>
      <w:r>
        <w:rPr>
          <w:rFonts w:ascii="Arial" w:cs="Arial" w:eastAsia="Arial" w:hAnsi="Arial"/>
          <w:sz w:val="18"/>
          <w:szCs w:val="18"/>
          <w:b w:val="1"/>
          <w:bCs w:val="1"/>
          <w:color w:val="auto"/>
        </w:rPr>
        <w:t>DELL TECHNOLOGIES INC.</w:t>
      </w:r>
    </w:p>
    <w:p>
      <w:pPr>
        <w:spacing w:after="0" w:line="27"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Reconciliation of Selected Non-GAAP Financial Measures</w:t>
      </w:r>
    </w:p>
    <w:p>
      <w:pPr>
        <w:spacing w:after="0" w:line="9"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(in millions, except percentages; unaudited; continued)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7"/>
                <w:szCs w:val="17"/>
                <w:b w:val="1"/>
                <w:bCs w:val="1"/>
                <w:color w:val="auto"/>
              </w:rPr>
              <w:t>Fiscal Year Ended</w:t>
            </w:r>
          </w:p>
        </w:tc>
        <w:tc>
          <w:tcPr>
            <w:tcW w:w="0" w:type="dxa"/>
            <w:vAlign w:val="bottom"/>
          </w:tcPr>
          <w:p>
            <w:pPr>
              <w:spacing w:after="0"/>
              <w:rPr>
                <w:sz w:val="1"/>
                <w:szCs w:val="1"/>
                <w:color w:val="auto"/>
              </w:rPr>
            </w:pPr>
          </w:p>
        </w:tc>
      </w:tr>
      <w:tr>
        <w:trPr>
          <w:trHeight w:val="167"/>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40"/>
              <w:spacing w:after="0" w:line="167" w:lineRule="exact"/>
              <w:rPr>
                <w:sz w:val="20"/>
                <w:szCs w:val="20"/>
                <w:color w:val="auto"/>
              </w:rPr>
            </w:pPr>
            <w:r>
              <w:rPr>
                <w:rFonts w:ascii="Arial" w:cs="Arial" w:eastAsia="Arial" w:hAnsi="Arial"/>
                <w:sz w:val="17"/>
                <w:szCs w:val="17"/>
                <w:b w:val="1"/>
                <w:bCs w:val="1"/>
                <w:color w:val="auto"/>
              </w:rPr>
              <w:t>February 3,</w:t>
            </w:r>
          </w:p>
        </w:tc>
        <w:tc>
          <w:tcPr>
            <w:tcW w:w="160" w:type="dxa"/>
            <w:vAlign w:val="bottom"/>
          </w:tcPr>
          <w:p>
            <w:pPr>
              <w:spacing w:after="0"/>
              <w:rPr>
                <w:sz w:val="14"/>
                <w:szCs w:val="14"/>
                <w:color w:val="auto"/>
              </w:rPr>
            </w:pPr>
          </w:p>
        </w:tc>
        <w:tc>
          <w:tcPr>
            <w:tcW w:w="1080" w:type="dxa"/>
            <w:vAlign w:val="bottom"/>
          </w:tcPr>
          <w:p>
            <w:pPr>
              <w:jc w:val="right"/>
              <w:ind w:right="90"/>
              <w:spacing w:after="0" w:line="167" w:lineRule="exact"/>
              <w:rPr>
                <w:sz w:val="20"/>
                <w:szCs w:val="20"/>
                <w:color w:val="auto"/>
              </w:rPr>
            </w:pPr>
            <w:r>
              <w:rPr>
                <w:rFonts w:ascii="Arial" w:cs="Arial" w:eastAsia="Arial" w:hAnsi="Arial"/>
                <w:sz w:val="17"/>
                <w:szCs w:val="17"/>
                <w:b w:val="1"/>
                <w:bCs w:val="1"/>
                <w:color w:val="auto"/>
                <w:w w:val="94"/>
              </w:rPr>
              <w:t>January 28,</w:t>
            </w:r>
          </w:p>
        </w:tc>
        <w:tc>
          <w:tcPr>
            <w:tcW w:w="10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7"/>
                <w:szCs w:val="17"/>
                <w:b w:val="1"/>
                <w:bCs w:val="1"/>
                <w:color w:val="auto"/>
                <w:w w:val="89"/>
              </w:rPr>
              <w:t>Change</w:t>
            </w:r>
          </w:p>
        </w:tc>
        <w:tc>
          <w:tcPr>
            <w:tcW w:w="160" w:type="dxa"/>
            <w:vAlign w:val="bottom"/>
          </w:tcPr>
          <w:p>
            <w:pPr>
              <w:spacing w:after="0"/>
              <w:rPr>
                <w:sz w:val="14"/>
                <w:szCs w:val="14"/>
                <w:color w:val="auto"/>
              </w:rPr>
            </w:pPr>
          </w:p>
        </w:tc>
        <w:tc>
          <w:tcPr>
            <w:tcW w:w="1180" w:type="dxa"/>
            <w:vAlign w:val="bottom"/>
            <w:gridSpan w:val="2"/>
          </w:tcPr>
          <w:p>
            <w:pPr>
              <w:ind w:left="40"/>
              <w:spacing w:after="0" w:line="167" w:lineRule="exact"/>
              <w:rPr>
                <w:sz w:val="20"/>
                <w:szCs w:val="20"/>
                <w:color w:val="auto"/>
              </w:rPr>
            </w:pPr>
            <w:r>
              <w:rPr>
                <w:rFonts w:ascii="Arial" w:cs="Arial" w:eastAsia="Arial" w:hAnsi="Arial"/>
                <w:sz w:val="17"/>
                <w:szCs w:val="17"/>
                <w:b w:val="1"/>
                <w:bCs w:val="1"/>
                <w:color w:val="auto"/>
              </w:rPr>
              <w:t>February 3,</w:t>
            </w:r>
          </w:p>
        </w:tc>
        <w:tc>
          <w:tcPr>
            <w:tcW w:w="160" w:type="dxa"/>
            <w:vAlign w:val="bottom"/>
          </w:tcPr>
          <w:p>
            <w:pPr>
              <w:spacing w:after="0"/>
              <w:rPr>
                <w:sz w:val="14"/>
                <w:szCs w:val="14"/>
                <w:color w:val="auto"/>
              </w:rPr>
            </w:pPr>
          </w:p>
        </w:tc>
        <w:tc>
          <w:tcPr>
            <w:tcW w:w="1080" w:type="dxa"/>
            <w:vAlign w:val="bottom"/>
          </w:tcPr>
          <w:p>
            <w:pPr>
              <w:jc w:val="right"/>
              <w:ind w:right="90"/>
              <w:spacing w:after="0" w:line="167" w:lineRule="exact"/>
              <w:rPr>
                <w:sz w:val="20"/>
                <w:szCs w:val="20"/>
                <w:color w:val="auto"/>
              </w:rPr>
            </w:pPr>
            <w:r>
              <w:rPr>
                <w:rFonts w:ascii="Arial" w:cs="Arial" w:eastAsia="Arial" w:hAnsi="Arial"/>
                <w:sz w:val="17"/>
                <w:szCs w:val="17"/>
                <w:b w:val="1"/>
                <w:bCs w:val="1"/>
                <w:color w:val="auto"/>
                <w:w w:val="94"/>
              </w:rPr>
              <w:t>January 28,</w:t>
            </w:r>
          </w:p>
        </w:tc>
        <w:tc>
          <w:tcPr>
            <w:tcW w:w="0" w:type="dxa"/>
            <w:vAlign w:val="bottom"/>
          </w:tcPr>
          <w:p>
            <w:pPr>
              <w:spacing w:after="0"/>
              <w:rPr>
                <w:sz w:val="1"/>
                <w:szCs w:val="1"/>
                <w:color w:val="auto"/>
              </w:rPr>
            </w:pPr>
          </w:p>
        </w:tc>
      </w:tr>
      <w:tr>
        <w:trPr>
          <w:trHeight w:val="220"/>
        </w:trPr>
        <w:tc>
          <w:tcPr>
            <w:tcW w:w="4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51"/>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50"/>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71"/>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50"/>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26"/>
        </w:trPr>
        <w:tc>
          <w:tcPr>
            <w:tcW w:w="4100" w:type="dxa"/>
            <w:vAlign w:val="bottom"/>
          </w:tcPr>
          <w:p>
            <w:pPr>
              <w:spacing w:after="0"/>
              <w:rPr>
                <w:sz w:val="20"/>
                <w:szCs w:val="20"/>
                <w:color w:val="auto"/>
              </w:rPr>
            </w:pPr>
            <w:r>
              <w:rPr>
                <w:rFonts w:ascii="Arial" w:cs="Arial" w:eastAsia="Arial" w:hAnsi="Arial"/>
                <w:sz w:val="18"/>
                <w:szCs w:val="18"/>
                <w:color w:val="auto"/>
              </w:rPr>
              <w:t>Net income (loss) from continuing operations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NM</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2,422</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4,942</w:t>
            </w:r>
          </w:p>
        </w:tc>
        <w:tc>
          <w:tcPr>
            <w:tcW w:w="0" w:type="dxa"/>
            <w:vAlign w:val="bottom"/>
          </w:tcPr>
          <w:p>
            <w:pPr>
              <w:spacing w:after="0"/>
              <w:rPr>
                <w:sz w:val="1"/>
                <w:szCs w:val="1"/>
                <w:color w:val="auto"/>
              </w:rPr>
            </w:pPr>
          </w:p>
        </w:tc>
      </w:tr>
      <w:tr>
        <w:trPr>
          <w:trHeight w:val="230"/>
        </w:trPr>
        <w:tc>
          <w:tcPr>
            <w:tcW w:w="4100" w:type="dxa"/>
            <w:vAlign w:val="bottom"/>
          </w:tcPr>
          <w:p>
            <w:pPr>
              <w:ind w:left="120"/>
              <w:spacing w:after="0"/>
              <w:rPr>
                <w:sz w:val="20"/>
                <w:szCs w:val="20"/>
                <w:color w:val="auto"/>
              </w:rPr>
            </w:pPr>
            <w:r>
              <w:rPr>
                <w:rFonts w:ascii="Arial" w:cs="Arial" w:eastAsia="Arial" w:hAnsi="Arial"/>
                <w:sz w:val="18"/>
                <w:szCs w:val="18"/>
                <w:color w:val="auto"/>
              </w:rPr>
              <w:t>Non-GAAP adjustments: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30"/>
        </w:trPr>
        <w:tc>
          <w:tcPr>
            <w:tcW w:w="4100" w:type="dxa"/>
            <w:vAlign w:val="bottom"/>
          </w:tcPr>
          <w:p>
            <w:pPr>
              <w:ind w:left="200"/>
              <w:spacing w:after="0"/>
              <w:rPr>
                <w:sz w:val="20"/>
                <w:szCs w:val="20"/>
                <w:color w:val="auto"/>
              </w:rPr>
            </w:pPr>
            <w:r>
              <w:rPr>
                <w:rFonts w:ascii="Arial" w:cs="Arial" w:eastAsia="Arial" w:hAnsi="Arial"/>
                <w:sz w:val="18"/>
                <w:szCs w:val="18"/>
                <w:color w:val="auto"/>
              </w:rPr>
              <w:t>Impact of purchase accounting</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4100" w:type="dxa"/>
            <w:vAlign w:val="bottom"/>
          </w:tcPr>
          <w:p>
            <w:pPr>
              <w:ind w:left="200"/>
              <w:spacing w:after="0"/>
              <w:rPr>
                <w:sz w:val="20"/>
                <w:szCs w:val="20"/>
                <w:color w:val="auto"/>
              </w:rPr>
            </w:pPr>
            <w:r>
              <w:rPr>
                <w:rFonts w:ascii="Arial" w:cs="Arial" w:eastAsia="Arial" w:hAnsi="Arial"/>
                <w:sz w:val="18"/>
                <w:szCs w:val="18"/>
                <w:color w:val="auto"/>
              </w:rPr>
              <w:t>Transaction-related (income) expenses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29"/>
        </w:trPr>
        <w:tc>
          <w:tcPr>
            <w:tcW w:w="410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30"/>
        </w:trPr>
        <w:tc>
          <w:tcPr>
            <w:tcW w:w="4100" w:type="dxa"/>
            <w:vAlign w:val="bottom"/>
          </w:tcPr>
          <w:p>
            <w:pPr>
              <w:ind w:left="200"/>
              <w:spacing w:after="0"/>
              <w:rPr>
                <w:sz w:val="20"/>
                <w:szCs w:val="20"/>
                <w:color w:val="auto"/>
              </w:rPr>
            </w:pPr>
            <w:r>
              <w:rPr>
                <w:rFonts w:ascii="Arial" w:cs="Arial" w:eastAsia="Arial" w:hAnsi="Arial"/>
                <w:sz w:val="18"/>
                <w:szCs w:val="18"/>
                <w:color w:val="auto"/>
              </w:rPr>
              <w:t>Other corporate expenses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9"/>
        </w:trPr>
        <w:tc>
          <w:tcPr>
            <w:tcW w:w="4100" w:type="dxa"/>
            <w:vAlign w:val="bottom"/>
          </w:tcPr>
          <w:p>
            <w:pPr>
              <w:ind w:left="200"/>
              <w:spacing w:after="0"/>
              <w:rPr>
                <w:sz w:val="20"/>
                <w:szCs w:val="20"/>
                <w:color w:val="auto"/>
              </w:rPr>
            </w:pPr>
            <w:r>
              <w:rPr>
                <w:rFonts w:ascii="Arial" w:cs="Arial" w:eastAsia="Arial" w:hAnsi="Arial"/>
                <w:sz w:val="18"/>
                <w:szCs w:val="18"/>
                <w:color w:val="auto"/>
              </w:rPr>
              <w:t>Fair value adjustments on equity investments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30"/>
        </w:trPr>
        <w:tc>
          <w:tcPr>
            <w:tcW w:w="4100" w:type="dxa"/>
            <w:vAlign w:val="bottom"/>
          </w:tcPr>
          <w:p>
            <w:pPr>
              <w:ind w:left="200"/>
              <w:spacing w:after="0"/>
              <w:rPr>
                <w:sz w:val="20"/>
                <w:szCs w:val="20"/>
                <w:color w:val="auto"/>
              </w:rPr>
            </w:pPr>
            <w:r>
              <w:rPr>
                <w:rFonts w:ascii="Arial" w:cs="Arial" w:eastAsia="Arial" w:hAnsi="Arial"/>
                <w:sz w:val="18"/>
                <w:szCs w:val="18"/>
                <w:color w:val="auto"/>
              </w:rPr>
              <w:t>Aggregate adjustment for income taxes</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4100" w:type="dxa"/>
            <w:vAlign w:val="bottom"/>
          </w:tcPr>
          <w:p>
            <w:pPr>
              <w:ind w:left="340"/>
              <w:spacing w:after="0"/>
              <w:rPr>
                <w:sz w:val="20"/>
                <w:szCs w:val="20"/>
                <w:color w:val="auto"/>
              </w:rPr>
            </w:pPr>
            <w:r>
              <w:rPr>
                <w:rFonts w:ascii="Arial" w:cs="Arial" w:eastAsia="Arial" w:hAnsi="Arial"/>
                <w:sz w:val="18"/>
                <w:szCs w:val="18"/>
                <w:color w:val="auto"/>
              </w:rPr>
              <w:t>Non-GAAP 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9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4,924</w:t>
            </w:r>
          </w:p>
        </w:tc>
        <w:tc>
          <w:tcPr>
            <w:tcW w:w="0" w:type="dxa"/>
            <w:vAlign w:val="bottom"/>
          </w:tcPr>
          <w:p>
            <w:pPr>
              <w:spacing w:after="0"/>
              <w:rPr>
                <w:sz w:val="1"/>
                <w:szCs w:val="1"/>
                <w:color w:val="auto"/>
              </w:rPr>
            </w:pPr>
          </w:p>
        </w:tc>
      </w:tr>
      <w:tr>
        <w:trPr>
          <w:trHeight w:val="21"/>
        </w:trPr>
        <w:tc>
          <w:tcPr>
            <w:tcW w:w="4100" w:type="dxa"/>
            <w:vAlign w:val="bottom"/>
            <w:vMerge w:val="restart"/>
          </w:tcPr>
          <w:p>
            <w:pPr>
              <w:spacing w:after="0"/>
              <w:rPr>
                <w:sz w:val="20"/>
                <w:szCs w:val="20"/>
                <w:color w:val="auto"/>
              </w:rPr>
            </w:pPr>
            <w:r>
              <w:rPr>
                <w:rFonts w:ascii="Arial" w:cs="Arial" w:eastAsia="Arial" w:hAnsi="Arial"/>
                <w:sz w:val="18"/>
                <w:szCs w:val="18"/>
                <w:color w:val="auto"/>
              </w:rPr>
              <w:t>Net income (loss) from continuing operations</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100" w:type="dxa"/>
            <w:vAlign w:val="bottom"/>
          </w:tcPr>
          <w:p>
            <w:pPr>
              <w:spacing w:after="0"/>
              <w:rPr>
                <w:sz w:val="20"/>
                <w:szCs w:val="20"/>
                <w:color w:val="auto"/>
              </w:rPr>
            </w:pPr>
            <w:r>
              <w:rPr>
                <w:rFonts w:ascii="Arial" w:cs="Arial" w:eastAsia="Arial" w:hAnsi="Arial"/>
                <w:sz w:val="18"/>
                <w:szCs w:val="18"/>
                <w:color w:val="auto"/>
              </w:rPr>
              <w:t>attributable to Dell Technologies Inc.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NM</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2,442</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4,948</w:t>
            </w:r>
          </w:p>
        </w:tc>
        <w:tc>
          <w:tcPr>
            <w:tcW w:w="0" w:type="dxa"/>
            <w:vAlign w:val="bottom"/>
          </w:tcPr>
          <w:p>
            <w:pPr>
              <w:spacing w:after="0"/>
              <w:rPr>
                <w:sz w:val="1"/>
                <w:szCs w:val="1"/>
                <w:color w:val="auto"/>
              </w:rPr>
            </w:pPr>
          </w:p>
        </w:tc>
      </w:tr>
      <w:tr>
        <w:trPr>
          <w:trHeight w:val="229"/>
        </w:trPr>
        <w:tc>
          <w:tcPr>
            <w:tcW w:w="4100" w:type="dxa"/>
            <w:vAlign w:val="bottom"/>
          </w:tcPr>
          <w:p>
            <w:pPr>
              <w:ind w:left="100"/>
              <w:spacing w:after="0"/>
              <w:rPr>
                <w:sz w:val="20"/>
                <w:szCs w:val="20"/>
                <w:color w:val="auto"/>
              </w:rPr>
            </w:pPr>
            <w:r>
              <w:rPr>
                <w:rFonts w:ascii="Arial" w:cs="Arial" w:eastAsia="Arial" w:hAnsi="Arial"/>
                <w:sz w:val="18"/>
                <w:szCs w:val="18"/>
                <w:color w:val="auto"/>
              </w:rPr>
              <w:t>Non-GAAP adjustments: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30"/>
        </w:trPr>
        <w:tc>
          <w:tcPr>
            <w:tcW w:w="4100" w:type="dxa"/>
            <w:vAlign w:val="bottom"/>
          </w:tcPr>
          <w:p>
            <w:pPr>
              <w:ind w:left="200"/>
              <w:spacing w:after="0"/>
              <w:rPr>
                <w:sz w:val="20"/>
                <w:szCs w:val="20"/>
                <w:color w:val="auto"/>
              </w:rPr>
            </w:pPr>
            <w:r>
              <w:rPr>
                <w:rFonts w:ascii="Arial" w:cs="Arial" w:eastAsia="Arial" w:hAnsi="Arial"/>
                <w:sz w:val="18"/>
                <w:szCs w:val="18"/>
                <w:color w:val="auto"/>
              </w:rPr>
              <w:t>Impact of purchase accounting</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4100" w:type="dxa"/>
            <w:vAlign w:val="bottom"/>
          </w:tcPr>
          <w:p>
            <w:pPr>
              <w:ind w:left="200"/>
              <w:spacing w:after="0"/>
              <w:rPr>
                <w:sz w:val="20"/>
                <w:szCs w:val="20"/>
                <w:color w:val="auto"/>
              </w:rPr>
            </w:pPr>
            <w:r>
              <w:rPr>
                <w:rFonts w:ascii="Arial" w:cs="Arial" w:eastAsia="Arial" w:hAnsi="Arial"/>
                <w:sz w:val="18"/>
                <w:szCs w:val="18"/>
                <w:color w:val="auto"/>
              </w:rPr>
              <w:t>Transaction-related (income) expenses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30"/>
        </w:trPr>
        <w:tc>
          <w:tcPr>
            <w:tcW w:w="410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30"/>
        </w:trPr>
        <w:tc>
          <w:tcPr>
            <w:tcW w:w="4100" w:type="dxa"/>
            <w:vAlign w:val="bottom"/>
          </w:tcPr>
          <w:p>
            <w:pPr>
              <w:ind w:left="200"/>
              <w:spacing w:after="0"/>
              <w:rPr>
                <w:sz w:val="20"/>
                <w:szCs w:val="20"/>
                <w:color w:val="auto"/>
              </w:rPr>
            </w:pPr>
            <w:r>
              <w:rPr>
                <w:rFonts w:ascii="Arial" w:cs="Arial" w:eastAsia="Arial" w:hAnsi="Arial"/>
                <w:sz w:val="18"/>
                <w:szCs w:val="18"/>
                <w:color w:val="auto"/>
              </w:rPr>
              <w:t>Other corporate expenses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0"/>
        </w:trPr>
        <w:tc>
          <w:tcPr>
            <w:tcW w:w="4100" w:type="dxa"/>
            <w:vAlign w:val="bottom"/>
          </w:tcPr>
          <w:p>
            <w:pPr>
              <w:ind w:left="200"/>
              <w:spacing w:after="0"/>
              <w:rPr>
                <w:sz w:val="20"/>
                <w:szCs w:val="20"/>
                <w:color w:val="auto"/>
              </w:rPr>
            </w:pPr>
            <w:r>
              <w:rPr>
                <w:rFonts w:ascii="Arial" w:cs="Arial" w:eastAsia="Arial" w:hAnsi="Arial"/>
                <w:sz w:val="18"/>
                <w:szCs w:val="18"/>
                <w:color w:val="auto"/>
              </w:rPr>
              <w:t>Fair value adjustments on equity investments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9"/>
        </w:trPr>
        <w:tc>
          <w:tcPr>
            <w:tcW w:w="4100" w:type="dxa"/>
            <w:vAlign w:val="bottom"/>
          </w:tcPr>
          <w:p>
            <w:pPr>
              <w:ind w:left="200"/>
              <w:spacing w:after="0"/>
              <w:rPr>
                <w:sz w:val="20"/>
                <w:szCs w:val="20"/>
                <w:color w:val="auto"/>
              </w:rPr>
            </w:pPr>
            <w:r>
              <w:rPr>
                <w:rFonts w:ascii="Arial" w:cs="Arial" w:eastAsia="Arial" w:hAnsi="Arial"/>
                <w:sz w:val="18"/>
                <w:szCs w:val="18"/>
                <w:color w:val="auto"/>
              </w:rPr>
              <w:t>Aggregate adjustment for income taxes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76"/>
        </w:trPr>
        <w:tc>
          <w:tcPr>
            <w:tcW w:w="4100" w:type="dxa"/>
            <w:vAlign w:val="bottom"/>
          </w:tcPr>
          <w:p>
            <w:pPr>
              <w:ind w:left="220"/>
              <w:spacing w:after="0" w:line="176" w:lineRule="exact"/>
              <w:rPr>
                <w:sz w:val="20"/>
                <w:szCs w:val="20"/>
                <w:color w:val="auto"/>
              </w:rPr>
            </w:pPr>
            <w:r>
              <w:rPr>
                <w:rFonts w:ascii="Arial" w:cs="Arial" w:eastAsia="Arial" w:hAnsi="Arial"/>
                <w:sz w:val="18"/>
                <w:szCs w:val="18"/>
                <w:color w:val="auto"/>
                <w:w w:val="99"/>
              </w:rPr>
              <w:t>Total non-GAAP adjustments attributable to non-</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20"/>
              <w:spacing w:after="0"/>
              <w:rPr>
                <w:sz w:val="20"/>
                <w:szCs w:val="20"/>
                <w:color w:val="auto"/>
              </w:rPr>
            </w:pPr>
            <w:r>
              <w:rPr>
                <w:rFonts w:ascii="Arial" w:cs="Arial" w:eastAsia="Arial" w:hAnsi="Arial"/>
                <w:sz w:val="18"/>
                <w:szCs w:val="18"/>
                <w:color w:val="auto"/>
              </w:rPr>
              <w:t>controlling interests</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55"/>
        </w:trPr>
        <w:tc>
          <w:tcPr>
            <w:tcW w:w="4100" w:type="dxa"/>
            <w:vAlign w:val="bottom"/>
          </w:tcPr>
          <w:p>
            <w:pPr>
              <w:ind w:left="340"/>
              <w:spacing w:after="0" w:line="156" w:lineRule="exact"/>
              <w:rPr>
                <w:sz w:val="20"/>
                <w:szCs w:val="20"/>
                <w:color w:val="auto"/>
              </w:rPr>
            </w:pPr>
            <w:r>
              <w:rPr>
                <w:rFonts w:ascii="Arial" w:cs="Arial" w:eastAsia="Arial" w:hAnsi="Arial"/>
                <w:sz w:val="18"/>
                <w:szCs w:val="18"/>
                <w:color w:val="auto"/>
              </w:rPr>
              <w:t>Non-GAAP net income attributable to Dell</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5,734</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21"/>
        </w:trPr>
        <w:tc>
          <w:tcPr>
            <w:tcW w:w="4100" w:type="dxa"/>
            <w:vAlign w:val="bottom"/>
          </w:tcPr>
          <w:p>
            <w:pPr>
              <w:ind w:left="340"/>
              <w:spacing w:after="0"/>
              <w:rPr>
                <w:sz w:val="20"/>
                <w:szCs w:val="20"/>
                <w:color w:val="auto"/>
              </w:rPr>
            </w:pPr>
            <w:r>
              <w:rPr>
                <w:rFonts w:ascii="Arial" w:cs="Arial" w:eastAsia="Arial" w:hAnsi="Arial"/>
                <w:sz w:val="18"/>
                <w:szCs w:val="18"/>
                <w:color w:val="auto"/>
              </w:rPr>
              <w:t>Technologies Inc.</w:t>
            </w:r>
          </w:p>
        </w:tc>
        <w:tc>
          <w:tcPr>
            <w:tcW w:w="16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9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(5)%</w:t>
            </w: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-3342640</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-3051175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-2759710</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-2468245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-2150745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-1713865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-1422400</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-1130935</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-839470</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-548005</wp:posOffset>
            </wp:positionV>
            <wp:extent cx="7132320" cy="265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-3642360</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16%</w:t>
      </w:r>
    </w:p>
    <w:p>
      <w:pPr>
        <w:sectPr>
          <w:pgSz w:w="11900" w:h="16838" w:orient="portrait"/>
          <w:cols w:equalWidth="0" w:num="2">
            <w:col w:w="10280" w:space="240"/>
            <w:col w:w="560"/>
          </w:cols>
          <w:pgMar w:left="340" w:top="1093" w:right="47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percentages and per share amounts; unaudited; continued)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00" w:type="dxa"/>
            <w:vAlign w:val="bottom"/>
          </w:tcPr>
          <w:p>
            <w:pPr>
              <w:spacing w:after="0"/>
              <w:rPr>
                <w:sz w:val="18"/>
                <w:szCs w:val="18"/>
                <w:color w:val="auto"/>
              </w:rPr>
            </w:pPr>
          </w:p>
        </w:tc>
        <w:tc>
          <w:tcPr>
            <w:tcW w:w="268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3"/>
              </w:rPr>
              <w:t>Three Months 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gridSpan w:val="5"/>
          </w:tcPr>
          <w:p>
            <w:pPr>
              <w:jc w:val="center"/>
              <w:ind w:right="920"/>
              <w:spacing w:after="0"/>
              <w:rPr>
                <w:sz w:val="20"/>
                <w:szCs w:val="20"/>
                <w:color w:val="auto"/>
              </w:rPr>
            </w:pPr>
            <w:r>
              <w:rPr>
                <w:rFonts w:ascii="Arial" w:cs="Arial" w:eastAsia="Arial" w:hAnsi="Arial"/>
                <w:sz w:val="16"/>
                <w:szCs w:val="16"/>
                <w:b w:val="1"/>
                <w:bCs w:val="1"/>
                <w:color w:val="auto"/>
                <w:w w:val="91"/>
              </w:rPr>
              <w:t>Fiscal Year Ended</w:t>
            </w:r>
          </w:p>
        </w:tc>
      </w:tr>
      <w:tr>
        <w:trPr>
          <w:trHeight w:val="210"/>
        </w:trPr>
        <w:tc>
          <w:tcPr>
            <w:tcW w:w="4200" w:type="dxa"/>
            <w:vAlign w:val="bottom"/>
          </w:tcPr>
          <w:p>
            <w:pPr>
              <w:spacing w:after="0"/>
              <w:rPr>
                <w:sz w:val="18"/>
                <w:szCs w:val="18"/>
                <w:color w:val="auto"/>
              </w:rPr>
            </w:pPr>
          </w:p>
        </w:tc>
        <w:tc>
          <w:tcPr>
            <w:tcW w:w="258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5"/>
              </w:rPr>
              <w:t>February 3, 2023  January 28, 2022</w:t>
            </w:r>
          </w:p>
        </w:tc>
        <w:tc>
          <w:tcPr>
            <w:tcW w:w="10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Change</w:t>
            </w:r>
          </w:p>
        </w:tc>
        <w:tc>
          <w:tcPr>
            <w:tcW w:w="256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5"/>
              </w:rPr>
              <w:t>February 3, 2023  January 28, 2022</w:t>
            </w:r>
          </w:p>
        </w:tc>
        <w:tc>
          <w:tcPr>
            <w:tcW w:w="900" w:type="dxa"/>
            <w:vAlign w:val="bottom"/>
            <w:gridSpan w:val="2"/>
          </w:tcPr>
          <w:p>
            <w:pPr>
              <w:ind w:left="240"/>
              <w:spacing w:after="0"/>
              <w:rPr>
                <w:sz w:val="20"/>
                <w:szCs w:val="20"/>
                <w:color w:val="auto"/>
              </w:rPr>
            </w:pPr>
            <w:r>
              <w:rPr>
                <w:rFonts w:ascii="Arial" w:cs="Arial" w:eastAsia="Arial" w:hAnsi="Arial"/>
                <w:sz w:val="16"/>
                <w:szCs w:val="16"/>
                <w:b w:val="1"/>
                <w:bCs w:val="1"/>
                <w:color w:val="auto"/>
              </w:rPr>
              <w:t>Change</w:t>
            </w:r>
          </w:p>
        </w:tc>
      </w:tr>
      <w:tr>
        <w:trPr>
          <w:trHeight w:val="253"/>
        </w:trPr>
        <w:tc>
          <w:tcPr>
            <w:tcW w:w="420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r>
    </w:tbl>
    <w:p>
      <w:pPr>
        <w:ind w:left="20"/>
        <w:spacing w:after="0"/>
        <w:rPr>
          <w:sz w:val="20"/>
          <w:szCs w:val="20"/>
          <w:color w:val="auto"/>
        </w:rPr>
      </w:pPr>
      <w:r>
        <w:rPr>
          <w:rFonts w:ascii="Arial" w:cs="Arial" w:eastAsia="Arial" w:hAnsi="Arial"/>
          <w:sz w:val="18"/>
          <w:szCs w:val="18"/>
          <w:b w:val="1"/>
          <w:bCs w:val="1"/>
          <w:i w:val="1"/>
          <w:iCs w:val="1"/>
          <w:color w:val="auto"/>
        </w:rPr>
        <w:t>Earnings per share from continuing operations attributable to Dell Technologies Inc.</w:t>
      </w:r>
    </w:p>
    <w:tbl>
      <w:tblPr>
        <w:tblLayout w:type="fixed"/>
        <w:tblInd w:w="0" w:type="dxa"/>
        <w:tblCellMar>
          <w:top w:w="0" w:type="dxa"/>
          <w:left w:w="0" w:type="dxa"/>
          <w:bottom w:w="0" w:type="dxa"/>
          <w:right w:w="0" w:type="dxa"/>
        </w:tblCellMar>
      </w:tblPr>
      <w:tr>
        <w:trPr>
          <w:trHeight w:val="198"/>
        </w:trPr>
        <w:tc>
          <w:tcPr>
            <w:tcW w:w="4200" w:type="dxa"/>
            <w:vAlign w:val="bottom"/>
            <w:shd w:val="clear" w:color="auto" w:fill="CCEEFF"/>
          </w:tcPr>
          <w:p>
            <w:pPr>
              <w:ind w:left="140"/>
              <w:spacing w:after="0" w:line="198" w:lineRule="exact"/>
              <w:rPr>
                <w:sz w:val="20"/>
                <w:szCs w:val="20"/>
                <w:color w:val="auto"/>
              </w:rPr>
            </w:pPr>
            <w:r>
              <w:rPr>
                <w:rFonts w:ascii="Arial" w:cs="Arial" w:eastAsia="Arial" w:hAnsi="Arial"/>
                <w:sz w:val="18"/>
                <w:szCs w:val="18"/>
                <w:color w:val="auto"/>
              </w:rPr>
              <w:t>Net income (loss) from continuing operations</w:t>
            </w: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attributable to Dell Technologies Inc. </w:t>
            </w:r>
            <w:r>
              <w:rPr>
                <w:rFonts w:ascii="Arial" w:cs="Arial" w:eastAsia="Arial" w:hAnsi="Arial"/>
                <w:sz w:val="18"/>
                <w:szCs w:val="18"/>
                <w:b w:val="1"/>
                <w:bCs w:val="1"/>
                <w:color w:val="auto"/>
              </w:rPr>
              <w:t>—</w:t>
            </w:r>
            <w:r>
              <w:rPr>
                <w:rFonts w:ascii="Arial" w:cs="Arial" w:eastAsia="Arial" w:hAnsi="Arial"/>
                <w:sz w:val="18"/>
                <w:szCs w:val="18"/>
                <w:color w:val="auto"/>
              </w:rPr>
              <w:t xml:space="preserve"> basic</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900" w:type="dxa"/>
            <w:vAlign w:val="bottom"/>
            <w:shd w:val="clear" w:color="auto" w:fill="CCEEFF"/>
          </w:tcPr>
          <w:p>
            <w:pPr>
              <w:spacing w:after="0"/>
              <w:rPr>
                <w:sz w:val="21"/>
                <w:szCs w:val="21"/>
                <w:color w:val="auto"/>
              </w:rPr>
            </w:pPr>
          </w:p>
        </w:tc>
      </w:tr>
      <w:tr>
        <w:trPr>
          <w:trHeight w:val="229"/>
        </w:trPr>
        <w:tc>
          <w:tcPr>
            <w:tcW w:w="4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 xml:space="preserve">Weighted-average shares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basic</w:t>
            </w: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0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900" w:type="dxa"/>
            <w:vAlign w:val="bottom"/>
            <w:tcBorders>
              <w:bottom w:val="single" w:sz="8" w:color="CCEEFF"/>
            </w:tcBorders>
          </w:tcPr>
          <w:p>
            <w:pPr>
              <w:spacing w:after="0"/>
              <w:rPr>
                <w:sz w:val="19"/>
                <w:szCs w:val="19"/>
                <w:color w:val="auto"/>
              </w:rPr>
            </w:pPr>
          </w:p>
        </w:tc>
      </w:tr>
      <w:tr>
        <w:trPr>
          <w:trHeight w:val="156"/>
        </w:trPr>
        <w:tc>
          <w:tcPr>
            <w:tcW w:w="420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rPr>
              <w:t>Earnings (loss) per share attributable to Dell</w:t>
            </w: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Technologies Inc. </w:t>
            </w:r>
            <w:r>
              <w:rPr>
                <w:rFonts w:ascii="Arial" w:cs="Arial" w:eastAsia="Arial" w:hAnsi="Arial"/>
                <w:sz w:val="18"/>
                <w:szCs w:val="18"/>
                <w:b w:val="1"/>
                <w:bCs w:val="1"/>
                <w:color w:val="auto"/>
              </w:rPr>
              <w:t>—</w:t>
            </w:r>
            <w:r>
              <w:rPr>
                <w:rFonts w:ascii="Arial" w:cs="Arial" w:eastAsia="Arial" w:hAnsi="Arial"/>
                <w:sz w:val="18"/>
                <w:szCs w:val="18"/>
                <w:color w:val="auto"/>
              </w:rPr>
              <w:t xml:space="preserve"> basic</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NM</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w:t>
            </w:r>
          </w:p>
        </w:tc>
      </w:tr>
      <w:tr>
        <w:trPr>
          <w:trHeight w:val="250"/>
        </w:trPr>
        <w:tc>
          <w:tcPr>
            <w:tcW w:w="4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76"/>
        </w:trPr>
        <w:tc>
          <w:tcPr>
            <w:tcW w:w="42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Net income (loss) from continuing operations</w:t>
            </w: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attributable to Dell Technologies Inc. </w:t>
            </w:r>
            <w:r>
              <w:rPr>
                <w:rFonts w:ascii="Arial" w:cs="Arial" w:eastAsia="Arial" w:hAnsi="Arial"/>
                <w:sz w:val="18"/>
                <w:szCs w:val="18"/>
                <w:b w:val="1"/>
                <w:bCs w:val="1"/>
                <w:color w:val="auto"/>
              </w:rPr>
              <w:t>—</w:t>
            </w:r>
            <w:r>
              <w:rPr>
                <w:rFonts w:ascii="Arial" w:cs="Arial" w:eastAsia="Arial" w:hAnsi="Arial"/>
                <w:sz w:val="18"/>
                <w:szCs w:val="18"/>
                <w:color w:val="auto"/>
              </w:rPr>
              <w:t xml:space="preserve"> diluted</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900" w:type="dxa"/>
            <w:vAlign w:val="bottom"/>
            <w:shd w:val="clear" w:color="auto" w:fill="CCEEFF"/>
          </w:tcPr>
          <w:p>
            <w:pPr>
              <w:spacing w:after="0"/>
              <w:rPr>
                <w:sz w:val="21"/>
                <w:szCs w:val="21"/>
                <w:color w:val="auto"/>
              </w:rPr>
            </w:pPr>
          </w:p>
        </w:tc>
      </w:tr>
      <w:tr>
        <w:trPr>
          <w:trHeight w:val="229"/>
        </w:trPr>
        <w:tc>
          <w:tcPr>
            <w:tcW w:w="4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 xml:space="preserve">Weighted-average shares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diluted</w:t>
            </w: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0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900" w:type="dxa"/>
            <w:vAlign w:val="bottom"/>
            <w:tcBorders>
              <w:bottom w:val="single" w:sz="8" w:color="CCEEFF"/>
            </w:tcBorders>
          </w:tcPr>
          <w:p>
            <w:pPr>
              <w:spacing w:after="0"/>
              <w:rPr>
                <w:sz w:val="19"/>
                <w:szCs w:val="19"/>
                <w:color w:val="auto"/>
              </w:rPr>
            </w:pPr>
          </w:p>
        </w:tc>
      </w:tr>
      <w:tr>
        <w:trPr>
          <w:trHeight w:val="156"/>
        </w:trPr>
        <w:tc>
          <w:tcPr>
            <w:tcW w:w="420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rPr>
              <w:t>Earnings (loss) per share attributable to Dell</w:t>
            </w: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Technologies Inc. — diluted</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NM</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w:t>
            </w: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Earnings per share from discontinued operations attributable to Dell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9"/>
        </w:trPr>
        <w:tc>
          <w:tcPr>
            <w:tcW w:w="4200" w:type="dxa"/>
            <w:vAlign w:val="bottom"/>
          </w:tcPr>
          <w:p>
            <w:pPr>
              <w:ind w:left="140"/>
              <w:spacing w:after="0" w:line="199" w:lineRule="exact"/>
              <w:rPr>
                <w:sz w:val="20"/>
                <w:szCs w:val="20"/>
                <w:color w:val="auto"/>
              </w:rPr>
            </w:pPr>
            <w:r>
              <w:rPr>
                <w:rFonts w:ascii="Arial" w:cs="Arial" w:eastAsia="Arial" w:hAnsi="Arial"/>
                <w:sz w:val="18"/>
                <w:szCs w:val="18"/>
                <w:color w:val="auto"/>
                <w:w w:val="91"/>
              </w:rPr>
              <w:t>Net income from discontinued operations attributable to</w:t>
            </w: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3"/>
        </w:trPr>
        <w:tc>
          <w:tcPr>
            <w:tcW w:w="4200" w:type="dxa"/>
            <w:vAlign w:val="bottom"/>
          </w:tcPr>
          <w:p>
            <w:pPr>
              <w:ind w:left="140"/>
              <w:spacing w:after="0"/>
              <w:rPr>
                <w:sz w:val="20"/>
                <w:szCs w:val="20"/>
                <w:color w:val="auto"/>
              </w:rPr>
            </w:pPr>
            <w:r>
              <w:rPr>
                <w:rFonts w:ascii="Arial" w:cs="Arial" w:eastAsia="Arial" w:hAnsi="Arial"/>
                <w:sz w:val="18"/>
                <w:szCs w:val="18"/>
                <w:color w:val="auto"/>
              </w:rPr>
              <w:t xml:space="preserve">Dell Technologies Inc. </w:t>
            </w:r>
            <w:r>
              <w:rPr>
                <w:rFonts w:ascii="Arial" w:cs="Arial" w:eastAsia="Arial" w:hAnsi="Arial"/>
                <w:sz w:val="18"/>
                <w:szCs w:val="18"/>
                <w:b w:val="1"/>
                <w:bCs w:val="1"/>
                <w:color w:val="auto"/>
              </w:rPr>
              <w:t>—</w:t>
            </w:r>
            <w:r>
              <w:rPr>
                <w:rFonts w:ascii="Arial" w:cs="Arial" w:eastAsia="Arial" w:hAnsi="Arial"/>
                <w:sz w:val="18"/>
                <w:szCs w:val="18"/>
                <w:color w:val="auto"/>
              </w:rPr>
              <w:t xml:space="preserve"> basic</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0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615</w:t>
            </w:r>
          </w:p>
        </w:tc>
        <w:tc>
          <w:tcPr>
            <w:tcW w:w="900" w:type="dxa"/>
            <w:vAlign w:val="bottom"/>
          </w:tcPr>
          <w:p>
            <w:pPr>
              <w:spacing w:after="0"/>
              <w:rPr>
                <w:sz w:val="21"/>
                <w:szCs w:val="21"/>
                <w:color w:val="auto"/>
              </w:rPr>
            </w:pPr>
          </w:p>
        </w:tc>
      </w:tr>
      <w:tr>
        <w:trPr>
          <w:trHeight w:val="229"/>
        </w:trPr>
        <w:tc>
          <w:tcPr>
            <w:tcW w:w="4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Weighted-average shares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basic</w:t>
            </w: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900" w:type="dxa"/>
            <w:vAlign w:val="bottom"/>
            <w:shd w:val="clear" w:color="auto" w:fill="CCEEFF"/>
          </w:tcPr>
          <w:p>
            <w:pPr>
              <w:spacing w:after="0"/>
              <w:rPr>
                <w:sz w:val="19"/>
                <w:szCs w:val="19"/>
                <w:color w:val="auto"/>
              </w:rPr>
            </w:pPr>
          </w:p>
        </w:tc>
      </w:tr>
      <w:tr>
        <w:trPr>
          <w:trHeight w:val="155"/>
        </w:trPr>
        <w:tc>
          <w:tcPr>
            <w:tcW w:w="4200" w:type="dxa"/>
            <w:vAlign w:val="bottom"/>
          </w:tcPr>
          <w:p>
            <w:pPr>
              <w:ind w:left="140"/>
              <w:spacing w:after="0" w:line="156" w:lineRule="exact"/>
              <w:rPr>
                <w:sz w:val="20"/>
                <w:szCs w:val="20"/>
                <w:color w:val="auto"/>
              </w:rPr>
            </w:pPr>
            <w:r>
              <w:rPr>
                <w:rFonts w:ascii="Arial" w:cs="Arial" w:eastAsia="Arial" w:hAnsi="Arial"/>
                <w:sz w:val="18"/>
                <w:szCs w:val="18"/>
                <w:color w:val="auto"/>
                <w:w w:val="97"/>
              </w:rPr>
              <w:t>Earnings per share attributable to Dell Technologies</w:t>
            </w:r>
          </w:p>
        </w:tc>
        <w:tc>
          <w:tcPr>
            <w:tcW w:w="4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900" w:type="dxa"/>
            <w:vAlign w:val="bottom"/>
          </w:tcPr>
          <w:p>
            <w:pPr>
              <w:spacing w:after="0"/>
              <w:rPr>
                <w:sz w:val="13"/>
                <w:szCs w:val="13"/>
                <w:color w:val="auto"/>
              </w:rPr>
            </w:pPr>
          </w:p>
        </w:tc>
      </w:tr>
      <w:tr>
        <w:trPr>
          <w:trHeight w:val="243"/>
        </w:trPr>
        <w:tc>
          <w:tcPr>
            <w:tcW w:w="4200" w:type="dxa"/>
            <w:vAlign w:val="bottom"/>
          </w:tcPr>
          <w:p>
            <w:pPr>
              <w:ind w:left="14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8"/>
                <w:szCs w:val="18"/>
                <w:b w:val="1"/>
                <w:bCs w:val="1"/>
                <w:color w:val="auto"/>
              </w:rPr>
              <w:t>—</w:t>
            </w:r>
            <w:r>
              <w:rPr>
                <w:rFonts w:ascii="Arial" w:cs="Arial" w:eastAsia="Arial" w:hAnsi="Arial"/>
                <w:sz w:val="18"/>
                <w:szCs w:val="18"/>
                <w:color w:val="auto"/>
              </w:rPr>
              <w:t xml:space="preserve"> basic</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c>
          <w:tcPr>
            <w:tcW w:w="1000" w:type="dxa"/>
            <w:vAlign w:val="bottom"/>
          </w:tcPr>
          <w:p>
            <w:pPr>
              <w:jc w:val="center"/>
              <w:spacing w:after="0"/>
              <w:rPr>
                <w:sz w:val="20"/>
                <w:szCs w:val="20"/>
                <w:color w:val="auto"/>
              </w:rPr>
            </w:pPr>
            <w:r>
              <w:rPr>
                <w:rFonts w:ascii="Arial" w:cs="Arial" w:eastAsia="Arial" w:hAnsi="Arial"/>
                <w:sz w:val="16"/>
                <w:szCs w:val="16"/>
                <w:color w:val="auto"/>
              </w:rPr>
              <w:t>NM</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0.81</w:t>
            </w:r>
          </w:p>
        </w:tc>
        <w:tc>
          <w:tcPr>
            <w:tcW w:w="900" w:type="dxa"/>
            <w:vAlign w:val="bottom"/>
          </w:tcPr>
          <w:p>
            <w:pPr>
              <w:ind w:left="380"/>
              <w:spacing w:after="0"/>
              <w:rPr>
                <w:sz w:val="20"/>
                <w:szCs w:val="20"/>
                <w:color w:val="auto"/>
              </w:rPr>
            </w:pPr>
            <w:r>
              <w:rPr>
                <w:rFonts w:ascii="Arial" w:cs="Arial" w:eastAsia="Arial" w:hAnsi="Arial"/>
                <w:sz w:val="16"/>
                <w:szCs w:val="16"/>
                <w:color w:val="auto"/>
              </w:rPr>
              <w:t>NM</w:t>
            </w:r>
          </w:p>
        </w:tc>
      </w:tr>
      <w:tr>
        <w:trPr>
          <w:trHeight w:val="176"/>
        </w:trPr>
        <w:tc>
          <w:tcPr>
            <w:tcW w:w="4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Incremental dilution from VMware, Inc. attributable to</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Dell Technologies</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900" w:type="dxa"/>
            <w:vAlign w:val="bottom"/>
            <w:shd w:val="clear" w:color="auto" w:fill="CCEEFF"/>
          </w:tcPr>
          <w:p>
            <w:pPr>
              <w:spacing w:after="0"/>
              <w:rPr>
                <w:sz w:val="21"/>
                <w:szCs w:val="21"/>
                <w:color w:val="auto"/>
              </w:rPr>
            </w:pPr>
          </w:p>
        </w:tc>
      </w:tr>
      <w:tr>
        <w:trPr>
          <w:trHeight w:val="155"/>
        </w:trPr>
        <w:tc>
          <w:tcPr>
            <w:tcW w:w="4200" w:type="dxa"/>
            <w:vAlign w:val="bottom"/>
          </w:tcPr>
          <w:p>
            <w:pPr>
              <w:ind w:left="140"/>
              <w:spacing w:after="0" w:line="156" w:lineRule="exact"/>
              <w:rPr>
                <w:sz w:val="20"/>
                <w:szCs w:val="20"/>
                <w:color w:val="auto"/>
              </w:rPr>
            </w:pPr>
            <w:r>
              <w:rPr>
                <w:rFonts w:ascii="Arial" w:cs="Arial" w:eastAsia="Arial" w:hAnsi="Arial"/>
                <w:sz w:val="18"/>
                <w:szCs w:val="18"/>
                <w:color w:val="auto"/>
                <w:w w:val="91"/>
              </w:rPr>
              <w:t>Net income from discontinued operations attributable to</w:t>
            </w:r>
          </w:p>
        </w:tc>
        <w:tc>
          <w:tcPr>
            <w:tcW w:w="4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900" w:type="dxa"/>
            <w:vAlign w:val="bottom"/>
          </w:tcPr>
          <w:p>
            <w:pPr>
              <w:spacing w:after="0"/>
              <w:rPr>
                <w:sz w:val="13"/>
                <w:szCs w:val="13"/>
                <w:color w:val="auto"/>
              </w:rPr>
            </w:pPr>
          </w:p>
        </w:tc>
      </w:tr>
      <w:tr>
        <w:trPr>
          <w:trHeight w:val="243"/>
        </w:trPr>
        <w:tc>
          <w:tcPr>
            <w:tcW w:w="4200" w:type="dxa"/>
            <w:vAlign w:val="bottom"/>
          </w:tcPr>
          <w:p>
            <w:pPr>
              <w:ind w:left="140"/>
              <w:spacing w:after="0"/>
              <w:rPr>
                <w:sz w:val="20"/>
                <w:szCs w:val="20"/>
                <w:color w:val="auto"/>
              </w:rPr>
            </w:pPr>
            <w:r>
              <w:rPr>
                <w:rFonts w:ascii="Arial" w:cs="Arial" w:eastAsia="Arial" w:hAnsi="Arial"/>
                <w:sz w:val="18"/>
                <w:szCs w:val="18"/>
                <w:color w:val="auto"/>
              </w:rPr>
              <w:t xml:space="preserve">Dell Technologies Inc. </w:t>
            </w:r>
            <w:r>
              <w:rPr>
                <w:rFonts w:ascii="Arial" w:cs="Arial" w:eastAsia="Arial" w:hAnsi="Arial"/>
                <w:sz w:val="18"/>
                <w:szCs w:val="18"/>
                <w:b w:val="1"/>
                <w:bCs w:val="1"/>
                <w:color w:val="auto"/>
              </w:rPr>
              <w:t>—</w:t>
            </w:r>
            <w:r>
              <w:rPr>
                <w:rFonts w:ascii="Arial" w:cs="Arial" w:eastAsia="Arial" w:hAnsi="Arial"/>
                <w:sz w:val="18"/>
                <w:szCs w:val="18"/>
                <w:color w:val="auto"/>
              </w:rPr>
              <w:t xml:space="preserve"> diluted</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0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608</w:t>
            </w:r>
          </w:p>
        </w:tc>
        <w:tc>
          <w:tcPr>
            <w:tcW w:w="900" w:type="dxa"/>
            <w:vAlign w:val="bottom"/>
          </w:tcPr>
          <w:p>
            <w:pPr>
              <w:spacing w:after="0"/>
              <w:rPr>
                <w:sz w:val="21"/>
                <w:szCs w:val="21"/>
                <w:color w:val="auto"/>
              </w:rPr>
            </w:pPr>
          </w:p>
        </w:tc>
      </w:tr>
      <w:tr>
        <w:trPr>
          <w:trHeight w:val="230"/>
        </w:trPr>
        <w:tc>
          <w:tcPr>
            <w:tcW w:w="4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Weighted-average shares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diluted</w:t>
            </w: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900" w:type="dxa"/>
            <w:vAlign w:val="bottom"/>
            <w:shd w:val="clear" w:color="auto" w:fill="CCEEFF"/>
          </w:tcPr>
          <w:p>
            <w:pPr>
              <w:spacing w:after="0"/>
              <w:rPr>
                <w:sz w:val="19"/>
                <w:szCs w:val="19"/>
                <w:color w:val="auto"/>
              </w:rPr>
            </w:pPr>
          </w:p>
        </w:tc>
      </w:tr>
      <w:tr>
        <w:trPr>
          <w:trHeight w:val="155"/>
        </w:trPr>
        <w:tc>
          <w:tcPr>
            <w:tcW w:w="4200" w:type="dxa"/>
            <w:vAlign w:val="bottom"/>
          </w:tcPr>
          <w:p>
            <w:pPr>
              <w:ind w:left="140"/>
              <w:spacing w:after="0" w:line="156" w:lineRule="exact"/>
              <w:rPr>
                <w:sz w:val="20"/>
                <w:szCs w:val="20"/>
                <w:color w:val="auto"/>
              </w:rPr>
            </w:pPr>
            <w:r>
              <w:rPr>
                <w:rFonts w:ascii="Arial" w:cs="Arial" w:eastAsia="Arial" w:hAnsi="Arial"/>
                <w:sz w:val="18"/>
                <w:szCs w:val="18"/>
                <w:color w:val="auto"/>
                <w:w w:val="97"/>
              </w:rPr>
              <w:t>Earnings per share attributable to Dell Technologies</w:t>
            </w:r>
          </w:p>
        </w:tc>
        <w:tc>
          <w:tcPr>
            <w:tcW w:w="4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900" w:type="dxa"/>
            <w:vAlign w:val="bottom"/>
          </w:tcPr>
          <w:p>
            <w:pPr>
              <w:spacing w:after="0"/>
              <w:rPr>
                <w:sz w:val="13"/>
                <w:szCs w:val="13"/>
                <w:color w:val="auto"/>
              </w:rPr>
            </w:pPr>
          </w:p>
        </w:tc>
      </w:tr>
      <w:tr>
        <w:trPr>
          <w:trHeight w:val="243"/>
        </w:trPr>
        <w:tc>
          <w:tcPr>
            <w:tcW w:w="4200" w:type="dxa"/>
            <w:vAlign w:val="bottom"/>
          </w:tcPr>
          <w:p>
            <w:pPr>
              <w:ind w:left="140"/>
              <w:spacing w:after="0"/>
              <w:rPr>
                <w:sz w:val="20"/>
                <w:szCs w:val="20"/>
                <w:color w:val="auto"/>
              </w:rPr>
            </w:pPr>
            <w:r>
              <w:rPr>
                <w:rFonts w:ascii="Arial" w:cs="Arial" w:eastAsia="Arial" w:hAnsi="Arial"/>
                <w:sz w:val="18"/>
                <w:szCs w:val="18"/>
                <w:color w:val="auto"/>
              </w:rPr>
              <w:t>Inc. — diluted</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c>
          <w:tcPr>
            <w:tcW w:w="1000" w:type="dxa"/>
            <w:vAlign w:val="bottom"/>
          </w:tcPr>
          <w:p>
            <w:pPr>
              <w:jc w:val="center"/>
              <w:spacing w:after="0"/>
              <w:rPr>
                <w:sz w:val="20"/>
                <w:szCs w:val="20"/>
                <w:color w:val="auto"/>
              </w:rPr>
            </w:pPr>
            <w:r>
              <w:rPr>
                <w:rFonts w:ascii="Arial" w:cs="Arial" w:eastAsia="Arial" w:hAnsi="Arial"/>
                <w:sz w:val="16"/>
                <w:szCs w:val="16"/>
                <w:color w:val="auto"/>
              </w:rPr>
              <w:t>NM</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0.76</w:t>
            </w:r>
          </w:p>
        </w:tc>
        <w:tc>
          <w:tcPr>
            <w:tcW w:w="900" w:type="dxa"/>
            <w:vAlign w:val="bottom"/>
          </w:tcPr>
          <w:p>
            <w:pPr>
              <w:ind w:left="380"/>
              <w:spacing w:after="0"/>
              <w:rPr>
                <w:sz w:val="20"/>
                <w:szCs w:val="20"/>
                <w:color w:val="auto"/>
              </w:rPr>
            </w:pPr>
            <w:r>
              <w:rPr>
                <w:rFonts w:ascii="Arial" w:cs="Arial" w:eastAsia="Arial" w:hAnsi="Arial"/>
                <w:sz w:val="16"/>
                <w:szCs w:val="16"/>
                <w:color w:val="auto"/>
              </w:rPr>
              <w:t>NM</w:t>
            </w:r>
          </w:p>
        </w:tc>
      </w:tr>
      <w:tr>
        <w:trPr>
          <w:trHeight w:val="250"/>
        </w:trPr>
        <w:tc>
          <w:tcPr>
            <w:tcW w:w="42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CCEEFF"/>
            </w:tcBorders>
            <w:shd w:val="clear" w:color="auto" w:fill="CCEEFF"/>
          </w:tcPr>
          <w:p>
            <w:pPr>
              <w:spacing w:after="0"/>
              <w:rPr>
                <w:sz w:val="21"/>
                <w:szCs w:val="21"/>
                <w:color w:val="auto"/>
              </w:rPr>
            </w:pPr>
          </w:p>
        </w:tc>
      </w:tr>
      <w:tr>
        <w:trPr>
          <w:trHeight w:val="230"/>
        </w:trPr>
        <w:tc>
          <w:tcPr>
            <w:tcW w:w="5540" w:type="dxa"/>
            <w:vAlign w:val="bottom"/>
            <w:gridSpan w:val="4"/>
          </w:tcPr>
          <w:p>
            <w:pPr>
              <w:ind w:left="20"/>
              <w:spacing w:after="0"/>
              <w:rPr>
                <w:sz w:val="20"/>
                <w:szCs w:val="20"/>
                <w:color w:val="auto"/>
              </w:rPr>
            </w:pPr>
            <w:r>
              <w:rPr>
                <w:rFonts w:ascii="Arial" w:cs="Arial" w:eastAsia="Arial" w:hAnsi="Arial"/>
                <w:sz w:val="18"/>
                <w:szCs w:val="18"/>
                <w:b w:val="1"/>
                <w:bCs w:val="1"/>
                <w:i w:val="1"/>
                <w:iCs w:val="1"/>
                <w:color w:val="auto"/>
                <w:w w:val="94"/>
              </w:rPr>
              <w:t>Non-GAAP earnings per share attributable to Dell Technologies Inc.</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75"/>
        </w:trPr>
        <w:tc>
          <w:tcPr>
            <w:tcW w:w="42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Non-GAAP net income attributable to Dell</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Technologies Inc. </w:t>
            </w:r>
            <w:r>
              <w:rPr>
                <w:rFonts w:ascii="Arial" w:cs="Arial" w:eastAsia="Arial" w:hAnsi="Arial"/>
                <w:sz w:val="18"/>
                <w:szCs w:val="18"/>
                <w:b w:val="1"/>
                <w:bCs w:val="1"/>
                <w:color w:val="auto"/>
              </w:rPr>
              <w:t>—</w:t>
            </w:r>
            <w:r>
              <w:rPr>
                <w:rFonts w:ascii="Arial" w:cs="Arial" w:eastAsia="Arial" w:hAnsi="Arial"/>
                <w:sz w:val="18"/>
                <w:szCs w:val="18"/>
                <w:color w:val="auto"/>
              </w:rPr>
              <w:t xml:space="preserve"> basic</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0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900" w:type="dxa"/>
            <w:vAlign w:val="bottom"/>
            <w:shd w:val="clear" w:color="auto" w:fill="CCEEFF"/>
          </w:tcPr>
          <w:p>
            <w:pPr>
              <w:spacing w:after="0"/>
              <w:rPr>
                <w:sz w:val="21"/>
                <w:szCs w:val="21"/>
                <w:color w:val="auto"/>
              </w:rPr>
            </w:pPr>
          </w:p>
        </w:tc>
      </w:tr>
      <w:tr>
        <w:trPr>
          <w:trHeight w:val="230"/>
        </w:trPr>
        <w:tc>
          <w:tcPr>
            <w:tcW w:w="42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 xml:space="preserve">Weighted-average shares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basic</w:t>
            </w: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0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900" w:type="dxa"/>
            <w:vAlign w:val="bottom"/>
            <w:tcBorders>
              <w:bottom w:val="single" w:sz="8" w:color="CCEEFF"/>
            </w:tcBorders>
          </w:tcPr>
          <w:p>
            <w:pPr>
              <w:spacing w:after="0"/>
              <w:rPr>
                <w:sz w:val="19"/>
                <w:szCs w:val="19"/>
                <w:color w:val="auto"/>
              </w:rPr>
            </w:pPr>
          </w:p>
        </w:tc>
      </w:tr>
      <w:tr>
        <w:trPr>
          <w:trHeight w:val="155"/>
        </w:trPr>
        <w:tc>
          <w:tcPr>
            <w:tcW w:w="420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w w:val="97"/>
              </w:rPr>
              <w:t>Earnings per share attributable to Dell Technologies</w:t>
            </w: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8"/>
                <w:szCs w:val="18"/>
                <w:b w:val="1"/>
                <w:bCs w:val="1"/>
                <w:color w:val="auto"/>
              </w:rPr>
              <w:t>—</w:t>
            </w:r>
            <w:r>
              <w:rPr>
                <w:rFonts w:ascii="Arial" w:cs="Arial" w:eastAsia="Arial" w:hAnsi="Arial"/>
                <w:sz w:val="18"/>
                <w:szCs w:val="18"/>
                <w:color w:val="auto"/>
              </w:rPr>
              <w:t xml:space="preserve"> basic</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8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21%</w:t>
            </w:r>
          </w:p>
        </w:tc>
      </w:tr>
      <w:tr>
        <w:trPr>
          <w:trHeight w:val="250"/>
        </w:trPr>
        <w:tc>
          <w:tcPr>
            <w:tcW w:w="4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75"/>
        </w:trPr>
        <w:tc>
          <w:tcPr>
            <w:tcW w:w="42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Non-GAAP net income attributable to Dell</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Technologies Inc. </w:t>
            </w:r>
            <w:r>
              <w:rPr>
                <w:rFonts w:ascii="Arial" w:cs="Arial" w:eastAsia="Arial" w:hAnsi="Arial"/>
                <w:sz w:val="18"/>
                <w:szCs w:val="18"/>
                <w:b w:val="1"/>
                <w:bCs w:val="1"/>
                <w:color w:val="auto"/>
              </w:rPr>
              <w:t>—</w:t>
            </w:r>
            <w:r>
              <w:rPr>
                <w:rFonts w:ascii="Arial" w:cs="Arial" w:eastAsia="Arial" w:hAnsi="Arial"/>
                <w:sz w:val="18"/>
                <w:szCs w:val="18"/>
                <w:color w:val="auto"/>
              </w:rPr>
              <w:t xml:space="preserve"> diluted</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0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900" w:type="dxa"/>
            <w:vAlign w:val="bottom"/>
            <w:shd w:val="clear" w:color="auto" w:fill="CCEEFF"/>
          </w:tcPr>
          <w:p>
            <w:pPr>
              <w:spacing w:after="0"/>
              <w:rPr>
                <w:sz w:val="21"/>
                <w:szCs w:val="21"/>
                <w:color w:val="auto"/>
              </w:rPr>
            </w:pPr>
          </w:p>
        </w:tc>
      </w:tr>
      <w:tr>
        <w:trPr>
          <w:trHeight w:val="230"/>
        </w:trPr>
        <w:tc>
          <w:tcPr>
            <w:tcW w:w="42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 xml:space="preserve">Weighted-average shares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diluted</w:t>
            </w: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0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900" w:type="dxa"/>
            <w:vAlign w:val="bottom"/>
            <w:tcBorders>
              <w:bottom w:val="single" w:sz="8" w:color="CCEEFF"/>
            </w:tcBorders>
          </w:tcPr>
          <w:p>
            <w:pPr>
              <w:spacing w:after="0"/>
              <w:rPr>
                <w:sz w:val="19"/>
                <w:szCs w:val="19"/>
                <w:color w:val="auto"/>
              </w:rPr>
            </w:pPr>
          </w:p>
        </w:tc>
      </w:tr>
      <w:tr>
        <w:trPr>
          <w:trHeight w:val="155"/>
        </w:trPr>
        <w:tc>
          <w:tcPr>
            <w:tcW w:w="420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w w:val="97"/>
              </w:rPr>
              <w:t>Earnings per share attributable to Dell Technologies</w:t>
            </w: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 — diluted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5%</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8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22%</w:t>
            </w:r>
          </w:p>
        </w:tc>
      </w:tr>
    </w:tbl>
    <w:p>
      <w:pPr>
        <w:spacing w:after="0" w:line="16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Amounts may not visually recalculate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sectPr>
      <w:pgSz w:w="11900" w:h="16838" w:orient="portrait"/>
      <w:cols w:equalWidth="0" w:num="1">
        <w:col w:w="11240"/>
      </w:cols>
      <w:pgMar w:left="320" w:top="11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decimal"/>
      <w:start w:val="104"/>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2023-03-02T15:43:10Z</dcterms:created>
  <dcterms:modified xsi:type="dcterms:W3CDTF">2023-03-02T15:43:10Z</dcterms:modified>
</cp:coreProperties>
</file>