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0600d8k.htm"/>
      <w:bookmarkStart w:id="1" w:name="ksd206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June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Dell Technologies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001-37867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80-0890963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Dell Way</w:t>
            </w:r>
          </w:p>
          <w:p>
            <w:pPr>
              <w:pStyle w:val="TableContents"/>
              <w:bidi w:val="0"/>
              <w:spacing w:before="0" w:after="20"/>
              <w:jc w:val="center"/>
              <w:rPr>
                <w:rFonts w:ascii="Times New Roman" w:hAnsi="Times New Roman"/>
                <w:b/>
                <w:sz w:val="20"/>
              </w:rPr>
            </w:pPr>
            <w:r>
              <w:rPr>
                <w:rFonts w:ascii="Times New Roman" w:hAnsi="Times New Roman"/>
                <w:b/>
                <w:sz w:val="20"/>
              </w:rPr>
              <w:t>Round Rock,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78682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(800) 289-3355</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40" w:type="dxa"/>
        <w:jc w:val="left"/>
        <w:tblInd w:w="0" w:type="dxa"/>
        <w:tblLayout w:type="fixed"/>
        <w:tblCellMar>
          <w:top w:w="0" w:type="dxa"/>
          <w:left w:w="0" w:type="dxa"/>
          <w:bottom w:w="0" w:type="dxa"/>
          <w:right w:w="0" w:type="dxa"/>
        </w:tblCellMar>
      </w:tblPr>
      <w:tblGrid>
        <w:gridCol w:w="4820"/>
        <w:gridCol w:w="60"/>
        <w:gridCol w:w="740"/>
        <w:gridCol w:w="60"/>
        <w:gridCol w:w="2660"/>
      </w:tblGrid>
      <w:tr>
        <w:trPr/>
        <w:tc>
          <w:tcPr>
            <w:tcW w:w="4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20" w:type="dxa"/>
            <w:tcBorders/>
            <w:vAlign w:val="center"/>
          </w:tcPr>
          <w:p>
            <w:pPr>
              <w:pStyle w:val="TableContents"/>
              <w:bidi w:val="0"/>
              <w:spacing w:before="0" w:after="283"/>
              <w:jc w:val="center"/>
              <w:rPr/>
            </w:pPr>
            <w:r>
              <w:rPr/>
              <w:t>Class C 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DELL</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16, 2026, two wholly-owned subsidiaries of Dell Technologies Inc. (the “Company”), Dell International L.L.C. and EMC Corporation (together, the “Issuers”), completed a public offering (the “Offering”) of (i) $1,000,000,000 aggregate principal amount of 4.750% Senior Notes due 2031 (the “2031 Notes”), (ii) $750,000,000 aggregate principal amount of 5.000% Senior Notes due 2034 (the “2034 Notes”) and (iii) $1,250,000,000 aggregate principal amount of 5.250% Senior Notes due 2037 (the “2037 Notes” and, together with the 2031 Notes and the 2034 Notes, the “Notes”). The Notes were sold pursuant to a shelf registration statement on Form S-3ASR (File No. 333-296691).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issued pursuant to a Base Indenture, dated as of January 24, 2023 (the “Base Indenture”), among the Issuers, the Guarantors (as defined below) and The Bank of New York Mellon Trust Company, N.A., as trustee (in such capacity, the “Trustee”), as supplemented, (i) with respect to the 2031 Notes, by the 2031 Notes Supplemental Indenture No. 1 (the “2031 Notes Supplemental Indenture”), dated as of June 16, 2026, among the Issuers, the Guarantors and the Trustee, (ii) with respect to the 2034 Notes, by the 2034 Notes Supplemental Indenture No. 1 (the “2034 Notes Supplemental Indenture”), dated as of June 16, 2026, among the Issuers, the Guarantors and the Trustee and (iii) with respect to the 2037 Notes, by the 2037 Notes Supplemental Indenture No. 1 (the “2037 Notes Supplemental Indenture” and, together with the Base Indenture, the 2031 Notes Supplemental Indenture and the 2034 Notes Supplemental Indenture, the “Indenture”), dated as of June 16, 2026, among the Issuers, the Guarantors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senior unsecured obligations of the Issuers and rank equal in right of payment with all of the Issuers’ existing and future senior indebtedness and senior in right of payment to all of the Issuers’ future subordinated indebtedness. The Notes are unsecured and are guaranteed on a joint and several basis by the Company and its wholly-owned subsidiaries, Denali Intermediate Inc. (“Denali Intermediate”) and Dell Inc. (together with Denali Intermediate and the Company, the “Guarantors”). Such note guarantees rank equal in right of payment with all existing and future senior indebtedness of the Guarantors and senior in right of payment to all future subordinated indebtedness of the Guarantors. The Notes and the note guarantees are structurally subordinated to all of the existing and future indebtedness and other liabilities of subsidiaries of the Issuers, who will not guarantee the Notes. </w:t>
      </w:r>
    </w:p>
    <w:p>
      <w:pPr>
        <w:pStyle w:val="TextBody"/>
        <w:bidi w:val="0"/>
        <w:spacing w:before="240" w:after="0"/>
        <w:jc w:val="left"/>
        <w:rPr>
          <w:rFonts w:ascii="Times New Roman" w:hAnsi="Times New Roman"/>
          <w:sz w:val="20"/>
        </w:rPr>
      </w:pPr>
      <w:r>
        <w:rPr>
          <w:rFonts w:ascii="Times New Roman" w:hAnsi="Times New Roman"/>
          <w:sz w:val="20"/>
        </w:rPr>
        <w:t xml:space="preserve">Interest on each series of the Notes began accruing on June 16, 2026, the issue date of the Notes. Interest on the 2031 Notes accrues at a rate of 4.750% per year, payable semi-annually in arrears on January 15 and July 15 of each year, commencing on January 15, 2027. Interest on the 2034 Notes accrues at a rate of 5.000% per year, payable semi-annually in arrears on February 15 and August 15 of each year, commencing on August 15, 2026. Interest on the 2037 Notes accrues at a rate of 5.250% per year, payable semi-annually in arrears on February 15 and August 15 of each year, commencing on August 15, 2026. The 2031 Notes mature on July 15, 2031, the 2034 Notes mature on February 15, 2034 and the 2037 Notes mature on February 15, 2037. </w:t>
      </w:r>
    </w:p>
    <w:p>
      <w:pPr>
        <w:pStyle w:val="TextBody"/>
        <w:bidi w:val="0"/>
        <w:spacing w:before="240" w:after="0"/>
        <w:jc w:val="left"/>
        <w:rPr>
          <w:rFonts w:ascii="Times New Roman" w:hAnsi="Times New Roman"/>
          <w:sz w:val="20"/>
        </w:rPr>
      </w:pPr>
      <w:r>
        <w:rPr>
          <w:rFonts w:ascii="Times New Roman" w:hAnsi="Times New Roman"/>
          <w:sz w:val="20"/>
        </w:rPr>
        <w:t xml:space="preserve">Prior to (i) June 15, 2031 (the date one month prior to the maturity of the 2031 Notes), in the case of the 2031 Notes, (ii) December 15, 2033 (the date two months prior to the maturity of the 2034 Notes), in the case of the 2034 Notes and (iii) November 15, 2036 (the date three months prior to the maturity of the 2037 Notes), in the case of the 2037 Notes, the Issuers may, on any one or more occasions, redeem some or all of the Notes of such series at a “make-whole” premium, plus accrued and unpaid interest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(i) June 15, 2031, in the case of the 2031 Notes, (ii) December 15, 2033, in the case of the 2034 Notes and (iii) November 15, 2036, in the case of the 2037 Notes, the Issuers may, on any one or more occasions, redeem some or all of the Notes of such series at a price equal to 100% of the aggregate principal amount of the Notes of such series to be redeemed, plus accrued and unpaid interest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triggering event occurs, the holders of the Notes may require the Issuers to purchase for cash all or a portion of their Notes at a purchase price equal to 101% of the principal amount of the Notes, plus accrued and unpaid interest to, but excluding, the repurchase date.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contains covenants that impose limitations on, among other things, creating liens on certain assets to secure debt; consolidating, merging or selling or otherwise disposing of all or substantially all assets; and entering into sale and leaseback transactions. The Indenture also contains customary events of default and covenants for an issuer of investment grade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Base Indenture, the 2031 Notes Supplemental Indenture, the 2034 Notes Supplemental Indenture and the 2037 Notes Supplemental Indenture do not purport to be complete and are qualified in their entirety by reference to the full texts of such documents. Copies of the 2031 Notes Supplemental Indenture, the 2034 Notes Supplemental Indenture and the 2037 Notes Supplemental Indenture relating to the Notes are filed as Exhibit 4.1, Exhibit 4.2 and Exhibit 4.3, respectively, to this Current Report on Form 8-K (including the forms of Notes included therein and filed as Exhibit 4.4, Exhibit 4.5 and Exhibit 4.6 hereto) and are incorporated herein by reference. The Base Indenture was previously filed as Exhibit 4.1 to the Company’s Current Report on Form 8-K filed on January 24, 2023 and is incorporated herein by reference. In addition, the legal opinion of Simpson Thacher &amp; Bartlett LLP relating to the Notes is filed as Exhibit 5.1 to this Current Report on Form 8-K and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is incorporated into this Item 2.03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herewith filed as exhibits to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Exhibit 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41.htm">
              <w:r>
                <w:rPr>
                  <w:rStyle w:val="InternetLink"/>
                </w:rPr>
                <w:t xml:space="preserve">2031 Notes Supplemental Indenture No. 1, dated as of June 16, 2026, among Dell International L.L.C., EMC Corporation, the guarantors party thereto and The Bank of New York Mellon Trust Company, N.A.,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42.htm">
              <w:r>
                <w:rPr>
                  <w:rStyle w:val="InternetLink"/>
                </w:rPr>
                <w:t xml:space="preserve">2034 Notes Supplemental Indenture No. 1, dated as of June 16, 2026, among Dell International L.L.C., EMC Corporation, the guarantors party thereto and The Bank of New York Mellon Trust Company, N.A.,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43.htm">
              <w:r>
                <w:rPr>
                  <w:rStyle w:val="InternetLink"/>
                </w:rPr>
                <w:t xml:space="preserve">2037 Notes Supplemental Indenture No. 1, dated as of June 16, 2026, among Dell International L.L.C., EMC Corporation, the guarantors party thereto and The Bank of New York Mellon Trust Company, N.A.,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41.htm">
              <w:r>
                <w:rPr>
                  <w:rStyle w:val="InternetLink"/>
                </w:rPr>
                <w:t xml:space="preserve">Form of Global Note for 4.750% Senior Notes due 2031 (included in Exhibit 4.1).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42.htm">
              <w:r>
                <w:rPr>
                  <w:rStyle w:val="InternetLink"/>
                </w:rPr>
                <w:t xml:space="preserve">Form of Global Note for 5.000% Senior Notes due 2034 (included in Exhibit 4.2).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4.6</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43.htm">
              <w:r>
                <w:rPr>
                  <w:rStyle w:val="InternetLink"/>
                </w:rPr>
                <w:t xml:space="preserve">Form of Global Note for 5.250% Senior Notes due 2037 (included in Exhibit 4.3).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51.htm">
              <w:r>
                <w:rPr>
                  <w:rStyle w:val="InternetLink"/>
                </w:rPr>
                <w:t xml:space="preserve">Opinion of Simpson Thacher &amp; Bartlett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0600dex51.htm">
              <w:r>
                <w:rPr>
                  <w:rStyle w:val="InternetLink"/>
                </w:rPr>
                <w:t xml:space="preserve">Consent of Simpson Thacher &amp; Bartlett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79" w:type="dxa"/>
        <w:jc w:val="left"/>
        <w:tblInd w:w="0" w:type="dxa"/>
        <w:tblLayout w:type="fixed"/>
        <w:tblCellMar>
          <w:top w:w="0" w:type="dxa"/>
          <w:left w:w="0" w:type="dxa"/>
          <w:bottom w:w="0" w:type="dxa"/>
          <w:right w:w="0" w:type="dxa"/>
        </w:tblCellMar>
      </w:tblPr>
      <w:tblGrid>
        <w:gridCol w:w="608"/>
        <w:gridCol w:w="961"/>
        <w:gridCol w:w="370"/>
        <w:gridCol w:w="60"/>
        <w:gridCol w:w="365"/>
        <w:gridCol w:w="60"/>
        <w:gridCol w:w="4355"/>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5"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pPr>
            <w:r>
              <w:rPr/>
              <w:t>Date: June 16,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b/>
              </w:rPr>
            </w:pPr>
            <w:r>
              <w:rPr>
                <w:b/>
              </w:rPr>
              <w:t>Dell Technologies Inc.</w:t>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415"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Garcia</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Christopher Garcia</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Senior Vice President and Assistant Secretary</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(Duly Authorized Officer)</w:t>
            </w:r>
          </w:p>
        </w:tc>
      </w:tr>
    </w:tbl>
    <w:p>
      <w:pPr>
        <w:pStyle w:val="TextBody"/>
        <w:bidi w:val="0"/>
        <w:spacing w:before="0" w:after="0"/>
        <w:jc w:val="right"/>
        <w:rPr>
          <w:rFonts w:ascii="Times New Roman" w:hAnsi="Times New Roman"/>
          <w:b/>
          <w:sz w:val="20"/>
        </w:rPr>
      </w:pPr>
      <w:bookmarkStart w:id="2" w:name="d20600dex41.htm"/>
      <w:bookmarkStart w:id="3" w:name="ksd20600dex41"/>
      <w:bookmarkEnd w:id="2"/>
      <w:bookmarkEnd w:id="3"/>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2031 NOTES SUPPLEMENTAL INDENTURE NO. 1 </w:t>
      </w:r>
    </w:p>
    <w:p>
      <w:pPr>
        <w:pStyle w:val="TextBody"/>
        <w:bidi w:val="0"/>
        <w:spacing w:before="240" w:after="0"/>
        <w:jc w:val="left"/>
        <w:rPr>
          <w:rFonts w:ascii="Times New Roman" w:hAnsi="Times New Roman"/>
          <w:sz w:val="20"/>
        </w:rPr>
      </w:pPr>
      <w:r>
        <w:rPr>
          <w:rFonts w:ascii="Times New Roman" w:hAnsi="Times New Roman"/>
          <w:sz w:val="20"/>
        </w:rPr>
        <w:t>This 2031 NOTES SUPPLEMENTAL INDENTURE NO. 1, dated as of June 16, 2026 (this “</w:t>
      </w:r>
      <w:r>
        <w:rPr>
          <w:rFonts w:ascii="Times New Roman" w:hAnsi="Times New Roman"/>
          <w:sz w:val="20"/>
          <w:u w:val="single"/>
        </w:rPr>
        <w:t>2031 Notes Supplemental Indenture</w:t>
      </w:r>
      <w:r>
        <w:rPr>
          <w:rFonts w:ascii="Times New Roman" w:hAnsi="Times New Roman"/>
          <w:sz w:val="20"/>
        </w:rPr>
        <w:t>”), is made and entered into among Dell International L.L.C., a Delaware limited liability company (“</w:t>
      </w:r>
      <w:r>
        <w:rPr>
          <w:rFonts w:ascii="Times New Roman" w:hAnsi="Times New Roman"/>
          <w:sz w:val="20"/>
          <w:u w:val="single"/>
        </w:rPr>
        <w:t>Dell International</w:t>
      </w:r>
      <w:r>
        <w:rPr>
          <w:rFonts w:ascii="Times New Roman" w:hAnsi="Times New Roman"/>
          <w:sz w:val="20"/>
        </w:rPr>
        <w:t>”), EMC Corporation, a Massachusetts corporation (“</w:t>
      </w:r>
      <w:r>
        <w:rPr>
          <w:rFonts w:ascii="Times New Roman" w:hAnsi="Times New Roman"/>
          <w:sz w:val="20"/>
          <w:u w:val="single"/>
        </w:rPr>
        <w:t>EMC</w:t>
      </w:r>
      <w:r>
        <w:rPr>
          <w:rFonts w:ascii="Times New Roman" w:hAnsi="Times New Roman"/>
          <w:sz w:val="20"/>
        </w:rPr>
        <w:t>” and, together with Dell International, the “</w:t>
      </w:r>
      <w:r>
        <w:rPr>
          <w:rFonts w:ascii="Times New Roman" w:hAnsi="Times New Roman"/>
          <w:sz w:val="20"/>
          <w:u w:val="single"/>
        </w:rPr>
        <w:t>Issuers</w:t>
      </w:r>
      <w:r>
        <w:rPr>
          <w:rFonts w:ascii="Times New Roman" w:hAnsi="Times New Roman"/>
          <w:sz w:val="20"/>
        </w:rPr>
        <w:t>”), the Guarantors (as defined below) and The Bank of New York Mellon Trust Company, N.A., a national banking association, as trustee (in such capacity, the “</w:t>
      </w:r>
      <w:r>
        <w:rPr>
          <w:rFonts w:ascii="Times New Roman" w:hAnsi="Times New Roman"/>
          <w:sz w:val="20"/>
          <w:u w:val="single"/>
        </w:rPr>
        <w:t>Trustee</w:t>
      </w:r>
      <w:r>
        <w:rPr>
          <w:rFonts w:ascii="Times New Roman" w:hAnsi="Times New Roman"/>
          <w:sz w:val="20"/>
        </w:rPr>
        <w:t xml:space="preserve">”). Capitalized terms used herein and not otherwise defined have the meanings set forth in the Base Indenture referred to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Section 9.01(15) of the Base Indenture, dated as of January 24, 2023, among the Issuers, the guarantors named therein (the “</w:t>
      </w:r>
      <w:r>
        <w:rPr>
          <w:rFonts w:ascii="Times New Roman" w:hAnsi="Times New Roman"/>
          <w:sz w:val="20"/>
          <w:u w:val="single"/>
        </w:rPr>
        <w:t>Guarantors</w:t>
      </w:r>
      <w:r>
        <w:rPr>
          <w:rFonts w:ascii="Times New Roman" w:hAnsi="Times New Roman"/>
          <w:sz w:val="20"/>
        </w:rPr>
        <w:t>”) and the Trustee (the “</w:t>
      </w:r>
      <w:r>
        <w:rPr>
          <w:rFonts w:ascii="Times New Roman" w:hAnsi="Times New Roman"/>
          <w:sz w:val="20"/>
          <w:u w:val="single"/>
        </w:rPr>
        <w:t>Base Indenture</w:t>
      </w:r>
      <w:r>
        <w:rPr>
          <w:rFonts w:ascii="Times New Roman" w:hAnsi="Times New Roman"/>
          <w:sz w:val="20"/>
        </w:rPr>
        <w:t>” and, together with this 2031 Notes Supplemental Indenture, the “</w:t>
      </w:r>
      <w:r>
        <w:rPr>
          <w:rFonts w:ascii="Times New Roman" w:hAnsi="Times New Roman"/>
          <w:sz w:val="20"/>
          <w:u w:val="single"/>
        </w:rPr>
        <w:t>Indenture</w:t>
      </w:r>
      <w:r>
        <w:rPr>
          <w:rFonts w:ascii="Times New Roman" w:hAnsi="Times New Roman"/>
          <w:sz w:val="20"/>
        </w:rPr>
        <w:t xml:space="preserve">”) provides that, without the consent of Holders, the Issuers, the Guarantors and the Trustee may enter into a supplemental indenture to the Base Indenture to establish the form or terms of Securities of any series pursuant to Section 2.01 of the Base Indenture. </w:t>
      </w:r>
    </w:p>
    <w:p>
      <w:pPr>
        <w:pStyle w:val="TextBody"/>
        <w:bidi w:val="0"/>
        <w:spacing w:before="240" w:after="0"/>
        <w:jc w:val="left"/>
        <w:rPr>
          <w:rFonts w:ascii="Times New Roman" w:hAnsi="Times New Roman"/>
          <w:sz w:val="20"/>
        </w:rPr>
      </w:pPr>
      <w:r>
        <w:rPr>
          <w:rFonts w:ascii="Times New Roman" w:hAnsi="Times New Roman"/>
          <w:sz w:val="20"/>
        </w:rPr>
        <w:t>B. The Issuers desire to issue $1,000,000,000 aggregate principal amount of 4.750% Senior Notes due 2031 (the “</w:t>
      </w:r>
      <w:r>
        <w:rPr>
          <w:rFonts w:ascii="Times New Roman" w:hAnsi="Times New Roman"/>
          <w:sz w:val="20"/>
          <w:u w:val="single"/>
        </w:rPr>
        <w:t>2031 Notes</w:t>
      </w:r>
      <w:r>
        <w:rPr>
          <w:rFonts w:ascii="Times New Roman" w:hAnsi="Times New Roman"/>
          <w:sz w:val="20"/>
        </w:rPr>
        <w:t xml:space="preserve">”), and in connection therewith, the Issuers have duly determined to make, execute and deliver to the Trustee this 2031 Notes Supplemental Indenture to set forth the terms and provisions of the 2031 Notes as required by the Base Indenture. This 2031 Notes Supplemental Indenture shall supplement the Base Indenture insofar as it will apply only to the 2031 Notes issued hereunder (and not to any other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and covenants set forth herein, the parties hereto agree, subject to the terms and conditions hereinafter set forth, as follows for the benefit of the Trustee and the Holders of the 2031 Notes: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2031 Notes</w:t>
      </w:r>
      <w:r>
        <w:rPr>
          <w:rFonts w:ascii="Times New Roman" w:hAnsi="Times New Roman"/>
          <w:sz w:val="20"/>
        </w:rPr>
        <w:t xml:space="preserve">. Pursuant to Section 2.01 of the Base Indenture, the terms and provisions of the 2031 Notes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title of the 2031 Notes shall be “4.750% Senior Notes due 2031.” </w:t>
      </w:r>
    </w:p>
    <w:p>
      <w:pPr>
        <w:pStyle w:val="TextBody"/>
        <w:bidi w:val="0"/>
        <w:spacing w:before="240" w:after="0"/>
        <w:jc w:val="left"/>
        <w:rPr>
          <w:rFonts w:ascii="Times New Roman" w:hAnsi="Times New Roman"/>
          <w:sz w:val="20"/>
        </w:rPr>
      </w:pPr>
      <w:r>
        <w:rPr>
          <w:rFonts w:ascii="Times New Roman" w:hAnsi="Times New Roman"/>
          <w:sz w:val="20"/>
        </w:rPr>
        <w:t>(b) The 2031 Notes shall be initially limited to $1,000,000,000 aggregate principal amount. The Issuers may, without the consent of the Holders of the 2031 Notes, increase such aggregate principal amount in the future, on the same terms and conditions, except for any differences in the issue date, issue price and, if applicable, the first Interest Payment Date and the first date from which interest will accrue. The 2031 Notes issued originally hereunder (the “</w:t>
      </w:r>
      <w:r>
        <w:rPr>
          <w:rFonts w:ascii="Times New Roman" w:hAnsi="Times New Roman"/>
          <w:sz w:val="20"/>
          <w:u w:val="single"/>
        </w:rPr>
        <w:t>Initial 2031 Notes</w:t>
      </w:r>
      <w:r>
        <w:rPr>
          <w:rFonts w:ascii="Times New Roman" w:hAnsi="Times New Roman"/>
          <w:sz w:val="20"/>
        </w:rPr>
        <w:t xml:space="preserve">”) and any Additional Securities of such series subsequently issued, shall be treated as a single class for purposes of the Indenture, including waivers, amendments, redemptions and offers to purchase; </w:t>
      </w:r>
      <w:r>
        <w:rPr>
          <w:rFonts w:ascii="Times New Roman" w:hAnsi="Times New Roman"/>
          <w:sz w:val="20"/>
          <w:u w:val="single"/>
        </w:rPr>
        <w:t>provided</w:t>
      </w:r>
      <w:r>
        <w:rPr>
          <w:rFonts w:ascii="Times New Roman" w:hAnsi="Times New Roman"/>
          <w:sz w:val="20"/>
        </w:rPr>
        <w:t xml:space="preserve"> that if any such Additional Securities are not fungible with the Initial 2031 Notes for U.S. federal income tax purposes, such Additional Securities will have a separate CUSIP number and ISIN number from the Initial 2031 Notes. </w:t>
      </w:r>
    </w:p>
    <w:p>
      <w:pPr>
        <w:pStyle w:val="TextBody"/>
        <w:bidi w:val="0"/>
        <w:spacing w:before="240" w:after="0"/>
        <w:jc w:val="left"/>
        <w:rPr>
          <w:rFonts w:ascii="Times New Roman" w:hAnsi="Times New Roman"/>
          <w:sz w:val="20"/>
        </w:rPr>
      </w:pPr>
      <w:r>
        <w:rPr>
          <w:rFonts w:ascii="Times New Roman" w:hAnsi="Times New Roman"/>
          <w:sz w:val="20"/>
        </w:rPr>
        <w:t xml:space="preserve">(c) The price at which the 2031 Notes shall be issued to the public is 99.563%. </w:t>
      </w:r>
    </w:p>
    <w:p>
      <w:pPr>
        <w:pStyle w:val="TextBody"/>
        <w:bidi w:val="0"/>
        <w:spacing w:before="240" w:after="0"/>
        <w:jc w:val="left"/>
        <w:rPr>
          <w:rFonts w:ascii="Times New Roman" w:hAnsi="Times New Roman"/>
          <w:sz w:val="20"/>
        </w:rPr>
      </w:pPr>
      <w:r>
        <w:rPr>
          <w:rFonts w:ascii="Times New Roman" w:hAnsi="Times New Roman"/>
          <w:sz w:val="20"/>
        </w:rPr>
        <w:t xml:space="preserve">(d) The Issuers’ actions and determinations in determining the Redemption Price shall be conclusive and binding, absent manifest error. The Trustee shall have no obligation to determine the Redemption Price or to verify the calculation of the Redemption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Stated Maturity for the 2031 Notes shall be on July 15, 2031. The 2031 Notes shall not require any principal or premium payments prior to the Stated Maturity. </w:t>
      </w:r>
    </w:p>
    <w:p>
      <w:pPr>
        <w:pStyle w:val="TextBody"/>
        <w:bidi w:val="0"/>
        <w:spacing w:before="240" w:after="0"/>
        <w:jc w:val="left"/>
        <w:rPr>
          <w:rFonts w:ascii="Times New Roman" w:hAnsi="Times New Roman"/>
          <w:sz w:val="20"/>
        </w:rPr>
      </w:pPr>
      <w:r>
        <w:rPr>
          <w:rFonts w:ascii="Times New Roman" w:hAnsi="Times New Roman"/>
          <w:sz w:val="20"/>
        </w:rPr>
        <w:t xml:space="preserve">(f) The rate at which the 2031 Notes shall bear interest shall be 4.750% per annum, as set forth in Section 1 of the form of 2031 Note attached hereto as Exhibit A. Interest on the 2031 Notes shall accrue from the most recent date to which interest has been paid, or, if no interest has been paid, from June 16, 2026. Each January 15 and July 15 in each year, commencing January 15, 2027, shall be an Interest Payment Date for the 2031 Notes. The January 1 or July 1 (whether or not a Business Day), as the case may be, immediately preceding an Interest Payment Date shall be the Record Date for the interest payable on such Interest Payment Date, even if such 2031 Notes are canceled after such record date and on or before such Interest Payment Date, except as provided in Section 2.12 of the Base Indenture with respect to defaulted interest. If an Interest Payment Date is a Legal Holiday at a place of payment, payment may be made at that place on the next succeeding day that is a Business Day, and no interest on such payment will accrue in respect of the delay. The Issuers shall pay interest on overdue principal at a rate equal to the then applicable interest rate on the 2031 Notes to the extent lawful, and the Issuers shall pay interest on overdue installments of interest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(g) Payments of principal of, premium, if any, and interest on the 2031 Notes represented by one or more Global Securities initially registered in the name of The Depository Trust Company (the “</w:t>
      </w:r>
      <w:r>
        <w:rPr>
          <w:rFonts w:ascii="Times New Roman" w:hAnsi="Times New Roman"/>
          <w:sz w:val="20"/>
          <w:u w:val="single"/>
        </w:rPr>
        <w:t>Depositary</w:t>
      </w:r>
      <w:r>
        <w:rPr>
          <w:rFonts w:ascii="Times New Roman" w:hAnsi="Times New Roman"/>
          <w:sz w:val="20"/>
        </w:rPr>
        <w:t xml:space="preserve">”) or its nominee with respect to the 2031 Notes shall be made by the Issuers through the Trustee in immediately available funds to the Depositary or its nominee,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(h) The 2031 Notes shall be redeemable in accordance with the terms and provisions set forth in </w:t>
      </w:r>
      <w:r>
        <w:rPr>
          <w:rFonts w:ascii="Times New Roman" w:hAnsi="Times New Roman"/>
          <w:sz w:val="20"/>
          <w:u w:val="single"/>
        </w:rPr>
        <w:t>Section 2</w:t>
      </w:r>
      <w:r>
        <w:rPr>
          <w:rFonts w:ascii="Times New Roman" w:hAnsi="Times New Roman"/>
          <w:sz w:val="20"/>
        </w:rPr>
        <w:t xml:space="preserve"> hereof and (to the extent they do not conflict with </w:t>
      </w:r>
      <w:r>
        <w:rPr>
          <w:rFonts w:ascii="Times New Roman" w:hAnsi="Times New Roman"/>
          <w:sz w:val="20"/>
          <w:u w:val="single"/>
        </w:rPr>
        <w:t>Section 2</w:t>
      </w:r>
      <w:r>
        <w:rPr>
          <w:rFonts w:ascii="Times New Roman" w:hAnsi="Times New Roman"/>
          <w:sz w:val="20"/>
        </w:rPr>
        <w:t xml:space="preserve"> hereof) the terms and provisions of Article 3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There shall be no mandatory sinking fund for the payments of the 2031 Notes. </w:t>
      </w:r>
    </w:p>
    <w:p>
      <w:pPr>
        <w:pStyle w:val="TextBody"/>
        <w:bidi w:val="0"/>
        <w:spacing w:before="240" w:after="0"/>
        <w:jc w:val="left"/>
        <w:rPr>
          <w:rFonts w:ascii="Times New Roman" w:hAnsi="Times New Roman"/>
          <w:sz w:val="20"/>
        </w:rPr>
      </w:pPr>
      <w:r>
        <w:rPr>
          <w:rFonts w:ascii="Times New Roman" w:hAnsi="Times New Roman"/>
          <w:sz w:val="20"/>
        </w:rPr>
        <w:t xml:space="preserve">(j) The 2031 Notes shall be represented by one or more Global Securities deposited with the Depositary and registered in the name of the nominee of the Depositary. The 2031 Notes, including the form of the certificate of authentication, shall be substantially in the form attached hereto as Exhibit A, the terms of which are incorporated by reference in this 2031 Notes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Bank of New York Mellon Trust Company, N.A. shall be the Trustee for the 2031 Notes. </w:t>
      </w:r>
    </w:p>
    <w:p>
      <w:pPr>
        <w:pStyle w:val="TextBody"/>
        <w:bidi w:val="0"/>
        <w:spacing w:before="240" w:after="0"/>
        <w:jc w:val="left"/>
        <w:rPr>
          <w:rFonts w:ascii="Times New Roman" w:hAnsi="Times New Roman"/>
          <w:sz w:val="20"/>
        </w:rPr>
      </w:pPr>
      <w:r>
        <w:rPr>
          <w:rFonts w:ascii="Times New Roman" w:hAnsi="Times New Roman"/>
          <w:sz w:val="20"/>
        </w:rPr>
        <w:t xml:space="preserve">(l) Article 10 of the Base Indenture shall apply to the 2031 Notes. </w:t>
      </w:r>
    </w:p>
    <w:p>
      <w:pPr>
        <w:pStyle w:val="TextBody"/>
        <w:bidi w:val="0"/>
        <w:spacing w:before="240" w:after="0"/>
        <w:jc w:val="left"/>
        <w:rPr>
          <w:rFonts w:ascii="Times New Roman" w:hAnsi="Times New Roman"/>
          <w:sz w:val="20"/>
        </w:rPr>
      </w:pPr>
      <w:r>
        <w:rPr>
          <w:rFonts w:ascii="Times New Roman" w:hAnsi="Times New Roman"/>
          <w:sz w:val="20"/>
        </w:rPr>
        <w:t xml:space="preserve">(m) The covenants set forth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shall apply to the 2031 Notes. Upon satisfaction of the conditions set forth in Section 8.03 of the Base Indenture, the Issuers and the Guarantors shall be released from their obligations under such covenants set forth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(n) The minimum authorized denomination for 2031 Notes shall be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(o) To the extent not set forth otherwise herein, the provisions of Article 2 of the Base Indenture are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Optional Redemption of the 2031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June 15, 2031 (the “</w:t>
      </w:r>
      <w:r>
        <w:rPr>
          <w:rFonts w:ascii="Times New Roman" w:hAnsi="Times New Roman"/>
          <w:sz w:val="20"/>
          <w:u w:val="single"/>
        </w:rPr>
        <w:t>Par Call Date</w:t>
      </w:r>
      <w:r>
        <w:rPr>
          <w:rFonts w:ascii="Times New Roman" w:hAnsi="Times New Roman"/>
          <w:sz w:val="20"/>
        </w:rPr>
        <w:t xml:space="preserve">”), the 2031 Notes will be redeemable, at any time, in whole or from time to time in part, at the Issuers’ option, at the Redemption Price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2031 Notes to be redeemed;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but excluding, the Redemption Date (assuming the 2031 Notes matured on the Par Call Date) on a semi-annual basis (assuming a 360-day year consisting of twelve 30-day months) at the Treasury Rate, plus 10 basis points less (b) interest accrued to the Redemption Date; </w:t>
            </w:r>
          </w:p>
        </w:tc>
      </w:tr>
    </w:tbl>
    <w:p>
      <w:pPr>
        <w:pStyle w:val="TextBody"/>
        <w:bidi w:val="0"/>
        <w:spacing w:before="240" w:after="0"/>
        <w:jc w:val="left"/>
        <w:rPr>
          <w:rFonts w:ascii="Times New Roman" w:hAnsi="Times New Roman"/>
          <w:sz w:val="20"/>
        </w:rPr>
      </w:pPr>
      <w:r>
        <w:rPr>
          <w:rFonts w:ascii="Times New Roman" w:hAnsi="Times New Roman"/>
          <w:sz w:val="20"/>
          <w:u w:val="single"/>
        </w:rPr>
        <w:t>plus</w:t>
      </w:r>
      <w:r>
        <w:rPr>
          <w:rFonts w:ascii="Times New Roman" w:hAnsi="Times New Roman"/>
          <w:sz w:val="20"/>
        </w:rPr>
        <w:t xml:space="preserve">, in either case, accrued and unpaid interest thereon to, but excluding, the Redemption Date. Notwithstanding the foregoing, installments of interest on the 2031 Notes to be redeemed that are due and payable on Interest Payment Dates falling on or prior to a Redemption Date will be payable on the Interest Payment Date to the registered Holders as of the close of business on the relevant Record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Par Call Date, the Issuers may redeem the 2031 Notes, in whole or in part, at any time and from time to time, at a Redemption Price equal to 100% of the principal amount of the 2031 Notes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A notice of redemption need not set forth the exact Redemption Price but only the manner of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pursuant to this </w:t>
      </w:r>
      <w:r>
        <w:rPr>
          <w:rFonts w:ascii="Times New Roman" w:hAnsi="Times New Roman"/>
          <w:sz w:val="20"/>
          <w:u w:val="single"/>
        </w:rPr>
        <w:t>Section 2</w:t>
      </w:r>
      <w:r>
        <w:rPr>
          <w:rFonts w:ascii="Times New Roman" w:hAnsi="Times New Roman"/>
          <w:sz w:val="20"/>
        </w:rPr>
        <w:t xml:space="preserve"> shall be made pursuant to the provisions of Sections 3.01 through 3.06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Adjusted Current Liabilities</w:t>
      </w:r>
      <w:r>
        <w:rPr>
          <w:rFonts w:ascii="Times New Roman" w:hAnsi="Times New Roman"/>
          <w:sz w:val="20"/>
        </w:rPr>
        <w:t xml:space="preserve">” has the meaning set forth for such term in the definition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Aggregate Debt</w:t>
      </w:r>
      <w:r>
        <w:rPr>
          <w:rFonts w:ascii="Times New Roman" w:hAnsi="Times New Roman"/>
          <w:sz w:val="20"/>
        </w:rPr>
        <w:t xml:space="preserve">” means, as of the date of determination, the sum of (1) the aggregate principal amount of indebtedness of the Issuers and their Restricted Subsidiaries secured by Liens (other than Permitted Liens) that is not permitted by </w:t>
      </w:r>
      <w:r>
        <w:rPr>
          <w:rFonts w:ascii="Times New Roman" w:hAnsi="Times New Roman"/>
          <w:sz w:val="20"/>
          <w:u w:val="single"/>
        </w:rPr>
        <w:t>Section 5(a)</w:t>
      </w:r>
      <w:r>
        <w:rPr>
          <w:rFonts w:ascii="Times New Roman" w:hAnsi="Times New Roman"/>
          <w:sz w:val="20"/>
        </w:rPr>
        <w:t xml:space="preserve"> hereof and (2) the Attributable Indebtedness of the Issuers and their Restricted Subsidiaries in respect of Sale and Lease-Back Transactions entered into pursuant to </w:t>
      </w:r>
      <w:r>
        <w:rPr>
          <w:rFonts w:ascii="Times New Roman" w:hAnsi="Times New Roman"/>
          <w:sz w:val="20"/>
          <w:u w:val="single"/>
        </w:rPr>
        <w:t>Section 4(b)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Alternate Offer</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Attributable Indebtedness</w:t>
      </w:r>
      <w:r>
        <w:rPr>
          <w:rFonts w:ascii="Times New Roman" w:hAnsi="Times New Roman"/>
          <w:sz w:val="20"/>
        </w:rPr>
        <w:t xml:space="preserve">”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2031 Notes outstanding pursuant to the Indenture compounded semi-annually, or (c) if the obligation with respect to the Sale and Lease-Back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Change of Control</w:t>
      </w:r>
      <w:r>
        <w:rPr>
          <w:rFonts w:ascii="Times New Roman" w:hAnsi="Times New Roman"/>
          <w:sz w:val="20"/>
        </w:rPr>
        <w:t xml:space="preserve">” means the occurrence of one or more of the following events after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(1) the sale, lease or transfer, in one or a series of related transactions, of all or substantially all of the assets of Parent and its Subsidiaries, taken as a whole, to any Person other than any Permitted Holders; </w:t>
      </w:r>
    </w:p>
    <w:p>
      <w:pPr>
        <w:pStyle w:val="TextBody"/>
        <w:bidi w:val="0"/>
        <w:spacing w:before="120" w:after="0"/>
        <w:jc w:val="left"/>
        <w:rPr>
          <w:rFonts w:ascii="Times New Roman" w:hAnsi="Times New Roman"/>
          <w:sz w:val="20"/>
        </w:rPr>
      </w:pPr>
      <w:r>
        <w:rPr>
          <w:rFonts w:ascii="Times New Roman" w:hAnsi="Times New Roman"/>
          <w:sz w:val="20"/>
        </w:rPr>
        <w:t xml:space="preserve">(2) 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 </w:t>
      </w:r>
    </w:p>
    <w:p>
      <w:pPr>
        <w:pStyle w:val="TextBody"/>
        <w:bidi w:val="0"/>
        <w:spacing w:before="120" w:after="0"/>
        <w:jc w:val="left"/>
        <w:rPr>
          <w:rFonts w:ascii="Times New Roman" w:hAnsi="Times New Roman"/>
          <w:sz w:val="20"/>
        </w:rPr>
      </w:pPr>
      <w:r>
        <w:rPr>
          <w:rFonts w:ascii="Times New Roman" w:hAnsi="Times New Roman"/>
          <w:sz w:val="20"/>
        </w:rPr>
        <w:t xml:space="preserve">(3) 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(4) either of the Issuers shall cease to be a direct or indirect Subsidiary of Parent; or </w:t>
      </w:r>
    </w:p>
    <w:p>
      <w:pPr>
        <w:pStyle w:val="TextBody"/>
        <w:bidi w:val="0"/>
        <w:spacing w:before="120" w:after="0"/>
        <w:jc w:val="left"/>
        <w:rPr>
          <w:rFonts w:ascii="Times New Roman" w:hAnsi="Times New Roman"/>
          <w:sz w:val="20"/>
        </w:rPr>
      </w:pPr>
      <w:r>
        <w:rPr>
          <w:rFonts w:ascii="Times New Roman" w:hAnsi="Times New Roman"/>
          <w:sz w:val="20"/>
        </w:rPr>
        <w:t xml:space="preserve">(5) the adoption by Parent of a plan providing for its liquidation or dissolution.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of Control Offer</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Change of Control Payment</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 Payment Date</w:t>
      </w:r>
      <w:r>
        <w:rPr>
          <w:rFonts w:ascii="Times New Roman" w:hAnsi="Times New Roman"/>
          <w:sz w:val="20"/>
        </w:rPr>
        <w:t xml:space="preserve">” has the meaning set forth for such term in </w:t>
      </w:r>
      <w:r>
        <w:rPr>
          <w:rFonts w:ascii="Times New Roman" w:hAnsi="Times New Roman"/>
          <w:sz w:val="20"/>
          <w:u w:val="single"/>
        </w:rPr>
        <w:t>Section 6(a)(2)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Change of Control Triggering Event</w:t>
      </w:r>
      <w:r>
        <w:rPr>
          <w:rFonts w:ascii="Times New Roman" w:hAnsi="Times New Roman"/>
          <w:sz w:val="20"/>
        </w:rPr>
        <w:t xml:space="preserve">” means the occurrence of both a Change of Control and a Rating Decline.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Consolidated Net Tangible Assets</w:t>
      </w:r>
      <w:r>
        <w:rPr>
          <w:rFonts w:ascii="Times New Roman" w:hAnsi="Times New Roman"/>
          <w:sz w:val="20"/>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Times New Roman" w:hAnsi="Times New Roman"/>
          <w:sz w:val="20"/>
          <w:u w:val="single"/>
        </w:rPr>
        <w:t>Adjusted Current Liabilities</w:t>
      </w:r>
      <w:r>
        <w:rPr>
          <w:rFonts w:ascii="Times New Roman" w:hAnsi="Times New Roman"/>
          <w:sz w:val="20"/>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Times New Roman" w:hAnsi="Times New Roman"/>
          <w:sz w:val="20"/>
          <w:u w:val="single"/>
        </w:rPr>
        <w:t>Intangible Assets</w:t>
      </w:r>
      <w:r>
        <w:rPr>
          <w:rFonts w:ascii="Times New Roman" w:hAnsi="Times New Roman"/>
          <w:sz w:val="20"/>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Times New Roman" w:hAnsi="Times New Roman"/>
          <w:sz w:val="20"/>
          <w:u w:val="single"/>
        </w:rPr>
        <w:t>provided</w:t>
      </w:r>
      <w:r>
        <w:rPr>
          <w:rFonts w:ascii="Times New Roman" w:hAnsi="Times New Roman"/>
          <w:sz w:val="20"/>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Domestic Subsidiary</w:t>
      </w:r>
      <w:r>
        <w:rPr>
          <w:rFonts w:ascii="Times New Roman" w:hAnsi="Times New Roman"/>
          <w:sz w:val="20"/>
        </w:rPr>
        <w:t xml:space="preserve">” means any Subsidiary (other than a Foreign Subsidiary) that is organized or existing under the laws of the United States, any state or territory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Fitch</w:t>
      </w:r>
      <w:r>
        <w:rPr>
          <w:rFonts w:ascii="Times New Roman" w:hAnsi="Times New Roman"/>
          <w:sz w:val="20"/>
        </w:rPr>
        <w:t xml:space="preserve">” means Fitch Inc. and any successor to its rating agency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Foreign Subsidiary</w:t>
      </w:r>
      <w:r>
        <w:rPr>
          <w:rFonts w:ascii="Times New Roman" w:hAnsi="Times New Roman"/>
          <w:sz w:val="20"/>
        </w:rPr>
        <w:t xml:space="preserve">” means any Subsidiary that is not organized under the laws of the United States of America or any state or territory thereof or the District of Columbia and any Subsidiary of such Foreign Subsidiary.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H.15</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H.15 TCM</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Hedging Obligations</w:t>
      </w:r>
      <w:r>
        <w:rPr>
          <w:rFonts w:ascii="Times New Roman" w:hAnsi="Times New Roman"/>
          <w:sz w:val="20"/>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Intangible Assets</w:t>
      </w:r>
      <w:r>
        <w:rPr>
          <w:rFonts w:ascii="Times New Roman" w:hAnsi="Times New Roman"/>
          <w:sz w:val="20"/>
        </w:rPr>
        <w:t xml:space="preserve">” has the meaning set forth for such term in the definition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Investment Grade Rating</w:t>
      </w:r>
      <w:r>
        <w:rPr>
          <w:rFonts w:ascii="Times New Roman" w:hAnsi="Times New Roman"/>
          <w:sz w:val="20"/>
        </w:rPr>
        <w:t xml:space="preserve">” means a rating equal to or higher than Baa3 (or the equivalent) by Moody’s, BBB- (or the equivalent) by S&amp;P and BBB- (or the equivalent) by Fitch, or the equivalent investment grade credit rating from any other Rating Agency substituted for Moody’s, S&amp;P or Fitch pursuant to clause (2) of the definition of “Rating Agency.”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Investors</w:t>
      </w:r>
      <w:r>
        <w:rPr>
          <w:rFonts w:ascii="Times New Roman" w:hAnsi="Times New Roman"/>
          <w:sz w:val="20"/>
        </w:rPr>
        <w:t xml:space="preserve">”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Silver Lake Technology Investors V, L.P., Silver Lake Partners V DE (AIV), L.P., SL SPV-2, L.P., Silver Lake Group, L.L.C. and their Affiliates and any funds, partnerships or other co-investment vehicles managed, advised or controlled by the foregoing or their respective Affiliates, excluding, in each case, Denali Intermediate Inc. and its Subsidiaries and any portfolio companies of any of the foregoing.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Master Agreement</w:t>
      </w:r>
      <w:r>
        <w:rPr>
          <w:rFonts w:ascii="Times New Roman" w:hAnsi="Times New Roman"/>
          <w:sz w:val="20"/>
        </w:rPr>
        <w:t xml:space="preserve">” has the meaning set forth for such term in the definition of “Hedging Obligations.”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Nonrecourse Obligation</w:t>
      </w:r>
      <w:r>
        <w:rPr>
          <w:rFonts w:ascii="Times New Roman" w:hAnsi="Times New Roman"/>
          <w:sz w:val="20"/>
        </w:rPr>
        <w:t xml:space="preserve">”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Note Guarantee</w:t>
      </w:r>
      <w:r>
        <w:rPr>
          <w:rFonts w:ascii="Times New Roman" w:hAnsi="Times New Roman"/>
          <w:sz w:val="20"/>
        </w:rPr>
        <w:t xml:space="preserve">” means any Guarantor’s Security Guarantee with respect to the Issuers’ Obligations under the Indenture and the 2031 Notes.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Par Call Date</w:t>
      </w:r>
      <w:r>
        <w:rPr>
          <w:rFonts w:ascii="Times New Roman" w:hAnsi="Times New Roman"/>
          <w:sz w:val="20"/>
        </w:rPr>
        <w:t xml:space="preserve">” has the meaning set forth for such term in Section 2(a).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Parent Entity</w:t>
      </w:r>
      <w:r>
        <w:rPr>
          <w:rFonts w:ascii="Times New Roman" w:hAnsi="Times New Roman"/>
          <w:sz w:val="20"/>
        </w:rPr>
        <w:t xml:space="preserve">” means any Person that, with respect to another Person, owns more than 50% of the total voting power of the Voting Stock entitled to vote for the election of directors of such other Person having a majority of the aggregate votes on the Board of such other Person.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Permitted Holders</w:t>
      </w:r>
      <w:r>
        <w:rPr>
          <w:rFonts w:ascii="Times New Roman" w:hAnsi="Times New Roman"/>
          <w:sz w:val="20"/>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Times New Roman" w:hAnsi="Times New Roman"/>
          <w:sz w:val="20"/>
          <w:u w:val="single"/>
        </w:rPr>
        <w:t>provided</w:t>
      </w:r>
      <w:r>
        <w:rPr>
          <w:rFonts w:ascii="Times New Roman" w:hAnsi="Times New Roman"/>
          <w:sz w:val="20"/>
        </w:rPr>
        <w:t xml:space="preserve">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14(d)(2) 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in effect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Obligations in respect of 2031 Notes outstanding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(3) 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 </w:t>
      </w:r>
    </w:p>
    <w:p>
      <w:pPr>
        <w:pStyle w:val="TextBody"/>
        <w:bidi w:val="0"/>
        <w:spacing w:before="120" w:after="0"/>
        <w:jc w:val="left"/>
        <w:rPr>
          <w:rFonts w:ascii="Times New Roman" w:hAnsi="Times New Roman"/>
          <w:sz w:val="20"/>
        </w:rPr>
      </w:pPr>
      <w:r>
        <w:rPr>
          <w:rFonts w:ascii="Times New Roman" w:hAnsi="Times New Roman"/>
          <w:sz w:val="20"/>
        </w:rPr>
        <w:t xml:space="preserve">(4) 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 </w:t>
      </w:r>
    </w:p>
    <w:p>
      <w:pPr>
        <w:pStyle w:val="TextBody"/>
        <w:bidi w:val="0"/>
        <w:spacing w:before="120" w:after="0"/>
        <w:jc w:val="left"/>
        <w:rPr>
          <w:rFonts w:ascii="Times New Roman" w:hAnsi="Times New Roman"/>
          <w:sz w:val="20"/>
        </w:rPr>
      </w:pPr>
      <w:r>
        <w:rPr>
          <w:rFonts w:ascii="Times New Roman" w:hAnsi="Times New Roman"/>
          <w:sz w:val="20"/>
        </w:rPr>
        <w:t xml:space="preserve">(6) Liens arising from Uniform Commercial Code financing statements, including precautionary financing statements, or any similar filings made in respect of Non-Financing Lease Obligations or consignments entered into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(7) Liens securing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(8) Liens on property or assets used to defease or to irrevocably satisfy and discharge indebtedness; </w:t>
      </w:r>
    </w:p>
    <w:p>
      <w:pPr>
        <w:pStyle w:val="TextBody"/>
        <w:bidi w:val="0"/>
        <w:spacing w:before="120" w:after="0"/>
        <w:jc w:val="left"/>
        <w:rPr>
          <w:rFonts w:ascii="Times New Roman" w:hAnsi="Times New Roman"/>
          <w:sz w:val="20"/>
        </w:rPr>
      </w:pPr>
      <w:r>
        <w:rPr>
          <w:rFonts w:ascii="Times New Roman" w:hAnsi="Times New Roman"/>
          <w:sz w:val="20"/>
        </w:rPr>
        <w:t xml:space="preserve">(9) Liens created in connection with a project financed with, and created to secure, a Nonrecourse Obligation; </w:t>
      </w:r>
    </w:p>
    <w:p>
      <w:pPr>
        <w:pStyle w:val="TextBody"/>
        <w:bidi w:val="0"/>
        <w:spacing w:before="120" w:after="0"/>
        <w:jc w:val="left"/>
        <w:rPr>
          <w:rFonts w:ascii="Times New Roman" w:hAnsi="Times New Roman"/>
          <w:sz w:val="20"/>
        </w:rPr>
      </w:pPr>
      <w:r>
        <w:rPr>
          <w:rFonts w:ascii="Times New Roman" w:hAnsi="Times New Roman"/>
          <w:sz w:val="20"/>
        </w:rPr>
        <w:t xml:space="preserve">(10) Liens relating to future escrow arrangements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(11) Liens solely on any cash earnest money deposits made by Parent or any of its Subsidiaries in connection with any letter of intent or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(12) 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Times New Roman" w:hAnsi="Times New Roman"/>
          <w:sz w:val="20"/>
          <w:u w:val="single"/>
        </w:rPr>
        <w:t>provided</w:t>
      </w:r>
      <w:r>
        <w:rPr>
          <w:rFonts w:ascii="Times New Roman" w:hAnsi="Times New Roman"/>
          <w:sz w:val="20"/>
        </w:rPr>
        <w:t xml:space="preserve"> that Liens securing indebtedness permitted to be incurred pursuant to this clause (12)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 w:hAnsi="Times New Roman"/>
          <w:sz w:val="20"/>
          <w:u w:val="single"/>
        </w:rPr>
        <w:t>provided</w:t>
      </w:r>
      <w:r>
        <w:rPr>
          <w:rFonts w:ascii="Times New Roman" w:hAnsi="Times New Roman"/>
          <w:sz w:val="20"/>
        </w:rPr>
        <w:t xml:space="preserve">, however, that individual financings of equipment provided by one lender may be cross collateralized to other financings of equipment provided by such lender; </w:t>
      </w:r>
    </w:p>
    <w:p>
      <w:pPr>
        <w:pStyle w:val="TextBody"/>
        <w:bidi w:val="0"/>
        <w:spacing w:before="120" w:after="0"/>
        <w:jc w:val="left"/>
        <w:rPr>
          <w:rFonts w:ascii="Times New Roman" w:hAnsi="Times New Roman"/>
          <w:sz w:val="20"/>
        </w:rPr>
      </w:pPr>
      <w:r>
        <w:rPr>
          <w:rFonts w:ascii="Times New Roman" w:hAnsi="Times New Roman"/>
          <w:sz w:val="20"/>
        </w:rPr>
        <w:t xml:space="preserve">(13) Liens in favor of Parent or any of its Subsidiaries or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(14) 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such modification, refinancing, refunding, extension, renewal or replacement); provided, however,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definition, (i) a Lien need not be incurred solely by reference to one category of Permitted Liens described in this definition but is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the term “indebtedness” shall be deemed to include interest on such indebtedness.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Permitted Parent</w:t>
      </w:r>
      <w:r>
        <w:rPr>
          <w:rFonts w:ascii="Times New Roman" w:hAnsi="Times New Roman"/>
          <w:sz w:val="20"/>
        </w:rPr>
        <w:t xml:space="preserve">” means any Parent Entity that at the time it became a Parent Entity of Parent was a Permitted Holder pursuant to clause (1) of the definition thereof and was not formed in connection with, or in contemplation of, a transaction that would otherwise constitute a Change of Control.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Permitted Plan</w:t>
      </w:r>
      <w:r>
        <w:rPr>
          <w:rFonts w:ascii="Times New Roman" w:hAnsi="Times New Roman"/>
          <w:sz w:val="20"/>
        </w:rPr>
        <w:t xml:space="preserve">” means any employee benefits plan of Parent or its Affiliates and any Person acting in its capacity as trustee, agent or other fiduciary or administrator of any such plan.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Principal Property</w:t>
      </w:r>
      <w:r>
        <w:rPr>
          <w:rFonts w:ascii="Times New Roman" w:hAnsi="Times New Roman"/>
          <w:sz w:val="20"/>
        </w:rPr>
        <w:t xml:space="preserve">”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Rating Agency</w:t>
      </w:r>
      <w:r>
        <w:rPr>
          <w:rFonts w:ascii="Times New Roman" w:hAnsi="Times New Roman"/>
          <w:sz w:val="20"/>
        </w:rPr>
        <w:t xml:space="preserve">” means (1) S&amp;P, Moody’s and Fitch or (2) if S&amp;P, Moody’s or Fitch or each of them shall not make a corporate rating with respect to the Issuers (or any Guarantor) or a rating on the 2031 Notes publicly available, a nationally recognized statistical rating agency or agencies, as the case may be, selected by Parent, which shall be substituted for any or all of S&amp;P, Moody’s or Fitch, as the case may be, with respect to such corporate rating or the rating of the 2031 Notes, as the case may be.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Rating Decline</w:t>
      </w:r>
      <w:r>
        <w:rPr>
          <w:rFonts w:ascii="Times New Roman" w:hAnsi="Times New Roman"/>
          <w:sz w:val="20"/>
        </w:rPr>
        <w:t xml:space="preserve">” means the occurrence of a decrease in the rating of the 2031 Notes by one or more gradations by any two of three Rating Agencies (including gradations within the rating categories, as well as between categories), within 60 days after the earliest of (x) a Change of Control, (y) the date of public notice of the occurrence of a Change of Control and (z) public notice of the intention of Parent to effect a Change of Control (which 60-day period shall be extended so long as the rating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2031 Notes is under publicly announced ratings review for possible downgrade by either of such two Rating Agencies, it being understood that a change in ratings outlook shall not extend such 60-day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a Rating Decline shall not be deemed to have occurred so long as the 2031 Notes have an Investment Grade Rating from at least two of three Rating Agencies.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responsible for monitoring, or charged with knowledge of, the ratings of the 2031 Notes.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Remaining Life</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Subsidiary</w:t>
      </w:r>
      <w:r>
        <w:rPr>
          <w:rFonts w:ascii="Times New Roman" w:hAnsi="Times New Roman"/>
          <w:sz w:val="20"/>
        </w:rPr>
        <w:t xml:space="preserve">” means (1) any Subsidiary of an Issuer that (a) is a Wholly-Owned Subsidiary, (b) is a Domestic Subsidiary and (c) directly owns or directly leases any Principal Property and (2) any other Subsidiary that the Board of any Issuer may designate as a Restricted Subsidiary; </w:t>
      </w:r>
      <w:r>
        <w:rPr>
          <w:rFonts w:ascii="Times New Roman" w:hAnsi="Times New Roman"/>
          <w:sz w:val="20"/>
          <w:u w:val="single"/>
        </w:rPr>
        <w:t>provided</w:t>
      </w:r>
      <w:r>
        <w:rPr>
          <w:rFonts w:ascii="Times New Roman" w:hAnsi="Times New Roman"/>
          <w:sz w:val="20"/>
        </w:rPr>
        <w:t xml:space="preserve"> that “Restricted Subsidiary” shall not include Dell Financial Services L.L.C. or any other Subsidiary that is principally engaged in financing receivables, securitization transactions, factoring or other similar transactions.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S&amp;P</w:t>
      </w:r>
      <w:r>
        <w:rPr>
          <w:rFonts w:ascii="Times New Roman" w:hAnsi="Times New Roman"/>
          <w:sz w:val="20"/>
        </w:rPr>
        <w:t xml:space="preserve">” means S&amp;P Global Ratings Inc. and any successor to its rating agency business.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Sale and Lease-Back Transaction</w:t>
      </w:r>
      <w:r>
        <w:rPr>
          <w:rFonts w:ascii="Times New Roman" w:hAnsi="Times New Roman"/>
          <w:sz w:val="20"/>
        </w:rPr>
        <w:t xml:space="preserve">”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Second Change of Control Payment Date</w:t>
      </w:r>
      <w:r>
        <w:rPr>
          <w:rFonts w:ascii="Times New Roman" w:hAnsi="Times New Roman"/>
          <w:sz w:val="20"/>
        </w:rPr>
        <w:t xml:space="preserve">” has the meaning set forth for such term in </w:t>
      </w:r>
      <w:r>
        <w:rPr>
          <w:rFonts w:ascii="Times New Roman" w:hAnsi="Times New Roman"/>
          <w:sz w:val="20"/>
          <w:u w:val="single"/>
        </w:rPr>
        <w:t>Section 6(d)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Issuers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 xml:space="preserve">(1) 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Issuers shall select, as applicable: (1) the yield for the Treasury constant maturity on H.15 exactly equal to the period from the Redemption Date to the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Voting Stock</w:t>
      </w:r>
      <w:r>
        <w:rPr>
          <w:rFonts w:ascii="Times New Roman" w:hAnsi="Times New Roman"/>
          <w:sz w:val="20"/>
        </w:rPr>
        <w:t xml:space="preserve">” of any Person as of any date means the Capital Stock of such Person that is at the time entitled to vote in the election of the Board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Sale and Lease-Back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Issuers shall not, and shall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2031 Notes pursuant to </w:t>
      </w:r>
      <w:r>
        <w:rPr>
          <w:rFonts w:ascii="Times New Roman" w:hAnsi="Times New Roman"/>
          <w:sz w:val="20"/>
          <w:u w:val="single"/>
        </w:rPr>
        <w:t>Section 5(a)</w:t>
      </w:r>
      <w:r>
        <w:rPr>
          <w:rFonts w:ascii="Times New Roman" w:hAnsi="Times New Roman"/>
          <w:sz w:val="20"/>
        </w:rPr>
        <w:t xml:space="preserve"> hereof, or (b) the Issuers shall apply an amount equal to the net proceeds of the Attributable Indebtedness with respect to such Sale and Lease-Back Transaction within 365 days after such Sale and Lease-Back Transaction to the defeasance or retirement of any 2031 Notes or other indebtedness of the Issuers or a Restricted Subsidiary or to the purchase, construction or development of other assets or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foregoing, the Issuers and their Restricted Subsidiaries may enter into any Sale and Lease-Back Transaction which would otherwise be prohibited by </w:t>
      </w:r>
      <w:r>
        <w:rPr>
          <w:rFonts w:ascii="Times New Roman" w:hAnsi="Times New Roman"/>
          <w:sz w:val="20"/>
          <w:u w:val="single"/>
        </w:rPr>
        <w:t>Section 4(a)</w:t>
      </w:r>
      <w:r>
        <w:rPr>
          <w:rFonts w:ascii="Times New Roman" w:hAnsi="Times New Roman"/>
          <w:sz w:val="20"/>
        </w:rPr>
        <w:t xml:space="preserve"> hereof if, after giving effect thereto and at the time of determination, Aggregate Debt does not exceed at any one time outstanding the greater of (x) $4,300.0 million and (y)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Issuers shall not, and shall not permit any of their Restricted Subsidiaries to, directly or indirectly, create, incur or assume any Lien (except Permitted Liens) on any of their or any Restricted Subsidiary’s Principal Property (whether such Principal Property is now existing or owned or hereafter created or acquired) that secures indebtedness for borrowed money, unless the 2031 Notes are equally and ratably secured with (or, at an Issuer’s option, on a senior basis to) the indebtedness so secured.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5(a)</w:t>
      </w:r>
      <w:r>
        <w:rPr>
          <w:rFonts w:ascii="Times New Roman" w:hAnsi="Times New Roman"/>
          <w:sz w:val="20"/>
        </w:rPr>
        <w:t xml:space="preserve"> hereof, the Issuers and their Restricted Subsidiaries may, without equally and ratably securing the 2031 Notes, create, incur or assume any Lien which would otherwise be prohibited by </w:t>
      </w:r>
      <w:r>
        <w:rPr>
          <w:rFonts w:ascii="Times New Roman" w:hAnsi="Times New Roman"/>
          <w:sz w:val="20"/>
          <w:u w:val="single"/>
        </w:rPr>
        <w:t>Section 5(a)</w:t>
      </w:r>
      <w:r>
        <w:rPr>
          <w:rFonts w:ascii="Times New Roman" w:hAnsi="Times New Roman"/>
          <w:sz w:val="20"/>
        </w:rPr>
        <w:t xml:space="preserve"> hereof if, after giving effect thereto and at the time of determination, Aggregate Debt of the Issuers and their Restricted Subsidiaries secured by Liens on any of their respective Principal Properties does not exceed at any one time outstanding the greater of (x) $4,300.0 million and (y)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(c) Any Lien created for the benefit of the Holders of any 2031 Notes pursuant to </w:t>
      </w:r>
      <w:r>
        <w:rPr>
          <w:rFonts w:ascii="Times New Roman" w:hAnsi="Times New Roman"/>
          <w:sz w:val="20"/>
          <w:u w:val="single"/>
        </w:rPr>
        <w:t>Section 5(a)</w:t>
      </w:r>
      <w:r>
        <w:rPr>
          <w:rFonts w:ascii="Times New Roman" w:hAnsi="Times New Roman"/>
          <w:sz w:val="20"/>
        </w:rPr>
        <w:t xml:space="preserve"> hereof shall provide by its terms that such Lien shall be automatically and unconditionally released and discharged upon the release and discharge of the Lien that gave rise to the obligation to secure the 2031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Change of Control Triggering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Change of Control Triggering Event occurs, unless, prior to or concurrently with the time the Issuers are required to make a Change of Control Offer, the Issuers have mailed or delivered, or otherwise sent through electronic transmission, a redemption notice with respect to all the outstanding 2031 Notes pursuant to the optional redemption terms set forth in the Officer’s Certificate, supplemental indenture or resolutions of the Issuers’ Boards, as applicable, governing the 2031 Notes or pursuant to Section 11.01 of the Base Indenture, the Issuers shall make an offer to purchase all of the 2031 Notes pursuant to the offer described below (the “</w:t>
      </w:r>
      <w:r>
        <w:rPr>
          <w:rFonts w:ascii="Times New Roman" w:hAnsi="Times New Roman"/>
          <w:sz w:val="20"/>
          <w:u w:val="single"/>
        </w:rPr>
        <w:t>Change of Control Offer</w:t>
      </w:r>
      <w:r>
        <w:rPr>
          <w:rFonts w:ascii="Times New Roman" w:hAnsi="Times New Roman"/>
          <w:sz w:val="20"/>
        </w:rPr>
        <w:t>”) at a price in cash equal to 101% of the aggregate principal amount thereof (or such higher amount as the Issuers may determine (any Change of Control Offer at a higher amount, an “</w:t>
      </w:r>
      <w:r>
        <w:rPr>
          <w:rFonts w:ascii="Times New Roman" w:hAnsi="Times New Roman"/>
          <w:sz w:val="20"/>
          <w:u w:val="single"/>
        </w:rPr>
        <w:t>Alternate Offer</w:t>
      </w:r>
      <w:r>
        <w:rPr>
          <w:rFonts w:ascii="Times New Roman" w:hAnsi="Times New Roman"/>
          <w:sz w:val="20"/>
        </w:rPr>
        <w:t>”)) (such price, the “</w:t>
      </w:r>
      <w:r>
        <w:rPr>
          <w:rFonts w:ascii="Times New Roman" w:hAnsi="Times New Roman"/>
          <w:sz w:val="20"/>
          <w:u w:val="single"/>
        </w:rPr>
        <w:t>Change of Control Payment</w:t>
      </w:r>
      <w:r>
        <w:rPr>
          <w:rFonts w:ascii="Times New Roman" w:hAnsi="Times New Roman"/>
          <w:sz w:val="20"/>
        </w:rPr>
        <w:t xml:space="preserve">”) plus accrued and unpaid interest, if any, to, but excluding the date of purchase, subject to the right of Holders of record on the relevant Record Date to receive interest due on the relevant Interest Payment Date falling on or prior to the Change of Control Payment Date. Within 30 days following any Change of Control Triggering Event, the Issuers shall send notice of such Change of Control Offer by electronic delivery or first-class mail, with a copy to the Trustee, to each Holder of the 2031 Notes to the address of such Holder appearing in the security register or otherwise in accordance with the procedures of DTC,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w:t>
      </w:r>
      <w:r>
        <w:rPr>
          <w:rFonts w:ascii="Times New Roman" w:hAnsi="Times New Roman"/>
          <w:sz w:val="20"/>
          <w:u w:val="single"/>
        </w:rPr>
        <w:t>Section 6</w:t>
      </w:r>
      <w:r>
        <w:rPr>
          <w:rFonts w:ascii="Times New Roman" w:hAnsi="Times New Roman"/>
          <w:sz w:val="20"/>
        </w:rPr>
        <w:t xml:space="preserve"> and that all 2031 Notes properly tendered pursuant to such Change of Control Offer will be accepted for payment by the Issuers;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purchase price and the purchase date, which will be no earlier than 20 Business Days and no later than 60 days from the date such notice is sent (the “</w:t>
      </w:r>
      <w:r>
        <w:rPr>
          <w:rFonts w:ascii="Times New Roman" w:hAnsi="Times New Roman"/>
          <w:sz w:val="20"/>
          <w:u w:val="single"/>
        </w:rPr>
        <w:t>Change of Control Payment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Change of Control Payment Date may be delayed, in the Issuers’ discretion, until such time (including more than 60 days after the date such notice is sent) as any or all such conditions referred to in clause (7) below shall be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(3) that any 2031 Note not properly tendered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Issuers default in the payment of the Change of Control Payment plus accrued and unpaid interest on all properly tendered 2031 Notes, all 2031 Notes accepted for payment pursuant to the Change of Control Offer will cease to accrue interest on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any 2031 Notes purchased pursuant to a Change of Control Offer will be required to surrender such 2031 Notes, with the form entitled “Option of Holder to Elect Purchase” on the reverse of such 2031 Notes completed or otherwise in accordance with the procedures of DTC, to the Paying Agent specified in the notice at the address specified in the notice prior to the close of business on the third (3rd) Business Day preceding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if less than all of such Holder’s 2031 Notes are tendered for purchase, such Holder will be issued new 2031 Notes (or, in the case of Global Securities, such 2031 Notes shall be reduced by such amount of Securities that the Holder has tendered) and such new 2031 Notes will be equal in aggregate principal amount to the unpurchased portion of the 2031 Notes surrendered (the unpurchased portion of the 2031 Notes must be equal to $2,000 or an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(7) if such notice is sent prior to the occurrence of a Change of Control Triggering Event, stating that the Change of Control Offer is conditional on the occurrence of such Change of Control Triggering Event or such other conditions specified therein and describing each such condition, and, if applicable, stating that, in the Issuers’ discretion, the Change of Control Payment Date may be delayed until such time as any or all such conditions shall be satisfied or waived (including more than 60 days after the notice is mailed or delivered),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 </w:t>
      </w:r>
    </w:p>
    <w:p>
      <w:pPr>
        <w:pStyle w:val="TextBody"/>
        <w:bidi w:val="0"/>
        <w:spacing w:before="120" w:after="0"/>
        <w:jc w:val="left"/>
        <w:rPr>
          <w:rFonts w:ascii="Times New Roman" w:hAnsi="Times New Roman"/>
          <w:sz w:val="20"/>
        </w:rPr>
      </w:pPr>
      <w:r>
        <w:rPr>
          <w:rFonts w:ascii="Times New Roman" w:hAnsi="Times New Roman"/>
          <w:sz w:val="20"/>
        </w:rPr>
        <w:t xml:space="preserve">(8) the other instructions, as determined by the Issuers, consistent with this </w:t>
      </w:r>
      <w:r>
        <w:rPr>
          <w:rFonts w:ascii="Times New Roman" w:hAnsi="Times New Roman"/>
          <w:sz w:val="20"/>
          <w:u w:val="single"/>
        </w:rPr>
        <w:t>Section 6</w:t>
      </w:r>
      <w:r>
        <w:rPr>
          <w:rFonts w:ascii="Times New Roman" w:hAnsi="Times New Roman"/>
          <w:sz w:val="20"/>
        </w:rPr>
        <w:t xml:space="preserve">, that a Holder must follow. </w:t>
      </w:r>
    </w:p>
    <w:p>
      <w:pPr>
        <w:pStyle w:val="TextBody"/>
        <w:bidi w:val="0"/>
        <w:spacing w:before="240" w:after="0"/>
        <w:jc w:val="left"/>
        <w:rPr>
          <w:rFonts w:ascii="Times New Roman" w:hAnsi="Times New Roman"/>
          <w:sz w:val="20"/>
        </w:rPr>
      </w:pPr>
      <w:r>
        <w:rPr>
          <w:rFonts w:ascii="Times New Roman" w:hAnsi="Times New Roman"/>
          <w:sz w:val="20"/>
        </w:rPr>
        <w:t xml:space="preserve">While the 2031 Notes are in global form and the Issuers make an offer to purchase all of the 2031 Notes pursuant to the Change of Control Offer, a Holder of such 2031 Notes may exercise its option to elect for the purchase of the 2031 Notes through the facilities of DTC, subject to its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shall comply with the requirements of Rule 14e-1 under the Exchange Act and any other securities laws and regulations thereunder to the extent such laws or regulations are applicable in connection with the repurchase of 2031 Notes pursuant to a Change of Control Offer (including, for the avoidance of doubt, an Alternate Offer). To the extent that the provisions of any securities laws or regulations conflict with the provisions of this </w:t>
      </w:r>
      <w:r>
        <w:rPr>
          <w:rFonts w:ascii="Times New Roman" w:hAnsi="Times New Roman"/>
          <w:sz w:val="20"/>
          <w:u w:val="single"/>
        </w:rPr>
        <w:t>Section 6</w:t>
      </w:r>
      <w:r>
        <w:rPr>
          <w:rFonts w:ascii="Times New Roman" w:hAnsi="Times New Roman"/>
          <w:sz w:val="20"/>
        </w:rPr>
        <w:t xml:space="preserve">, the Issuers shall comply with the applicable securities laws and regulations and shall not be deemed to have breached its obligations under this </w:t>
      </w:r>
      <w:r>
        <w:rPr>
          <w:rFonts w:ascii="Times New Roman" w:hAnsi="Times New Roman"/>
          <w:sz w:val="20"/>
          <w:u w:val="single"/>
        </w:rPr>
        <w:t>Section 6</w:t>
      </w:r>
      <w:r>
        <w:rPr>
          <w:rFonts w:ascii="Times New Roman" w:hAnsi="Times New Roman"/>
          <w:sz w:val="20"/>
        </w:rPr>
        <w:t xml:space="preserv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(b) On the Change of Control Payment Date, the Issuers shall,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2031 Notes issued by them or portions thereof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2031 Notes or portions thereof so tendered, plus accrued and unpaid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for cancellation the 2031 Notes so accepted together with an Officer’s Certificate to the Trustee stating that such 2031 Notes or portions thereof have been tendered to and purchased by the Issuers. </w:t>
      </w:r>
    </w:p>
    <w:p>
      <w:pPr>
        <w:pStyle w:val="TextBody"/>
        <w:bidi w:val="0"/>
        <w:spacing w:before="240" w:after="0"/>
        <w:jc w:val="left"/>
        <w:rPr>
          <w:rFonts w:ascii="Times New Roman" w:hAnsi="Times New Roman"/>
          <w:sz w:val="20"/>
        </w:rPr>
      </w:pPr>
      <w:r>
        <w:rPr>
          <w:rFonts w:ascii="Times New Roman" w:hAnsi="Times New Roman"/>
          <w:sz w:val="20"/>
        </w:rPr>
        <w:t xml:space="preserve">(c) The Issuers shall not be required to make a Change of Control Offer if a third party makes the Change of Control Offer (including, for the avoidance of doubt, an Alternate Offer) in the manner, at the times and otherwise in compliance with the requirements set forth in this </w:t>
      </w:r>
      <w:r>
        <w:rPr>
          <w:rFonts w:ascii="Times New Roman" w:hAnsi="Times New Roman"/>
          <w:sz w:val="20"/>
          <w:u w:val="single"/>
        </w:rPr>
        <w:t>Section 6</w:t>
      </w:r>
      <w:r>
        <w:rPr>
          <w:rFonts w:ascii="Times New Roman" w:hAnsi="Times New Roman"/>
          <w:sz w:val="20"/>
        </w:rPr>
        <w:t xml:space="preserve"> applicable to a Change of Control Offer made by the Issuers and purchases all 2031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(d) If Holders of not less than 90% in aggregate principal amount of the outstanding 2031 Notes validly tender and do not withdraw such 2031 Notes in a Change of Control Offer and the Issuers, or any third party making a Change of Control Offer in lieu of the Issuers as set forth in clause (c) of this </w:t>
      </w:r>
      <w:r>
        <w:rPr>
          <w:rFonts w:ascii="Times New Roman" w:hAnsi="Times New Roman"/>
          <w:sz w:val="20"/>
          <w:u w:val="single"/>
        </w:rPr>
        <w:t>Section 6</w:t>
      </w:r>
      <w:r>
        <w:rPr>
          <w:rFonts w:ascii="Times New Roman" w:hAnsi="Times New Roman"/>
          <w:sz w:val="20"/>
        </w:rPr>
        <w:t xml:space="preserve">, purchases all of the 2031 Notes that have been validly tendered and not withdrawn by such Holders, the Issuers or such third party shall have the right, upon not less than 10 nor more than 60 days’ prior notice, given not more than 30 days following such purchase pursuant to the Change of Control Offer as set forth in this </w:t>
      </w:r>
      <w:r>
        <w:rPr>
          <w:rFonts w:ascii="Times New Roman" w:hAnsi="Times New Roman"/>
          <w:sz w:val="20"/>
          <w:u w:val="single"/>
        </w:rPr>
        <w:t>Section 6</w:t>
      </w:r>
      <w:r>
        <w:rPr>
          <w:rFonts w:ascii="Times New Roman" w:hAnsi="Times New Roman"/>
          <w:sz w:val="20"/>
        </w:rPr>
        <w:t>, to redeem (with respect to the Issuers) or purchase (with respect to a third party) all 2031 Notes that remain outstanding following such purchase on a date (the “</w:t>
      </w:r>
      <w:r>
        <w:rPr>
          <w:rFonts w:ascii="Times New Roman" w:hAnsi="Times New Roman"/>
          <w:sz w:val="20"/>
          <w:u w:val="single"/>
        </w:rPr>
        <w:t>Second Change of Control Payment Date</w:t>
      </w:r>
      <w:r>
        <w:rPr>
          <w:rFonts w:ascii="Times New Roman" w:hAnsi="Times New Roman"/>
          <w:sz w:val="20"/>
        </w:rPr>
        <w:t xml:space="preserve">”) at a price in cash equal to the Change of Control Payment (excluding any early tender premium or similar premium and any accrued and unpaid interest paid to any Holder pursuant to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2031 Notes on the relevant record date to receive interest due on the relevant interest payment date falling on or prior to the Second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 Other than as specifically provided in this </w:t>
      </w:r>
      <w:r>
        <w:rPr>
          <w:rFonts w:ascii="Times New Roman" w:hAnsi="Times New Roman"/>
          <w:sz w:val="20"/>
          <w:u w:val="single"/>
        </w:rPr>
        <w:t>Section 6</w:t>
      </w:r>
      <w:r>
        <w:rPr>
          <w:rFonts w:ascii="Times New Roman" w:hAnsi="Times New Roman"/>
          <w:sz w:val="20"/>
        </w:rPr>
        <w:t xml:space="preserve">, any purchase pursuant to this </w:t>
      </w:r>
      <w:r>
        <w:rPr>
          <w:rFonts w:ascii="Times New Roman" w:hAnsi="Times New Roman"/>
          <w:sz w:val="20"/>
          <w:u w:val="single"/>
        </w:rPr>
        <w:t>Section 6</w:t>
      </w:r>
      <w:r>
        <w:rPr>
          <w:rFonts w:ascii="Times New Roman" w:hAnsi="Times New Roman"/>
          <w:sz w:val="20"/>
        </w:rPr>
        <w:t xml:space="preserve"> shall be made pursuant to the provisions of Sections 3.02, 3.05 and 3.06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w:t>
      </w:r>
      <w:r>
        <w:rPr>
          <w:rFonts w:ascii="Times New Roman" w:hAnsi="Times New Roman"/>
          <w:sz w:val="20"/>
        </w:rPr>
        <w:t xml:space="preserve"> relating to the Issuers’ obligation to make a Change of Control Offer upon a Change of Control Triggering Event may be waived or modified at any time with the written consent of the Holders of a majority in aggregate principal amount of the 2031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(g) A Change of Control Offer (including, for the avoidance of doubt, an Alternate Offer) may be made at the same time as consents are solicited with respect to an amendment, supplement or waiver of the Indenture, the 2031 Notes and/or the Note Guarantees so long as the tender of 2031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their sole discretion, so long as the Change of Control Payment is at least equal to 101% of the aggregate principal amount of the 2031 Notes being repurchased, plus accrued and unpaid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Governing Law</w:t>
      </w:r>
      <w:r>
        <w:rPr>
          <w:rFonts w:ascii="Times New Roman" w:hAnsi="Times New Roman"/>
          <w:sz w:val="20"/>
        </w:rPr>
        <w:t xml:space="preserve">. THIS 2031 NOTES SUPPLEMENTAL INDENTURE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Conflicts</w:t>
      </w:r>
      <w:r>
        <w:rPr>
          <w:rFonts w:ascii="Times New Roman" w:hAnsi="Times New Roman"/>
          <w:sz w:val="20"/>
        </w:rPr>
        <w:t xml:space="preserve">. In the event of a conflict between the terms and conditions of the Base Indenture and the terms and conditions of this 2031 Notes Supplemental Indenture, then the terms and conditions of this 2031 Notes Supplemental Indenture shall prevail; </w:t>
      </w:r>
      <w:r>
        <w:rPr>
          <w:rFonts w:ascii="Times New Roman" w:hAnsi="Times New Roman"/>
          <w:sz w:val="20"/>
          <w:u w:val="single"/>
        </w:rPr>
        <w:t>provided</w:t>
      </w:r>
      <w:r>
        <w:rPr>
          <w:rFonts w:ascii="Times New Roman" w:hAnsi="Times New Roman"/>
          <w:sz w:val="20"/>
        </w:rPr>
        <w:t xml:space="preserve"> that if and to the extent that any provision of this 2031 Notes Supplemental Indenture limits, qualifies or conflicts with another provision which is required to be included herein or in the Base Indenture by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Counterparts</w:t>
      </w:r>
      <w:r>
        <w:rPr>
          <w:rFonts w:ascii="Times New Roman" w:hAnsi="Times New Roman"/>
          <w:sz w:val="20"/>
        </w:rPr>
        <w:t xml:space="preserve">. The parties may sign any number of copies of this 2031 Notes Supplemental Indenture. Each signed copy shall be an original, but all of them together represent the same agreement. The words “execution,” “signed,” “signature,” “delivery,” and words of like import in or relating to this 2031 Notes Supplemental Indenture or any document to be signed in connection with this 2031 Notes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Trustee Not Responsible for Recitals or Issuance of 2031 Notes</w:t>
      </w:r>
      <w:r>
        <w:rPr>
          <w:rFonts w:ascii="Times New Roman" w:hAnsi="Times New Roman"/>
          <w:sz w:val="20"/>
        </w:rPr>
        <w:t xml:space="preserve">. The recitals contained herein shall be taken as the statements of the Issuers, and the Trustee assumes no responsibility for their correctness. The Trustee makes no representations as to the validity or sufficiency of this 2031 Notes Supplemental Indenture or of the 2031 Notes. The Trustee shall not be accountable for the use or application by the Issuers of 2031 Notes or the proceeds thereof.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2031 Notes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09"/>
        <w:gridCol w:w="242"/>
        <w:gridCol w:w="1269"/>
        <w:gridCol w:w="232"/>
        <w:gridCol w:w="1230"/>
      </w:tblGrid>
      <w:tr>
        <w:trPr/>
        <w:tc>
          <w:tcPr>
            <w:tcW w:w="110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DELL INTERNATIONAL L.L.C.</w:t>
            </w:r>
          </w:p>
        </w:tc>
      </w:tr>
      <w:tr>
        <w:trPr>
          <w:trHeight w:val="240" w:hRule="atLeast"/>
        </w:trPr>
        <w:tc>
          <w:tcPr>
            <w:tcW w:w="1109" w:type="dxa"/>
            <w:tcBorders/>
            <w:vAlign w:val="center"/>
          </w:tcPr>
          <w:p>
            <w:pPr>
              <w:pStyle w:val="TableContents"/>
              <w:bidi w:val="0"/>
              <w:spacing w:before="0" w:after="283"/>
              <w:jc w:val="left"/>
              <w:rPr>
                <w:sz w:val="4"/>
                <w:szCs w:val="4"/>
              </w:rPr>
            </w:pPr>
            <w:r>
              <w:rPr>
                <w:sz w:val="4"/>
                <w:szCs w:val="4"/>
              </w:rPr>
            </w:r>
          </w:p>
        </w:tc>
        <w:tc>
          <w:tcPr>
            <w:tcW w:w="2973" w:type="dxa"/>
            <w:gridSpan w:val="4"/>
            <w:tcBorders/>
            <w:vAlign w:val="center"/>
          </w:tcPr>
          <w:p>
            <w:pPr>
              <w:pStyle w:val="TableContents"/>
              <w:bidi w:val="0"/>
              <w:spacing w:before="0" w:after="283"/>
              <w:jc w:val="left"/>
              <w:rPr>
                <w:sz w:val="4"/>
                <w:szCs w:val="4"/>
              </w:rPr>
            </w:pPr>
            <w:r>
              <w:rPr>
                <w:sz w:val="4"/>
                <w:szCs w:val="4"/>
              </w:rPr>
            </w:r>
          </w:p>
        </w:tc>
      </w:tr>
      <w:tr>
        <w:trPr/>
        <w:tc>
          <w:tcPr>
            <w:tcW w:w="11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2" w:type="dxa"/>
            <w:tcBorders>
              <w:bottom w:val="single" w:sz="2" w:space="0" w:color="000000"/>
            </w:tcBorders>
            <w:tcMar>
              <w:bottom w:w="28" w:type="dxa"/>
            </w:tcMar>
            <w:vAlign w:val="bottom"/>
          </w:tcPr>
          <w:p>
            <w:pPr>
              <w:pStyle w:val="TableContents"/>
              <w:bidi w:val="0"/>
              <w:spacing w:before="0" w:after="283"/>
              <w:jc w:val="left"/>
              <w:rPr/>
            </w:pPr>
            <w:r>
              <w:rPr/>
              <w:t> </w:t>
            </w:r>
          </w:p>
        </w:tc>
        <w:tc>
          <w:tcPr>
            <w:tcW w:w="2731" w:type="dxa"/>
            <w:gridSpan w:val="3"/>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and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EMC CORPORATION</w:t>
            </w:r>
          </w:p>
        </w:tc>
      </w:tr>
      <w:tr>
        <w:trPr>
          <w:trHeight w:val="240" w:hRule="atLeast"/>
        </w:trPr>
        <w:tc>
          <w:tcPr>
            <w:tcW w:w="1109" w:type="dxa"/>
            <w:tcBorders/>
            <w:vAlign w:val="center"/>
          </w:tcPr>
          <w:p>
            <w:pPr>
              <w:pStyle w:val="TableContents"/>
              <w:bidi w:val="0"/>
              <w:spacing w:before="0" w:after="283"/>
              <w:jc w:val="left"/>
              <w:rPr>
                <w:sz w:val="4"/>
                <w:szCs w:val="4"/>
              </w:rPr>
            </w:pPr>
            <w:r>
              <w:rPr>
                <w:sz w:val="4"/>
                <w:szCs w:val="4"/>
              </w:rPr>
            </w:r>
          </w:p>
        </w:tc>
        <w:tc>
          <w:tcPr>
            <w:tcW w:w="2973" w:type="dxa"/>
            <w:gridSpan w:val="4"/>
            <w:tcBorders/>
            <w:vAlign w:val="center"/>
          </w:tcPr>
          <w:p>
            <w:pPr>
              <w:pStyle w:val="TableContents"/>
              <w:bidi w:val="0"/>
              <w:spacing w:before="0" w:after="283"/>
              <w:jc w:val="left"/>
              <w:rPr>
                <w:sz w:val="4"/>
                <w:szCs w:val="4"/>
              </w:rPr>
            </w:pPr>
            <w:r>
              <w:rPr>
                <w:sz w:val="4"/>
                <w:szCs w:val="4"/>
              </w:rPr>
            </w:r>
          </w:p>
        </w:tc>
      </w:tr>
      <w:tr>
        <w:trPr/>
        <w:tc>
          <w:tcPr>
            <w:tcW w:w="11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2" w:type="dxa"/>
            <w:tcBorders>
              <w:bottom w:val="single" w:sz="2" w:space="0" w:color="000000"/>
            </w:tcBorders>
            <w:tcMar>
              <w:bottom w:w="28" w:type="dxa"/>
            </w:tcMar>
            <w:vAlign w:val="bottom"/>
          </w:tcPr>
          <w:p>
            <w:pPr>
              <w:pStyle w:val="TableContents"/>
              <w:bidi w:val="0"/>
              <w:spacing w:before="0" w:after="283"/>
              <w:jc w:val="left"/>
              <w:rPr/>
            </w:pPr>
            <w:r>
              <w:rPr/>
              <w:t> </w:t>
            </w:r>
          </w:p>
        </w:tc>
        <w:tc>
          <w:tcPr>
            <w:tcW w:w="2731" w:type="dxa"/>
            <w:gridSpan w:val="3"/>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74"/>
        <w:gridCol w:w="60"/>
        <w:gridCol w:w="3348"/>
      </w:tblGrid>
      <w:tr>
        <w:trPr/>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TECHNOLOGIES INC.</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Tyler W. Johnson</w:t>
            </w:r>
          </w:p>
        </w:tc>
      </w:tr>
      <w:tr>
        <w:trPr/>
        <w:tc>
          <w:tcPr>
            <w:tcW w:w="67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Tyler W. Johnson</w:t>
            </w:r>
          </w:p>
        </w:tc>
      </w:tr>
      <w:tr>
        <w:trPr/>
        <w:tc>
          <w:tcPr>
            <w:tcW w:w="67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DENALI INTERMEDIATE INC.</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Tyler W. Johnson</w:t>
            </w:r>
          </w:p>
        </w:tc>
      </w:tr>
      <w:tr>
        <w:trPr/>
        <w:tc>
          <w:tcPr>
            <w:tcW w:w="67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Tyler W. Johnson</w:t>
            </w:r>
          </w:p>
        </w:tc>
      </w:tr>
      <w:tr>
        <w:trPr/>
        <w:tc>
          <w:tcPr>
            <w:tcW w:w="67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INC.</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Tyler W. Johnson</w:t>
            </w:r>
          </w:p>
        </w:tc>
      </w:tr>
      <w:tr>
        <w:trPr/>
        <w:tc>
          <w:tcPr>
            <w:tcW w:w="67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Tyler W. Johnson</w:t>
            </w:r>
          </w:p>
        </w:tc>
      </w:tr>
      <w:tr>
        <w:trPr/>
        <w:tc>
          <w:tcPr>
            <w:tcW w:w="67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Peggy Guel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left"/>
        <w:rPr>
          <w:rFonts w:ascii="Times New Roman" w:hAnsi="Times New Roman"/>
          <w:sz w:val="20"/>
        </w:rPr>
      </w:pPr>
      <w:r>
        <w:rPr>
          <w:rFonts w:ascii="Times New Roman" w:hAnsi="Times New Roman"/>
          <w:sz w:val="20"/>
        </w:rPr>
        <w:t xml:space="preserve">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SECTION 2.06(c) OF THE INDENTURE, (II) THIS GLOBAL SECURITY MAY BE EXCHANGED IN WHOLE BUT NOT IN PART PURSUANT TO SECTION 2.06(a) OF THE INDENTURE, (III) THIS GLOBAL SECURITY MAY BE DELIVERED TO THE TRUSTEE FOR CANCELLATION PURSUANT TO SECTION 2.11 OF THE INDENTURE AND (IV) THIS GLOBAL SECURITY MAY BE TRANSFERRED TO A SUCCESSOR DEPOSITARY WITH THE PRIOR WRITTEN CONSENT OF THE ISSUERS.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24703D BV2 </w:t>
      </w:r>
    </w:p>
    <w:p>
      <w:pPr>
        <w:pStyle w:val="TextBody"/>
        <w:bidi w:val="0"/>
        <w:spacing w:before="0" w:after="0"/>
        <w:jc w:val="right"/>
        <w:rPr>
          <w:rFonts w:ascii="Times New Roman" w:hAnsi="Times New Roman"/>
          <w:sz w:val="20"/>
        </w:rPr>
      </w:pPr>
      <w:r>
        <w:rPr>
          <w:rFonts w:ascii="Times New Roman" w:hAnsi="Times New Roman"/>
          <w:sz w:val="20"/>
        </w:rPr>
        <w:t xml:space="preserve">ISIN US24703DBV29 </w:t>
      </w:r>
    </w:p>
    <w:p>
      <w:pPr>
        <w:pStyle w:val="TextBody"/>
        <w:bidi w:val="0"/>
        <w:spacing w:before="240" w:after="0"/>
        <w:jc w:val="center"/>
        <w:rPr>
          <w:rFonts w:ascii="Times New Roman" w:hAnsi="Times New Roman"/>
          <w:sz w:val="20"/>
        </w:rPr>
      </w:pPr>
      <w:r>
        <w:rPr>
          <w:rFonts w:ascii="Times New Roman" w:hAnsi="Times New Roman"/>
          <w:sz w:val="20"/>
        </w:rPr>
        <w:t xml:space="preserve">GLOBAL SECURITY </w:t>
      </w:r>
    </w:p>
    <w:p>
      <w:pPr>
        <w:pStyle w:val="TextBody"/>
        <w:bidi w:val="0"/>
        <w:spacing w:before="0" w:after="0"/>
        <w:jc w:val="center"/>
        <w:rPr>
          <w:rFonts w:ascii="Times New Roman" w:hAnsi="Times New Roman"/>
          <w:sz w:val="20"/>
        </w:rPr>
      </w:pPr>
      <w:r>
        <w:rPr>
          <w:rFonts w:ascii="Times New Roman" w:hAnsi="Times New Roman"/>
          <w:sz w:val="20"/>
        </w:rPr>
        <w:t xml:space="preserve">representing up to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4.750% Senior Notes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0"/>
        <w:gridCol w:w="122"/>
        <w:gridCol w:w="4823"/>
      </w:tblGrid>
      <w:tr>
        <w:trPr/>
        <w:tc>
          <w:tcPr>
            <w:tcW w:w="52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23" w:type="dxa"/>
            <w:tcBorders/>
            <w:vAlign w:val="center"/>
          </w:tcPr>
          <w:p>
            <w:pPr>
              <w:pStyle w:val="TableContents"/>
              <w:bidi w:val="0"/>
              <w:spacing w:before="0" w:after="283"/>
              <w:jc w:val="left"/>
              <w:rPr>
                <w:sz w:val="4"/>
                <w:szCs w:val="4"/>
              </w:rPr>
            </w:pPr>
            <w:r>
              <w:rPr>
                <w:sz w:val="4"/>
                <w:szCs w:val="4"/>
              </w:rPr>
            </w:r>
          </w:p>
        </w:tc>
      </w:tr>
      <w:tr>
        <w:trPr/>
        <w:tc>
          <w:tcPr>
            <w:tcW w:w="5260" w:type="dxa"/>
            <w:tcBorders/>
          </w:tcPr>
          <w:p>
            <w:pPr>
              <w:pStyle w:val="TableContents"/>
              <w:bidi w:val="0"/>
              <w:spacing w:before="0" w:after="283"/>
              <w:jc w:val="left"/>
              <w:rPr/>
            </w:pPr>
            <w:r>
              <w:rPr/>
              <w:t xml:space="preserve">No. </w:t>
            </w:r>
            <w:r>
              <w:rPr>
                <w:u w:val="single"/>
              </w:rPr>
              <w:t>    </w:t>
            </w:r>
          </w:p>
        </w:tc>
        <w:tc>
          <w:tcPr>
            <w:tcW w:w="122"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right"/>
              <w:rPr/>
            </w:pPr>
            <w:r>
              <w:rPr/>
              <w:t>$[</w:t>
            </w:r>
            <w:r>
              <w:rPr>
                <w:u w:val="single"/>
              </w:rPr>
              <w:t>    </w:t>
            </w:r>
            <w:r>
              <w:rPr/>
              <w:t>]</w:t>
            </w:r>
          </w:p>
        </w:tc>
      </w:tr>
    </w:tbl>
    <w:p>
      <w:pPr>
        <w:pStyle w:val="TextBody"/>
        <w:bidi w:val="0"/>
        <w:spacing w:before="480" w:after="0"/>
        <w:jc w:val="center"/>
        <w:rPr>
          <w:rFonts w:ascii="Times New Roman" w:hAnsi="Times New Roman"/>
          <w:sz w:val="20"/>
        </w:rPr>
      </w:pPr>
      <w:r>
        <w:rPr>
          <w:rFonts w:ascii="Times New Roman" w:hAnsi="Times New Roman"/>
          <w:sz w:val="20"/>
        </w:rPr>
        <w:t xml:space="preserve">DELL INTERNATIONAL L.L.C.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EMC CORPORATION </w:t>
      </w:r>
    </w:p>
    <w:p>
      <w:pPr>
        <w:pStyle w:val="TextBody"/>
        <w:bidi w:val="0"/>
        <w:spacing w:before="240" w:after="0"/>
        <w:jc w:val="left"/>
        <w:rPr>
          <w:rFonts w:ascii="Times New Roman" w:hAnsi="Times New Roman"/>
          <w:sz w:val="20"/>
        </w:rPr>
      </w:pPr>
      <w:r>
        <w:rPr>
          <w:rFonts w:ascii="Times New Roman" w:hAnsi="Times New Roman"/>
          <w:sz w:val="20"/>
        </w:rPr>
        <w:t xml:space="preserve">promise to pay to CEDE &amp; CO. or registered assigns, the principal sum set forth on the Schedule of Exchanges of Interests in the Global Security attached hereto on July 15, 2031.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January 15 and July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January 1 and July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Issuers have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20[ ]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0"/>
        <w:gridCol w:w="108"/>
        <w:gridCol w:w="3424"/>
      </w:tblGrid>
      <w:tr>
        <w:trPr/>
        <w:tc>
          <w:tcPr>
            <w:tcW w:w="55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DELL INTERNATIONAL L.L.C.</w:t>
            </w:r>
          </w:p>
        </w:tc>
      </w:tr>
      <w:tr>
        <w:trPr>
          <w:trHeight w:val="240" w:hRule="atLeast"/>
        </w:trPr>
        <w:tc>
          <w:tcPr>
            <w:tcW w:w="550" w:type="dxa"/>
            <w:tcBorders/>
            <w:vAlign w:val="center"/>
          </w:tcPr>
          <w:p>
            <w:pPr>
              <w:pStyle w:val="TableContents"/>
              <w:bidi w:val="0"/>
              <w:spacing w:before="0" w:after="283"/>
              <w:jc w:val="left"/>
              <w:rPr>
                <w:sz w:val="4"/>
                <w:szCs w:val="4"/>
              </w:rPr>
            </w:pPr>
            <w:r>
              <w:rPr>
                <w:sz w:val="4"/>
                <w:szCs w:val="4"/>
              </w:rPr>
            </w:r>
          </w:p>
        </w:tc>
        <w:tc>
          <w:tcPr>
            <w:tcW w:w="3532"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EMC CORPORATION</w:t>
            </w:r>
          </w:p>
        </w:tc>
      </w:tr>
      <w:tr>
        <w:trPr>
          <w:trHeight w:val="240" w:hRule="atLeast"/>
        </w:trPr>
        <w:tc>
          <w:tcPr>
            <w:tcW w:w="550" w:type="dxa"/>
            <w:tcBorders/>
            <w:vAlign w:val="center"/>
          </w:tcPr>
          <w:p>
            <w:pPr>
              <w:pStyle w:val="TableContents"/>
              <w:bidi w:val="0"/>
              <w:spacing w:before="0" w:after="283"/>
              <w:jc w:val="left"/>
              <w:rPr>
                <w:sz w:val="4"/>
                <w:szCs w:val="4"/>
              </w:rPr>
            </w:pPr>
            <w:r>
              <w:rPr>
                <w:sz w:val="4"/>
                <w:szCs w:val="4"/>
              </w:rPr>
            </w:r>
          </w:p>
        </w:tc>
        <w:tc>
          <w:tcPr>
            <w:tcW w:w="3532"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pPr>
            <w:r>
              <w:rPr/>
              <w:t>Dated: [ ], 20[ ]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 </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center"/>
              <w:rPr/>
            </w:pPr>
            <w:r>
              <w:rPr/>
              <w:t>Authorized Signatory</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4.750%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Dell International L.L.C., a Delaware limited liability company (“</w:t>
      </w:r>
      <w:r>
        <w:rPr>
          <w:rFonts w:ascii="Times New Roman" w:hAnsi="Times New Roman"/>
          <w:sz w:val="20"/>
          <w:u w:val="single"/>
        </w:rPr>
        <w:t>Dell International</w:t>
      </w:r>
      <w:r>
        <w:rPr>
          <w:rFonts w:ascii="Times New Roman" w:hAnsi="Times New Roman"/>
          <w:sz w:val="20"/>
        </w:rPr>
        <w:t>”), and EMC Corporation, a Massachusetts corporation (“</w:t>
      </w:r>
      <w:r>
        <w:rPr>
          <w:rFonts w:ascii="Times New Roman" w:hAnsi="Times New Roman"/>
          <w:sz w:val="20"/>
          <w:u w:val="single"/>
        </w:rPr>
        <w:t>EMC</w:t>
      </w:r>
      <w:r>
        <w:rPr>
          <w:rFonts w:ascii="Times New Roman" w:hAnsi="Times New Roman"/>
          <w:sz w:val="20"/>
        </w:rPr>
        <w:t>” and, together with Dell International, the “</w:t>
      </w:r>
      <w:r>
        <w:rPr>
          <w:rFonts w:ascii="Times New Roman" w:hAnsi="Times New Roman"/>
          <w:sz w:val="20"/>
          <w:u w:val="single"/>
        </w:rPr>
        <w:t>Issuers</w:t>
      </w:r>
      <w:r>
        <w:rPr>
          <w:rFonts w:ascii="Times New Roman" w:hAnsi="Times New Roman"/>
          <w:sz w:val="20"/>
        </w:rPr>
        <w:t>”), promise to pay interest on the principal amount of this 2031 Note at 4.750% per annum, from June 16, 2026 until Maturity. The Issuers shall pay interest semi-annually in arrears on January 15 and July 15 of each year, or if any such day is not a Business Day, on the next succeeding Business Day (each, an “</w:t>
      </w:r>
      <w:r>
        <w:rPr>
          <w:rFonts w:ascii="Times New Roman" w:hAnsi="Times New Roman"/>
          <w:sz w:val="20"/>
          <w:u w:val="single"/>
        </w:rPr>
        <w:t>Interest Payment Date</w:t>
      </w:r>
      <w:r>
        <w:rPr>
          <w:rFonts w:ascii="Times New Roman" w:hAnsi="Times New Roman"/>
          <w:sz w:val="20"/>
        </w:rPr>
        <w:t>”), commencing on January 15, 2027. Interest on the 2031 Notes shall accrue from the most recent date to which interest has been paid or, if no interest has been paid, from June 16, 2026. The Issuers shall pay interest (including post-petition interest in any proceeding under any Bankruptcy Law) on overdue principal and premium, if any, from time to time on demand at the interest rate on the 2031 Notes to the extent lawful; the Issuers shall pay interest (including post-petition interest in any proceeding under any Bankruptcy Law) on overdue installments of interest, if any, from time to time on demand at the interest rate on the 2031 Notes. Interest shall be computed on the basis of a 360-day year comprised of twelve 30-day months. The interest rate on the 2031 Notes will in no event be higher than the maximum rate permitted by New York law as the same may be modified by United States law of general application. This 2031 Note is one of the series designated on the face hereof (individually, a “</w:t>
      </w:r>
      <w:r>
        <w:rPr>
          <w:rFonts w:ascii="Times New Roman" w:hAnsi="Times New Roman"/>
          <w:sz w:val="20"/>
          <w:u w:val="single"/>
        </w:rPr>
        <w:t>2031 Note</w:t>
      </w:r>
      <w:r>
        <w:rPr>
          <w:rFonts w:ascii="Times New Roman" w:hAnsi="Times New Roman"/>
          <w:sz w:val="20"/>
        </w:rPr>
        <w:t>” and, collectively, the “</w:t>
      </w:r>
      <w:r>
        <w:rPr>
          <w:rFonts w:ascii="Times New Roman" w:hAnsi="Times New Roman"/>
          <w:sz w:val="20"/>
          <w:u w:val="single"/>
        </w:rPr>
        <w:t>2031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Issuers will pay interest on the 2031 Notes to the Persons who are registered Holders of the 2031 Notes at the close of business (if applicable) on the January 1 or July 1 (whether or not a Business Day), as the case may be, immediately preceding the Interest Payment Date, even if such Securities are canceled after such record date and on or before such Interest Payment Date, except as provided in Section 2.12 of the Base Indenture with respect to defaulted interest. Payment of interest may be made by check mailed to the Holders of the 2031 Notes at their addresses set forth in the register of Holders, </w:t>
      </w:r>
      <w:r>
        <w:rPr>
          <w:rFonts w:ascii="Times New Roman" w:hAnsi="Times New Roman"/>
          <w:sz w:val="20"/>
          <w:u w:val="single"/>
        </w:rPr>
        <w:t>provided</w:t>
      </w:r>
      <w:r>
        <w:rPr>
          <w:rFonts w:ascii="Times New Roman" w:hAnsi="Times New Roman"/>
          <w:sz w:val="20"/>
        </w:rPr>
        <w:t xml:space="preserve"> that all payments of principal of and interest and premium, if any, with respect to the 2031 Notes represented by one or more Global Securities will be made in accordance with DTC’s applicable procedures.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The Bank of New York Mellon Trust Company, N.A., the Trustee under the Indenture, will act as Paying Agent and Registrar. The Issuers may change any Paying Agent or Registrar without notice to the Holders. Parent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Issuers issued the 2031 Notes under the Base Indenture, dated as of January 24, 2023 (the “</w:t>
      </w:r>
      <w:r>
        <w:rPr>
          <w:rFonts w:ascii="Times New Roman" w:hAnsi="Times New Roman"/>
          <w:sz w:val="20"/>
          <w:u w:val="single"/>
        </w:rPr>
        <w:t>Base Indenture</w:t>
      </w:r>
      <w:r>
        <w:rPr>
          <w:rFonts w:ascii="Times New Roman" w:hAnsi="Times New Roman"/>
          <w:sz w:val="20"/>
        </w:rPr>
        <w:t>”), among the Issuers, the Guarantors and the Trustee, as supplemented by the 2031 Notes Supplemental Indenture No. 1, dated as of June 16, 2026 (the “</w:t>
      </w:r>
      <w:r>
        <w:rPr>
          <w:rFonts w:ascii="Times New Roman" w:hAnsi="Times New Roman"/>
          <w:sz w:val="20"/>
          <w:u w:val="single"/>
        </w:rPr>
        <w:t>2031 Notes Supplemental Indenture No. 1</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among the Issuers, the Guarantors and the Trustee. This 2031 Note is one of a duly authorized issue of securities of the Issuers designated as their 4.750% Senior Notes due 2031. The Issuers shall be entitled to issue Additional Securities constituting Securities pursuant to Section 2.01 of the Base Indenture and Section 1(b) of the 2031 Notes Supplemental Indenture No. 1. The terms of the 2031 Notes include those stated in the Indenture. The 2031 Notes are subject to all such terms, and Holders of the 2031 Notes are referred to the Indenture for a statement of such terms. To the extent any provision of this 2031 Note conflicts with the express provisions of the Indenture, the provisions of the Indenture shall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REDEMPTION AND REPURCHASE. The 2031 Notes are subject to optional redemption, and may be the subject of a Change of Control Offer or an Alternate Offer, as further described in the 2031 Notes Supplemental Indenture No. 1. The Issuers shall not be required to make any mandatory redemption or sinking fund payments with respect to the 2031 Notes.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The 2031 Notes are in registered form without coupons in denominations of $2,000 and integral multiples of $1,000 in excess thereof. The transfer of Securities may be registered and Securities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Security or portion of a Security selected for redemption or tendered (and not withdrawn) for repurchase in connection with a Change of Control Offer, an Alternate Offer or other tender offer, in whole or in part, except for the unredeemed portion of any Security being redeemed in part. Also, the Issuers need not exchange or register the transfer of any Securities for a period of 15 days before a selection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The registered Holder of a Security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AMENDMENT, SUPPLEMENT AND WAIVER. The Indenture, the 2031 Notes or the related Note Guarantees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DEFAULTS AND REMEDIES. The Events of Default relating to the 2031 Notes are defined in Section 6.01 of the Base Indenture. Upon the occurrence of an Event of Default relating to the 2031 Notes, the rights and obligations of the Issuers, the Guarantors, the Trustee and the Holders of the 2031 Notes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AUTHENTICATION. This 2031 Note shall not be entitled to any benefit under the Indenture or be valid or obligatory for any purpose until authenticated by the manual or electronic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11. GOVERNING LAW. THE LAWS OF THE STATE OF NEW YORK SHALL GOVERN AND BE USED TO CONSTRUE THE INDENTURE, THE 2031 NOTES AND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12. CUSIP AND ISIN NUMBERS. Pursuant to a recommendation promulgated by the Committee on Uniform Security Identification Procedures, the Issuers have caused CUSIP and ISIN numbers and/or similar numbers to be printed on the 2031 Notes and the Trustee may use CUSIP and ISIN numbers and/or similar numbers in notices of redemption as a convenience to Holders of the 2031 Notes. No representation is made as to the accuracy of such numbers either as printed on the 2031 Notes or as contained in any notice of redemption and reliance may be placed only on the other identification numbers placed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will furnish to any Holder upon written request and without charge a copy of the Indenture. Requests may be made to the Issuers at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c/o Dell Inc. </w:t>
      </w:r>
    </w:p>
    <w:p>
      <w:pPr>
        <w:pStyle w:val="TextBody"/>
        <w:bidi w:val="0"/>
        <w:spacing w:before="0" w:after="0"/>
        <w:jc w:val="left"/>
        <w:rPr>
          <w:rFonts w:ascii="Times New Roman" w:hAnsi="Times New Roman"/>
          <w:sz w:val="20"/>
        </w:rPr>
      </w:pPr>
      <w:r>
        <w:rPr>
          <w:rFonts w:ascii="Times New Roman" w:hAnsi="Times New Roman"/>
          <w:sz w:val="20"/>
        </w:rPr>
        <w:t xml:space="preserve">One Dell Way </w:t>
      </w:r>
    </w:p>
    <w:p>
      <w:pPr>
        <w:pStyle w:val="TextBody"/>
        <w:bidi w:val="0"/>
        <w:spacing w:before="0" w:after="0"/>
        <w:jc w:val="left"/>
        <w:rPr>
          <w:rFonts w:ascii="Times New Roman" w:hAnsi="Times New Roman"/>
          <w:sz w:val="20"/>
        </w:rPr>
      </w:pPr>
      <w:r>
        <w:rPr>
          <w:rFonts w:ascii="Times New Roman" w:hAnsi="Times New Roman"/>
          <w:sz w:val="20"/>
        </w:rPr>
        <w:t xml:space="preserve">Round Rock, Texas 78682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Garcia </w:t>
      </w:r>
    </w:p>
    <w:p>
      <w:pPr>
        <w:pStyle w:val="TextBody"/>
        <w:bidi w:val="0"/>
        <w:spacing w:before="0" w:after="0"/>
        <w:jc w:val="left"/>
        <w:rPr>
          <w:rFonts w:ascii="Times New Roman" w:hAnsi="Times New Roman"/>
          <w:sz w:val="20"/>
        </w:rPr>
      </w:pPr>
      <w:r>
        <w:rPr>
          <w:rFonts w:ascii="Times New Roman" w:hAnsi="Times New Roman"/>
          <w:sz w:val="20"/>
        </w:rPr>
        <w:t xml:space="preserve">Email: Christopher.A.Garcia@dell.com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2031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5"/>
        <w:gridCol w:w="101"/>
        <w:gridCol w:w="6839"/>
      </w:tblGrid>
      <w:tr>
        <w:trPr/>
        <w:tc>
          <w:tcPr>
            <w:tcW w:w="32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(I) or (we) assign and transfer this 2031 Note to:</w:t>
            </w:r>
          </w:p>
        </w:tc>
        <w:tc>
          <w:tcPr>
            <w:tcW w:w="101"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839"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2031 Note on the books of the Issuers.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p>
      <w:pPr>
        <w:pStyle w:val="TextBody"/>
        <w:bidi w:val="0"/>
        <w:spacing w:before="0" w:after="0"/>
        <w:jc w:val="left"/>
        <w:rPr/>
      </w:pPr>
      <w:r>
        <w:rPr/>
        <w:t> </w:t>
      </w:r>
    </w:p>
    <w:tbl>
      <w:tblPr>
        <w:tblW w:w="6565" w:type="dxa"/>
        <w:jc w:val="right"/>
        <w:tblInd w:w="0" w:type="dxa"/>
        <w:tblLayout w:type="fixed"/>
        <w:tblCellMar>
          <w:top w:w="0" w:type="dxa"/>
          <w:left w:w="0" w:type="dxa"/>
          <w:bottom w:w="0" w:type="dxa"/>
          <w:right w:w="0" w:type="dxa"/>
        </w:tblCellMar>
      </w:tblPr>
      <w:tblGrid>
        <w:gridCol w:w="260"/>
        <w:gridCol w:w="60"/>
        <w:gridCol w:w="6245"/>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Your Signature: </w:t>
            </w:r>
            <w:r>
              <w:rPr>
                <w:u w:val="single"/>
              </w:rPr>
              <w:t>              </w:t>
            </w:r>
          </w:p>
        </w:tc>
      </w:tr>
      <w:tr>
        <w:trPr/>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(Sign exactly as your name appears on the face of this 2031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2031 Note purchased by the Issuers pursuant to Section 6 of the 2031 Notes Supplemental Indenture No. 1, check the appropriate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Section 6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2031 Note purchased by the Issuers pursuant to Section 6 of the 2031 Notes Supplemental Indenture No. 1,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p>
      <w:pPr>
        <w:pStyle w:val="TextBody"/>
        <w:bidi w:val="0"/>
        <w:spacing w:before="0" w:after="0"/>
        <w:jc w:val="left"/>
        <w:rPr/>
      </w:pPr>
      <w:r>
        <w:rPr/>
        <w:t> </w:t>
      </w:r>
    </w:p>
    <w:tbl>
      <w:tblPr>
        <w:tblW w:w="6745" w:type="dxa"/>
        <w:jc w:val="right"/>
        <w:tblInd w:w="0" w:type="dxa"/>
        <w:tblLayout w:type="fixed"/>
        <w:tblCellMar>
          <w:top w:w="0" w:type="dxa"/>
          <w:left w:w="0" w:type="dxa"/>
          <w:bottom w:w="0" w:type="dxa"/>
          <w:right w:w="0" w:type="dxa"/>
        </w:tblCellMar>
      </w:tblPr>
      <w:tblGrid>
        <w:gridCol w:w="440"/>
        <w:gridCol w:w="60"/>
        <w:gridCol w:w="6245"/>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Your Signature: </w:t>
            </w:r>
            <w:r>
              <w:rPr>
                <w:u w:val="single"/>
              </w:rPr>
              <w:t>              </w:t>
            </w:r>
          </w:p>
        </w:tc>
      </w:tr>
      <w:tr>
        <w:trPr/>
        <w:tc>
          <w:tcPr>
            <w:tcW w:w="4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(Sign exactly as your name appears on the face of this 2031 Note)</w:t>
            </w:r>
          </w:p>
        </w:tc>
      </w:tr>
      <w:tr>
        <w:trPr>
          <w:trHeight w:val="240" w:hRule="atLeast"/>
        </w:trPr>
        <w:tc>
          <w:tcPr>
            <w:tcW w:w="44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Tax Identification No.: </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Security is $[__________]. The following exchanges of a part of this Global Security for an interest in another Global Security or for a Definitive Security, or exchanges of a part of another Global or Definitive Security for an interest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1"/>
        <w:gridCol w:w="1940"/>
        <w:gridCol w:w="102"/>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w:t>
            </w:r>
          </w:p>
          <w:p>
            <w:pPr>
              <w:pStyle w:val="TableContents"/>
              <w:bidi w:val="0"/>
              <w:spacing w:before="0" w:after="20"/>
              <w:jc w:val="center"/>
              <w:rPr>
                <w:rFonts w:ascii="Times New Roman" w:hAnsi="Times New Roman"/>
                <w:sz w:val="16"/>
              </w:rPr>
            </w:pPr>
            <w:r>
              <w:rPr>
                <w:rFonts w:ascii="Times New Roman" w:hAnsi="Times New Roman"/>
                <w:sz w:val="16"/>
              </w:rPr>
              <w:t>Exchange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w:t>
            </w:r>
          </w:p>
          <w:p>
            <w:pPr>
              <w:pStyle w:val="TableContents"/>
              <w:bidi w:val="0"/>
              <w:spacing w:before="0" w:after="0"/>
              <w:jc w:val="center"/>
              <w:rPr>
                <w:rFonts w:ascii="Times New Roman" w:hAnsi="Times New Roman"/>
                <w:sz w:val="16"/>
              </w:rPr>
            </w:pPr>
            <w:r>
              <w:rPr>
                <w:rFonts w:ascii="Times New Roman" w:hAnsi="Times New Roman"/>
                <w:sz w:val="16"/>
              </w:rPr>
              <w:t>in 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Security</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w:t>
            </w:r>
          </w:p>
          <w:p>
            <w:pPr>
              <w:pStyle w:val="TableContents"/>
              <w:bidi w:val="0"/>
              <w:spacing w:before="0" w:after="0"/>
              <w:jc w:val="center"/>
              <w:rPr>
                <w:rFonts w:ascii="Times New Roman" w:hAnsi="Times New Roman"/>
                <w:sz w:val="16"/>
              </w:rPr>
            </w:pPr>
            <w:r>
              <w:rPr>
                <w:rFonts w:ascii="Times New Roman" w:hAnsi="Times New Roman"/>
                <w:sz w:val="16"/>
              </w:rPr>
              <w:t>in 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Security</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bidi w:val="0"/>
              <w:spacing w:before="0" w:after="0"/>
              <w:jc w:val="center"/>
              <w:rPr>
                <w:rFonts w:ascii="Times New Roman" w:hAnsi="Times New Roman"/>
                <w:sz w:val="16"/>
              </w:rPr>
            </w:pPr>
            <w:r>
              <w:rPr>
                <w:rFonts w:ascii="Times New Roman" w:hAnsi="Times New Roman"/>
                <w:sz w:val="16"/>
              </w:rPr>
              <w:t>this Global</w:t>
            </w:r>
          </w:p>
          <w:p>
            <w:pPr>
              <w:pStyle w:val="TableContents"/>
              <w:bidi w:val="0"/>
              <w:spacing w:before="0" w:after="0"/>
              <w:jc w:val="center"/>
              <w:rPr>
                <w:rFonts w:ascii="Times New Roman" w:hAnsi="Times New Roman"/>
                <w:sz w:val="16"/>
              </w:rPr>
            </w:pPr>
            <w:r>
              <w:rPr>
                <w:rFonts w:ascii="Times New Roman" w:hAnsi="Times New Roman"/>
                <w:sz w:val="16"/>
              </w:rPr>
              <w:t>Security</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02"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officer</w:t>
            </w:r>
          </w:p>
          <w:p>
            <w:pPr>
              <w:pStyle w:val="TableContents"/>
              <w:bidi w:val="0"/>
              <w:spacing w:before="0" w:after="0"/>
              <w:jc w:val="center"/>
              <w:rPr>
                <w:rFonts w:ascii="Times New Roman" w:hAnsi="Times New Roman"/>
                <w:sz w:val="16"/>
              </w:rPr>
            </w:pPr>
            <w:r>
              <w:rPr>
                <w:rFonts w:ascii="Times New Roman" w:hAnsi="Times New Roman"/>
                <w:sz w:val="16"/>
              </w:rPr>
              <w:t>of Trustee or</w:t>
            </w:r>
          </w:p>
          <w:p>
            <w:pPr>
              <w:pStyle w:val="TableContents"/>
              <w:bidi w:val="0"/>
              <w:spacing w:before="0" w:after="20"/>
              <w:jc w:val="center"/>
              <w:rPr>
                <w:rFonts w:ascii="Times New Roman" w:hAnsi="Times New Roman"/>
                <w:sz w:val="16"/>
              </w:rPr>
            </w:pPr>
            <w:r>
              <w:rPr>
                <w:rFonts w:ascii="Times New Roman" w:hAnsi="Times New Roman"/>
                <w:sz w:val="16"/>
              </w:rPr>
              <w:t>Note Custodian</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Security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p>
    <w:p>
      <w:pPr>
        <w:pStyle w:val="TextBody"/>
        <w:bidi w:val="0"/>
        <w:spacing w:before="0" w:after="0"/>
        <w:jc w:val="right"/>
        <w:rPr>
          <w:rFonts w:ascii="Times New Roman" w:hAnsi="Times New Roman"/>
          <w:b/>
          <w:sz w:val="20"/>
        </w:rPr>
      </w:pPr>
      <w:bookmarkStart w:id="4" w:name="d20600dex42.htm"/>
      <w:bookmarkStart w:id="5" w:name="ksd20600dex42"/>
      <w:bookmarkEnd w:id="4"/>
      <w:bookmarkEnd w:id="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2034 NOTES SUPPLEMENTAL INDENTURE NO. 1 </w:t>
      </w:r>
    </w:p>
    <w:p>
      <w:pPr>
        <w:pStyle w:val="TextBody"/>
        <w:bidi w:val="0"/>
        <w:spacing w:before="240" w:after="0"/>
        <w:jc w:val="left"/>
        <w:rPr>
          <w:rFonts w:ascii="Times New Roman" w:hAnsi="Times New Roman"/>
          <w:sz w:val="20"/>
        </w:rPr>
      </w:pPr>
      <w:r>
        <w:rPr>
          <w:rFonts w:ascii="Times New Roman" w:hAnsi="Times New Roman"/>
          <w:sz w:val="20"/>
        </w:rPr>
        <w:t>This 2034 NOTES SUPPLEMENTAL INDENTURE NO. 1, dated as of June 16, 2026 (this “</w:t>
      </w:r>
      <w:r>
        <w:rPr>
          <w:rFonts w:ascii="Times New Roman" w:hAnsi="Times New Roman"/>
          <w:sz w:val="20"/>
          <w:u w:val="single"/>
        </w:rPr>
        <w:t>2034 Notes Supplemental Indenture</w:t>
      </w:r>
      <w:r>
        <w:rPr>
          <w:rFonts w:ascii="Times New Roman" w:hAnsi="Times New Roman"/>
          <w:sz w:val="20"/>
        </w:rPr>
        <w:t>”), is made and entered into among Dell International L.L.C., a Delaware limited liability company (“</w:t>
      </w:r>
      <w:r>
        <w:rPr>
          <w:rFonts w:ascii="Times New Roman" w:hAnsi="Times New Roman"/>
          <w:sz w:val="20"/>
          <w:u w:val="single"/>
        </w:rPr>
        <w:t>Dell International</w:t>
      </w:r>
      <w:r>
        <w:rPr>
          <w:rFonts w:ascii="Times New Roman" w:hAnsi="Times New Roman"/>
          <w:sz w:val="20"/>
        </w:rPr>
        <w:t>”), EMC Corporation, a Massachusetts corporation (“</w:t>
      </w:r>
      <w:r>
        <w:rPr>
          <w:rFonts w:ascii="Times New Roman" w:hAnsi="Times New Roman"/>
          <w:sz w:val="20"/>
          <w:u w:val="single"/>
        </w:rPr>
        <w:t>EMC</w:t>
      </w:r>
      <w:r>
        <w:rPr>
          <w:rFonts w:ascii="Times New Roman" w:hAnsi="Times New Roman"/>
          <w:sz w:val="20"/>
        </w:rPr>
        <w:t>” and, together with Dell International, the “</w:t>
      </w:r>
      <w:r>
        <w:rPr>
          <w:rFonts w:ascii="Times New Roman" w:hAnsi="Times New Roman"/>
          <w:sz w:val="20"/>
          <w:u w:val="single"/>
        </w:rPr>
        <w:t>Issuers</w:t>
      </w:r>
      <w:r>
        <w:rPr>
          <w:rFonts w:ascii="Times New Roman" w:hAnsi="Times New Roman"/>
          <w:sz w:val="20"/>
        </w:rPr>
        <w:t>”), the Guarantors (as defined below) and The Bank of New York Mellon Trust Company, N.A., a national banking association, as trustee (in such capacity, the “</w:t>
      </w:r>
      <w:r>
        <w:rPr>
          <w:rFonts w:ascii="Times New Roman" w:hAnsi="Times New Roman"/>
          <w:sz w:val="20"/>
          <w:u w:val="single"/>
        </w:rPr>
        <w:t>Trustee</w:t>
      </w:r>
      <w:r>
        <w:rPr>
          <w:rFonts w:ascii="Times New Roman" w:hAnsi="Times New Roman"/>
          <w:sz w:val="20"/>
        </w:rPr>
        <w:t xml:space="preserve">”). Capitalized terms used herein and not otherwise defined have the meanings set forth in the Base Indenture referred to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A. Section 9.01(15) of the Base Indenture, dated as of January 24, 2023, among the Issuers, the guarantors named therein (the “</w:t>
      </w:r>
      <w:r>
        <w:rPr>
          <w:rFonts w:ascii="Times New Roman" w:hAnsi="Times New Roman"/>
          <w:sz w:val="20"/>
          <w:u w:val="single"/>
        </w:rPr>
        <w:t>Guarantors</w:t>
      </w:r>
      <w:r>
        <w:rPr>
          <w:rFonts w:ascii="Times New Roman" w:hAnsi="Times New Roman"/>
          <w:sz w:val="20"/>
        </w:rPr>
        <w:t>”) and the Trustee (the “</w:t>
      </w:r>
      <w:r>
        <w:rPr>
          <w:rFonts w:ascii="Times New Roman" w:hAnsi="Times New Roman"/>
          <w:sz w:val="20"/>
          <w:u w:val="single"/>
        </w:rPr>
        <w:t>Base Indenture</w:t>
      </w:r>
      <w:r>
        <w:rPr>
          <w:rFonts w:ascii="Times New Roman" w:hAnsi="Times New Roman"/>
          <w:sz w:val="20"/>
        </w:rPr>
        <w:t>” and, together with this 2034 Notes Supplemental Indenture, the “</w:t>
      </w:r>
      <w:r>
        <w:rPr>
          <w:rFonts w:ascii="Times New Roman" w:hAnsi="Times New Roman"/>
          <w:sz w:val="20"/>
          <w:u w:val="single"/>
        </w:rPr>
        <w:t>Indenture</w:t>
      </w:r>
      <w:r>
        <w:rPr>
          <w:rFonts w:ascii="Times New Roman" w:hAnsi="Times New Roman"/>
          <w:sz w:val="20"/>
        </w:rPr>
        <w:t xml:space="preserve">”) provides that, without the consent of Holders, the Issuers, the Guarantors and the Trustee may enter into a supplemental indenture to the Base Indenture to establish the form or terms of Securities of any series pursuant to Section 2.01 of the Base Indenture. </w:t>
      </w:r>
    </w:p>
    <w:p>
      <w:pPr>
        <w:pStyle w:val="TextBody"/>
        <w:bidi w:val="0"/>
        <w:spacing w:before="240" w:after="0"/>
        <w:jc w:val="left"/>
        <w:rPr>
          <w:rFonts w:ascii="Times New Roman" w:hAnsi="Times New Roman"/>
          <w:sz w:val="20"/>
        </w:rPr>
      </w:pPr>
      <w:r>
        <w:rPr>
          <w:rFonts w:ascii="Times New Roman" w:hAnsi="Times New Roman"/>
          <w:sz w:val="20"/>
        </w:rPr>
        <w:t>B. The Issuers desire to issue $750,000,000 aggregate principal amount of 5.000% Senior Notes due 2034 (the “</w:t>
      </w:r>
      <w:r>
        <w:rPr>
          <w:rFonts w:ascii="Times New Roman" w:hAnsi="Times New Roman"/>
          <w:sz w:val="20"/>
          <w:u w:val="single"/>
        </w:rPr>
        <w:t>2034 Notes</w:t>
      </w:r>
      <w:r>
        <w:rPr>
          <w:rFonts w:ascii="Times New Roman" w:hAnsi="Times New Roman"/>
          <w:sz w:val="20"/>
        </w:rPr>
        <w:t xml:space="preserve">”), and in connection therewith, the Issuers have duly determined to make, execute and deliver to the Trustee this 2034 Notes Supplemental Indenture to set forth the terms and provisions of the 2034 Notes as required by the Base Indenture. This 2034 Notes Supplemental Indenture shall supplement the Base Indenture insofar as it will apply only to the 2034 Notes issued hereunder (and not to any other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and covenants set forth herein, the parties hereto agree, subject to the terms and conditions hereinafter set forth, as follows for the benefit of the Trustee and the Holders of the 2034 Notes: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sz w:val="20"/>
          <w:u w:val="single"/>
        </w:rPr>
        <w:t>2034 Notes</w:t>
      </w:r>
      <w:r>
        <w:rPr>
          <w:rFonts w:ascii="Times New Roman" w:hAnsi="Times New Roman"/>
          <w:sz w:val="20"/>
        </w:rPr>
        <w:t xml:space="preserve">. Pursuant to Section 2.01 of the Base Indenture, the terms and provisions of the 2034 Notes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title of the 2034 Notes shall be “5.000% Senior Notes due 2034.” </w:t>
      </w:r>
    </w:p>
    <w:p>
      <w:pPr>
        <w:pStyle w:val="TextBody"/>
        <w:bidi w:val="0"/>
        <w:spacing w:before="240" w:after="0"/>
        <w:jc w:val="left"/>
        <w:rPr>
          <w:rFonts w:ascii="Times New Roman" w:hAnsi="Times New Roman"/>
          <w:sz w:val="20"/>
        </w:rPr>
      </w:pPr>
      <w:r>
        <w:rPr>
          <w:rFonts w:ascii="Times New Roman" w:hAnsi="Times New Roman"/>
          <w:sz w:val="20"/>
        </w:rPr>
        <w:t>(b) The 2034 Notes shall be initially limited to $750,000,000 aggregate principal amount. The Issuers may, without the consent of the Holders of the 2034 Notes, increase such aggregate principal amount in the future, on the same terms and conditions, except for any differences in the issue date, issue price and, if applicable, the first Interest Payment Date and the first date from which interest will accrue. The 2034 Notes issued originally hereunder (the “</w:t>
      </w:r>
      <w:r>
        <w:rPr>
          <w:rFonts w:ascii="Times New Roman" w:hAnsi="Times New Roman"/>
          <w:sz w:val="20"/>
          <w:u w:val="single"/>
        </w:rPr>
        <w:t>Initial 2034 Notes</w:t>
      </w:r>
      <w:r>
        <w:rPr>
          <w:rFonts w:ascii="Times New Roman" w:hAnsi="Times New Roman"/>
          <w:sz w:val="20"/>
        </w:rPr>
        <w:t xml:space="preserve">”) and any Additional Securities of such series subsequently issued, shall be treated as a single class for purposes of the Indenture, including waivers, amendments, redemptions and offers to purchase; </w:t>
      </w:r>
      <w:r>
        <w:rPr>
          <w:rFonts w:ascii="Times New Roman" w:hAnsi="Times New Roman"/>
          <w:sz w:val="20"/>
          <w:u w:val="single"/>
        </w:rPr>
        <w:t>provided</w:t>
      </w:r>
      <w:r>
        <w:rPr>
          <w:rFonts w:ascii="Times New Roman" w:hAnsi="Times New Roman"/>
          <w:sz w:val="20"/>
        </w:rPr>
        <w:t xml:space="preserve"> that if any such Additional Securities are not fungible with the Initial 2034 Notes for U.S. federal income tax purposes, such Additional Securities will have a separate CUSIP number and ISIN number from the Initial 2034 Notes. </w:t>
      </w:r>
    </w:p>
    <w:p>
      <w:pPr>
        <w:pStyle w:val="TextBody"/>
        <w:bidi w:val="0"/>
        <w:spacing w:before="240" w:after="0"/>
        <w:jc w:val="left"/>
        <w:rPr>
          <w:rFonts w:ascii="Times New Roman" w:hAnsi="Times New Roman"/>
          <w:sz w:val="20"/>
        </w:rPr>
      </w:pPr>
      <w:r>
        <w:rPr>
          <w:rFonts w:ascii="Times New Roman" w:hAnsi="Times New Roman"/>
          <w:sz w:val="20"/>
        </w:rPr>
        <w:t xml:space="preserve">(c) The price at which the 2034 Notes shall be issued to the public is 99.404%. </w:t>
      </w:r>
    </w:p>
    <w:p>
      <w:pPr>
        <w:pStyle w:val="TextBody"/>
        <w:bidi w:val="0"/>
        <w:spacing w:before="240" w:after="0"/>
        <w:jc w:val="left"/>
        <w:rPr>
          <w:rFonts w:ascii="Times New Roman" w:hAnsi="Times New Roman"/>
          <w:sz w:val="20"/>
        </w:rPr>
      </w:pPr>
      <w:r>
        <w:rPr>
          <w:rFonts w:ascii="Times New Roman" w:hAnsi="Times New Roman"/>
          <w:sz w:val="20"/>
        </w:rPr>
        <w:t xml:space="preserve">(d) The Issuers’ actions and determinations in determining the Redemption Price shall be conclusive and binding, absent manifest error. The Trustee shall have no obligation to determine the Redemption Price or to verify the calculation of the Redemption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Stated Maturity for the 2034 Notes shall be on February 15, 2034. The 2034 Notes shall not require any principal or premium payments prior to the Stated Maturity. </w:t>
      </w:r>
    </w:p>
    <w:p>
      <w:pPr>
        <w:pStyle w:val="TextBody"/>
        <w:bidi w:val="0"/>
        <w:spacing w:before="240" w:after="0"/>
        <w:jc w:val="left"/>
        <w:rPr>
          <w:rFonts w:ascii="Times New Roman" w:hAnsi="Times New Roman"/>
          <w:sz w:val="20"/>
        </w:rPr>
      </w:pPr>
      <w:r>
        <w:rPr>
          <w:rFonts w:ascii="Times New Roman" w:hAnsi="Times New Roman"/>
          <w:sz w:val="20"/>
        </w:rPr>
        <w:t xml:space="preserve">(f) The rate at which the 2034 Notes shall bear interest shall be 5.000% per annum, as set forth in Section 1 of the form of 2034 Note attached hereto as Exhibit A. Interest on the 2034 Notes shall accrue from the most recent date to which interest has been paid, or, if no interest has been paid, from June 16, 2026. Each February 15 and August 15 in each year, commencing August 15, 2026, shall be an Interest Payment Date for the 2034 Notes. The February 1 or August 1 (whether or not a Business Day), as the case may be, immediately preceding an Interest Payment Date shall be the Record Date for the interest payable on such Interest Payment Date, even if such 2034 Notes are canceled after such record date and on or before such Interest Payment Date, except as provided in Section 2.12 of the Base Indenture with respect to defaulted interest. If an Interest Payment Date is a Legal Holiday at a place of payment, payment may be made at that place on the next succeeding day that is a Business Day, and no interest on such payment will accrue in respect of the delay. The Issuers shall pay interest on overdue principal at a rate equal to the then applicable interest rate on the 2034 Notes to the extent lawful, and the Issuers shall pay interest on overdue installments of interest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(g) Payments of principal of, premium, if any, and interest on the 2034 Notes represented by one or more Global Securities initially registered in the name of The Depository Trust Company (the “</w:t>
      </w:r>
      <w:r>
        <w:rPr>
          <w:rFonts w:ascii="Times New Roman" w:hAnsi="Times New Roman"/>
          <w:sz w:val="20"/>
          <w:u w:val="single"/>
        </w:rPr>
        <w:t>Depositary</w:t>
      </w:r>
      <w:r>
        <w:rPr>
          <w:rFonts w:ascii="Times New Roman" w:hAnsi="Times New Roman"/>
          <w:sz w:val="20"/>
        </w:rPr>
        <w:t xml:space="preserve">”) or its nominee with respect to the 2034 Notes shall be made by the Issuers through the Trustee in immediately available funds to the Depositary or its nominee,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(h) The 2034 Notes shall be redeemable in accordance with the terms and provisions set forth in </w:t>
      </w:r>
      <w:r>
        <w:rPr>
          <w:rFonts w:ascii="Times New Roman" w:hAnsi="Times New Roman"/>
          <w:sz w:val="20"/>
          <w:u w:val="single"/>
        </w:rPr>
        <w:t>Section 2</w:t>
      </w:r>
      <w:r>
        <w:rPr>
          <w:rFonts w:ascii="Times New Roman" w:hAnsi="Times New Roman"/>
          <w:sz w:val="20"/>
        </w:rPr>
        <w:t xml:space="preserve"> hereof and (to the extent they do not conflict with </w:t>
      </w:r>
      <w:r>
        <w:rPr>
          <w:rFonts w:ascii="Times New Roman" w:hAnsi="Times New Roman"/>
          <w:sz w:val="20"/>
          <w:u w:val="single"/>
        </w:rPr>
        <w:t>Section 2</w:t>
      </w:r>
      <w:r>
        <w:rPr>
          <w:rFonts w:ascii="Times New Roman" w:hAnsi="Times New Roman"/>
          <w:sz w:val="20"/>
        </w:rPr>
        <w:t xml:space="preserve"> hereof) the terms and provisions of Article 3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(i) There shall be no mandatory sinking fund for the payments of the 2034 Notes. </w:t>
      </w:r>
    </w:p>
    <w:p>
      <w:pPr>
        <w:pStyle w:val="TextBody"/>
        <w:bidi w:val="0"/>
        <w:spacing w:before="240" w:after="0"/>
        <w:jc w:val="left"/>
        <w:rPr>
          <w:rFonts w:ascii="Times New Roman" w:hAnsi="Times New Roman"/>
          <w:sz w:val="20"/>
        </w:rPr>
      </w:pPr>
      <w:r>
        <w:rPr>
          <w:rFonts w:ascii="Times New Roman" w:hAnsi="Times New Roman"/>
          <w:sz w:val="20"/>
        </w:rPr>
        <w:t xml:space="preserve">(j) The 2034 Notes shall be represented by one or more Global Securities deposited with the Depositary and registered in the name of the nominee of the Depositary. The 2034 Notes, including the form of the certificate of authentication, shall be substantially in the form attached hereto as Exhibit A, the terms of which are incorporated by reference in this 2034 Notes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Bank of New York Mellon Trust Company, N.A. shall be the Trustee for the 2034 Notes. </w:t>
      </w:r>
    </w:p>
    <w:p>
      <w:pPr>
        <w:pStyle w:val="TextBody"/>
        <w:bidi w:val="0"/>
        <w:spacing w:before="240" w:after="0"/>
        <w:jc w:val="left"/>
        <w:rPr>
          <w:rFonts w:ascii="Times New Roman" w:hAnsi="Times New Roman"/>
          <w:sz w:val="20"/>
        </w:rPr>
      </w:pPr>
      <w:r>
        <w:rPr>
          <w:rFonts w:ascii="Times New Roman" w:hAnsi="Times New Roman"/>
          <w:sz w:val="20"/>
        </w:rPr>
        <w:t xml:space="preserve">(l) Article 10 of the Base Indenture shall apply to the 2034 Notes. </w:t>
      </w:r>
    </w:p>
    <w:p>
      <w:pPr>
        <w:pStyle w:val="TextBody"/>
        <w:bidi w:val="0"/>
        <w:spacing w:before="240" w:after="0"/>
        <w:jc w:val="left"/>
        <w:rPr>
          <w:rFonts w:ascii="Times New Roman" w:hAnsi="Times New Roman"/>
          <w:sz w:val="20"/>
        </w:rPr>
      </w:pPr>
      <w:r>
        <w:rPr>
          <w:rFonts w:ascii="Times New Roman" w:hAnsi="Times New Roman"/>
          <w:sz w:val="20"/>
        </w:rPr>
        <w:t xml:space="preserve">(m) The covenants set forth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shall apply to the 2034 Notes. Upon satisfaction of the conditions set forth in Section 8.03 of the Base Indenture, the Issuers and the Guarantors shall be released from their obligations under such covenants set forth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(n) The minimum authorized denomination for 2034 Notes shall be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(o) To the extent not set forth otherwise herein, the provisions of Article 2 of the Base Indenture are applicable.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sz w:val="20"/>
          <w:u w:val="single"/>
        </w:rPr>
        <w:t>Optional Redemption of the 2034 Notes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(a) Prior to December 15, 2033 (the “</w:t>
      </w:r>
      <w:r>
        <w:rPr>
          <w:rFonts w:ascii="Times New Roman" w:hAnsi="Times New Roman"/>
          <w:sz w:val="20"/>
          <w:u w:val="single"/>
        </w:rPr>
        <w:t>Par Call Date</w:t>
      </w:r>
      <w:r>
        <w:rPr>
          <w:rFonts w:ascii="Times New Roman" w:hAnsi="Times New Roman"/>
          <w:sz w:val="20"/>
        </w:rPr>
        <w:t xml:space="preserve">”), the 2034 Notes will be redeemable, at any time, in whole or from time to time in part, at the Issuers’ option, at the Redemption Price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2034 Notes to be redeemed;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but excluding, the Redemption Date (assuming the 2034 Notes matured on the Par Call Date) on a semi-annual basis (assuming a 360-day year consisting of twelve 30-day months) at the Treasury Rate, plus 15 basis points less (b) interest accrued to the Redemption Date; </w:t>
            </w:r>
          </w:p>
        </w:tc>
      </w:tr>
    </w:tbl>
    <w:p>
      <w:pPr>
        <w:pStyle w:val="TextBody"/>
        <w:bidi w:val="0"/>
        <w:spacing w:before="240" w:after="0"/>
        <w:jc w:val="left"/>
        <w:rPr>
          <w:rFonts w:ascii="Times New Roman" w:hAnsi="Times New Roman"/>
          <w:sz w:val="20"/>
        </w:rPr>
      </w:pPr>
      <w:r>
        <w:rPr>
          <w:rFonts w:ascii="Times New Roman" w:hAnsi="Times New Roman"/>
          <w:sz w:val="20"/>
          <w:u w:val="single"/>
        </w:rPr>
        <w:t>plus</w:t>
      </w:r>
      <w:r>
        <w:rPr>
          <w:rFonts w:ascii="Times New Roman" w:hAnsi="Times New Roman"/>
          <w:sz w:val="20"/>
        </w:rPr>
        <w:t xml:space="preserve">, in either case, accrued and unpaid interest thereon to, but excluding, the Redemption Date. Notwithstanding the foregoing, installments of interest on the 2034 Notes to be redeemed that are due and payable on Interest Payment Dates falling on or prior to a Redemption Date will be payable on the Interest Payment Date to the registered Holders as of the close of business on the relevant Record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Par Call Date, the Issuers may redeem the 2034 Notes, in whole or in part, at any time and from time to time, at a Redemption Price equal to 100% of the principal amount of the 2034 Notes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(c) A notice of redemption need not set forth the exact Redemption Price but only the manner of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pursuant to this </w:t>
      </w:r>
      <w:r>
        <w:rPr>
          <w:rFonts w:ascii="Times New Roman" w:hAnsi="Times New Roman"/>
          <w:sz w:val="20"/>
          <w:u w:val="single"/>
        </w:rPr>
        <w:t>Section 2</w:t>
      </w:r>
      <w:r>
        <w:rPr>
          <w:rFonts w:ascii="Times New Roman" w:hAnsi="Times New Roman"/>
          <w:sz w:val="20"/>
        </w:rPr>
        <w:t xml:space="preserve"> shall be made pursuant to the provisions of Sections 3.01 through 3.06 of the Base Indenture.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Adjusted Current Liabilities</w:t>
      </w:r>
      <w:r>
        <w:rPr>
          <w:rFonts w:ascii="Times New Roman" w:hAnsi="Times New Roman"/>
          <w:sz w:val="20"/>
        </w:rPr>
        <w:t xml:space="preserve">” has the meaning set forth for such term in the definition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Aggregate Debt</w:t>
      </w:r>
      <w:r>
        <w:rPr>
          <w:rFonts w:ascii="Times New Roman" w:hAnsi="Times New Roman"/>
          <w:sz w:val="20"/>
        </w:rPr>
        <w:t xml:space="preserve">” means, as of the date of determination, the sum of (1) the aggregate principal amount of indebtedness of the Issuers and their Restricted Subsidiaries secured by Liens (other than Permitted Liens) that is not permitted by </w:t>
      </w:r>
      <w:r>
        <w:rPr>
          <w:rFonts w:ascii="Times New Roman" w:hAnsi="Times New Roman"/>
          <w:sz w:val="20"/>
          <w:u w:val="single"/>
        </w:rPr>
        <w:t>Section 5(a)</w:t>
      </w:r>
      <w:r>
        <w:rPr>
          <w:rFonts w:ascii="Times New Roman" w:hAnsi="Times New Roman"/>
          <w:sz w:val="20"/>
        </w:rPr>
        <w:t xml:space="preserve"> hereof and (2) the Attributable Indebtedness of the Issuers and their Restricted Subsidiaries in respect of Sale and Lease-Back Transactions entered into pursuant to </w:t>
      </w:r>
      <w:r>
        <w:rPr>
          <w:rFonts w:ascii="Times New Roman" w:hAnsi="Times New Roman"/>
          <w:sz w:val="20"/>
          <w:u w:val="single"/>
        </w:rPr>
        <w:t>Section 4(b)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Alternate Offer</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Attributable Indebtedness</w:t>
      </w:r>
      <w:r>
        <w:rPr>
          <w:rFonts w:ascii="Times New Roman" w:hAnsi="Times New Roman"/>
          <w:sz w:val="20"/>
        </w:rPr>
        <w:t xml:space="preserve">”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2034 Notes outstanding pursuant to the Indenture compounded semi-annually, or (c) if the obligation with respect to the Sale and Lease-Back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Change of Control</w:t>
      </w:r>
      <w:r>
        <w:rPr>
          <w:rFonts w:ascii="Times New Roman" w:hAnsi="Times New Roman"/>
          <w:sz w:val="20"/>
        </w:rPr>
        <w:t xml:space="preserve">” means the occurrence of one or more of the following events after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(1) the sale, lease or transfer, in one or a series of related transactions, of all or substantially all of the assets of Parent and its Subsidiaries, taken as a whole, to any Person other than any Permitted Holders; </w:t>
      </w:r>
    </w:p>
    <w:p>
      <w:pPr>
        <w:pStyle w:val="TextBody"/>
        <w:bidi w:val="0"/>
        <w:spacing w:before="120" w:after="0"/>
        <w:jc w:val="left"/>
        <w:rPr>
          <w:rFonts w:ascii="Times New Roman" w:hAnsi="Times New Roman"/>
          <w:sz w:val="20"/>
        </w:rPr>
      </w:pPr>
      <w:r>
        <w:rPr>
          <w:rFonts w:ascii="Times New Roman" w:hAnsi="Times New Roman"/>
          <w:sz w:val="20"/>
        </w:rPr>
        <w:t xml:space="preserve">(2) Parent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 </w:t>
      </w:r>
    </w:p>
    <w:p>
      <w:pPr>
        <w:pStyle w:val="TextBody"/>
        <w:bidi w:val="0"/>
        <w:spacing w:before="120" w:after="0"/>
        <w:jc w:val="left"/>
        <w:rPr>
          <w:rFonts w:ascii="Times New Roman" w:hAnsi="Times New Roman"/>
          <w:sz w:val="20"/>
        </w:rPr>
      </w:pPr>
      <w:r>
        <w:rPr>
          <w:rFonts w:ascii="Times New Roman" w:hAnsi="Times New Roman"/>
          <w:sz w:val="20"/>
        </w:rPr>
        <w:t xml:space="preserve">(3) Parent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(4) either of the Issuers shall cease to be a direct or indirect Subsidiary of Parent; or </w:t>
      </w:r>
    </w:p>
    <w:p>
      <w:pPr>
        <w:pStyle w:val="TextBody"/>
        <w:bidi w:val="0"/>
        <w:spacing w:before="120" w:after="0"/>
        <w:jc w:val="left"/>
        <w:rPr>
          <w:rFonts w:ascii="Times New Roman" w:hAnsi="Times New Roman"/>
          <w:sz w:val="20"/>
        </w:rPr>
      </w:pPr>
      <w:r>
        <w:rPr>
          <w:rFonts w:ascii="Times New Roman" w:hAnsi="Times New Roman"/>
          <w:sz w:val="20"/>
        </w:rPr>
        <w:t xml:space="preserve">(5) the adoption by Parent of a plan providing for its liquidation or dissolution.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of Control Offer</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Change of Control Payment</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 Payment Date</w:t>
      </w:r>
      <w:r>
        <w:rPr>
          <w:rFonts w:ascii="Times New Roman" w:hAnsi="Times New Roman"/>
          <w:sz w:val="20"/>
        </w:rPr>
        <w:t xml:space="preserve">” has the meaning set forth for such term in </w:t>
      </w:r>
      <w:r>
        <w:rPr>
          <w:rFonts w:ascii="Times New Roman" w:hAnsi="Times New Roman"/>
          <w:sz w:val="20"/>
          <w:u w:val="single"/>
        </w:rPr>
        <w:t>Section 6(a)(2)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Change of Control Triggering Event</w:t>
      </w:r>
      <w:r>
        <w:rPr>
          <w:rFonts w:ascii="Times New Roman" w:hAnsi="Times New Roman"/>
          <w:sz w:val="20"/>
        </w:rPr>
        <w:t xml:space="preserve">” means the occurrence of both a Change of Control and a Rating Decline.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Consolidated Net Tangible Assets</w:t>
      </w:r>
      <w:r>
        <w:rPr>
          <w:rFonts w:ascii="Times New Roman" w:hAnsi="Times New Roman"/>
          <w:sz w:val="20"/>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Times New Roman" w:hAnsi="Times New Roman"/>
          <w:sz w:val="20"/>
          <w:u w:val="single"/>
        </w:rPr>
        <w:t>Adjusted Current Liabilities</w:t>
      </w:r>
      <w:r>
        <w:rPr>
          <w:rFonts w:ascii="Times New Roman" w:hAnsi="Times New Roman"/>
          <w:sz w:val="20"/>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Times New Roman" w:hAnsi="Times New Roman"/>
          <w:sz w:val="20"/>
          <w:u w:val="single"/>
        </w:rPr>
        <w:t>Intangible Assets</w:t>
      </w:r>
      <w:r>
        <w:rPr>
          <w:rFonts w:ascii="Times New Roman" w:hAnsi="Times New Roman"/>
          <w:sz w:val="20"/>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Times New Roman" w:hAnsi="Times New Roman"/>
          <w:sz w:val="20"/>
          <w:u w:val="single"/>
        </w:rPr>
        <w:t>provided</w:t>
      </w:r>
      <w:r>
        <w:rPr>
          <w:rFonts w:ascii="Times New Roman" w:hAnsi="Times New Roman"/>
          <w:sz w:val="20"/>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Domestic Subsidiary</w:t>
      </w:r>
      <w:r>
        <w:rPr>
          <w:rFonts w:ascii="Times New Roman" w:hAnsi="Times New Roman"/>
          <w:sz w:val="20"/>
        </w:rPr>
        <w:t xml:space="preserve">” means any Subsidiary (other than a Foreign Subsidiary) that is organized or existing under the laws of the United States, any state or territory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Fitch</w:t>
      </w:r>
      <w:r>
        <w:rPr>
          <w:rFonts w:ascii="Times New Roman" w:hAnsi="Times New Roman"/>
          <w:sz w:val="20"/>
        </w:rPr>
        <w:t xml:space="preserve">” means Fitch Inc. and any successor to its rating agency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Foreign Subsidiary</w:t>
      </w:r>
      <w:r>
        <w:rPr>
          <w:rFonts w:ascii="Times New Roman" w:hAnsi="Times New Roman"/>
          <w:sz w:val="20"/>
        </w:rPr>
        <w:t xml:space="preserve">” means any Subsidiary that is not organized under the laws of the United States of America or any state or territory thereof or the District of Columbia and any Subsidiary of such Foreign Subsidiary.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H.15</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H.15 TCM</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Hedging Obligations</w:t>
      </w:r>
      <w:r>
        <w:rPr>
          <w:rFonts w:ascii="Times New Roman" w:hAnsi="Times New Roman"/>
          <w:sz w:val="20"/>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Intangible Assets</w:t>
      </w:r>
      <w:r>
        <w:rPr>
          <w:rFonts w:ascii="Times New Roman" w:hAnsi="Times New Roman"/>
          <w:sz w:val="20"/>
        </w:rPr>
        <w:t xml:space="preserve">” has the meaning set forth for such term in the definition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Investment Grade Rating</w:t>
      </w:r>
      <w:r>
        <w:rPr>
          <w:rFonts w:ascii="Times New Roman" w:hAnsi="Times New Roman"/>
          <w:sz w:val="20"/>
        </w:rPr>
        <w:t xml:space="preserve">” means a rating equal to or higher than Baa3 (or the equivalent) by Moody’s, BBB- (or the equivalent) by S&amp;P and BBB- (or the equivalent) by Fitch, or the equivalent investment grade credit rating from any other Rating Agency substituted for Moody’s, S&amp;P or Fitch pursuant to clause (2) of the definition of “Rating Agency.”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Investors</w:t>
      </w:r>
      <w:r>
        <w:rPr>
          <w:rFonts w:ascii="Times New Roman" w:hAnsi="Times New Roman"/>
          <w:sz w:val="20"/>
        </w:rPr>
        <w:t xml:space="preserve">”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Silver Lake Technology Investors V, L.P., Silver Lake Partners V DE (AIV), L.P., SL SPV-2, L.P., Silver Lake Group, L.L.C. and their Affiliates and any funds, partnerships or other co-investment vehicles managed, advised or controlled by the foregoing or their respective Affiliates, excluding, in each case, Denali Intermediate Inc. and its Subsidiaries and any portfolio companies of any of the foregoing.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Master Agreement</w:t>
      </w:r>
      <w:r>
        <w:rPr>
          <w:rFonts w:ascii="Times New Roman" w:hAnsi="Times New Roman"/>
          <w:sz w:val="20"/>
        </w:rPr>
        <w:t xml:space="preserve">” has the meaning set forth for such term in the definition of “Hedging Obligations.”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Nonrecourse Obligation</w:t>
      </w:r>
      <w:r>
        <w:rPr>
          <w:rFonts w:ascii="Times New Roman" w:hAnsi="Times New Roman"/>
          <w:sz w:val="20"/>
        </w:rPr>
        <w:t xml:space="preserve">”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Note Guarantee</w:t>
      </w:r>
      <w:r>
        <w:rPr>
          <w:rFonts w:ascii="Times New Roman" w:hAnsi="Times New Roman"/>
          <w:sz w:val="20"/>
        </w:rPr>
        <w:t xml:space="preserve">” means any Guarantor’s Security Guarantee with respect to the Issuers’ Obligations under the Indenture and the 2034 Notes.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Par Call Date</w:t>
      </w:r>
      <w:r>
        <w:rPr>
          <w:rFonts w:ascii="Times New Roman" w:hAnsi="Times New Roman"/>
          <w:sz w:val="20"/>
        </w:rPr>
        <w:t xml:space="preserve">” has the meaning set forth for such term in Section 2(a).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Parent Entity</w:t>
      </w:r>
      <w:r>
        <w:rPr>
          <w:rFonts w:ascii="Times New Roman" w:hAnsi="Times New Roman"/>
          <w:sz w:val="20"/>
        </w:rPr>
        <w:t xml:space="preserve">” means any Person that, with respect to another Person, owns more than 50% of the total voting power of the Voting Stock entitled to vote for the election of directors of such other Person having a majority of the aggregate votes on the Board of such other Person.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Permitted Holders</w:t>
      </w:r>
      <w:r>
        <w:rPr>
          <w:rFonts w:ascii="Times New Roman" w:hAnsi="Times New Roman"/>
          <w:sz w:val="20"/>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Times New Roman" w:hAnsi="Times New Roman"/>
          <w:sz w:val="20"/>
          <w:u w:val="single"/>
        </w:rPr>
        <w:t>provided</w:t>
      </w:r>
      <w:r>
        <w:rPr>
          <w:rFonts w:ascii="Times New Roman" w:hAnsi="Times New Roman"/>
          <w:sz w:val="20"/>
        </w:rPr>
        <w:t xml:space="preserve">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14(d)(2) 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in effect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Obligations in respect of 2034 Notes outstanding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(3) Liens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 </w:t>
      </w:r>
    </w:p>
    <w:p>
      <w:pPr>
        <w:pStyle w:val="TextBody"/>
        <w:bidi w:val="0"/>
        <w:spacing w:before="120" w:after="0"/>
        <w:jc w:val="left"/>
        <w:rPr>
          <w:rFonts w:ascii="Times New Roman" w:hAnsi="Times New Roman"/>
          <w:sz w:val="20"/>
        </w:rPr>
      </w:pPr>
      <w:r>
        <w:rPr>
          <w:rFonts w:ascii="Times New Roman" w:hAnsi="Times New Roman"/>
          <w:sz w:val="20"/>
        </w:rPr>
        <w:t xml:space="preserve">(4) Liens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(5) (a)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 </w:t>
      </w:r>
    </w:p>
    <w:p>
      <w:pPr>
        <w:pStyle w:val="TextBody"/>
        <w:bidi w:val="0"/>
        <w:spacing w:before="120" w:after="0"/>
        <w:jc w:val="left"/>
        <w:rPr>
          <w:rFonts w:ascii="Times New Roman" w:hAnsi="Times New Roman"/>
          <w:sz w:val="20"/>
        </w:rPr>
      </w:pPr>
      <w:r>
        <w:rPr>
          <w:rFonts w:ascii="Times New Roman" w:hAnsi="Times New Roman"/>
          <w:sz w:val="20"/>
        </w:rPr>
        <w:t xml:space="preserve">(6) Liens arising from Uniform Commercial Code financing statements, including precautionary financing statements, or any similar filings made in respect of Non-Financing Lease Obligations or consignments entered into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(7) Liens securing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(8) Liens on property or assets used to defease or to irrevocably satisfy and discharge indebtedness; </w:t>
      </w:r>
    </w:p>
    <w:p>
      <w:pPr>
        <w:pStyle w:val="TextBody"/>
        <w:bidi w:val="0"/>
        <w:spacing w:before="120" w:after="0"/>
        <w:jc w:val="left"/>
        <w:rPr>
          <w:rFonts w:ascii="Times New Roman" w:hAnsi="Times New Roman"/>
          <w:sz w:val="20"/>
        </w:rPr>
      </w:pPr>
      <w:r>
        <w:rPr>
          <w:rFonts w:ascii="Times New Roman" w:hAnsi="Times New Roman"/>
          <w:sz w:val="20"/>
        </w:rPr>
        <w:t xml:space="preserve">(9) Liens created in connection with a project financed with, and created to secure, a Nonrecourse Obligation; </w:t>
      </w:r>
    </w:p>
    <w:p>
      <w:pPr>
        <w:pStyle w:val="TextBody"/>
        <w:bidi w:val="0"/>
        <w:spacing w:before="120" w:after="0"/>
        <w:jc w:val="left"/>
        <w:rPr>
          <w:rFonts w:ascii="Times New Roman" w:hAnsi="Times New Roman"/>
          <w:sz w:val="20"/>
        </w:rPr>
      </w:pPr>
      <w:r>
        <w:rPr>
          <w:rFonts w:ascii="Times New Roman" w:hAnsi="Times New Roman"/>
          <w:sz w:val="20"/>
        </w:rPr>
        <w:t xml:space="preserve">(10) Liens relating to future escrow arrangements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(11) Liens solely on any cash earnest money deposits made by Parent or any of its Subsidiaries in connection with any letter of intent or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(12) Liens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Times New Roman" w:hAnsi="Times New Roman"/>
          <w:sz w:val="20"/>
          <w:u w:val="single"/>
        </w:rPr>
        <w:t>provided</w:t>
      </w:r>
      <w:r>
        <w:rPr>
          <w:rFonts w:ascii="Times New Roman" w:hAnsi="Times New Roman"/>
          <w:sz w:val="20"/>
        </w:rPr>
        <w:t xml:space="preserve"> that Liens securing indebtedness permitted to be incurred pursuant to this clause (12)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 w:hAnsi="Times New Roman"/>
          <w:sz w:val="20"/>
          <w:u w:val="single"/>
        </w:rPr>
        <w:t>provided</w:t>
      </w:r>
      <w:r>
        <w:rPr>
          <w:rFonts w:ascii="Times New Roman" w:hAnsi="Times New Roman"/>
          <w:sz w:val="20"/>
        </w:rPr>
        <w:t xml:space="preserve">, however, that individual financings of equipment provided by one lender may be cross collateralized to other financings of equipment provided by such lender; </w:t>
      </w:r>
    </w:p>
    <w:p>
      <w:pPr>
        <w:pStyle w:val="TextBody"/>
        <w:bidi w:val="0"/>
        <w:spacing w:before="120" w:after="0"/>
        <w:jc w:val="left"/>
        <w:rPr>
          <w:rFonts w:ascii="Times New Roman" w:hAnsi="Times New Roman"/>
          <w:sz w:val="20"/>
        </w:rPr>
      </w:pPr>
      <w:r>
        <w:rPr>
          <w:rFonts w:ascii="Times New Roman" w:hAnsi="Times New Roman"/>
          <w:sz w:val="20"/>
        </w:rPr>
        <w:t xml:space="preserve">(13) Liens in favor of Parent or any of its Subsidiaries or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(14) Liens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such modification, refinancing, refunding, extension, renewal or replacement); provided, however,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definition, (i) a Lien need not be incurred solely by reference to one category of Permitted Liens described in this definition but is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the term “indebtedness” shall be deemed to include interest on such indebtedness.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Permitted Parent</w:t>
      </w:r>
      <w:r>
        <w:rPr>
          <w:rFonts w:ascii="Times New Roman" w:hAnsi="Times New Roman"/>
          <w:sz w:val="20"/>
        </w:rPr>
        <w:t xml:space="preserve">” means any Parent Entity that at the time it became a Parent Entity of Parent was a Permitted Holder pursuant to clause (1) of the definition thereof and was not formed in connection with, or in contemplation of, a transaction that would otherwise constitute a Change of Control.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Permitted Plan</w:t>
      </w:r>
      <w:r>
        <w:rPr>
          <w:rFonts w:ascii="Times New Roman" w:hAnsi="Times New Roman"/>
          <w:sz w:val="20"/>
        </w:rPr>
        <w:t xml:space="preserve">” means any employee benefits plan of Parent or its Affiliates and any Person acting in its capacity as trustee, agent or other fiduciary or administrator of any such plan.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Principal Property</w:t>
      </w:r>
      <w:r>
        <w:rPr>
          <w:rFonts w:ascii="Times New Roman" w:hAnsi="Times New Roman"/>
          <w:sz w:val="20"/>
        </w:rPr>
        <w:t xml:space="preserve">”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Rating Agency</w:t>
      </w:r>
      <w:r>
        <w:rPr>
          <w:rFonts w:ascii="Times New Roman" w:hAnsi="Times New Roman"/>
          <w:sz w:val="20"/>
        </w:rPr>
        <w:t xml:space="preserve">” means (1) S&amp;P, Moody’s and Fitch or (2) if S&amp;P, Moody’s or Fitch or each of them shall not make a corporate rating with respect to the Issuers (or any Guarantor) or a rating on the 2034 Notes publicly available, a nationally recognized statistical rating agency or agencies, as the case may be, selected by Parent, which shall be substituted for any or all of S&amp;P, Moody’s or Fitch, as the case may be, with respect to such corporate rating or the rating of the 2034 Notes, as the case may be.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Rating Decline</w:t>
      </w:r>
      <w:r>
        <w:rPr>
          <w:rFonts w:ascii="Times New Roman" w:hAnsi="Times New Roman"/>
          <w:sz w:val="20"/>
        </w:rPr>
        <w:t xml:space="preserve">” means the occurrence of a decrease in the rating of the 2034 Notes by one or more gradations by any two of three Rating Agencies (including gradations within the rating categories, as well as between categories), within 60 days after the earliest of (x) a Change of Control, (y) the date of public notice of the occurrence of a Change of Control and (z) public notice of the intention of Parent to effect a Change of Control (which 60-day period shall be extended so long as the rating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2034 Notes is under publicly announced ratings review for possible downgrade by either of such two Rating Agencies, it being understood that a change in ratings outlook shall not extend such 60-day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a Rating Decline shall not be deemed to have occurred so long as the 2034 Notes have an Investment Grade Rating from at least two of three Rating Agencies.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responsible for monitoring, or charged with knowledge of, the ratings of the 2034 Notes.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Remaining Life</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Subsidiary</w:t>
      </w:r>
      <w:r>
        <w:rPr>
          <w:rFonts w:ascii="Times New Roman" w:hAnsi="Times New Roman"/>
          <w:sz w:val="20"/>
        </w:rPr>
        <w:t xml:space="preserve">” means (1) any Subsidiary of an Issuer that (a) is a Wholly-Owned Subsidiary, (b) is a Domestic Subsidiary and (c) directly owns or directly leases any Principal Property and (2) any other Subsidiary that the Board of any Issuer may designate as a Restricted Subsidiary; </w:t>
      </w:r>
      <w:r>
        <w:rPr>
          <w:rFonts w:ascii="Times New Roman" w:hAnsi="Times New Roman"/>
          <w:sz w:val="20"/>
          <w:u w:val="single"/>
        </w:rPr>
        <w:t>provided</w:t>
      </w:r>
      <w:r>
        <w:rPr>
          <w:rFonts w:ascii="Times New Roman" w:hAnsi="Times New Roman"/>
          <w:sz w:val="20"/>
        </w:rPr>
        <w:t xml:space="preserve"> that “Restricted Subsidiary” shall not include Dell Financial Services L.L.C. or any other Subsidiary that is principally engaged in financing receivables, securitization transactions, factoring or other similar transactions.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S&amp;P</w:t>
      </w:r>
      <w:r>
        <w:rPr>
          <w:rFonts w:ascii="Times New Roman" w:hAnsi="Times New Roman"/>
          <w:sz w:val="20"/>
        </w:rPr>
        <w:t xml:space="preserve">” means S&amp;P Global Ratings Inc. and any successor to its rating agency business.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Sale and Lease-Back Transaction</w:t>
      </w:r>
      <w:r>
        <w:rPr>
          <w:rFonts w:ascii="Times New Roman" w:hAnsi="Times New Roman"/>
          <w:sz w:val="20"/>
        </w:rPr>
        <w:t xml:space="preserve">”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Second Change of Control Payment Date</w:t>
      </w:r>
      <w:r>
        <w:rPr>
          <w:rFonts w:ascii="Times New Roman" w:hAnsi="Times New Roman"/>
          <w:sz w:val="20"/>
        </w:rPr>
        <w:t xml:space="preserve">” has the meaning set forth for such term in </w:t>
      </w:r>
      <w:r>
        <w:rPr>
          <w:rFonts w:ascii="Times New Roman" w:hAnsi="Times New Roman"/>
          <w:sz w:val="20"/>
          <w:u w:val="single"/>
        </w:rPr>
        <w:t>Section 6(d)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Issuers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 xml:space="preserve">(1) The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Issuers shall select, as applicable: (1) the yield for the Treasury constant maturity on H.15 exactly equal to the period from the Redemption Date to the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Voting Stock</w:t>
      </w:r>
      <w:r>
        <w:rPr>
          <w:rFonts w:ascii="Times New Roman" w:hAnsi="Times New Roman"/>
          <w:sz w:val="20"/>
        </w:rPr>
        <w:t xml:space="preserve">” of any Person as of any date means the Capital Stock of such Person that is at the time entitled to vote in the election of the Board of such Person.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sz w:val="20"/>
          <w:u w:val="single"/>
        </w:rPr>
        <w:t>Sale and Lease-Back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Issuers shall not, and shall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2034 Notes pursuant to </w:t>
      </w:r>
      <w:r>
        <w:rPr>
          <w:rFonts w:ascii="Times New Roman" w:hAnsi="Times New Roman"/>
          <w:sz w:val="20"/>
          <w:u w:val="single"/>
        </w:rPr>
        <w:t>Section 5(a)</w:t>
      </w:r>
      <w:r>
        <w:rPr>
          <w:rFonts w:ascii="Times New Roman" w:hAnsi="Times New Roman"/>
          <w:sz w:val="20"/>
        </w:rPr>
        <w:t xml:space="preserve"> hereof, or (b) the Issuers shall apply an amount equal to the net proceeds of the Attributable Indebtedness with respect to such Sale and Lease-Back Transaction within 365 days after such Sale and Lease-Back Transaction to the defeasance or retirement of any 2034 Notes or other indebtedness of the Issuers or a Restricted Subsidiary or to the purchase, construction or development of other assets or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foregoing, the Issuers and their Restricted Subsidiaries may enter into any Sale and Lease-Back Transaction which would otherwise be prohibited by </w:t>
      </w:r>
      <w:r>
        <w:rPr>
          <w:rFonts w:ascii="Times New Roman" w:hAnsi="Times New Roman"/>
          <w:sz w:val="20"/>
          <w:u w:val="single"/>
        </w:rPr>
        <w:t>Section 4(a)</w:t>
      </w:r>
      <w:r>
        <w:rPr>
          <w:rFonts w:ascii="Times New Roman" w:hAnsi="Times New Roman"/>
          <w:sz w:val="20"/>
        </w:rPr>
        <w:t xml:space="preserve"> hereof if, after giving effect thereto and at the time of determination, Aggregate Debt does not exceed at any one time outstanding the greater of (x) $4,300.0 million and (y)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Section 5. </w:t>
      </w:r>
      <w:r>
        <w:rPr>
          <w:rFonts w:ascii="Times New Roman" w:hAnsi="Times New Roman"/>
          <w:sz w:val="20"/>
          <w:u w:val="single"/>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Issuers shall not, and shall not permit any of their Restricted Subsidiaries to, directly or indirectly, create, incur or assume any Lien (except Permitted Liens) on any of their or any Restricted Subsidiary’s Principal Property (whether such Principal Property is now existing or owned or hereafter created or acquired) that secures indebtedness for borrowed money, unless the 2034 Notes are equally and ratably secured with (or, at an Issuer’s option, on a senior basis to) the indebtedness so secured.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5(a)</w:t>
      </w:r>
      <w:r>
        <w:rPr>
          <w:rFonts w:ascii="Times New Roman" w:hAnsi="Times New Roman"/>
          <w:sz w:val="20"/>
        </w:rPr>
        <w:t xml:space="preserve"> hereof, the Issuers and their Restricted Subsidiaries may, without equally and ratably securing the 2034 Notes, create, incur or assume any Lien which would otherwise be prohibited by </w:t>
      </w:r>
      <w:r>
        <w:rPr>
          <w:rFonts w:ascii="Times New Roman" w:hAnsi="Times New Roman"/>
          <w:sz w:val="20"/>
          <w:u w:val="single"/>
        </w:rPr>
        <w:t>Section 5(a)</w:t>
      </w:r>
      <w:r>
        <w:rPr>
          <w:rFonts w:ascii="Times New Roman" w:hAnsi="Times New Roman"/>
          <w:sz w:val="20"/>
        </w:rPr>
        <w:t xml:space="preserve"> hereof if, after giving effect thereto and at the time of determination, Aggregate Debt of the Issuers and their Restricted Subsidiaries secured by Liens on any of their respective Principal Properties does not exceed at any one time outstanding the greater of (x) $4,300.0 million and (y)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(c) Any Lien created for the benefit of the Holders of any 2034 Notes pursuant to </w:t>
      </w:r>
      <w:r>
        <w:rPr>
          <w:rFonts w:ascii="Times New Roman" w:hAnsi="Times New Roman"/>
          <w:sz w:val="20"/>
          <w:u w:val="single"/>
        </w:rPr>
        <w:t>Section 5(a)</w:t>
      </w:r>
      <w:r>
        <w:rPr>
          <w:rFonts w:ascii="Times New Roman" w:hAnsi="Times New Roman"/>
          <w:sz w:val="20"/>
        </w:rPr>
        <w:t xml:space="preserve"> hereof shall provide by its terms that such Lien shall be automatically and unconditionally released and discharged upon the release and discharge of the Lien that gave rise to the obligation to secure the 2034 Notes. </w:t>
      </w:r>
    </w:p>
    <w:p>
      <w:pPr>
        <w:pStyle w:val="TextBody"/>
        <w:bidi w:val="0"/>
        <w:spacing w:before="240" w:after="0"/>
        <w:jc w:val="left"/>
        <w:rPr>
          <w:rFonts w:ascii="Times New Roman" w:hAnsi="Times New Roman"/>
          <w:sz w:val="20"/>
        </w:rPr>
      </w:pPr>
      <w:r>
        <w:rPr>
          <w:rFonts w:ascii="Times New Roman" w:hAnsi="Times New Roman"/>
          <w:sz w:val="20"/>
        </w:rPr>
        <w:t>Section 6. </w:t>
      </w:r>
      <w:r>
        <w:rPr>
          <w:rFonts w:ascii="Times New Roman" w:hAnsi="Times New Roman"/>
          <w:sz w:val="20"/>
          <w:u w:val="single"/>
        </w:rPr>
        <w:t>Change of Control Triggering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Change of Control Triggering Event occurs, unless, prior to or concurrently with the time the Issuers are required to make a Change of Control Offer, the Issuers have mailed or delivered, or otherwise sent through electronic transmission, a redemption notice with respect to all the outstanding 2034 Notes pursuant to the optional redemption terms set forth in the Officer’s Certificate, supplemental indenture or resolutions of the Issuers’ Boards, as applicable, governing the 2034 Notes or pursuant to Section 11.01 of the Base Indenture, the Issuers shall make an offer to purchase all of the 2034 Notes pursuant to the offer described below (the “</w:t>
      </w:r>
      <w:r>
        <w:rPr>
          <w:rFonts w:ascii="Times New Roman" w:hAnsi="Times New Roman"/>
          <w:sz w:val="20"/>
          <w:u w:val="single"/>
        </w:rPr>
        <w:t>Change of Control Offer</w:t>
      </w:r>
      <w:r>
        <w:rPr>
          <w:rFonts w:ascii="Times New Roman" w:hAnsi="Times New Roman"/>
          <w:sz w:val="20"/>
        </w:rPr>
        <w:t>”) at a price in cash equal to 101% of the aggregate principal amount thereof (or such higher amount as the Issuers may determine (any Change of Control Offer at a higher amount, an “</w:t>
      </w:r>
      <w:r>
        <w:rPr>
          <w:rFonts w:ascii="Times New Roman" w:hAnsi="Times New Roman"/>
          <w:sz w:val="20"/>
          <w:u w:val="single"/>
        </w:rPr>
        <w:t>Alternate Offer</w:t>
      </w:r>
      <w:r>
        <w:rPr>
          <w:rFonts w:ascii="Times New Roman" w:hAnsi="Times New Roman"/>
          <w:sz w:val="20"/>
        </w:rPr>
        <w:t>”)) (such price, the “</w:t>
      </w:r>
      <w:r>
        <w:rPr>
          <w:rFonts w:ascii="Times New Roman" w:hAnsi="Times New Roman"/>
          <w:sz w:val="20"/>
          <w:u w:val="single"/>
        </w:rPr>
        <w:t>Change of Control Payment</w:t>
      </w:r>
      <w:r>
        <w:rPr>
          <w:rFonts w:ascii="Times New Roman" w:hAnsi="Times New Roman"/>
          <w:sz w:val="20"/>
        </w:rPr>
        <w:t xml:space="preserve">”) plus accrued and unpaid interest, if any, to, but excluding the date of purchase, subject to the right of Holders of record on the relevant Record Date to receive interest due on the relevant Interest Payment Date falling on or prior to the Change of Control Payment Date. Within 30 days following any Change of Control Triggering Event, the Issuers shall send notice of such Change of Control Offer by electronic delivery or first-class mail, with a copy to the Trustee, to each Holder of the 2034 Notes to the address of such Holder appearing in the security register or otherwise in accordance with the procedures of DTC,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w:t>
      </w:r>
      <w:r>
        <w:rPr>
          <w:rFonts w:ascii="Times New Roman" w:hAnsi="Times New Roman"/>
          <w:sz w:val="20"/>
          <w:u w:val="single"/>
        </w:rPr>
        <w:t>Section 6</w:t>
      </w:r>
      <w:r>
        <w:rPr>
          <w:rFonts w:ascii="Times New Roman" w:hAnsi="Times New Roman"/>
          <w:sz w:val="20"/>
        </w:rPr>
        <w:t xml:space="preserve"> and that all 2034 Notes properly tendered pursuant to such Change of Control Offer will be accepted for payment by the Issuers;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purchase price and the purchase date, which will be no earlier than 20 Business Days and no later than 60 days from the date such notice is sent (the “</w:t>
      </w:r>
      <w:r>
        <w:rPr>
          <w:rFonts w:ascii="Times New Roman" w:hAnsi="Times New Roman"/>
          <w:sz w:val="20"/>
          <w:u w:val="single"/>
        </w:rPr>
        <w:t>Change of Control Payment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Change of Control Payment Date may be delayed, in the Issuers’ discretion, until such time (including more than 60 days after the date such notice is sent) as any or all such conditions referred to in clause (7) below shall be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(3) that any 2034 Note not properly tendered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Issuers default in the payment of the Change of Control Payment plus accrued and unpaid interest on all properly tendered 2034 Notes, all 2034 Notes accepted for payment pursuant to the Change of Control Offer will cease to accrue interest on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any 2034 Notes purchased pursuant to a Change of Control Offer will be required to surrender such 2034 Notes, with the form entitled “Option of Holder to Elect Purchase” on the reverse of such 2034 Notes completed or otherwise in accordance with the procedures of DTC, to the Paying Agent specified in the notice at the address specified in the notice prior to the close of business on the third (3rd) Business Day preceding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if less than all of such Holder’s 2034 Notes are tendered for purchase, such Holder will be issued new 2034 Notes (or, in the case of Global Securities, such 2034 Notes shall be reduced by such amount of Securities that the Holder has tendered) and such new 2034 Notes will be equal in aggregate principal amount to the unpurchased portion of the 2034 Notes surrendered (the unpurchased portion of the 2034 Notes must be equal to $2,000 or an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(7) if such notice is sent prior to the occurrence of a Change of Control Triggering Event, stating that the Change of Control Offer is conditional on the occurrence of such Change of Control Triggering Event or such other conditions specified therein and describing each such condition, and, if applicable, stating that, in the Issuers’ discretion, the Change of Control Payment Date may be delayed until such time as any or all such conditions shall be satisfied or waived (including more than 60 days after the notice is mailed or delivered),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 </w:t>
      </w:r>
    </w:p>
    <w:p>
      <w:pPr>
        <w:pStyle w:val="TextBody"/>
        <w:bidi w:val="0"/>
        <w:spacing w:before="120" w:after="0"/>
        <w:jc w:val="left"/>
        <w:rPr>
          <w:rFonts w:ascii="Times New Roman" w:hAnsi="Times New Roman"/>
          <w:sz w:val="20"/>
        </w:rPr>
      </w:pPr>
      <w:r>
        <w:rPr>
          <w:rFonts w:ascii="Times New Roman" w:hAnsi="Times New Roman"/>
          <w:sz w:val="20"/>
        </w:rPr>
        <w:t xml:space="preserve">(8) the other instructions, as determined by the Issuers, consistent with this </w:t>
      </w:r>
      <w:r>
        <w:rPr>
          <w:rFonts w:ascii="Times New Roman" w:hAnsi="Times New Roman"/>
          <w:sz w:val="20"/>
          <w:u w:val="single"/>
        </w:rPr>
        <w:t>Section 6</w:t>
      </w:r>
      <w:r>
        <w:rPr>
          <w:rFonts w:ascii="Times New Roman" w:hAnsi="Times New Roman"/>
          <w:sz w:val="20"/>
        </w:rPr>
        <w:t xml:space="preserve">, that a Holder must follow. </w:t>
      </w:r>
    </w:p>
    <w:p>
      <w:pPr>
        <w:pStyle w:val="TextBody"/>
        <w:bidi w:val="0"/>
        <w:spacing w:before="240" w:after="0"/>
        <w:jc w:val="left"/>
        <w:rPr>
          <w:rFonts w:ascii="Times New Roman" w:hAnsi="Times New Roman"/>
          <w:sz w:val="20"/>
        </w:rPr>
      </w:pPr>
      <w:r>
        <w:rPr>
          <w:rFonts w:ascii="Times New Roman" w:hAnsi="Times New Roman"/>
          <w:sz w:val="20"/>
        </w:rPr>
        <w:t xml:space="preserve">While the 2034 Notes are in global form and the Issuers make an offer to purchase all of the 2034 Notes pursuant to the Change of Control Offer, a Holder of such 2034 Notes may exercise its option to elect for the purchase of the 2034 Notes through the facilities of DTC, subject to its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Issuers shall comply with the requirements of Rule 14e-1 under the Exchange Act and any other securities laws and regulations thereunder to the extent such laws or regulations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in connection with the repurchase of 2034 Notes pursuant to a Change of Control Offer (including, for the avoidance of doubt, an Alternate Offer). To the extent that the provisions of any securities laws or regulations conflict with the provisions of this </w:t>
      </w:r>
      <w:r>
        <w:rPr>
          <w:rFonts w:ascii="Times New Roman" w:hAnsi="Times New Roman"/>
          <w:sz w:val="20"/>
          <w:u w:val="single"/>
        </w:rPr>
        <w:t>Section 6</w:t>
      </w:r>
      <w:r>
        <w:rPr>
          <w:rFonts w:ascii="Times New Roman" w:hAnsi="Times New Roman"/>
          <w:sz w:val="20"/>
        </w:rPr>
        <w:t xml:space="preserve">, the Issuers shall comply with the applicable securities laws and regulations and shall not be deemed to have breached its obligations under this </w:t>
      </w:r>
      <w:r>
        <w:rPr>
          <w:rFonts w:ascii="Times New Roman" w:hAnsi="Times New Roman"/>
          <w:sz w:val="20"/>
          <w:u w:val="single"/>
        </w:rPr>
        <w:t>Section 6</w:t>
      </w:r>
      <w:r>
        <w:rPr>
          <w:rFonts w:ascii="Times New Roman" w:hAnsi="Times New Roman"/>
          <w:sz w:val="20"/>
        </w:rPr>
        <w:t xml:space="preserv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(b) On the Change of Control Payment Date, the Issuers shall,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2034 Notes issued by them or portions thereof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2034 Notes or portions thereof so tendered, plus accrued and unpaid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for cancellation the 2034 Notes so accepted together with an Officer’s Certificate to the Trustee stating that such 2034 Notes or portions thereof have been tendered to and purchased by the Issuers. </w:t>
      </w:r>
    </w:p>
    <w:p>
      <w:pPr>
        <w:pStyle w:val="TextBody"/>
        <w:bidi w:val="0"/>
        <w:spacing w:before="240" w:after="0"/>
        <w:jc w:val="left"/>
        <w:rPr>
          <w:rFonts w:ascii="Times New Roman" w:hAnsi="Times New Roman"/>
          <w:sz w:val="20"/>
        </w:rPr>
      </w:pPr>
      <w:r>
        <w:rPr>
          <w:rFonts w:ascii="Times New Roman" w:hAnsi="Times New Roman"/>
          <w:sz w:val="20"/>
        </w:rPr>
        <w:t xml:space="preserve">(c) The Issuers shall not be required to make a Change of Control Offer if a third party makes the Change of Control Offer (including, for the avoidance of doubt, an Alternate Offer) in the manner, at the times and otherwise in compliance with the requirements set forth in this </w:t>
      </w:r>
      <w:r>
        <w:rPr>
          <w:rFonts w:ascii="Times New Roman" w:hAnsi="Times New Roman"/>
          <w:sz w:val="20"/>
          <w:u w:val="single"/>
        </w:rPr>
        <w:t>Section 6</w:t>
      </w:r>
      <w:r>
        <w:rPr>
          <w:rFonts w:ascii="Times New Roman" w:hAnsi="Times New Roman"/>
          <w:sz w:val="20"/>
        </w:rPr>
        <w:t xml:space="preserve"> applicable to a Change of Control Offer made by the Issuers and purchases all 2034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(d) If Holders of not less than 90% in aggregate principal amount of the outstanding 2034 Notes validly tender and do not withdraw such 2034 Notes in a Change of Control Offer and the Issuers, or any third party making a Change of Control Offer in lieu of the Issuers as set forth in clause (c) of this </w:t>
      </w:r>
      <w:r>
        <w:rPr>
          <w:rFonts w:ascii="Times New Roman" w:hAnsi="Times New Roman"/>
          <w:sz w:val="20"/>
          <w:u w:val="single"/>
        </w:rPr>
        <w:t>Section 6</w:t>
      </w:r>
      <w:r>
        <w:rPr>
          <w:rFonts w:ascii="Times New Roman" w:hAnsi="Times New Roman"/>
          <w:sz w:val="20"/>
        </w:rPr>
        <w:t xml:space="preserve">, purchases all of the 2034 Notes that have been validly tendered and not withdrawn by such Holders, the Issuers or such third party shall have the right, upon not less than 10 nor more than 60 days’ prior notice, given not more than 30 days following such purchase pursuant to the Change of Control Offer as set forth in this </w:t>
      </w:r>
      <w:r>
        <w:rPr>
          <w:rFonts w:ascii="Times New Roman" w:hAnsi="Times New Roman"/>
          <w:sz w:val="20"/>
          <w:u w:val="single"/>
        </w:rPr>
        <w:t>Section 6</w:t>
      </w:r>
      <w:r>
        <w:rPr>
          <w:rFonts w:ascii="Times New Roman" w:hAnsi="Times New Roman"/>
          <w:sz w:val="20"/>
        </w:rPr>
        <w:t>, to redeem (with respect to the Issuers) or purchase (with respect to a third party) all 2034 Notes that remain outstanding following such purchase on a date (the “</w:t>
      </w:r>
      <w:r>
        <w:rPr>
          <w:rFonts w:ascii="Times New Roman" w:hAnsi="Times New Roman"/>
          <w:sz w:val="20"/>
          <w:u w:val="single"/>
        </w:rPr>
        <w:t>Second Change of Control Payment Date</w:t>
      </w:r>
      <w:r>
        <w:rPr>
          <w:rFonts w:ascii="Times New Roman" w:hAnsi="Times New Roman"/>
          <w:sz w:val="20"/>
        </w:rPr>
        <w:t xml:space="preserve">”) at a price in cash equal to the Change of Control Payment (excluding any early tender premium or similar premium and any accrued and unpaid interest paid to any Holder pursuant to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2034 Notes on the relevant record date to receive interest due on the relevant interest payment date falling on or prior to the Second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(e) Other than as specifically provided in this </w:t>
      </w:r>
      <w:r>
        <w:rPr>
          <w:rFonts w:ascii="Times New Roman" w:hAnsi="Times New Roman"/>
          <w:sz w:val="20"/>
          <w:u w:val="single"/>
        </w:rPr>
        <w:t>Section 6</w:t>
      </w:r>
      <w:r>
        <w:rPr>
          <w:rFonts w:ascii="Times New Roman" w:hAnsi="Times New Roman"/>
          <w:sz w:val="20"/>
        </w:rPr>
        <w:t xml:space="preserve">, any purchase pursuant to this </w:t>
      </w:r>
      <w:r>
        <w:rPr>
          <w:rFonts w:ascii="Times New Roman" w:hAnsi="Times New Roman"/>
          <w:sz w:val="20"/>
          <w:u w:val="single"/>
        </w:rPr>
        <w:t>Section 6</w:t>
      </w:r>
      <w:r>
        <w:rPr>
          <w:rFonts w:ascii="Times New Roman" w:hAnsi="Times New Roman"/>
          <w:sz w:val="20"/>
        </w:rPr>
        <w:t xml:space="preserve"> shall be made pursuant to the provisions of Sections 3.02, 3.05 and 3.06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w:t>
      </w:r>
      <w:r>
        <w:rPr>
          <w:rFonts w:ascii="Times New Roman" w:hAnsi="Times New Roman"/>
          <w:sz w:val="20"/>
        </w:rPr>
        <w:t xml:space="preserve"> relating to the Issuers’ obligation to make a Change of Control Offer upon a Change of Control Triggering Event may be waived or modified at any time with the written consent of the Holders of a majority in aggregate principal amount of the 2034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 Change of Control Offer (including, for the avoidance of doubt, an Alternate Offer) may be made at the same time as consents are solicited with respect to an amendment, supplement or waiver of the Indenture, the 2034 Notes and/or the Note Guarantees so long as the tender of 2034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their sole discretion, so long as the Change of Control Payment is at least equal to 101% of the aggregate principal amount of the 2034 Notes being repurchased, plus accrued and unpaid interest thereon. </w:t>
      </w:r>
    </w:p>
    <w:p>
      <w:pPr>
        <w:pStyle w:val="TextBody"/>
        <w:bidi w:val="0"/>
        <w:spacing w:before="240" w:after="0"/>
        <w:jc w:val="left"/>
        <w:rPr>
          <w:rFonts w:ascii="Times New Roman" w:hAnsi="Times New Roman"/>
          <w:sz w:val="20"/>
        </w:rPr>
      </w:pPr>
      <w:r>
        <w:rPr>
          <w:rFonts w:ascii="Times New Roman" w:hAnsi="Times New Roman"/>
          <w:sz w:val="20"/>
        </w:rPr>
        <w:t>Section 7. </w:t>
      </w:r>
      <w:r>
        <w:rPr>
          <w:rFonts w:ascii="Times New Roman" w:hAnsi="Times New Roman"/>
          <w:sz w:val="20"/>
          <w:u w:val="single"/>
        </w:rPr>
        <w:t>Governing Law</w:t>
      </w:r>
      <w:r>
        <w:rPr>
          <w:rFonts w:ascii="Times New Roman" w:hAnsi="Times New Roman"/>
          <w:sz w:val="20"/>
        </w:rPr>
        <w:t xml:space="preserve">. THIS 2034 NOTES SUPPLEMENTAL INDENTURE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Section 8. </w:t>
      </w:r>
      <w:r>
        <w:rPr>
          <w:rFonts w:ascii="Times New Roman" w:hAnsi="Times New Roman"/>
          <w:sz w:val="20"/>
          <w:u w:val="single"/>
        </w:rPr>
        <w:t>Conflicts</w:t>
      </w:r>
      <w:r>
        <w:rPr>
          <w:rFonts w:ascii="Times New Roman" w:hAnsi="Times New Roman"/>
          <w:sz w:val="20"/>
        </w:rPr>
        <w:t xml:space="preserve">. In the event of a conflict between the terms and conditions of the Base Indenture and the terms and conditions of this 2034 Notes Supplemental Indenture, then the terms and conditions of this 2034 Notes Supplemental Indenture shall prevail; </w:t>
      </w:r>
      <w:r>
        <w:rPr>
          <w:rFonts w:ascii="Times New Roman" w:hAnsi="Times New Roman"/>
          <w:sz w:val="20"/>
          <w:u w:val="single"/>
        </w:rPr>
        <w:t>provided</w:t>
      </w:r>
      <w:r>
        <w:rPr>
          <w:rFonts w:ascii="Times New Roman" w:hAnsi="Times New Roman"/>
          <w:sz w:val="20"/>
        </w:rPr>
        <w:t xml:space="preserve"> that if and to the extent that any provision of this 2034 Notes Supplemental Indenture limits, qualifies or conflicts with another provision which is required to be included herein or in the Base Indenture by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Section 9. </w:t>
      </w:r>
      <w:r>
        <w:rPr>
          <w:rFonts w:ascii="Times New Roman" w:hAnsi="Times New Roman"/>
          <w:sz w:val="20"/>
          <w:u w:val="single"/>
        </w:rPr>
        <w:t>Counterparts</w:t>
      </w:r>
      <w:r>
        <w:rPr>
          <w:rFonts w:ascii="Times New Roman" w:hAnsi="Times New Roman"/>
          <w:sz w:val="20"/>
        </w:rPr>
        <w:t xml:space="preserve">. The parties may sign any number of copies of this 2034 Notes Supplemental Indenture. Each signed copy shall be an original, but all of them together represent the same agreement. The words “execution,” “signed,” “signature,” “delivery,” and words of like import in or relating to this 2034 Notes Supplemental Indenture or any document to be signed in connection with this 2034 Notes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Section 10. </w:t>
      </w:r>
      <w:r>
        <w:rPr>
          <w:rFonts w:ascii="Times New Roman" w:hAnsi="Times New Roman"/>
          <w:sz w:val="20"/>
          <w:u w:val="single"/>
        </w:rPr>
        <w:t>Trustee Not Responsible for Recitals or Issuance of 2034 Notes</w:t>
      </w:r>
      <w:r>
        <w:rPr>
          <w:rFonts w:ascii="Times New Roman" w:hAnsi="Times New Roman"/>
          <w:sz w:val="20"/>
        </w:rPr>
        <w:t xml:space="preserve">. The recitals contained herein shall be taken as the statements of the Issuers, and the Trustee assumes no responsibility for their correctness. The Trustee makes no representations as to the validity or sufficiency of this 2034 Notes Supplemental Indenture or of the 2034 Notes. The Trustee shall not be accountable for the use or application by the Issuers of 2034 Notes or the proceeds thereof.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2034 Notes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INTERNATIONAL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Tyler W. Johnson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Tyler W. Johnson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 Senior Vice President and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EMC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Tyler W. Johnson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Tyler W. Johnson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23"/>
        <w:gridCol w:w="60"/>
        <w:gridCol w:w="3299"/>
      </w:tblGrid>
      <w:tr>
        <w:trPr/>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TECHNOLOGIES INC.</w:t>
            </w:r>
          </w:p>
        </w:tc>
      </w:tr>
      <w:tr>
        <w:trPr>
          <w:trHeight w:val="240" w:hRule="atLeast"/>
        </w:trPr>
        <w:tc>
          <w:tcPr>
            <w:tcW w:w="723"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99" w:type="dxa"/>
            <w:tcBorders>
              <w:bottom w:val="single" w:sz="2" w:space="0" w:color="000000"/>
            </w:tcBorders>
            <w:tcMar>
              <w:bottom w:w="28" w:type="dxa"/>
            </w:tcMar>
          </w:tcPr>
          <w:p>
            <w:pPr>
              <w:pStyle w:val="TableContents"/>
              <w:bidi w:val="0"/>
              <w:spacing w:before="0" w:after="283"/>
              <w:jc w:val="left"/>
              <w:rPr/>
            </w:pPr>
            <w:r>
              <w:rPr/>
              <w:t>/s/ Tyler W. Johnson</w:t>
            </w:r>
            <w:r>
              <w:rPr>
                <w:u w:val="single"/>
              </w:rPr>
              <w:t xml:space="preserve"> </w:t>
            </w:r>
          </w:p>
        </w:tc>
      </w:tr>
      <w:tr>
        <w:trPr/>
        <w:tc>
          <w:tcPr>
            <w:tcW w:w="72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9" w:type="dxa"/>
            <w:tcBorders/>
            <w:vAlign w:val="bottom"/>
          </w:tcPr>
          <w:p>
            <w:pPr>
              <w:pStyle w:val="TableContents"/>
              <w:bidi w:val="0"/>
              <w:spacing w:before="0" w:after="283"/>
              <w:jc w:val="left"/>
              <w:rPr/>
            </w:pPr>
            <w:r>
              <w:rPr/>
              <w:t>Tyler W. Johnson</w:t>
            </w:r>
          </w:p>
        </w:tc>
      </w:tr>
      <w:tr>
        <w:trPr/>
        <w:tc>
          <w:tcPr>
            <w:tcW w:w="72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9" w:type="dxa"/>
            <w:tcBorders/>
            <w:vAlign w:val="bottom"/>
          </w:tcPr>
          <w:p>
            <w:pPr>
              <w:pStyle w:val="TableContents"/>
              <w:bidi w:val="0"/>
              <w:spacing w:before="0" w:after="283"/>
              <w:jc w:val="left"/>
              <w:rPr/>
            </w:pPr>
            <w:r>
              <w:rPr/>
              <w:t>Senior Vice President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5"/>
        <w:gridCol w:w="60"/>
        <w:gridCol w:w="3297"/>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DENALI INTERMEDIATE INC.</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97" w:type="dxa"/>
            <w:tcBorders>
              <w:bottom w:val="single" w:sz="2" w:space="0" w:color="000000"/>
            </w:tcBorders>
            <w:tcMar>
              <w:bottom w:w="28" w:type="dxa"/>
            </w:tcMar>
          </w:tcPr>
          <w:p>
            <w:pPr>
              <w:pStyle w:val="TableContents"/>
              <w:bidi w:val="0"/>
              <w:spacing w:before="0" w:after="283"/>
              <w:jc w:val="left"/>
              <w:rPr/>
            </w:pPr>
            <w:r>
              <w:rPr/>
              <w:t>/s/ Tyler W. Johnson</w:t>
            </w:r>
            <w:r>
              <w:rPr>
                <w:u w:val="single"/>
              </w:rPr>
              <w:t xml:space="preserve"> </w:t>
            </w:r>
          </w:p>
        </w:tc>
      </w:tr>
      <w:tr>
        <w:trPr/>
        <w:tc>
          <w:tcPr>
            <w:tcW w:w="72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7" w:type="dxa"/>
            <w:tcBorders/>
            <w:vAlign w:val="bottom"/>
          </w:tcPr>
          <w:p>
            <w:pPr>
              <w:pStyle w:val="TableContents"/>
              <w:bidi w:val="0"/>
              <w:spacing w:before="0" w:after="283"/>
              <w:jc w:val="left"/>
              <w:rPr/>
            </w:pPr>
            <w:r>
              <w:rPr/>
              <w:t>Tyler W. Johnson</w:t>
            </w:r>
          </w:p>
        </w:tc>
      </w:tr>
      <w:tr>
        <w:trPr/>
        <w:tc>
          <w:tcPr>
            <w:tcW w:w="72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7" w:type="dxa"/>
            <w:tcBorders/>
            <w:vAlign w:val="bottom"/>
          </w:tcPr>
          <w:p>
            <w:pPr>
              <w:pStyle w:val="TableContents"/>
              <w:bidi w:val="0"/>
              <w:spacing w:before="0" w:after="283"/>
              <w:jc w:val="left"/>
              <w:rPr/>
            </w:pPr>
            <w:r>
              <w:rPr/>
              <w:t>Senior Vice President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INC.</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Tyler W. Johnson</w:t>
            </w:r>
            <w:r>
              <w:rPr>
                <w:u w:val="single"/>
              </w:rPr>
              <w:t xml:space="preserve"> </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Tyler W. Johnson</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w:t>
            </w:r>
          </w:p>
          <w:p>
            <w:pPr>
              <w:pStyle w:val="TableContents"/>
              <w:bidi w:val="0"/>
              <w:spacing w:before="0" w:after="0"/>
              <w:jc w:val="left"/>
              <w:rPr>
                <w:rFonts w:ascii="Times New Roman" w:hAnsi="Times New Roman"/>
                <w:sz w:val="20"/>
              </w:rPr>
            </w:pPr>
            <w:r>
              <w:rPr>
                <w:rFonts w:ascii="Times New Roman" w:hAnsi="Times New Roman"/>
                <w:sz w:val="20"/>
              </w:rPr>
              <w:t>TRUST COMPANY, N.A.,</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Peggy Guel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left"/>
        <w:rPr>
          <w:rFonts w:ascii="Times New Roman" w:hAnsi="Times New Roman"/>
          <w:sz w:val="20"/>
        </w:rPr>
      </w:pPr>
      <w:r>
        <w:rPr>
          <w:rFonts w:ascii="Times New Roman" w:hAnsi="Times New Roman"/>
          <w:sz w:val="20"/>
        </w:rPr>
        <w:t xml:space="preserve">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SECTION 2.06(c) OF THE INDENTURE, (II) THIS GLOBAL SECURITY MAY BE EXCHANGED IN WHOLE BUT NOT IN PART PURSUANT TO SECTION 2.06(a) OF THE INDENTURE, (III) THIS GLOBAL SECURITY MAY BE DELIVERED TO THE TRUSTEE FOR CANCELLATION PURSUANT TO SECTION 2.11 OF THE INDENTURE AND (IV) THIS GLOBAL SECURITY MAY BE TRANSFERRED TO A SUCCESSOR DEPOSITARY WITH THE PRIOR WRITTEN CONSENT OF THE ISSUERS.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24703D BW0 </w:t>
      </w:r>
    </w:p>
    <w:p>
      <w:pPr>
        <w:pStyle w:val="TextBody"/>
        <w:bidi w:val="0"/>
        <w:spacing w:before="0" w:after="0"/>
        <w:jc w:val="right"/>
        <w:rPr>
          <w:rFonts w:ascii="Times New Roman" w:hAnsi="Times New Roman"/>
          <w:sz w:val="20"/>
        </w:rPr>
      </w:pPr>
      <w:r>
        <w:rPr>
          <w:rFonts w:ascii="Times New Roman" w:hAnsi="Times New Roman"/>
          <w:sz w:val="20"/>
        </w:rPr>
        <w:t xml:space="preserve">ISIN US24703DBW02 </w:t>
      </w:r>
    </w:p>
    <w:p>
      <w:pPr>
        <w:pStyle w:val="TextBody"/>
        <w:bidi w:val="0"/>
        <w:spacing w:before="240" w:after="0"/>
        <w:jc w:val="center"/>
        <w:rPr>
          <w:rFonts w:ascii="Times New Roman" w:hAnsi="Times New Roman"/>
          <w:sz w:val="20"/>
        </w:rPr>
      </w:pPr>
      <w:r>
        <w:rPr>
          <w:rFonts w:ascii="Times New Roman" w:hAnsi="Times New Roman"/>
          <w:sz w:val="20"/>
        </w:rPr>
        <w:t xml:space="preserve">GLOBAL SECURITY </w:t>
      </w:r>
    </w:p>
    <w:p>
      <w:pPr>
        <w:pStyle w:val="TextBody"/>
        <w:bidi w:val="0"/>
        <w:spacing w:before="0" w:after="0"/>
        <w:jc w:val="center"/>
        <w:rPr>
          <w:rFonts w:ascii="Times New Roman" w:hAnsi="Times New Roman"/>
          <w:sz w:val="20"/>
        </w:rPr>
      </w:pPr>
      <w:r>
        <w:rPr>
          <w:rFonts w:ascii="Times New Roman" w:hAnsi="Times New Roman"/>
          <w:sz w:val="20"/>
        </w:rPr>
        <w:t xml:space="preserve">representing up to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5.000% Senior Notes due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2"/>
        <w:gridCol w:w="122"/>
        <w:gridCol w:w="4801"/>
      </w:tblGrid>
      <w:tr>
        <w:trPr/>
        <w:tc>
          <w:tcPr>
            <w:tcW w:w="528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pPr>
            <w:r>
              <w:rPr/>
              <w:t xml:space="preserve">No. </w:t>
            </w:r>
            <w:r>
              <w:rPr>
                <w:u w:val="single"/>
              </w:rPr>
              <w:t>     </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right"/>
              <w:rPr/>
            </w:pPr>
            <w:r>
              <w:rPr/>
              <w:t>$[</w:t>
            </w:r>
            <w:r>
              <w:rPr>
                <w:u w:val="single"/>
              </w:rPr>
              <w:t>    </w:t>
            </w:r>
            <w:r>
              <w:rPr/>
              <w: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DELL INTERNATIONAL L.L.C.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EMC CORPORATION </w:t>
      </w:r>
    </w:p>
    <w:p>
      <w:pPr>
        <w:pStyle w:val="TextBody"/>
        <w:bidi w:val="0"/>
        <w:spacing w:before="240" w:after="0"/>
        <w:jc w:val="left"/>
        <w:rPr>
          <w:rFonts w:ascii="Times New Roman" w:hAnsi="Times New Roman"/>
          <w:sz w:val="20"/>
        </w:rPr>
      </w:pPr>
      <w:r>
        <w:rPr>
          <w:rFonts w:ascii="Times New Roman" w:hAnsi="Times New Roman"/>
          <w:sz w:val="20"/>
        </w:rPr>
        <w:t xml:space="preserve">promise to pay to CEDE &amp; CO. or registered assigns, the principal sum set forth on the Schedule of Exchanges of Interests in the Global Security attached hereto on February 15, 2034.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15 and August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February 1 and August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Issuers have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20[ 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27"/>
        <w:gridCol w:w="3260"/>
      </w:tblGrid>
      <w:tr>
        <w:trPr/>
        <w:tc>
          <w:tcPr>
            <w:tcW w:w="69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INTERNATIONAL L.L.C.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3260" w:type="dxa"/>
            <w:tcBorders>
              <w:bottom w:val="single" w:sz="2" w:space="0" w:color="000000"/>
            </w:tcBorders>
            <w:tcMar>
              <w:bottom w:w="28" w:type="dxa"/>
            </w:tcMar>
          </w:tcPr>
          <w:p>
            <w:pPr>
              <w:pStyle w:val="TableContents"/>
              <w:bidi w:val="0"/>
              <w:spacing w:before="0" w:after="283"/>
              <w:jc w:val="left"/>
              <w:rPr/>
            </w:pPr>
            <w:r>
              <w:rPr/>
              <w:t> </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vAlign w:val="bottom"/>
          </w:tcPr>
          <w:p>
            <w:pPr>
              <w:pStyle w:val="TableContents"/>
              <w:bidi w:val="0"/>
              <w:spacing w:before="0" w:after="283"/>
              <w:jc w:val="left"/>
              <w:rPr/>
            </w:pPr>
            <w:r>
              <w:rPr/>
              <w:t>Name:</w:t>
            </w:r>
          </w:p>
        </w:tc>
      </w:tr>
      <w:tr>
        <w:trPr/>
        <w:tc>
          <w:tcPr>
            <w:tcW w:w="69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260"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EMC CORPORATION</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tcPr>
          <w:p>
            <w:pPr>
              <w:pStyle w:val="TableContents"/>
              <w:bidi w:val="0"/>
              <w:spacing w:before="0" w:after="283"/>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1"/>
        <w:gridCol w:w="103"/>
        <w:gridCol w:w="405"/>
        <w:gridCol w:w="103"/>
        <w:gridCol w:w="315"/>
        <w:gridCol w:w="103"/>
        <w:gridCol w:w="4595"/>
      </w:tblGrid>
      <w:tr>
        <w:trPr/>
        <w:tc>
          <w:tcPr>
            <w:tcW w:w="4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81" w:type="dxa"/>
            <w:tcBorders/>
          </w:tcPr>
          <w:p>
            <w:pPr>
              <w:pStyle w:val="TableContents"/>
              <w:bidi w:val="0"/>
              <w:spacing w:before="0" w:after="283"/>
              <w:jc w:val="left"/>
              <w:rPr/>
            </w:pPr>
            <w:r>
              <w:rPr/>
              <w:t>Dated: [ ], 20[ ]</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13"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581"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4698" w:type="dxa"/>
            <w:gridSpan w:val="2"/>
            <w:tcBorders/>
            <w:vAlign w:val="center"/>
          </w:tcPr>
          <w:p>
            <w:pPr>
              <w:pStyle w:val="TableContents"/>
              <w:bidi w:val="0"/>
              <w:spacing w:before="0" w:after="283"/>
              <w:jc w:val="left"/>
              <w:rPr>
                <w:sz w:val="4"/>
                <w:szCs w:val="4"/>
              </w:rPr>
            </w:pPr>
            <w:r>
              <w:rPr>
                <w:sz w:val="4"/>
                <w:szCs w:val="4"/>
              </w:rPr>
            </w:r>
          </w:p>
        </w:tc>
      </w:tr>
      <w:tr>
        <w:trPr/>
        <w:tc>
          <w:tcPr>
            <w:tcW w:w="4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 </w:t>
            </w:r>
          </w:p>
        </w:tc>
      </w:tr>
      <w:tr>
        <w:trPr/>
        <w:tc>
          <w:tcPr>
            <w:tcW w:w="4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5.000% Senior Notes due 2034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Dell International L.L.C., a Delaware limited liability company (“</w:t>
      </w:r>
      <w:r>
        <w:rPr>
          <w:rFonts w:ascii="Times New Roman" w:hAnsi="Times New Roman"/>
          <w:sz w:val="20"/>
          <w:u w:val="single"/>
        </w:rPr>
        <w:t>Dell International</w:t>
      </w:r>
      <w:r>
        <w:rPr>
          <w:rFonts w:ascii="Times New Roman" w:hAnsi="Times New Roman"/>
          <w:sz w:val="20"/>
        </w:rPr>
        <w:t>”), and EMC Corporation, a Massachusetts corporation (“</w:t>
      </w:r>
      <w:r>
        <w:rPr>
          <w:rFonts w:ascii="Times New Roman" w:hAnsi="Times New Roman"/>
          <w:sz w:val="20"/>
          <w:u w:val="single"/>
        </w:rPr>
        <w:t>EMC</w:t>
      </w:r>
      <w:r>
        <w:rPr>
          <w:rFonts w:ascii="Times New Roman" w:hAnsi="Times New Roman"/>
          <w:sz w:val="20"/>
        </w:rPr>
        <w:t>” and, together with Dell International, the “</w:t>
      </w:r>
      <w:r>
        <w:rPr>
          <w:rFonts w:ascii="Times New Roman" w:hAnsi="Times New Roman"/>
          <w:sz w:val="20"/>
          <w:u w:val="single"/>
        </w:rPr>
        <w:t>Issuers</w:t>
      </w:r>
      <w:r>
        <w:rPr>
          <w:rFonts w:ascii="Times New Roman" w:hAnsi="Times New Roman"/>
          <w:sz w:val="20"/>
        </w:rPr>
        <w:t>”), promise to pay interest on the principal amount of this 2034 Note at 5.000% per annum, from June 16, 2026 until Maturity. The Issuers shall pay interest semi-annually in arrears on February 15 and August 15 of each year, or if any such day is not a Business Day, on the next succeeding Business Day (each, an “</w:t>
      </w:r>
      <w:r>
        <w:rPr>
          <w:rFonts w:ascii="Times New Roman" w:hAnsi="Times New Roman"/>
          <w:sz w:val="20"/>
          <w:u w:val="single"/>
        </w:rPr>
        <w:t>Interest Payment Date</w:t>
      </w:r>
      <w:r>
        <w:rPr>
          <w:rFonts w:ascii="Times New Roman" w:hAnsi="Times New Roman"/>
          <w:sz w:val="20"/>
        </w:rPr>
        <w:t>”), commencing on August 15, 2026. Interest on the 2034 Notes shall accrue from the most recent date to which interest has been paid or, if no interest has been paid, from June 16, 2026. The Issuers shall pay interest (including post-petition interest in any proceeding under any Bankruptcy Law) on overdue principal and premium, if any, from time to time on demand at the interest rate on the 2034 Notes to the extent lawful; the Issuers shall pay interest (including post-petition interest in any proceeding under any Bankruptcy Law) on overdue installments of interest, if any, from time to time on demand at the interest rate on the 2034 Notes. Interest shall be computed on the basis of a 360-day year comprised of twelve 30-day months. The interest rate on the 2034 Notes will in no event be higher than the maximum rate permitted by New York law as the same may be modified by United States law of general application. This 2034 Note is one of the series designated on the face hereof (individually, a “</w:t>
      </w:r>
      <w:r>
        <w:rPr>
          <w:rFonts w:ascii="Times New Roman" w:hAnsi="Times New Roman"/>
          <w:sz w:val="20"/>
          <w:u w:val="single"/>
        </w:rPr>
        <w:t>2034 Note</w:t>
      </w:r>
      <w:r>
        <w:rPr>
          <w:rFonts w:ascii="Times New Roman" w:hAnsi="Times New Roman"/>
          <w:sz w:val="20"/>
        </w:rPr>
        <w:t>” and, collectively, the “</w:t>
      </w:r>
      <w:r>
        <w:rPr>
          <w:rFonts w:ascii="Times New Roman" w:hAnsi="Times New Roman"/>
          <w:sz w:val="20"/>
          <w:u w:val="single"/>
        </w:rPr>
        <w:t>2034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Issuers will pay interest on the 2034 Notes to the Persons who are registered Holders of the 2034 Notes at the close of business (if applicable) on the February 1 or August 1 (whether or not a Business Day), as the case may be, immediately preceding the Interest Payment Date, even if such Securities are canceled after such record date and on or before such Interest Payment Date, except as provided in Section 2.12 of the Base Indenture with respect to defaulted interest. Payment of interest may be made by check mailed to the Holders of the 2034 Notes at their addresses set forth in the register of Holders, </w:t>
      </w:r>
      <w:r>
        <w:rPr>
          <w:rFonts w:ascii="Times New Roman" w:hAnsi="Times New Roman"/>
          <w:sz w:val="20"/>
          <w:u w:val="single"/>
        </w:rPr>
        <w:t>provided</w:t>
      </w:r>
      <w:r>
        <w:rPr>
          <w:rFonts w:ascii="Times New Roman" w:hAnsi="Times New Roman"/>
          <w:sz w:val="20"/>
        </w:rPr>
        <w:t xml:space="preserve"> that all payments of principal of and interest and premium, if any, with respect to the 2034 Notes represented by one or more Global Securities will be made in accordance with DTC’s applicable procedures.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The Bank of New York Mellon Trust Company, N.A., the Trustee under the Indenture, will act as Paying Agent and Registrar. The Issuers may change any Paying Agent or Registrar without notice to the Holders. Parent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Issuers issued the 2034 Notes under the Base Indenture, dated as of January 24, 2023 (the “</w:t>
      </w:r>
      <w:r>
        <w:rPr>
          <w:rFonts w:ascii="Times New Roman" w:hAnsi="Times New Roman"/>
          <w:sz w:val="20"/>
          <w:u w:val="single"/>
        </w:rPr>
        <w:t>Base Indenture</w:t>
      </w:r>
      <w:r>
        <w:rPr>
          <w:rFonts w:ascii="Times New Roman" w:hAnsi="Times New Roman"/>
          <w:sz w:val="20"/>
        </w:rPr>
        <w:t>”), among the Issuers, the Guarantors and the Trustee, as supplemented by the 2034 Notes Supplemental Indenture No. 1, dated as of June 16, 2026 (the “</w:t>
      </w:r>
      <w:r>
        <w:rPr>
          <w:rFonts w:ascii="Times New Roman" w:hAnsi="Times New Roman"/>
          <w:sz w:val="20"/>
          <w:u w:val="single"/>
        </w:rPr>
        <w:t>2034 Notes Supplemental Indenture No. 1</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among the Issuers, the Guarantors and the Trustee. This 2034 Note is one of a duly authorized issue of securities of the Issuers designated as their 5.000% Senior Notes due 2034. The Issuers shall be entitled to issue Additional Securities constituting Securities pursuant to Section 2.01 of the Base Indenture and Section 1(b) of the 2034 Notes Supplemental Indenture No. 1. The terms of the 2034 Notes include those stated in the Indenture. The 2034 Notes are subject to all such terms, and Holders of the 2034 Notes are referred to the Indenture for a statement of such terms. To the extent any provision of this 2034 Note conflicts with the express provisions of the Indenture, the provisions of the Indenture shall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5. REDEMPTION AND REPURCHASE. The 2034 Notes are subject to optional redemption, and may be the subject of a Change of Control Offer or an Alternate Offer, as further described in the 2034 Notes Supplemental Indenture No. 1. The Issuers shall not be required to make any mandatory redemption or sinking fund payments with respect to the 2034 Notes.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The 2034 Notes are in registered form without coupons in denominations of $2,000 and integral multiples of $1,000 in excess thereof. The transfer of Securities may be registered and Securities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Security or portion of a Security selected for redemption or tendered (and not withdrawn) for repurchase in connection with a Change of Control Offer, an Alternate Offer or other tender offer, in whole or in part, except for the unredeemed portion of any Security being redeemed in part. Also, the Issuers need not exchange or register the transfer of any Securities for a period of 15 days before a selection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The registered Holder of a Security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8. AMENDMENT, SUPPLEMENT AND WAIVER. The Indenture, the 2034 Notes or the related Note Guarantees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9. DEFAULTS AND REMEDIES. The Events of Default relating to the 2034 Notes are defined in Section 6.01 of the Base Indenture. Upon the occurrence of an Event of Default relating to the 2034 Notes, the rights and obligations of the Issuers, the Guarantors, the Trustee and the Holders of the 2034 Notes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10. AUTHENTICATION. This 2034 Note shall not be entitled to any benefit under the Indenture or be valid or obligatory for any purpose until authenticated by the manual or electronic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11.  GOVERNING LAW. THE LAWS OF THE STATE OF NEW YORK SHALL GOVERN AND BE USED TO CONSTRUE THE INDENTURE, THE 2034 NOTES AND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12. CUSIP AND ISIN NUMBERS. Pursuant to a recommendation promulgated by the Committee on Uniform Security Identification Procedures, the Issuers have caused CUSIP and ISIN numbers and/or similar numbers to be printed on the 2034 Notes and the Trustee may use CUSIP and ISIN numbers and/or similar numbers in notices of redemption as a convenience to Holders of the 2034 Notes. No representation is made as to the accuracy of such numbers either as printed on the 2034 Notes or as contained in any notice of redemption and reliance may be placed only on the other identification numbers placed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will furnish to any Holder upon written request and without charge a copy of the Indenture. Requests may be made to the Issuers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c/o Dell Inc. </w:t>
      </w:r>
    </w:p>
    <w:p>
      <w:pPr>
        <w:pStyle w:val="TextBody"/>
        <w:bidi w:val="0"/>
        <w:spacing w:before="0" w:after="0"/>
        <w:jc w:val="left"/>
        <w:rPr>
          <w:rFonts w:ascii="Times New Roman" w:hAnsi="Times New Roman"/>
          <w:sz w:val="20"/>
        </w:rPr>
      </w:pPr>
      <w:r>
        <w:rPr>
          <w:rFonts w:ascii="Times New Roman" w:hAnsi="Times New Roman"/>
          <w:sz w:val="20"/>
        </w:rPr>
        <w:t xml:space="preserve">One Dell Way </w:t>
      </w:r>
    </w:p>
    <w:p>
      <w:pPr>
        <w:pStyle w:val="TextBody"/>
        <w:bidi w:val="0"/>
        <w:spacing w:before="0" w:after="0"/>
        <w:jc w:val="left"/>
        <w:rPr>
          <w:rFonts w:ascii="Times New Roman" w:hAnsi="Times New Roman"/>
          <w:sz w:val="20"/>
        </w:rPr>
      </w:pPr>
      <w:r>
        <w:rPr>
          <w:rFonts w:ascii="Times New Roman" w:hAnsi="Times New Roman"/>
          <w:sz w:val="20"/>
        </w:rPr>
        <w:t xml:space="preserve">Round Rock, Texas 78682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Garcia </w:t>
      </w:r>
    </w:p>
    <w:p>
      <w:pPr>
        <w:pStyle w:val="TextBody"/>
        <w:bidi w:val="0"/>
        <w:spacing w:before="0" w:after="0"/>
        <w:jc w:val="left"/>
        <w:rPr>
          <w:rFonts w:ascii="Times New Roman" w:hAnsi="Times New Roman"/>
          <w:sz w:val="20"/>
        </w:rPr>
      </w:pPr>
      <w:r>
        <w:rPr>
          <w:rFonts w:ascii="Times New Roman" w:hAnsi="Times New Roman"/>
          <w:sz w:val="20"/>
        </w:rPr>
        <w:t xml:space="preserve">Email: Christopher.A.Garcia@dell.com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2034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5"/>
        <w:gridCol w:w="101"/>
        <w:gridCol w:w="6839"/>
      </w:tblGrid>
      <w:tr>
        <w:trPr/>
        <w:tc>
          <w:tcPr>
            <w:tcW w:w="32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pPr>
            <w:r>
              <w:rPr/>
              <w:t>(I) or (we) assign and transfer this 2034 Note to:</w:t>
            </w:r>
          </w:p>
        </w:tc>
        <w:tc>
          <w:tcPr>
            <w:tcW w:w="101"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839"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2034 Note on the books of the Issuers.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p>
      <w:pPr>
        <w:pStyle w:val="TextBody"/>
        <w:bidi w:val="0"/>
        <w:spacing w:before="0" w:after="0"/>
        <w:jc w:val="left"/>
        <w:rPr/>
      </w:pPr>
      <w:r>
        <w:rPr/>
        <w:t> </w:t>
      </w:r>
    </w:p>
    <w:tbl>
      <w:tblPr>
        <w:tblW w:w="6565" w:type="dxa"/>
        <w:jc w:val="right"/>
        <w:tblInd w:w="0" w:type="dxa"/>
        <w:tblLayout w:type="fixed"/>
        <w:tblCellMar>
          <w:top w:w="0" w:type="dxa"/>
          <w:left w:w="0" w:type="dxa"/>
          <w:bottom w:w="0" w:type="dxa"/>
          <w:right w:w="0" w:type="dxa"/>
        </w:tblCellMar>
      </w:tblPr>
      <w:tblGrid>
        <w:gridCol w:w="260"/>
        <w:gridCol w:w="60"/>
        <w:gridCol w:w="6245"/>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Your Signature: </w:t>
            </w:r>
            <w:r>
              <w:rPr>
                <w:u w:val="single"/>
              </w:rPr>
              <w:t>              </w:t>
            </w:r>
          </w:p>
        </w:tc>
      </w:tr>
      <w:tr>
        <w:trPr/>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(Sign exactly as your name appears on the face of this 2034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2034 Note purchased by the Issuers pursuant to Section 6 of the 2034 Notes Supplemental Indenture No. 1, check the appropriate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Section 6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2034 Note purchased by the Issuers pursuant to Section 6 of the 2034 Notes Supplemental Indenture No. 1,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p>
      <w:pPr>
        <w:pStyle w:val="TextBody"/>
        <w:bidi w:val="0"/>
        <w:spacing w:before="0" w:after="0"/>
        <w:jc w:val="left"/>
        <w:rPr/>
      </w:pPr>
      <w:r>
        <w:rPr/>
        <w:t> </w:t>
      </w:r>
    </w:p>
    <w:tbl>
      <w:tblPr>
        <w:tblW w:w="6745" w:type="dxa"/>
        <w:jc w:val="right"/>
        <w:tblInd w:w="0" w:type="dxa"/>
        <w:tblLayout w:type="fixed"/>
        <w:tblCellMar>
          <w:top w:w="0" w:type="dxa"/>
          <w:left w:w="0" w:type="dxa"/>
          <w:bottom w:w="0" w:type="dxa"/>
          <w:right w:w="0" w:type="dxa"/>
        </w:tblCellMar>
      </w:tblPr>
      <w:tblGrid>
        <w:gridCol w:w="440"/>
        <w:gridCol w:w="60"/>
        <w:gridCol w:w="6245"/>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Your Signature: </w:t>
            </w:r>
            <w:r>
              <w:rPr>
                <w:u w:val="single"/>
              </w:rPr>
              <w:t>              </w:t>
            </w:r>
          </w:p>
        </w:tc>
      </w:tr>
      <w:tr>
        <w:trPr/>
        <w:tc>
          <w:tcPr>
            <w:tcW w:w="4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(Sign exactly as your name appears on the face of this 2034 Note)</w:t>
            </w:r>
          </w:p>
        </w:tc>
      </w:tr>
      <w:tr>
        <w:trPr>
          <w:trHeight w:val="240" w:hRule="atLeast"/>
        </w:trPr>
        <w:tc>
          <w:tcPr>
            <w:tcW w:w="44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Tax Identification No.: </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Security is $[__________]. The following exchanges of a part of this Global Security for an interest in another Global Security or for a Definitive Security, or exchanges of a part of another Global or Definitive Security for an interest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1"/>
        <w:gridCol w:w="1940"/>
        <w:gridCol w:w="102"/>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w:t>
            </w:r>
          </w:p>
          <w:p>
            <w:pPr>
              <w:pStyle w:val="TableContents"/>
              <w:bidi w:val="0"/>
              <w:spacing w:before="0" w:after="20"/>
              <w:jc w:val="center"/>
              <w:rPr>
                <w:rFonts w:ascii="Times New Roman" w:hAnsi="Times New Roman"/>
                <w:sz w:val="16"/>
              </w:rPr>
            </w:pPr>
            <w:r>
              <w:rPr>
                <w:rFonts w:ascii="Times New Roman" w:hAnsi="Times New Roman"/>
                <w:sz w:val="16"/>
              </w:rPr>
              <w:t>Exchange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w:t>
            </w:r>
          </w:p>
          <w:p>
            <w:pPr>
              <w:pStyle w:val="TableContents"/>
              <w:bidi w:val="0"/>
              <w:spacing w:before="0" w:after="0"/>
              <w:jc w:val="center"/>
              <w:rPr>
                <w:rFonts w:ascii="Times New Roman" w:hAnsi="Times New Roman"/>
                <w:sz w:val="16"/>
              </w:rPr>
            </w:pPr>
            <w:r>
              <w:rPr>
                <w:rFonts w:ascii="Times New Roman" w:hAnsi="Times New Roman"/>
                <w:sz w:val="16"/>
              </w:rPr>
              <w:t>in 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Security</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w:t>
            </w:r>
          </w:p>
          <w:p>
            <w:pPr>
              <w:pStyle w:val="TableContents"/>
              <w:bidi w:val="0"/>
              <w:spacing w:before="0" w:after="0"/>
              <w:jc w:val="center"/>
              <w:rPr>
                <w:rFonts w:ascii="Times New Roman" w:hAnsi="Times New Roman"/>
                <w:sz w:val="16"/>
              </w:rPr>
            </w:pPr>
            <w:r>
              <w:rPr>
                <w:rFonts w:ascii="Times New Roman" w:hAnsi="Times New Roman"/>
                <w:sz w:val="16"/>
              </w:rPr>
              <w:t>in Principal</w:t>
            </w:r>
          </w:p>
          <w:p>
            <w:pPr>
              <w:pStyle w:val="TableContents"/>
              <w:bidi w:val="0"/>
              <w:spacing w:before="0" w:after="0"/>
              <w:jc w:val="center"/>
              <w:rPr>
                <w:rFonts w:ascii="Times New Roman" w:hAnsi="Times New Roman"/>
                <w:sz w:val="16"/>
              </w:rPr>
            </w:pPr>
            <w:r>
              <w:rPr>
                <w:rFonts w:ascii="Times New Roman" w:hAnsi="Times New Roman"/>
                <w:sz w:val="16"/>
              </w:rPr>
              <w:t>Amount of this</w:t>
            </w:r>
          </w:p>
          <w:p>
            <w:pPr>
              <w:pStyle w:val="TableContents"/>
              <w:bidi w:val="0"/>
              <w:spacing w:before="0" w:after="20"/>
              <w:jc w:val="center"/>
              <w:rPr>
                <w:rFonts w:ascii="Times New Roman" w:hAnsi="Times New Roman"/>
                <w:sz w:val="16"/>
              </w:rPr>
            </w:pPr>
            <w:r>
              <w:rPr>
                <w:rFonts w:ascii="Times New Roman" w:hAnsi="Times New Roman"/>
                <w:sz w:val="16"/>
              </w:rPr>
              <w:t>Global Security</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w:t>
            </w:r>
          </w:p>
          <w:p>
            <w:pPr>
              <w:pStyle w:val="TableContents"/>
              <w:bidi w:val="0"/>
              <w:spacing w:before="0" w:after="0"/>
              <w:jc w:val="center"/>
              <w:rPr>
                <w:rFonts w:ascii="Times New Roman" w:hAnsi="Times New Roman"/>
                <w:sz w:val="16"/>
              </w:rPr>
            </w:pPr>
            <w:r>
              <w:rPr>
                <w:rFonts w:ascii="Times New Roman" w:hAnsi="Times New Roman"/>
                <w:sz w:val="16"/>
              </w:rPr>
              <w:t>this Global</w:t>
            </w:r>
          </w:p>
          <w:p>
            <w:pPr>
              <w:pStyle w:val="TableContents"/>
              <w:bidi w:val="0"/>
              <w:spacing w:before="0" w:after="0"/>
              <w:jc w:val="center"/>
              <w:rPr>
                <w:rFonts w:ascii="Times New Roman" w:hAnsi="Times New Roman"/>
                <w:sz w:val="16"/>
              </w:rPr>
            </w:pPr>
            <w:r>
              <w:rPr>
                <w:rFonts w:ascii="Times New Roman" w:hAnsi="Times New Roman"/>
                <w:sz w:val="16"/>
              </w:rPr>
              <w:t>Security</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02"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officer</w:t>
            </w:r>
          </w:p>
          <w:p>
            <w:pPr>
              <w:pStyle w:val="TableContents"/>
              <w:bidi w:val="0"/>
              <w:spacing w:before="0" w:after="0"/>
              <w:jc w:val="center"/>
              <w:rPr>
                <w:rFonts w:ascii="Times New Roman" w:hAnsi="Times New Roman"/>
                <w:sz w:val="16"/>
              </w:rPr>
            </w:pPr>
            <w:r>
              <w:rPr>
                <w:rFonts w:ascii="Times New Roman" w:hAnsi="Times New Roman"/>
                <w:sz w:val="16"/>
              </w:rPr>
              <w:t>of Trustee or</w:t>
            </w:r>
          </w:p>
          <w:p>
            <w:pPr>
              <w:pStyle w:val="TableContents"/>
              <w:bidi w:val="0"/>
              <w:spacing w:before="0" w:after="20"/>
              <w:jc w:val="center"/>
              <w:rPr>
                <w:rFonts w:ascii="Times New Roman" w:hAnsi="Times New Roman"/>
                <w:sz w:val="16"/>
              </w:rPr>
            </w:pPr>
            <w:r>
              <w:rPr>
                <w:rFonts w:ascii="Times New Roman" w:hAnsi="Times New Roman"/>
                <w:sz w:val="16"/>
              </w:rPr>
              <w:t>Note Custodian</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Security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p>
    <w:p>
      <w:pPr>
        <w:pStyle w:val="TextBody"/>
        <w:bidi w:val="0"/>
        <w:spacing w:before="0" w:after="0"/>
        <w:jc w:val="right"/>
        <w:rPr>
          <w:rFonts w:ascii="Times New Roman" w:hAnsi="Times New Roman"/>
          <w:b/>
          <w:sz w:val="20"/>
        </w:rPr>
      </w:pPr>
      <w:bookmarkStart w:id="6" w:name="d20600dex43.htm"/>
      <w:bookmarkStart w:id="7" w:name="ksd20600dex43"/>
      <w:bookmarkEnd w:id="6"/>
      <w:bookmarkEnd w:id="7"/>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2037 NOTES SUPPLEMENTAL INDENTURE NO. 1 </w:t>
      </w:r>
    </w:p>
    <w:p>
      <w:pPr>
        <w:pStyle w:val="TextBody"/>
        <w:bidi w:val="0"/>
        <w:spacing w:before="240" w:after="0"/>
        <w:jc w:val="left"/>
        <w:rPr>
          <w:rFonts w:ascii="Times New Roman" w:hAnsi="Times New Roman"/>
          <w:sz w:val="20"/>
        </w:rPr>
      </w:pPr>
      <w:r>
        <w:rPr>
          <w:rFonts w:ascii="Times New Roman" w:hAnsi="Times New Roman"/>
          <w:sz w:val="20"/>
        </w:rPr>
        <w:t>This 2037 NOTES SUPPLEMENTAL INDENTURE NO. 1, dated as of June 16, 2026 (this “</w:t>
      </w:r>
      <w:r>
        <w:rPr>
          <w:rFonts w:ascii="Times New Roman" w:hAnsi="Times New Roman"/>
          <w:sz w:val="20"/>
          <w:u w:val="single"/>
        </w:rPr>
        <w:t>2037 Notes Supplemental Indenture</w:t>
      </w:r>
      <w:r>
        <w:rPr>
          <w:rFonts w:ascii="Times New Roman" w:hAnsi="Times New Roman"/>
          <w:sz w:val="20"/>
        </w:rPr>
        <w:t>”), is made and entered into among Dell International L.L.C., a Delaware limited liability company (“</w:t>
      </w:r>
      <w:r>
        <w:rPr>
          <w:rFonts w:ascii="Times New Roman" w:hAnsi="Times New Roman"/>
          <w:sz w:val="20"/>
          <w:u w:val="single"/>
        </w:rPr>
        <w:t>Dell International</w:t>
      </w:r>
      <w:r>
        <w:rPr>
          <w:rFonts w:ascii="Times New Roman" w:hAnsi="Times New Roman"/>
          <w:sz w:val="20"/>
        </w:rPr>
        <w:t>”), EMC Corporation, a Massachusetts corporation (“</w:t>
      </w:r>
      <w:r>
        <w:rPr>
          <w:rFonts w:ascii="Times New Roman" w:hAnsi="Times New Roman"/>
          <w:sz w:val="20"/>
          <w:u w:val="single"/>
        </w:rPr>
        <w:t>EMC</w:t>
      </w:r>
      <w:r>
        <w:rPr>
          <w:rFonts w:ascii="Times New Roman" w:hAnsi="Times New Roman"/>
          <w:sz w:val="20"/>
        </w:rPr>
        <w:t>” and, together with Dell International, the “</w:t>
      </w:r>
      <w:r>
        <w:rPr>
          <w:rFonts w:ascii="Times New Roman" w:hAnsi="Times New Roman"/>
          <w:sz w:val="20"/>
          <w:u w:val="single"/>
        </w:rPr>
        <w:t>Issuers</w:t>
      </w:r>
      <w:r>
        <w:rPr>
          <w:rFonts w:ascii="Times New Roman" w:hAnsi="Times New Roman"/>
          <w:sz w:val="20"/>
        </w:rPr>
        <w:t>”), the Guarantors (as defined below) and The Bank of New York Mellon Trust Company, N.A., a national banking association, as trustee (in such capacity, the “</w:t>
      </w:r>
      <w:r>
        <w:rPr>
          <w:rFonts w:ascii="Times New Roman" w:hAnsi="Times New Roman"/>
          <w:sz w:val="20"/>
          <w:u w:val="single"/>
        </w:rPr>
        <w:t>Trustee</w:t>
      </w:r>
      <w:r>
        <w:rPr>
          <w:rFonts w:ascii="Times New Roman" w:hAnsi="Times New Roman"/>
          <w:sz w:val="20"/>
        </w:rPr>
        <w:t xml:space="preserve">”). Capitalized terms used herein and not otherwise defined have the meanings set forth in the Base Indenture referred to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A. Section 9.01(15) of the Base Indenture, dated as of January 24, 2023, among the Issuers, the guarantors named therein (the “</w:t>
      </w:r>
      <w:r>
        <w:rPr>
          <w:rFonts w:ascii="Times New Roman" w:hAnsi="Times New Roman"/>
          <w:sz w:val="20"/>
          <w:u w:val="single"/>
        </w:rPr>
        <w:t>Guarantors</w:t>
      </w:r>
      <w:r>
        <w:rPr>
          <w:rFonts w:ascii="Times New Roman" w:hAnsi="Times New Roman"/>
          <w:sz w:val="20"/>
        </w:rPr>
        <w:t>”) and the Trustee (the “</w:t>
      </w:r>
      <w:r>
        <w:rPr>
          <w:rFonts w:ascii="Times New Roman" w:hAnsi="Times New Roman"/>
          <w:sz w:val="20"/>
          <w:u w:val="single"/>
        </w:rPr>
        <w:t>Base Indenture</w:t>
      </w:r>
      <w:r>
        <w:rPr>
          <w:rFonts w:ascii="Times New Roman" w:hAnsi="Times New Roman"/>
          <w:sz w:val="20"/>
        </w:rPr>
        <w:t>” and, together with this 2037 Notes Supplemental Indenture, the “</w:t>
      </w:r>
      <w:r>
        <w:rPr>
          <w:rFonts w:ascii="Times New Roman" w:hAnsi="Times New Roman"/>
          <w:sz w:val="20"/>
          <w:u w:val="single"/>
        </w:rPr>
        <w:t>Indenture</w:t>
      </w:r>
      <w:r>
        <w:rPr>
          <w:rFonts w:ascii="Times New Roman" w:hAnsi="Times New Roman"/>
          <w:sz w:val="20"/>
        </w:rPr>
        <w:t xml:space="preserve">”) provides that, without the consent of Holders, the Issuers, the Guarantors and the Trustee may enter into a supplemental indenture to the Base Indenture to establish the form or terms of Securities of any series pursuant to Section 2.01 of the Base Indenture. </w:t>
      </w:r>
    </w:p>
    <w:p>
      <w:pPr>
        <w:pStyle w:val="TextBody"/>
        <w:bidi w:val="0"/>
        <w:spacing w:before="240" w:after="0"/>
        <w:jc w:val="left"/>
        <w:rPr>
          <w:rFonts w:ascii="Times New Roman" w:hAnsi="Times New Roman"/>
          <w:sz w:val="20"/>
        </w:rPr>
      </w:pPr>
      <w:r>
        <w:rPr>
          <w:rFonts w:ascii="Times New Roman" w:hAnsi="Times New Roman"/>
          <w:sz w:val="20"/>
        </w:rPr>
        <w:t>B. The Issuers desire to issue $1,250,000,000 aggregate principal amount of 5.250% Senior Notes due 2037 (the “</w:t>
      </w:r>
      <w:r>
        <w:rPr>
          <w:rFonts w:ascii="Times New Roman" w:hAnsi="Times New Roman"/>
          <w:sz w:val="20"/>
          <w:u w:val="single"/>
        </w:rPr>
        <w:t>2037 Notes</w:t>
      </w:r>
      <w:r>
        <w:rPr>
          <w:rFonts w:ascii="Times New Roman" w:hAnsi="Times New Roman"/>
          <w:sz w:val="20"/>
        </w:rPr>
        <w:t xml:space="preserve">”), and in connection therewith, the Issuers have duly determined to make, execute and deliver to the Trustee this 2037 Notes Supplemental Indenture to set forth the terms and provisions of the 2037 Notes as required by the Base Indenture. This 2037 Notes Supplemental Indenture shall supplement the Base Indenture insofar as it will apply only to the 2037 Notes issued hereunder (and not to any other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and covenants set forth herein, the parties hereto agree, subject to the terms and conditions hereinafter set forth, as follows for the benefit of the Trustee and the Holders of the 2037 Notes: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sz w:val="20"/>
          <w:u w:val="single"/>
        </w:rPr>
        <w:t>2037 Notes</w:t>
      </w:r>
      <w:r>
        <w:rPr>
          <w:rFonts w:ascii="Times New Roman" w:hAnsi="Times New Roman"/>
          <w:sz w:val="20"/>
        </w:rPr>
        <w:t xml:space="preserve">. Pursuant to Section 2.01 of the Base Indenture, the terms and provisions of the 2037 Notes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title of the 2037 Notes shall be “5.250% Senior Notes due 2037.” </w:t>
      </w:r>
    </w:p>
    <w:p>
      <w:pPr>
        <w:pStyle w:val="TextBody"/>
        <w:bidi w:val="0"/>
        <w:spacing w:before="240" w:after="0"/>
        <w:jc w:val="left"/>
        <w:rPr>
          <w:rFonts w:ascii="Times New Roman" w:hAnsi="Times New Roman"/>
          <w:sz w:val="20"/>
        </w:rPr>
      </w:pPr>
      <w:r>
        <w:rPr>
          <w:rFonts w:ascii="Times New Roman" w:hAnsi="Times New Roman"/>
          <w:sz w:val="20"/>
        </w:rPr>
        <w:t>(b) The 2037 Notes shall be initially limited to $1,250,000,000 aggregate principal amount. The Issuers may, without the consent of the Holders of the 2037 Notes, increase such aggregate principal amount in the future, on the same terms and conditions, except for any differences in the issue date, issue price and, if applicable, the first Interest Payment Date and the first date from which interest will accrue. The 2037 Notes issued originally hereunder (the “</w:t>
      </w:r>
      <w:r>
        <w:rPr>
          <w:rFonts w:ascii="Times New Roman" w:hAnsi="Times New Roman"/>
          <w:sz w:val="20"/>
          <w:u w:val="single"/>
        </w:rPr>
        <w:t>Initial 2037 Notes</w:t>
      </w:r>
      <w:r>
        <w:rPr>
          <w:rFonts w:ascii="Times New Roman" w:hAnsi="Times New Roman"/>
          <w:sz w:val="20"/>
        </w:rPr>
        <w:t xml:space="preserve">”) and any Additional Securities of such series subsequently issued, shall be treated as a single class for purposes of the Indenture, including waivers, amendments, redemptions and offers to purchase; </w:t>
      </w:r>
      <w:r>
        <w:rPr>
          <w:rFonts w:ascii="Times New Roman" w:hAnsi="Times New Roman"/>
          <w:sz w:val="20"/>
          <w:u w:val="single"/>
        </w:rPr>
        <w:t>provided</w:t>
      </w:r>
      <w:r>
        <w:rPr>
          <w:rFonts w:ascii="Times New Roman" w:hAnsi="Times New Roman"/>
          <w:sz w:val="20"/>
        </w:rPr>
        <w:t xml:space="preserve"> that if any such Additional Securities are not fungible with the Initial 2037 Notes for U.S. federal income tax purposes, such Additional Securities will have a separate CUSIP number and ISIN number from the Initial 2037 Notes. </w:t>
      </w:r>
    </w:p>
    <w:p>
      <w:pPr>
        <w:pStyle w:val="TextBody"/>
        <w:bidi w:val="0"/>
        <w:spacing w:before="240" w:after="0"/>
        <w:jc w:val="left"/>
        <w:rPr>
          <w:rFonts w:ascii="Times New Roman" w:hAnsi="Times New Roman"/>
          <w:sz w:val="20"/>
        </w:rPr>
      </w:pPr>
      <w:r>
        <w:rPr>
          <w:rFonts w:ascii="Times New Roman" w:hAnsi="Times New Roman"/>
          <w:sz w:val="20"/>
        </w:rPr>
        <w:t xml:space="preserve">(c) The price at which the 2037 Notes shall be issued to the public is 99.259%. </w:t>
      </w:r>
    </w:p>
    <w:p>
      <w:pPr>
        <w:pStyle w:val="TextBody"/>
        <w:bidi w:val="0"/>
        <w:spacing w:before="240" w:after="0"/>
        <w:jc w:val="left"/>
        <w:rPr>
          <w:rFonts w:ascii="Times New Roman" w:hAnsi="Times New Roman"/>
          <w:sz w:val="20"/>
        </w:rPr>
      </w:pPr>
      <w:r>
        <w:rPr>
          <w:rFonts w:ascii="Times New Roman" w:hAnsi="Times New Roman"/>
          <w:sz w:val="20"/>
        </w:rPr>
        <w:t xml:space="preserve">(d) The Issuers’ actions and determinations in determining the Redemption Price shall be conclusive and binding, absent manifest error. The Trustee shall have no obligation to determine the Redemption Price or to verify the calculation of the Redemption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Stated Maturity for the 2037 Notes shall be on February 15, 2037. The 2037 Notes shall not require any principal or premium payments prior to the Stated Maturity. </w:t>
      </w:r>
    </w:p>
    <w:p>
      <w:pPr>
        <w:pStyle w:val="TextBody"/>
        <w:bidi w:val="0"/>
        <w:spacing w:before="240" w:after="0"/>
        <w:jc w:val="left"/>
        <w:rPr>
          <w:rFonts w:ascii="Times New Roman" w:hAnsi="Times New Roman"/>
          <w:sz w:val="20"/>
        </w:rPr>
      </w:pPr>
      <w:r>
        <w:rPr>
          <w:rFonts w:ascii="Times New Roman" w:hAnsi="Times New Roman"/>
          <w:sz w:val="20"/>
        </w:rPr>
        <w:t xml:space="preserve">(f) The rate at which the 2037 Notes shall bear interest shall be 5.250% per annum, as set forth in Section 1 of the form of 2037 Note attached hereto as Exhibit A. Interest on the 2037 Notes shall accrue from the most recent date to which interest has been paid, or, if no interest has been paid, from June 16, 2026. Each February 15 and August 15 in each year, commencing August 15, 2026, shall be an Interest Payment Date for the 2037 Notes. The February 1 or August 1 (whether or not a Business Day), as the case may be, immediately preceding an Interest Payment Date shall be the Record Date for the interest payable on such Interest Payment Date, even if such 2037 Notes are canceled after such record date and on or before such Interest Payment Date, except as provided in Section 2.12 of the Base Indenture with respect to defaulted interest. If an Interest Payment Date is a Legal Holiday at a place of payment, payment may be made at that place on the next succeeding day that is a Business Day, and no interest on such payment will accrue in respect of the delay. The Issuers shall pay interest on overdue principal at a rate equal to the then applicable interest rate on the 2037 Notes to the extent lawful, and the Issuers shall pay interest on overdue installments of interest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(g) Payments of principal of, premium, if any, and interest on the 2037 Notes represented by one or more Global Securities initially registered in the name of The Depository Trust Company (the “</w:t>
      </w:r>
      <w:r>
        <w:rPr>
          <w:rFonts w:ascii="Times New Roman" w:hAnsi="Times New Roman"/>
          <w:sz w:val="20"/>
          <w:u w:val="single"/>
        </w:rPr>
        <w:t>Depositary</w:t>
      </w:r>
      <w:r>
        <w:rPr>
          <w:rFonts w:ascii="Times New Roman" w:hAnsi="Times New Roman"/>
          <w:sz w:val="20"/>
        </w:rPr>
        <w:t xml:space="preserve">”) or its nominee with respect to the 2037 Notes shall be made by the Issuers through the Trustee in immediately available funds to the Depositary or its nominee,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(h) The 2037 Notes shall be redeemable in accordance with the terms and provisions set forth in </w:t>
      </w:r>
      <w:r>
        <w:rPr>
          <w:rFonts w:ascii="Times New Roman" w:hAnsi="Times New Roman"/>
          <w:sz w:val="20"/>
          <w:u w:val="single"/>
        </w:rPr>
        <w:t>Section 2</w:t>
      </w:r>
      <w:r>
        <w:rPr>
          <w:rFonts w:ascii="Times New Roman" w:hAnsi="Times New Roman"/>
          <w:sz w:val="20"/>
        </w:rPr>
        <w:t xml:space="preserve"> hereof and (to the extent they do not conflict with </w:t>
      </w:r>
      <w:r>
        <w:rPr>
          <w:rFonts w:ascii="Times New Roman" w:hAnsi="Times New Roman"/>
          <w:sz w:val="20"/>
          <w:u w:val="single"/>
        </w:rPr>
        <w:t>Section 2</w:t>
      </w:r>
      <w:r>
        <w:rPr>
          <w:rFonts w:ascii="Times New Roman" w:hAnsi="Times New Roman"/>
          <w:sz w:val="20"/>
        </w:rPr>
        <w:t xml:space="preserve"> hereof) the terms and provisions of Article 3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(i) There shall be no mandatory sinking fund for the payments of the 2037 Notes. </w:t>
      </w:r>
    </w:p>
    <w:p>
      <w:pPr>
        <w:pStyle w:val="TextBody"/>
        <w:bidi w:val="0"/>
        <w:spacing w:before="240" w:after="0"/>
        <w:jc w:val="left"/>
        <w:rPr>
          <w:rFonts w:ascii="Times New Roman" w:hAnsi="Times New Roman"/>
          <w:sz w:val="20"/>
        </w:rPr>
      </w:pPr>
      <w:r>
        <w:rPr>
          <w:rFonts w:ascii="Times New Roman" w:hAnsi="Times New Roman"/>
          <w:sz w:val="20"/>
        </w:rPr>
        <w:t xml:space="preserve">(j) The 2037 Notes shall be represented by one or more Global Securities deposited with the Depositary and registered in the name of the nominee of the Depositary. The 2037 Notes, including the form of the certificate of authentication, shall be substantially in the form attached hereto as Exhibit A, the terms of which are incorporated by reference in this 2037 Notes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Bank of New York Mellon Trust Company, N.A. shall be the Trustee for the 2037 Notes. </w:t>
      </w:r>
    </w:p>
    <w:p>
      <w:pPr>
        <w:pStyle w:val="TextBody"/>
        <w:bidi w:val="0"/>
        <w:spacing w:before="240" w:after="0"/>
        <w:jc w:val="left"/>
        <w:rPr>
          <w:rFonts w:ascii="Times New Roman" w:hAnsi="Times New Roman"/>
          <w:sz w:val="20"/>
        </w:rPr>
      </w:pPr>
      <w:r>
        <w:rPr>
          <w:rFonts w:ascii="Times New Roman" w:hAnsi="Times New Roman"/>
          <w:sz w:val="20"/>
        </w:rPr>
        <w:t xml:space="preserve">(l) Article 10 of the Base Indenture shall apply to the 2037 Notes. </w:t>
      </w:r>
    </w:p>
    <w:p>
      <w:pPr>
        <w:pStyle w:val="TextBody"/>
        <w:bidi w:val="0"/>
        <w:spacing w:before="240" w:after="0"/>
        <w:jc w:val="left"/>
        <w:rPr>
          <w:rFonts w:ascii="Times New Roman" w:hAnsi="Times New Roman"/>
          <w:sz w:val="20"/>
        </w:rPr>
      </w:pPr>
      <w:r>
        <w:rPr>
          <w:rFonts w:ascii="Times New Roman" w:hAnsi="Times New Roman"/>
          <w:sz w:val="20"/>
        </w:rPr>
        <w:t xml:space="preserve">(m) The covenants set forth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shall apply to the 2037 Notes. Upon satisfaction of the conditions set forth in Section 8.03 of the Base Indenture, the Issuers and the Guarantors shall be released from their obligations under such covenants set forth in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(n) The minimum authorized denomination for 2037 Notes shall be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(o) To the extent not set forth otherwise herein, the provisions of Article 2 of the Base Indenture are applicable.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sz w:val="20"/>
          <w:u w:val="single"/>
        </w:rPr>
        <w:t>Optional Redemption of the 2037 Notes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(a) Prior to November 15, 2036 (the “</w:t>
      </w:r>
      <w:r>
        <w:rPr>
          <w:rFonts w:ascii="Times New Roman" w:hAnsi="Times New Roman"/>
          <w:sz w:val="20"/>
          <w:u w:val="single"/>
        </w:rPr>
        <w:t>Par Call Date</w:t>
      </w:r>
      <w:r>
        <w:rPr>
          <w:rFonts w:ascii="Times New Roman" w:hAnsi="Times New Roman"/>
          <w:sz w:val="20"/>
        </w:rPr>
        <w:t xml:space="preserve">”), the 2037 Notes will be redeemable, at any time, in whole or from time to time in part, at the Issuers’ option, at the Redemption Price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2037 Notes to be redeemed;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but excluding, the Redemption Date (assuming the 2037 Notes matured on the Par Call Date) on a semi-annual basis (assuming a 360-day year consisting of twelve 30-day months) at the Treasury Rate, plus 15 basis points less (b) interest accrued to the Redemption Date; </w:t>
            </w:r>
          </w:p>
        </w:tc>
      </w:tr>
    </w:tbl>
    <w:p>
      <w:pPr>
        <w:pStyle w:val="TextBody"/>
        <w:bidi w:val="0"/>
        <w:spacing w:before="240" w:after="0"/>
        <w:jc w:val="left"/>
        <w:rPr>
          <w:rFonts w:ascii="Times New Roman" w:hAnsi="Times New Roman"/>
          <w:sz w:val="20"/>
        </w:rPr>
      </w:pPr>
      <w:r>
        <w:rPr>
          <w:rFonts w:ascii="Times New Roman" w:hAnsi="Times New Roman"/>
          <w:sz w:val="20"/>
          <w:u w:val="single"/>
        </w:rPr>
        <w:t>plus</w:t>
      </w:r>
      <w:r>
        <w:rPr>
          <w:rFonts w:ascii="Times New Roman" w:hAnsi="Times New Roman"/>
          <w:sz w:val="20"/>
        </w:rPr>
        <w:t xml:space="preserve">, in either case, accrued and unpaid interest thereon to, but excluding, the Redemption Date. Notwithstanding the foregoing, installments of interest on the 2037 Notes to be redeemed that are due and payable on Interest Payment Dates falling on or prior to a Redemption Date will be payable on the Interest Payment Date to the registered Holders as of the close of business on the relevant Record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Par Call Date, the Issuers may redeem the 2037 Notes, in whole or in part, at any time and from time to time, at a Redemption Price equal to 100% of the principal amount of the 2037 Notes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(c) A notice of redemption need not set forth the exact Redemption Price but only the manner of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pursuant to this </w:t>
      </w:r>
      <w:r>
        <w:rPr>
          <w:rFonts w:ascii="Times New Roman" w:hAnsi="Times New Roman"/>
          <w:sz w:val="20"/>
          <w:u w:val="single"/>
        </w:rPr>
        <w:t>Section 2</w:t>
      </w:r>
      <w:r>
        <w:rPr>
          <w:rFonts w:ascii="Times New Roman" w:hAnsi="Times New Roman"/>
          <w:sz w:val="20"/>
        </w:rPr>
        <w:t xml:space="preserve"> shall be made pursuant to the provisions of Sections 3.01 through 3.06 of the Base Indenture.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Adjusted Current Liabilities</w:t>
      </w:r>
      <w:r>
        <w:rPr>
          <w:rFonts w:ascii="Times New Roman" w:hAnsi="Times New Roman"/>
          <w:sz w:val="20"/>
        </w:rPr>
        <w:t xml:space="preserve">” has the meaning set forth for such term in the definition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Aggregate Debt</w:t>
      </w:r>
      <w:r>
        <w:rPr>
          <w:rFonts w:ascii="Times New Roman" w:hAnsi="Times New Roman"/>
          <w:sz w:val="20"/>
        </w:rPr>
        <w:t xml:space="preserve">” means, as of the date of determination, the sum of (1) the aggregate principal amount of indebtedness of the Issuers and their Restricted Subsidiaries secured by Liens (other than Permitted Liens) that is not permitted by </w:t>
      </w:r>
      <w:r>
        <w:rPr>
          <w:rFonts w:ascii="Times New Roman" w:hAnsi="Times New Roman"/>
          <w:sz w:val="20"/>
          <w:u w:val="single"/>
        </w:rPr>
        <w:t>Section 5(a)</w:t>
      </w:r>
      <w:r>
        <w:rPr>
          <w:rFonts w:ascii="Times New Roman" w:hAnsi="Times New Roman"/>
          <w:sz w:val="20"/>
        </w:rPr>
        <w:t xml:space="preserve"> hereof and (2) the Attributable Indebtedness of the Issuers and their Restricted Subsidiaries in respect of Sale and Lease-Back Transactions entered into pursuant to </w:t>
      </w:r>
      <w:r>
        <w:rPr>
          <w:rFonts w:ascii="Times New Roman" w:hAnsi="Times New Roman"/>
          <w:sz w:val="20"/>
          <w:u w:val="single"/>
        </w:rPr>
        <w:t>Section 4(b)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Alternate Offer</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Attributable Indebtedness</w:t>
      </w:r>
      <w:r>
        <w:rPr>
          <w:rFonts w:ascii="Times New Roman" w:hAnsi="Times New Roman"/>
          <w:sz w:val="20"/>
        </w:rPr>
        <w:t xml:space="preserve">” when used in connection with a Sale and Lease-Back Transaction relating to a Principal Property means, at the time of determination, the lesser of (a) the fair market value of property or assets involved in the Sale and Lease-Back Transaction, (b) the present value of the total net amount of rent required to be paid under such lease during the remaining term thereof (including any renewal term or period for which such lease has been extended), computed by discounting from the respective due dates to such date such total net amount of rent at the rate of interest set forth or implicit in the terms of such lease or, if not practicable to determine such rate, the rate per annum equal to the weighted average interest rate per annum borne by the 2037 Notes outstanding pursuant to the Indenture compounded semi-annually, or (c) if the obligation with respect to the Sale and Lease-Back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constitutes a Financing Lease Obligation, the amount equal to the capitalized amount of such obligation determined in accordance with GAAP and included in the financial statements of the lessee.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that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net amount determined assuming no such termination.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Change of Control</w:t>
      </w:r>
      <w:r>
        <w:rPr>
          <w:rFonts w:ascii="Times New Roman" w:hAnsi="Times New Roman"/>
          <w:sz w:val="20"/>
        </w:rPr>
        <w:t xml:space="preserve">” means the occurrence of one or more of the following events after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(1) the sale, lease or transfer, in one or a series of related transactions, of all or substantially all of the assets of Parent and its Subsidiaries, taken as a whole, to any Person other than any Permitted Holders; </w:t>
      </w:r>
    </w:p>
    <w:p>
      <w:pPr>
        <w:pStyle w:val="TextBody"/>
        <w:bidi w:val="0"/>
        <w:spacing w:before="120" w:after="0"/>
        <w:jc w:val="left"/>
        <w:rPr>
          <w:rFonts w:ascii="Times New Roman" w:hAnsi="Times New Roman"/>
          <w:sz w:val="20"/>
        </w:rPr>
      </w:pPr>
      <w:r>
        <w:rPr>
          <w:rFonts w:ascii="Times New Roman" w:hAnsi="Times New Roman"/>
          <w:sz w:val="20"/>
        </w:rPr>
        <w:t xml:space="preserve">(2) Parent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Parent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of more than 50% of the total voting power of the Voting Stock entitled to vote for the election of directors of Parent having a majority of the aggregate votes on the Board of Parent, unless the Permitted Holders otherwise have the right (pursuant to contract, proxy or otherwise), directly or indirectly, to designate or appoint directors of Parent having a majority of the aggregate votes on the Board of Parent; </w:t>
      </w:r>
    </w:p>
    <w:p>
      <w:pPr>
        <w:pStyle w:val="TextBody"/>
        <w:bidi w:val="0"/>
        <w:spacing w:before="120" w:after="0"/>
        <w:jc w:val="left"/>
        <w:rPr>
          <w:rFonts w:ascii="Times New Roman" w:hAnsi="Times New Roman"/>
          <w:sz w:val="20"/>
        </w:rPr>
      </w:pPr>
      <w:r>
        <w:rPr>
          <w:rFonts w:ascii="Times New Roman" w:hAnsi="Times New Roman"/>
          <w:sz w:val="20"/>
        </w:rPr>
        <w:t xml:space="preserve">(3) Parent consolidates with, or merges with or into, any Person, or any Person consolidates with, or merges with or into, Parent, in any such event pursuant to a transaction in which the outstanding Voting Stock of Parent or the Voting Stock of such other Person is converted into or exchanged for cash, securities or other property, other than any such transaction where the shares of Voting Stock of Parent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(4) either of the Issuers shall cease to be a direct or indirect Subsidiary of Parent; or </w:t>
      </w:r>
    </w:p>
    <w:p>
      <w:pPr>
        <w:pStyle w:val="TextBody"/>
        <w:bidi w:val="0"/>
        <w:spacing w:before="120" w:after="0"/>
        <w:jc w:val="left"/>
        <w:rPr>
          <w:rFonts w:ascii="Times New Roman" w:hAnsi="Times New Roman"/>
          <w:sz w:val="20"/>
        </w:rPr>
      </w:pPr>
      <w:r>
        <w:rPr>
          <w:rFonts w:ascii="Times New Roman" w:hAnsi="Times New Roman"/>
          <w:sz w:val="20"/>
        </w:rPr>
        <w:t xml:space="preserve">(5) the adoption by Parent of a plan providing for its liquidation or dissolution.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or any provision of Section 13d-3 of the Exchange Act, (i) a Person or group shall not be deemed to beneficially own Voting Stock (x) subject to a stock or asset purchase agreement, merger agreement, option agreement, warrant agreement or similar agreement (or voting or option or similar agreement related thereto) until the consummation of the acquisition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Voting Stock in connection with the transactions contemplated by such agreement or (y) as a result of veto or approval rights in any joint venture agreement, shareholder agreement or other similar agreement, (ii) if any group includes one or more Permitted Holders, the issued and outstanding Voting Stock of Parent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such Parent Entity.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of Control Offer</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Change of Control Payment</w:t>
      </w:r>
      <w:r>
        <w:rPr>
          <w:rFonts w:ascii="Times New Roman" w:hAnsi="Times New Roman"/>
          <w:sz w:val="20"/>
        </w:rPr>
        <w:t xml:space="preserve">” has the meaning set forth for such term in </w:t>
      </w:r>
      <w:r>
        <w:rPr>
          <w:rFonts w:ascii="Times New Roman" w:hAnsi="Times New Roman"/>
          <w:sz w:val="20"/>
          <w:u w:val="single"/>
        </w:rPr>
        <w:t>Section 6(a)</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 Payment Date</w:t>
      </w:r>
      <w:r>
        <w:rPr>
          <w:rFonts w:ascii="Times New Roman" w:hAnsi="Times New Roman"/>
          <w:sz w:val="20"/>
        </w:rPr>
        <w:t xml:space="preserve">” has the meaning set forth for such term in </w:t>
      </w:r>
      <w:r>
        <w:rPr>
          <w:rFonts w:ascii="Times New Roman" w:hAnsi="Times New Roman"/>
          <w:sz w:val="20"/>
          <w:u w:val="single"/>
        </w:rPr>
        <w:t>Section 6(a)(2)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Change of Control Triggering Event</w:t>
      </w:r>
      <w:r>
        <w:rPr>
          <w:rFonts w:ascii="Times New Roman" w:hAnsi="Times New Roman"/>
          <w:sz w:val="20"/>
        </w:rPr>
        <w:t xml:space="preserve">” means the occurrence of both a Change of Control and a Rating Decline.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Consolidated Net Tangible Assets</w:t>
      </w:r>
      <w:r>
        <w:rPr>
          <w:rFonts w:ascii="Times New Roman" w:hAnsi="Times New Roman"/>
          <w:sz w:val="20"/>
        </w:rPr>
        <w:t>” means, at any time, the aggregate amount of assets (less applicable reserves and other properly deductible items) after deducting therefrom (1) all current liabilities (including, for the avoidance of doubt, Non-Financing Lease Obligations), except for (a) notes and loans payable, (b) current maturities of long-term debt and (c) current maturities of obligations under Financing Lease Obligations (such current liabilities referred to in this clause (1), less the items set forth in sub-clauses (a) through (c), the “</w:t>
      </w:r>
      <w:r>
        <w:rPr>
          <w:rFonts w:ascii="Times New Roman" w:hAnsi="Times New Roman"/>
          <w:sz w:val="20"/>
          <w:u w:val="single"/>
        </w:rPr>
        <w:t>Adjusted Current Liabilities</w:t>
      </w:r>
      <w:r>
        <w:rPr>
          <w:rFonts w:ascii="Times New Roman" w:hAnsi="Times New Roman"/>
          <w:sz w:val="20"/>
        </w:rPr>
        <w:t>”),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(such items referred to in this clause (2), the “</w:t>
      </w:r>
      <w:r>
        <w:rPr>
          <w:rFonts w:ascii="Times New Roman" w:hAnsi="Times New Roman"/>
          <w:sz w:val="20"/>
          <w:u w:val="single"/>
        </w:rPr>
        <w:t>Intangible Assets</w:t>
      </w:r>
      <w:r>
        <w:rPr>
          <w:rFonts w:ascii="Times New Roman" w:hAnsi="Times New Roman"/>
          <w:sz w:val="20"/>
        </w:rPr>
        <w:t xml:space="preserve">”), all as set forth on the most recent consolidated balance sheet of Parent and its Subsidiaries as of the end of the most recently ended fiscal quarter prior to the applicable date of determination for which financial statements are available; </w:t>
      </w:r>
      <w:r>
        <w:rPr>
          <w:rFonts w:ascii="Times New Roman" w:hAnsi="Times New Roman"/>
          <w:sz w:val="20"/>
          <w:u w:val="single"/>
        </w:rPr>
        <w:t>provided</w:t>
      </w:r>
      <w:r>
        <w:rPr>
          <w:rFonts w:ascii="Times New Roman" w:hAnsi="Times New Roman"/>
          <w:sz w:val="20"/>
        </w:rPr>
        <w:t xml:space="preserve"> that, for purposes of testing the covenants under the Indenture in connection with any transaction, (i) the assets and Intangible Assets of Parent and its Subsidiaries shall be adjusted to reflect any acquisitions and dispositions of assets or Intangible Assets, as the case may be, that have occurred during the period from the date of the applicable balance sheet through the applicable date of determination, including the transaction being tested under the Indenture and (ii) the Adjusted Current Liabilities of Parent and its Subsidiaries shall be adjusted to reflect any increase or decrease in Adjusted Current Liabilities as a result of such transaction being tested under the Indenture or any acquisitions or dispositions of assets that have occurred during the period from the date of the applicable balance sheet through the applicable date of determination.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Domestic Subsidiary</w:t>
      </w:r>
      <w:r>
        <w:rPr>
          <w:rFonts w:ascii="Times New Roman" w:hAnsi="Times New Roman"/>
          <w:sz w:val="20"/>
        </w:rPr>
        <w:t xml:space="preserve">” means any Subsidiary (other than a Foreign Subsidiary) that is organized or existing under the laws of the United States, any state or territory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Fitch</w:t>
      </w:r>
      <w:r>
        <w:rPr>
          <w:rFonts w:ascii="Times New Roman" w:hAnsi="Times New Roman"/>
          <w:sz w:val="20"/>
        </w:rPr>
        <w:t xml:space="preserve">” means Fitch Inc. and any successor to its rating agency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Foreign Subsidiary</w:t>
      </w:r>
      <w:r>
        <w:rPr>
          <w:rFonts w:ascii="Times New Roman" w:hAnsi="Times New Roman"/>
          <w:sz w:val="20"/>
        </w:rPr>
        <w:t xml:space="preserve">” means any Subsidiary that is not organized under the laws of the United States of America or any state or territory thereof or the District of Columbia and any Subsidiary of such Foreign Subsidiary.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H.15</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H.15 TCM</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Hedging Obligations</w:t>
      </w:r>
      <w:r>
        <w:rPr>
          <w:rFonts w:ascii="Times New Roman" w:hAnsi="Times New Roman"/>
          <w:sz w:val="20"/>
        </w:rPr>
        <w:t>” means, with respect to any Person, the obligations of such Person with respect to (1) any rate swap transactions, basis swaps, credit derivative transactions, forward rate transactions,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Intangible Assets</w:t>
      </w:r>
      <w:r>
        <w:rPr>
          <w:rFonts w:ascii="Times New Roman" w:hAnsi="Times New Roman"/>
          <w:sz w:val="20"/>
        </w:rPr>
        <w:t xml:space="preserve">” has the meaning set forth for such term in the definition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Investment Grade Rating</w:t>
      </w:r>
      <w:r>
        <w:rPr>
          <w:rFonts w:ascii="Times New Roman" w:hAnsi="Times New Roman"/>
          <w:sz w:val="20"/>
        </w:rPr>
        <w:t xml:space="preserve">” means a rating equal to or higher than Baa3 (or the equivalent) by Moody’s, BBB- (or the equivalent) by S&amp;P and BBB- (or the equivalent) by Fitch, or the equivalent investment grade credit rating from any other Rating Agency substituted for Moody’s, S&amp;P or Fitch pursuant to clause (2) of the definition of “Rating Agency.”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Investors</w:t>
      </w:r>
      <w:r>
        <w:rPr>
          <w:rFonts w:ascii="Times New Roman" w:hAnsi="Times New Roman"/>
          <w:sz w:val="20"/>
        </w:rPr>
        <w:t xml:space="preserve">” means each of (1) Michael S. Dell and his Affiliates, related estate planning and charitable trusts and vehicles and his family members, and also upon Michael S. Dell’s death, (a) any Person who was an Affiliate of Michael S. Dell that upon his death directly or indirectly owns Equity Interests in any Parent Entity of Dell, Dell or any Subsidiary and (b) Michael S. Dell’s heirs, executors and/or administrators, (2) MSDC Management L.P., its Affiliates and any funds, partnerships or other co-investment vehicles managed, advised or controlled by the foregoing or their respective Affiliates and (3) Silver Lake Partners IV, L.P., Silver Lake Technology Investors IV, L.P., Silver Lake Technology Investors V, L.P., Silver Lake Partners V DE (AIV), L.P., SL SPV-2, L.P., Silver Lake Group, L.L.C. and their Affiliates and any funds, partnerships or other co-investment vehicles managed, advised or controlled by the foregoing or their respective Affiliates, excluding, in each case, Denali Intermediate Inc. and its Subsidiaries and any portfolio companies of any of the foregoing.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Master Agreement</w:t>
      </w:r>
      <w:r>
        <w:rPr>
          <w:rFonts w:ascii="Times New Roman" w:hAnsi="Times New Roman"/>
          <w:sz w:val="20"/>
        </w:rPr>
        <w:t xml:space="preserve">” has the meaning set forth for such term in the definition of “Hedging Obligations.”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Moody’s</w:t>
      </w:r>
      <w:r>
        <w:rPr>
          <w:rFonts w:ascii="Times New Roman" w:hAnsi="Times New Roman"/>
          <w:sz w:val="20"/>
        </w:rPr>
        <w:t xml:space="preserve">” means Moody’s Investors Service, Inc. and any successor to its rating agency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Nonrecourse Obligation</w:t>
      </w:r>
      <w:r>
        <w:rPr>
          <w:rFonts w:ascii="Times New Roman" w:hAnsi="Times New Roman"/>
          <w:sz w:val="20"/>
        </w:rPr>
        <w:t xml:space="preserve">” means indebtedness or other Obligations substantially related to (1) the acquisition of assets not previously owned by Dell or any of its Subsidiaries or (2) the financing of a project involving the development or expansion of properties of Dell or any of its Subsidiaries, as to which the obligee with respect to such indebtedness or Obligation has no recourse to Dell or any of its Subsidiaries or any assets of Dell or any of its Subsidiaries other than the assets which were acquired with the proceeds of such transaction or the project financed with the proceeds of such transaction (and the proceeds thereof).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Note Guarantee</w:t>
      </w:r>
      <w:r>
        <w:rPr>
          <w:rFonts w:ascii="Times New Roman" w:hAnsi="Times New Roman"/>
          <w:sz w:val="20"/>
        </w:rPr>
        <w:t xml:space="preserve">” means any Guarantor’s Security Guarantee with respect to the Issuers’ Obligations under the Indenture and the 2037 Notes.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Par Call Date</w:t>
      </w:r>
      <w:r>
        <w:rPr>
          <w:rFonts w:ascii="Times New Roman" w:hAnsi="Times New Roman"/>
          <w:sz w:val="20"/>
        </w:rPr>
        <w:t xml:space="preserve">” has the meaning set forth for such term in Section 2(a).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Parent Entity</w:t>
      </w:r>
      <w:r>
        <w:rPr>
          <w:rFonts w:ascii="Times New Roman" w:hAnsi="Times New Roman"/>
          <w:sz w:val="20"/>
        </w:rPr>
        <w:t xml:space="preserve">” means any Person that, with respect to another Person, owns more than 50% of the total voting power of the Voting Stock entitled to vote for the election of directors of such other Person having a majority of the aggregate votes on the Board of such other Person.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Permitted Holders</w:t>
      </w:r>
      <w:r>
        <w:rPr>
          <w:rFonts w:ascii="Times New Roman" w:hAnsi="Times New Roman"/>
          <w:sz w:val="20"/>
        </w:rPr>
        <w:t xml:space="preserve">” means (1) each of the Investors and members of management of Parent and its Subsidiaries who are holders of Equity Interests of Parent on the Issue Date and any group (within the meaning of Section 13(d)(3) or Section 14(d)(2) of the Exchange Act) of which any of the foregoing or any Permitted Holder specified in the last sentence of this definition are members and any member of such group; </w:t>
      </w:r>
      <w:r>
        <w:rPr>
          <w:rFonts w:ascii="Times New Roman" w:hAnsi="Times New Roman"/>
          <w:sz w:val="20"/>
          <w:u w:val="single"/>
        </w:rPr>
        <w:t>provided</w:t>
      </w:r>
      <w:r>
        <w:rPr>
          <w:rFonts w:ascii="Times New Roman" w:hAnsi="Times New Roman"/>
          <w:sz w:val="20"/>
        </w:rPr>
        <w:t xml:space="preserve"> that, in the case of such group and any member of such group and without giving effect to the existence of such group or any other group, such Investors, members of management and Person or group specified in the last sentence of this definition, collectively, own, directly or indirectly, more than 50% of the total voting power of the Voting Stock entitled to vote for the election of directors of Parent having a majority of the aggregate votes on the Board of Parent held by such group, (2) any Permitted Parent and (3) any Permitted Plan. Any Person or group (within the meaning of Section 13(d)(3) or Section 14(d)(2) of the Exchange Act) whose acquisition of beneficial ownership or assets or properties of Parent constitutes a Change of Control Triggering Event in respect of which a Change of Control Offer is made in accordance with the requirements of the Indenture will thereafter, together with its Affiliates, constitute an additional Permitted Holder.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in effect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(2) Liens securing Obligations in respect of 2037 Notes outstanding on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(3) Liens existing on property at the time of its acquisition (by a merger, consolidation or amalgamation or otherwise) or existing on the property or shares of stock or other assets of any Person at the time such Person becomes a Subsidiary (whether or not such existing Liens thereon were given to secure the payment of all or any part of the purchase price thereof); </w:t>
      </w:r>
    </w:p>
    <w:p>
      <w:pPr>
        <w:pStyle w:val="TextBody"/>
        <w:bidi w:val="0"/>
        <w:spacing w:before="120" w:after="0"/>
        <w:jc w:val="left"/>
        <w:rPr>
          <w:rFonts w:ascii="Times New Roman" w:hAnsi="Times New Roman"/>
          <w:sz w:val="20"/>
        </w:rPr>
      </w:pPr>
      <w:r>
        <w:rPr>
          <w:rFonts w:ascii="Times New Roman" w:hAnsi="Times New Roman"/>
          <w:sz w:val="20"/>
        </w:rPr>
        <w:t xml:space="preserve">(4) Liens on goods the purchase price of which is financed by a documentary letter of credit issued for the account of Parent or any of its Subsidiaries or Liens on bills of lading, drafts or other documents of title arising by operation of law or pursuant to the standard terms of agreements relating to letters of credit, bank guarantees and other similar instruments and specific items of inventory or other goods and proceeds of Parent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securing Parent’s or such Subsidiary’s accounts payable or similar trade obligations in respect of bankers’ acceptances or documentary or trade letters of credit issued or created for the account of Parent or such Subsidiary to facilitate the purchase, shipment or storage of such inventory or other goods; </w:t>
      </w:r>
    </w:p>
    <w:p>
      <w:pPr>
        <w:pStyle w:val="TextBody"/>
        <w:bidi w:val="0"/>
        <w:spacing w:before="120" w:after="0"/>
        <w:jc w:val="left"/>
        <w:rPr>
          <w:rFonts w:ascii="Times New Roman" w:hAnsi="Times New Roman"/>
          <w:sz w:val="20"/>
        </w:rPr>
      </w:pPr>
      <w:r>
        <w:rPr>
          <w:rFonts w:ascii="Times New Roman" w:hAnsi="Times New Roman"/>
          <w:sz w:val="20"/>
        </w:rPr>
        <w:t xml:space="preserve">(5) (a) rights of set-off, banker’s liens, netting agreements and other Liens arising by operation of law or by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 (b) Liens securing obligations under letters of credit or (c) Liens securing, or otherwise arising from, judgements; </w:t>
      </w:r>
    </w:p>
    <w:p>
      <w:pPr>
        <w:pStyle w:val="TextBody"/>
        <w:bidi w:val="0"/>
        <w:spacing w:before="120" w:after="0"/>
        <w:jc w:val="left"/>
        <w:rPr>
          <w:rFonts w:ascii="Times New Roman" w:hAnsi="Times New Roman"/>
          <w:sz w:val="20"/>
        </w:rPr>
      </w:pPr>
      <w:r>
        <w:rPr>
          <w:rFonts w:ascii="Times New Roman" w:hAnsi="Times New Roman"/>
          <w:sz w:val="20"/>
        </w:rPr>
        <w:t xml:space="preserve">(6) Liens arising from Uniform Commercial Code financing statements, including precautionary financing statements, or any similar filings made in respect of Non-Financing Lease Obligations or consignments entered into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(7) Liens securing Hedging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(8) Liens on property or assets used to defease or to irrevocably satisfy and discharge indebtedness; </w:t>
      </w:r>
    </w:p>
    <w:p>
      <w:pPr>
        <w:pStyle w:val="TextBody"/>
        <w:bidi w:val="0"/>
        <w:spacing w:before="120" w:after="0"/>
        <w:jc w:val="left"/>
        <w:rPr>
          <w:rFonts w:ascii="Times New Roman" w:hAnsi="Times New Roman"/>
          <w:sz w:val="20"/>
        </w:rPr>
      </w:pPr>
      <w:r>
        <w:rPr>
          <w:rFonts w:ascii="Times New Roman" w:hAnsi="Times New Roman"/>
          <w:sz w:val="20"/>
        </w:rPr>
        <w:t xml:space="preserve">(9) Liens created in connection with a project financed with, and created to secure, a Nonrecourse Obligation; </w:t>
      </w:r>
    </w:p>
    <w:p>
      <w:pPr>
        <w:pStyle w:val="TextBody"/>
        <w:bidi w:val="0"/>
        <w:spacing w:before="120" w:after="0"/>
        <w:jc w:val="left"/>
        <w:rPr>
          <w:rFonts w:ascii="Times New Roman" w:hAnsi="Times New Roman"/>
          <w:sz w:val="20"/>
        </w:rPr>
      </w:pPr>
      <w:r>
        <w:rPr>
          <w:rFonts w:ascii="Times New Roman" w:hAnsi="Times New Roman"/>
          <w:sz w:val="20"/>
        </w:rPr>
        <w:t xml:space="preserve">(10) Liens relating to future escrow arrangements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(11) Liens solely on any cash earnest money deposits made by Parent or any of its Subsidiaries in connection with any letter of intent or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(12) Liens to secure any indebtedness (including Financing Lease Obligations) incurred to finance the purchase, lease, construction, installation, replacement, repair or improvement of property (real or personal), equipment or any other asset, whether through the direct purchase of assets or the Capital Stock of any Person owning such assets, so long as such indebtedness exists at the date of such purchase, lease or improvement or is created within 24 months thereafter; </w:t>
      </w:r>
      <w:r>
        <w:rPr>
          <w:rFonts w:ascii="Times New Roman" w:hAnsi="Times New Roman"/>
          <w:sz w:val="20"/>
          <w:u w:val="single"/>
        </w:rPr>
        <w:t>provided</w:t>
      </w:r>
      <w:r>
        <w:rPr>
          <w:rFonts w:ascii="Times New Roman" w:hAnsi="Times New Roman"/>
          <w:sz w:val="20"/>
        </w:rPr>
        <w:t xml:space="preserve"> that Liens securing indebtedness permitted to be incurred pursuant to this clause (12) extend only to the assets purchased with the proceeds of such indebtedness, accessions to such assets and the proceeds and products thereof, any lease of such assets (including accessions thereto) and the proceeds and products thereof and customary security deposits in respect thereof; </w:t>
      </w:r>
      <w:r>
        <w:rPr>
          <w:rFonts w:ascii="Times New Roman" w:hAnsi="Times New Roman"/>
          <w:sz w:val="20"/>
          <w:u w:val="single"/>
        </w:rPr>
        <w:t>provided</w:t>
      </w:r>
      <w:r>
        <w:rPr>
          <w:rFonts w:ascii="Times New Roman" w:hAnsi="Times New Roman"/>
          <w:sz w:val="20"/>
        </w:rPr>
        <w:t xml:space="preserve">, however, that individual financings of equipment provided by one lender may be cross collateralized to other financings of equipment provided by such lender; </w:t>
      </w:r>
    </w:p>
    <w:p>
      <w:pPr>
        <w:pStyle w:val="TextBody"/>
        <w:bidi w:val="0"/>
        <w:spacing w:before="120" w:after="0"/>
        <w:jc w:val="left"/>
        <w:rPr>
          <w:rFonts w:ascii="Times New Roman" w:hAnsi="Times New Roman"/>
          <w:sz w:val="20"/>
        </w:rPr>
      </w:pPr>
      <w:r>
        <w:rPr>
          <w:rFonts w:ascii="Times New Roman" w:hAnsi="Times New Roman"/>
          <w:sz w:val="20"/>
        </w:rPr>
        <w:t xml:space="preserve">(13) Liens in favor of Parent or any of its Subsidiaries or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(14) Liens to secure any modification, refinancing, refunding, extension, renewal or replacement (or successive refinancing, refunding, extensions, renewals or replacements) as a whole, or in part, of any indebtedness secured by any Lien referred to in this definition of “Permitted Liens” (including any accrued but unpaid interest thereon and any dividend, premium (including tender premiums), defeasance costs, underwriting discounts and any fees, costs and expenses (including original issue discount, upfront fees or similar fees) incurred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such modification, refinancing, refunding, extension, renewal or replacement); provided, however, that such new Lien shall be limited to all or part of the same property that secured the original Lien (plus accessions, additions and improvements on such property, including after-acquired property that is (a) affixed or incorporated into the property covered by such Lien, (b)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definition, (i) a Lien need not be incurred solely by reference to one category of Permitted Liens described in this definition but is permitted to be incurred in part under any combination thereof and of any other available exemption and (ii) in the event that a Lien (or any portion thereof) meets the criteria of one or more of the categories of Permitted Liens, the Issuers shall, in their sole discretion, classify or reclassify such Lien (or any portion thereof) in any manner that complies with this definition.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the term “indebtedness” shall be deemed to include interest on such indebtedness.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Permitted Parent</w:t>
      </w:r>
      <w:r>
        <w:rPr>
          <w:rFonts w:ascii="Times New Roman" w:hAnsi="Times New Roman"/>
          <w:sz w:val="20"/>
        </w:rPr>
        <w:t xml:space="preserve">” means any Parent Entity that at the time it became a Parent Entity of Parent was a Permitted Holder pursuant to clause (1) of the definition thereof and was not formed in connection with, or in contemplation of, a transaction that would otherwise constitute a Change of Control.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Permitted Plan</w:t>
      </w:r>
      <w:r>
        <w:rPr>
          <w:rFonts w:ascii="Times New Roman" w:hAnsi="Times New Roman"/>
          <w:sz w:val="20"/>
        </w:rPr>
        <w:t xml:space="preserve">” means any employee benefits plan of Parent or its Affiliates and any Person acting in its capacity as trustee, agent or other fiduciary or administrator of any such plan.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Principal Property</w:t>
      </w:r>
      <w:r>
        <w:rPr>
          <w:rFonts w:ascii="Times New Roman" w:hAnsi="Times New Roman"/>
          <w:sz w:val="20"/>
        </w:rPr>
        <w:t xml:space="preserve">” means the land, land improvements, buildings and fixtures (to the extent they constitute real property interests) (including any leasehold interest therein) constituting the principal corporate office, any manufacturing plant or any manufacturing facility (whether now owned or hereafter acquired) and the equipment located thereon which (a) is owned by the Issuers or any of its Subsidiaries; (b) has not been determined in good faith by the Board of the Issuers not to be materially important to the total business conducted by the Issuers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 plant or facilities, as the case may be).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Rating Agency</w:t>
      </w:r>
      <w:r>
        <w:rPr>
          <w:rFonts w:ascii="Times New Roman" w:hAnsi="Times New Roman"/>
          <w:sz w:val="20"/>
        </w:rPr>
        <w:t xml:space="preserve">” means (1) S&amp;P, Moody’s and Fitch or (2) if S&amp;P, Moody’s or Fitch or each of them shall not make a corporate rating with respect to the Issuers (or any Guarantor) or a rating on the 2037 Notes publicly available, a nationally recognized statistical rating agency or agencies, as the case may be, selected by Parent, which shall be substituted for any or all of S&amp;P, Moody’s or Fitch, as the case may be, with respect to such corporate rating or the rating of the 2037 Notes, as the case may be.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Rating Decline</w:t>
      </w:r>
      <w:r>
        <w:rPr>
          <w:rFonts w:ascii="Times New Roman" w:hAnsi="Times New Roman"/>
          <w:sz w:val="20"/>
        </w:rPr>
        <w:t xml:space="preserve">” means the occurrence of a decrease in the rating of the 2037 Notes by one or more gradations by any two of three Rating Agencies (including gradations within the rating categories, as well as between categories), within 60 days after the earliest of (x) a Change of Control, (y) the date of public notice of the occurrence of a Change of Control and (z) public notice of the intention of Parent to effect a Change of Control (which 60-day period shall be extended so long as the rating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2037 Notes is under publicly announced ratings review for possible downgrade by either of such two Rating Agencies, it being understood that a change in ratings outlook shall not extend such 60-day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each of such two Rating Agencies making the reduction in rating to which this definition would otherwise apply announces or publicly confirms or informs the Trustee in writing at Parent’s or its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a Rating Decline shall not be deemed to have occurred so long as the 2037 Notes have an Investment Grade Rating from at least two of three Rating Agencies.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responsible for monitoring, or charged with knowledge of, the ratings of the 2037 Notes.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Remaining Life</w:t>
      </w:r>
      <w:r>
        <w:rPr>
          <w:rFonts w:ascii="Times New Roman" w:hAnsi="Times New Roman"/>
          <w:sz w:val="20"/>
        </w:rPr>
        <w:t xml:space="preserve">” has the meaning set forth for such term in the definition of “Treasury Rate.”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Subsidiary</w:t>
      </w:r>
      <w:r>
        <w:rPr>
          <w:rFonts w:ascii="Times New Roman" w:hAnsi="Times New Roman"/>
          <w:sz w:val="20"/>
        </w:rPr>
        <w:t xml:space="preserve">” means (1) any Subsidiary of an Issuer that (a) is a Wholly-Owned Subsidiary, (b) is a Domestic Subsidiary and (c) directly owns or directly leases any Principal Property and (2) any other Subsidiary that the Board of any Issuer may designate as a Restricted Subsidiary; </w:t>
      </w:r>
      <w:r>
        <w:rPr>
          <w:rFonts w:ascii="Times New Roman" w:hAnsi="Times New Roman"/>
          <w:sz w:val="20"/>
          <w:u w:val="single"/>
        </w:rPr>
        <w:t>provided</w:t>
      </w:r>
      <w:r>
        <w:rPr>
          <w:rFonts w:ascii="Times New Roman" w:hAnsi="Times New Roman"/>
          <w:sz w:val="20"/>
        </w:rPr>
        <w:t xml:space="preserve"> that “Restricted Subsidiary” shall not include Dell Financial Services L.L.C. or any other Subsidiary that is principally engaged in financing receivables, securitization transactions, factoring or other similar transactions.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S&amp;P</w:t>
      </w:r>
      <w:r>
        <w:rPr>
          <w:rFonts w:ascii="Times New Roman" w:hAnsi="Times New Roman"/>
          <w:sz w:val="20"/>
        </w:rPr>
        <w:t xml:space="preserve">” means S&amp;P Global Ratings Inc. and any successor to its rating agency business.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Sale and Lease-Back Transaction</w:t>
      </w:r>
      <w:r>
        <w:rPr>
          <w:rFonts w:ascii="Times New Roman" w:hAnsi="Times New Roman"/>
          <w:sz w:val="20"/>
        </w:rPr>
        <w:t xml:space="preserve">” means any arrangement with any Person providing for the leasing by an Issuer or any of its Restricted Subsidiaries of any Principal Property, which property has been or is to be sold or transferred by such Issuer or such Restricted Subsidiary to such Person, other than (1) any such transaction involving a lease for a term of not more than three years, (2) any such transaction between any Issuer and any Subsidiary of any Issuer or between Subsidiaries of any Issuer, (3) any such transaction executed by the time of or within 365 days after the latest of the acquisition, the completion of construction or improvement or the commencement of commercial operation of such Principal Property or (4) any such transaction entered into before the Issue Date or entered into by a Restricted Subsidiary before the time it became a Restricted Subsidiary.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Second Change of Control Payment Date</w:t>
      </w:r>
      <w:r>
        <w:rPr>
          <w:rFonts w:ascii="Times New Roman" w:hAnsi="Times New Roman"/>
          <w:sz w:val="20"/>
        </w:rPr>
        <w:t xml:space="preserve">” has the meaning set forth for such term in </w:t>
      </w:r>
      <w:r>
        <w:rPr>
          <w:rFonts w:ascii="Times New Roman" w:hAnsi="Times New Roman"/>
          <w:sz w:val="20"/>
          <w:u w:val="single"/>
        </w:rPr>
        <w:t>Section 6(d)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Issuers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 xml:space="preserve">(1) The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Issuers shall select, as applicable: (1) the yield for the Treasury constant maturity on H.15 exactly equal to the period from the Redemption Date to the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Voting Stock</w:t>
      </w:r>
      <w:r>
        <w:rPr>
          <w:rFonts w:ascii="Times New Roman" w:hAnsi="Times New Roman"/>
          <w:sz w:val="20"/>
        </w:rPr>
        <w:t xml:space="preserve">” of any Person as of any date means the Capital Stock of such Person that is at the time entitled to vote in the election of the Board of such Person. </w:t>
      </w:r>
    </w:p>
    <w:p>
      <w:pPr>
        <w:pStyle w:val="TextBody"/>
        <w:bidi w:val="0"/>
        <w:spacing w:before="360" w:after="0"/>
        <w:jc w:val="left"/>
        <w:rPr>
          <w:rFonts w:ascii="Times New Roman" w:hAnsi="Times New Roman"/>
          <w:sz w:val="20"/>
        </w:rPr>
      </w:pPr>
      <w:r>
        <w:rPr>
          <w:rFonts w:ascii="Times New Roman" w:hAnsi="Times New Roman"/>
          <w:sz w:val="20"/>
        </w:rPr>
        <w:t>Section 4. </w:t>
      </w:r>
      <w:r>
        <w:rPr>
          <w:rFonts w:ascii="Times New Roman" w:hAnsi="Times New Roman"/>
          <w:sz w:val="20"/>
          <w:u w:val="single"/>
        </w:rPr>
        <w:t>Sale and Lease-Back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Issuers shall not, and shall not permit any of their Restricted Subsidiaries to, enter into any Sale and Lease-Back Transaction with respect to any Principal Property unless (a) the Issuers or such Restricted Subsidiary would be entitled to incur indebtedness secured by a Lien on the Principal Property involved in such transaction at least equal in amount to the Attributable Indebtedness with respect to such Sale and Lease-Back Transaction without equally and ratably securing the 2037 Notes pursuant to </w:t>
      </w:r>
      <w:r>
        <w:rPr>
          <w:rFonts w:ascii="Times New Roman" w:hAnsi="Times New Roman"/>
          <w:sz w:val="20"/>
          <w:u w:val="single"/>
        </w:rPr>
        <w:t>Section 5(a)</w:t>
      </w:r>
      <w:r>
        <w:rPr>
          <w:rFonts w:ascii="Times New Roman" w:hAnsi="Times New Roman"/>
          <w:sz w:val="20"/>
        </w:rPr>
        <w:t xml:space="preserve"> hereof, or (b) the Issuers shall apply an amount equal to the net proceeds of the Attributable Indebtedness with respect to such Sale and Lease-Back Transaction within 365 days after such Sale and Lease-Back Transaction to the defeasance or retirement of any 2037 Notes or other indebtedness of the Issuers or a Restricted Subsidiary or to the purchase, construction or development of other assets or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foregoing, the Issuers and their Restricted Subsidiaries may enter into any Sale and Lease-Back Transaction which would otherwise be prohibited by </w:t>
      </w:r>
      <w:r>
        <w:rPr>
          <w:rFonts w:ascii="Times New Roman" w:hAnsi="Times New Roman"/>
          <w:sz w:val="20"/>
          <w:u w:val="single"/>
        </w:rPr>
        <w:t>Section 4(a)</w:t>
      </w:r>
      <w:r>
        <w:rPr>
          <w:rFonts w:ascii="Times New Roman" w:hAnsi="Times New Roman"/>
          <w:sz w:val="20"/>
        </w:rPr>
        <w:t xml:space="preserve"> hereof if, after giving effect thereto and at the time of determination, Aggregate Debt does not exceed at any one time outstanding the greater of (x) $4,300.0 million and (y) 15% of Consolidated Net Tangible Assets. </w:t>
      </w:r>
    </w:p>
    <w:p>
      <w:pPr>
        <w:pStyle w:val="TextBody"/>
        <w:bidi w:val="0"/>
        <w:spacing w:before="360" w:after="0"/>
        <w:jc w:val="left"/>
        <w:rPr>
          <w:rFonts w:ascii="Times New Roman" w:hAnsi="Times New Roman"/>
          <w:sz w:val="20"/>
        </w:rPr>
      </w:pPr>
      <w:r>
        <w:rPr>
          <w:rFonts w:ascii="Times New Roman" w:hAnsi="Times New Roman"/>
          <w:sz w:val="20"/>
        </w:rPr>
        <w:t>Section 5. </w:t>
      </w:r>
      <w:r>
        <w:rPr>
          <w:rFonts w:ascii="Times New Roman" w:hAnsi="Times New Roman"/>
          <w:sz w:val="20"/>
          <w:u w:val="single"/>
        </w:rPr>
        <w:t>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Issuers shall not, and shall not permit any of their Restricted Subsidiaries to, directly or indirectly, create, incur or assume any Lien (except Permitted Liens) on any of their or any Restricted Subsidiary’s Principal Property (whether such Principal Property is now existing or owned or hereafter created or acquired) that secures indebtedness for borrowed money, unless the 2037 Notes are equally and ratably secured with (or, at an Issuer’s option, on a senior basis to) the indebtedness so secured.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5(a)</w:t>
      </w:r>
      <w:r>
        <w:rPr>
          <w:rFonts w:ascii="Times New Roman" w:hAnsi="Times New Roman"/>
          <w:sz w:val="20"/>
        </w:rPr>
        <w:t xml:space="preserve"> hereof, the Issuers and their Restricted Subsidiaries may, without equally and ratably securing the 2037 Notes, create, incur or assume any Lien which would otherwise be prohibited by </w:t>
      </w:r>
      <w:r>
        <w:rPr>
          <w:rFonts w:ascii="Times New Roman" w:hAnsi="Times New Roman"/>
          <w:sz w:val="20"/>
          <w:u w:val="single"/>
        </w:rPr>
        <w:t>Section 5(a)</w:t>
      </w:r>
      <w:r>
        <w:rPr>
          <w:rFonts w:ascii="Times New Roman" w:hAnsi="Times New Roman"/>
          <w:sz w:val="20"/>
        </w:rPr>
        <w:t xml:space="preserve"> hereof if, after giving effect thereto and at the time of determination, Aggregate Debt of the Issuers and their Restricted Subsidiaries secured by Liens on any of their respective Principal Properties does not exceed at any one time outstanding the greater of (x) $4,300.0 million and (y) 15% of Consolidated Net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(c) Any Lien created for the benefit of the Holders of any 2037 Notes pursuant to </w:t>
      </w:r>
      <w:r>
        <w:rPr>
          <w:rFonts w:ascii="Times New Roman" w:hAnsi="Times New Roman"/>
          <w:sz w:val="20"/>
          <w:u w:val="single"/>
        </w:rPr>
        <w:t>Section 5(a)</w:t>
      </w:r>
      <w:r>
        <w:rPr>
          <w:rFonts w:ascii="Times New Roman" w:hAnsi="Times New Roman"/>
          <w:sz w:val="20"/>
        </w:rPr>
        <w:t xml:space="preserve"> hereof shall provide by its terms that such Lien shall be automatically and unconditionally released and discharged upon the release and discharge of the Lien that gave rise to the obligation to secure the 2037 Notes. </w:t>
      </w:r>
    </w:p>
    <w:p>
      <w:pPr>
        <w:pStyle w:val="TextBody"/>
        <w:bidi w:val="0"/>
        <w:spacing w:before="360" w:after="0"/>
        <w:jc w:val="left"/>
        <w:rPr>
          <w:rFonts w:ascii="Times New Roman" w:hAnsi="Times New Roman"/>
          <w:sz w:val="20"/>
        </w:rPr>
      </w:pPr>
      <w:r>
        <w:rPr>
          <w:rFonts w:ascii="Times New Roman" w:hAnsi="Times New Roman"/>
          <w:sz w:val="20"/>
        </w:rPr>
        <w:t>Section 6. </w:t>
      </w:r>
      <w:r>
        <w:rPr>
          <w:rFonts w:ascii="Times New Roman" w:hAnsi="Times New Roman"/>
          <w:sz w:val="20"/>
          <w:u w:val="single"/>
        </w:rPr>
        <w:t>Change of Control Triggering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 Change of Control Triggering Event occurs, unless, prior to or concurrently with the time the Issuers are required to make a Change of Control Offer, the Issuers have mailed or delivered, or otherwise sent through electronic transmission, a redemption notice with respect to all the outstanding 2037 Notes pursuant to the optional redemption terms set forth in the Officer’s Certificate, supplemental indenture or resolutions of the Issuers’ Boards, as applicable, governing the 2037 Notes or pursuant to Section 11.01 of the Base Indenture, the Issuers shall make an offer to purchase all of the 2037 Notes pursuant to the offer described below (the “</w:t>
      </w:r>
      <w:r>
        <w:rPr>
          <w:rFonts w:ascii="Times New Roman" w:hAnsi="Times New Roman"/>
          <w:sz w:val="20"/>
          <w:u w:val="single"/>
        </w:rPr>
        <w:t>Change of Control Offer</w:t>
      </w:r>
      <w:r>
        <w:rPr>
          <w:rFonts w:ascii="Times New Roman" w:hAnsi="Times New Roman"/>
          <w:sz w:val="20"/>
        </w:rPr>
        <w:t>”) at a price in cash equal to 101% of the aggregate principal amount thereof (or such higher amount as the Issuers may determine (any Change of Control Offer at a higher amount, an “</w:t>
      </w:r>
      <w:r>
        <w:rPr>
          <w:rFonts w:ascii="Times New Roman" w:hAnsi="Times New Roman"/>
          <w:sz w:val="20"/>
          <w:u w:val="single"/>
        </w:rPr>
        <w:t>Alternate Offer</w:t>
      </w:r>
      <w:r>
        <w:rPr>
          <w:rFonts w:ascii="Times New Roman" w:hAnsi="Times New Roman"/>
          <w:sz w:val="20"/>
        </w:rPr>
        <w:t>”)) (such price, the “</w:t>
      </w:r>
      <w:r>
        <w:rPr>
          <w:rFonts w:ascii="Times New Roman" w:hAnsi="Times New Roman"/>
          <w:sz w:val="20"/>
          <w:u w:val="single"/>
        </w:rPr>
        <w:t>Change of Control Payment</w:t>
      </w:r>
      <w:r>
        <w:rPr>
          <w:rFonts w:ascii="Times New Roman" w:hAnsi="Times New Roman"/>
          <w:sz w:val="20"/>
        </w:rPr>
        <w:t xml:space="preserve">”) plus accrued and unpaid interest, if any, to, but excluding the date of purchase, subject to the right of Holders of record on the relevant Record Date to receive interest due on the relevant Interest Payment Date falling on or prior to the Change of Control Payment Date. Within 30 days following any Change of Control Triggering Event, the Issuers shall send notice of such Change of Control Offer by electronic delivery or first-class mail, with a copy to the Trustee, to each Holder of the 2037 Notes to the address of such Holder appearing in the security register or otherwise in accordance with the procedures of DTC,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w:t>
      </w:r>
      <w:r>
        <w:rPr>
          <w:rFonts w:ascii="Times New Roman" w:hAnsi="Times New Roman"/>
          <w:sz w:val="20"/>
          <w:u w:val="single"/>
        </w:rPr>
        <w:t>Section 6</w:t>
      </w:r>
      <w:r>
        <w:rPr>
          <w:rFonts w:ascii="Times New Roman" w:hAnsi="Times New Roman"/>
          <w:sz w:val="20"/>
        </w:rPr>
        <w:t xml:space="preserve"> and that all 2037 Notes properly tendered pursuant to such Change of Control Offer will be accepted for payment by the Issuers;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purchase price and the purchase date, which will be no earlier than 20 Business Days and no later than 60 days from the date such notice is sent (the “</w:t>
      </w:r>
      <w:r>
        <w:rPr>
          <w:rFonts w:ascii="Times New Roman" w:hAnsi="Times New Roman"/>
          <w:sz w:val="20"/>
          <w:u w:val="single"/>
        </w:rPr>
        <w:t>Change of Control Payment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Change of Control Payment Date may be delayed, in the Issuers’ discretion, until such time (including more than 60 days after the date such notice is sent) as any or all such conditions referred to in clause (7) below shall be satisfied or waived; </w:t>
      </w:r>
    </w:p>
    <w:p>
      <w:pPr>
        <w:pStyle w:val="TextBody"/>
        <w:bidi w:val="0"/>
        <w:spacing w:before="120" w:after="0"/>
        <w:jc w:val="left"/>
        <w:rPr>
          <w:rFonts w:ascii="Times New Roman" w:hAnsi="Times New Roman"/>
          <w:sz w:val="20"/>
        </w:rPr>
      </w:pPr>
      <w:r>
        <w:rPr>
          <w:rFonts w:ascii="Times New Roman" w:hAnsi="Times New Roman"/>
          <w:sz w:val="20"/>
        </w:rPr>
        <w:t xml:space="preserve">(3) that any 2037 Note not properly tendered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Issuers default in the payment of the Change of Control Payment plus accrued and unpaid interest on all properly tendered 2037 Notes, all 2037 Notes accepted for payment pursuant to the Change of Control Offer will cease to accrue interest on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any 2037 Notes purchased pursuant to a Change of Control Offer will be required to surrender such 2037 Notes, with the form entitled “Option of Holder to Elect Purchase” on the reverse of such 2037 Notes completed or otherwise in accordance with the procedures of DTC, to the Paying Agent specified in the notice at the address specified in the notice prior to the close of business on the third (3rd) Business Day preceding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if less than all of such Holder’s 2037 Notes are tendered for purchase, such Holder will be issued new 2037 Notes (or, in the case of Global Securities, such 2037 Notes shall be reduced by such amount of Securities that the Holder has tendered) and such new 2037 Notes will be equal in aggregate principal amount to the unpurchased portion of the 2037 Notes surrendered (the unpurchased portion of the 2037 Notes must be equal to $2,000 or an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(7) if such notice is sent prior to the occurrence of a Change of Control Triggering Event, stating that the Change of Control Offer is conditional on the occurrence of such Change of Control Triggering Event or such other conditions specified therein and describing each such condition, and, if applicable, stating that, in the Issuers’ discretion, the Change of Control Payment Date may be delayed until such time as any or all such conditions shall be satisfied or waived (including more than 60 days after the notice is mailed or delivered), or that such purchase may not occur and such notice may be rescinded in the event that the Issuers reasonably believe that any or all such conditions (including the occurrence of the Change of Control Triggering Event) will not be satisfied or waived by the Change of Control Payment Date, or by the Change of Control Payment Date as so delayed; and </w:t>
      </w:r>
    </w:p>
    <w:p>
      <w:pPr>
        <w:pStyle w:val="TextBody"/>
        <w:bidi w:val="0"/>
        <w:spacing w:before="120" w:after="0"/>
        <w:jc w:val="left"/>
        <w:rPr>
          <w:rFonts w:ascii="Times New Roman" w:hAnsi="Times New Roman"/>
          <w:sz w:val="20"/>
        </w:rPr>
      </w:pPr>
      <w:r>
        <w:rPr>
          <w:rFonts w:ascii="Times New Roman" w:hAnsi="Times New Roman"/>
          <w:sz w:val="20"/>
        </w:rPr>
        <w:t xml:space="preserve">(8) the other instructions, as determined by the Issuers, consistent with this </w:t>
      </w:r>
      <w:r>
        <w:rPr>
          <w:rFonts w:ascii="Times New Roman" w:hAnsi="Times New Roman"/>
          <w:sz w:val="20"/>
          <w:u w:val="single"/>
        </w:rPr>
        <w:t>Section 6</w:t>
      </w:r>
      <w:r>
        <w:rPr>
          <w:rFonts w:ascii="Times New Roman" w:hAnsi="Times New Roman"/>
          <w:sz w:val="20"/>
        </w:rPr>
        <w:t xml:space="preserve">, that a Holder must follow. </w:t>
      </w:r>
    </w:p>
    <w:p>
      <w:pPr>
        <w:pStyle w:val="TextBody"/>
        <w:bidi w:val="0"/>
        <w:spacing w:before="240" w:after="0"/>
        <w:jc w:val="left"/>
        <w:rPr>
          <w:rFonts w:ascii="Times New Roman" w:hAnsi="Times New Roman"/>
          <w:sz w:val="20"/>
        </w:rPr>
      </w:pPr>
      <w:r>
        <w:rPr>
          <w:rFonts w:ascii="Times New Roman" w:hAnsi="Times New Roman"/>
          <w:sz w:val="20"/>
        </w:rPr>
        <w:t xml:space="preserve">While the 2037 Notes are in global form and the Issuers make an offer to purchase all of the 2037 Notes pursuant to the Change of Control Offer, a Holder of such 2037 Notes may exercise its option to elect for the purchase of the 2037 Notes through the facilities of DTC, subject to its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Issuers shall comply with the requirements of Rule 14e-1 under the Exchange Act and any other securities laws and regulations thereunder to the extent such laws or regulations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in connection with the repurchase of 2037 Notes pursuant to a Change of Control Offer (including, for the avoidance of doubt, an Alternate Offer). To the extent that the provisions of any securities laws or regulations conflict with the provisions of this </w:t>
      </w:r>
      <w:r>
        <w:rPr>
          <w:rFonts w:ascii="Times New Roman" w:hAnsi="Times New Roman"/>
          <w:sz w:val="20"/>
          <w:u w:val="single"/>
        </w:rPr>
        <w:t>Section 6</w:t>
      </w:r>
      <w:r>
        <w:rPr>
          <w:rFonts w:ascii="Times New Roman" w:hAnsi="Times New Roman"/>
          <w:sz w:val="20"/>
        </w:rPr>
        <w:t xml:space="preserve">, the Issuers shall comply with the applicable securities laws and regulations and shall not be deemed to have breached its obligations under this </w:t>
      </w:r>
      <w:r>
        <w:rPr>
          <w:rFonts w:ascii="Times New Roman" w:hAnsi="Times New Roman"/>
          <w:sz w:val="20"/>
          <w:u w:val="single"/>
        </w:rPr>
        <w:t>Section 6</w:t>
      </w:r>
      <w:r>
        <w:rPr>
          <w:rFonts w:ascii="Times New Roman" w:hAnsi="Times New Roman"/>
          <w:sz w:val="20"/>
        </w:rPr>
        <w:t xml:space="preserv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(b) On the Change of Control Payment Date, the Issuers shall,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2037 Notes issued by them or portions thereof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2037 Notes or portions thereof so tendered, plus accrued and unpaid interest thereon,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for cancellation the 2037 Notes so accepted together with an Officer’s Certificate to the Trustee stating that such 2037 Notes or portions thereof have been tendered to and purchased by the Issuers. </w:t>
      </w:r>
    </w:p>
    <w:p>
      <w:pPr>
        <w:pStyle w:val="TextBody"/>
        <w:bidi w:val="0"/>
        <w:spacing w:before="240" w:after="0"/>
        <w:jc w:val="left"/>
        <w:rPr>
          <w:rFonts w:ascii="Times New Roman" w:hAnsi="Times New Roman"/>
          <w:sz w:val="20"/>
        </w:rPr>
      </w:pPr>
      <w:r>
        <w:rPr>
          <w:rFonts w:ascii="Times New Roman" w:hAnsi="Times New Roman"/>
          <w:sz w:val="20"/>
        </w:rPr>
        <w:t xml:space="preserve">(c) The Issuers shall not be required to make a Change of Control Offer if a third party makes the Change of Control Offer (including, for the avoidance of doubt, an Alternate Offer) in the manner, at the times and otherwise in compliance with the requirements set forth in this </w:t>
      </w:r>
      <w:r>
        <w:rPr>
          <w:rFonts w:ascii="Times New Roman" w:hAnsi="Times New Roman"/>
          <w:sz w:val="20"/>
          <w:u w:val="single"/>
        </w:rPr>
        <w:t>Section 6</w:t>
      </w:r>
      <w:r>
        <w:rPr>
          <w:rFonts w:ascii="Times New Roman" w:hAnsi="Times New Roman"/>
          <w:sz w:val="20"/>
        </w:rPr>
        <w:t xml:space="preserve"> applicable to a Change of Control Offer made by the Issuers and purchases all 2037 Notes validly tendered and not withdrawn under such Change of Control Offer. Notwithstanding anything to the contrary herein, a Change of Control Offer (including, for the avoidance of doubt, an Alternate Offer) may be made in advance of a Change of Control Triggering Event, conditional upon such Change of Control Triggering Event or such other conditions specified therein, if a definitive agreement is in place for the Change of Control at the time of making of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(d) If Holders of not less than 90% in aggregate principal amount of the outstanding 2037 Notes validly tender and do not withdraw such 2037 Notes in a Change of Control Offer and the Issuers, or any third party making a Change of Control Offer in lieu of the Issuers as set forth in clause (c) of this </w:t>
      </w:r>
      <w:r>
        <w:rPr>
          <w:rFonts w:ascii="Times New Roman" w:hAnsi="Times New Roman"/>
          <w:sz w:val="20"/>
          <w:u w:val="single"/>
        </w:rPr>
        <w:t>Section 6</w:t>
      </w:r>
      <w:r>
        <w:rPr>
          <w:rFonts w:ascii="Times New Roman" w:hAnsi="Times New Roman"/>
          <w:sz w:val="20"/>
        </w:rPr>
        <w:t xml:space="preserve">, purchases all of the 2037 Notes that have been validly tendered and not withdrawn by such Holders, the Issuers or such third party shall have the right, upon not less than 10 nor more than 60 days’ prior notice, given not more than 30 days following such purchase pursuant to the Change of Control Offer as set forth in this </w:t>
      </w:r>
      <w:r>
        <w:rPr>
          <w:rFonts w:ascii="Times New Roman" w:hAnsi="Times New Roman"/>
          <w:sz w:val="20"/>
          <w:u w:val="single"/>
        </w:rPr>
        <w:t>Section 6</w:t>
      </w:r>
      <w:r>
        <w:rPr>
          <w:rFonts w:ascii="Times New Roman" w:hAnsi="Times New Roman"/>
          <w:sz w:val="20"/>
        </w:rPr>
        <w:t>, to redeem (with respect to the Issuers) or purchase (with respect to a third party) all 2037 Notes that remain outstanding following such purchase on a date (the “</w:t>
      </w:r>
      <w:r>
        <w:rPr>
          <w:rFonts w:ascii="Times New Roman" w:hAnsi="Times New Roman"/>
          <w:sz w:val="20"/>
          <w:u w:val="single"/>
        </w:rPr>
        <w:t>Second Change of Control Payment Date</w:t>
      </w:r>
      <w:r>
        <w:rPr>
          <w:rFonts w:ascii="Times New Roman" w:hAnsi="Times New Roman"/>
          <w:sz w:val="20"/>
        </w:rPr>
        <w:t xml:space="preserve">”) at a price in cash equal to the Change of Control Payment (excluding any early tender premium or similar premium and any accrued and unpaid interest paid to any Holder pursuant to such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2037 Notes on the relevant record date to receive interest due on the relevant interest payment date falling on or prior to the Second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(e) Other than as specifically provided in this </w:t>
      </w:r>
      <w:r>
        <w:rPr>
          <w:rFonts w:ascii="Times New Roman" w:hAnsi="Times New Roman"/>
          <w:sz w:val="20"/>
          <w:u w:val="single"/>
        </w:rPr>
        <w:t>Section 6</w:t>
      </w:r>
      <w:r>
        <w:rPr>
          <w:rFonts w:ascii="Times New Roman" w:hAnsi="Times New Roman"/>
          <w:sz w:val="20"/>
        </w:rPr>
        <w:t xml:space="preserve">, any purchase pursuant to this </w:t>
      </w:r>
      <w:r>
        <w:rPr>
          <w:rFonts w:ascii="Times New Roman" w:hAnsi="Times New Roman"/>
          <w:sz w:val="20"/>
          <w:u w:val="single"/>
        </w:rPr>
        <w:t>Section 6</w:t>
      </w:r>
      <w:r>
        <w:rPr>
          <w:rFonts w:ascii="Times New Roman" w:hAnsi="Times New Roman"/>
          <w:sz w:val="20"/>
        </w:rPr>
        <w:t xml:space="preserve"> shall be made pursuant to the provisions of Sections 3.02, 3.05 and 3.06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w:t>
      </w:r>
      <w:r>
        <w:rPr>
          <w:rFonts w:ascii="Times New Roman" w:hAnsi="Times New Roman"/>
          <w:sz w:val="20"/>
        </w:rPr>
        <w:t xml:space="preserve"> relating to the Issuers’ obligation to make a Change of Control Offer upon a Change of Control Triggering Event may be waived or modified at any time with the written consent of the Holders of a majority in aggregate principal amount of the 2037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 Change of Control Offer (including, for the avoidance of doubt, an Alternate Offer) may be made at the same time as consents are solicited with respect to an amendment, supplement or waiver of the Indenture, the 2037 Notes and/or the Note Guarantees so long as the tender of 2037 Notes by a Holder is not conditioned upon the delivery of consents by such Holder. In addition, the Issuers or any third party approved in writing by the Issuers that is making the Change of Control Offer (including, for the avoidance of doubt, an Alternate Offer) may increase or decrease the Change of Control Payment (or decline to pay any early tender or similar premium) being offered to Holders at any time in their sole discretion, so long as the Change of Control Payment is at least equal to 101% of the aggregate principal amount of the 2037 Notes being repurchased, plus accrued and unpaid interest thereon. </w:t>
      </w:r>
    </w:p>
    <w:p>
      <w:pPr>
        <w:pStyle w:val="TextBody"/>
        <w:bidi w:val="0"/>
        <w:spacing w:before="240" w:after="0"/>
        <w:jc w:val="left"/>
        <w:rPr>
          <w:rFonts w:ascii="Times New Roman" w:hAnsi="Times New Roman"/>
          <w:sz w:val="20"/>
        </w:rPr>
      </w:pPr>
      <w:r>
        <w:rPr>
          <w:rFonts w:ascii="Times New Roman" w:hAnsi="Times New Roman"/>
          <w:sz w:val="20"/>
        </w:rPr>
        <w:t>Section 7. </w:t>
      </w:r>
      <w:r>
        <w:rPr>
          <w:rFonts w:ascii="Times New Roman" w:hAnsi="Times New Roman"/>
          <w:sz w:val="20"/>
          <w:u w:val="single"/>
        </w:rPr>
        <w:t>Governing Law</w:t>
      </w:r>
      <w:r>
        <w:rPr>
          <w:rFonts w:ascii="Times New Roman" w:hAnsi="Times New Roman"/>
          <w:sz w:val="20"/>
        </w:rPr>
        <w:t xml:space="preserve">. THIS 2037 NOTES SUPPLEMENTAL INDENTURE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Section 8. </w:t>
      </w:r>
      <w:r>
        <w:rPr>
          <w:rFonts w:ascii="Times New Roman" w:hAnsi="Times New Roman"/>
          <w:sz w:val="20"/>
          <w:u w:val="single"/>
        </w:rPr>
        <w:t>Conflicts</w:t>
      </w:r>
      <w:r>
        <w:rPr>
          <w:rFonts w:ascii="Times New Roman" w:hAnsi="Times New Roman"/>
          <w:sz w:val="20"/>
        </w:rPr>
        <w:t xml:space="preserve">. In the event of a conflict between the terms and conditions of the Base Indenture and the terms and conditions of this 2037 Notes Supplemental Indenture, then the terms and conditions of this 2037 Notes Supplemental Indenture shall prevail; </w:t>
      </w:r>
      <w:r>
        <w:rPr>
          <w:rFonts w:ascii="Times New Roman" w:hAnsi="Times New Roman"/>
          <w:sz w:val="20"/>
          <w:u w:val="single"/>
        </w:rPr>
        <w:t>provided</w:t>
      </w:r>
      <w:r>
        <w:rPr>
          <w:rFonts w:ascii="Times New Roman" w:hAnsi="Times New Roman"/>
          <w:sz w:val="20"/>
        </w:rPr>
        <w:t xml:space="preserve"> that if and to the extent that any provision of this 2037 Notes Supplemental Indenture limits, qualifies or conflicts with another provision which is required to be included herein or in the Base Indenture by the Trust Indenture Act, such required provision shall control. </w:t>
      </w:r>
    </w:p>
    <w:p>
      <w:pPr>
        <w:pStyle w:val="TextBody"/>
        <w:bidi w:val="0"/>
        <w:spacing w:before="240" w:after="0"/>
        <w:jc w:val="left"/>
        <w:rPr>
          <w:rFonts w:ascii="Times New Roman" w:hAnsi="Times New Roman"/>
          <w:sz w:val="20"/>
        </w:rPr>
      </w:pPr>
      <w:r>
        <w:rPr>
          <w:rFonts w:ascii="Times New Roman" w:hAnsi="Times New Roman"/>
          <w:sz w:val="20"/>
        </w:rPr>
        <w:t>Section 9. </w:t>
      </w:r>
      <w:r>
        <w:rPr>
          <w:rFonts w:ascii="Times New Roman" w:hAnsi="Times New Roman"/>
          <w:sz w:val="20"/>
          <w:u w:val="single"/>
        </w:rPr>
        <w:t>Counterparts</w:t>
      </w:r>
      <w:r>
        <w:rPr>
          <w:rFonts w:ascii="Times New Roman" w:hAnsi="Times New Roman"/>
          <w:sz w:val="20"/>
        </w:rPr>
        <w:t xml:space="preserve">. The parties may sign any number of copies of this 2037 Notes Supplemental Indenture. Each signed copy shall be an original, but all of them together represent the same agreement. The words “execution,” “signed,” “signature,” “delivery,” and words of like import in or relating to this 2037 Notes Supplemental Indenture or any document to be signed in connection with this 2037 Notes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Section 10. </w:t>
      </w:r>
      <w:r>
        <w:rPr>
          <w:rFonts w:ascii="Times New Roman" w:hAnsi="Times New Roman"/>
          <w:sz w:val="20"/>
          <w:u w:val="single"/>
        </w:rPr>
        <w:t>Trustee Not Responsible for Recitals or Issuance of 2037 Notes</w:t>
      </w:r>
      <w:r>
        <w:rPr>
          <w:rFonts w:ascii="Times New Roman" w:hAnsi="Times New Roman"/>
          <w:sz w:val="20"/>
        </w:rPr>
        <w:t xml:space="preserve">. The recitals contained herein shall be taken as the statements of the Issuers, and the Trustee assumes no responsibility for their correctness. The Trustee makes no representations as to the validity or sufficiency of this 2037 Notes Supplemental Indenture or of the 2037 Notes. The Trustee shall not be accountable for the use or application by the Issuers of 2037 Notes or the proceeds thereof.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2037 Notes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09"/>
        <w:gridCol w:w="242"/>
        <w:gridCol w:w="1269"/>
        <w:gridCol w:w="232"/>
        <w:gridCol w:w="1230"/>
      </w:tblGrid>
      <w:tr>
        <w:trPr/>
        <w:tc>
          <w:tcPr>
            <w:tcW w:w="110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DELL INTERNATIONAL L.L.C.</w:t>
            </w:r>
          </w:p>
        </w:tc>
      </w:tr>
      <w:tr>
        <w:trPr>
          <w:trHeight w:val="240" w:hRule="atLeast"/>
        </w:trPr>
        <w:tc>
          <w:tcPr>
            <w:tcW w:w="1109" w:type="dxa"/>
            <w:tcBorders/>
            <w:vAlign w:val="center"/>
          </w:tcPr>
          <w:p>
            <w:pPr>
              <w:pStyle w:val="TableContents"/>
              <w:bidi w:val="0"/>
              <w:spacing w:before="0" w:after="283"/>
              <w:jc w:val="left"/>
              <w:rPr>
                <w:sz w:val="4"/>
                <w:szCs w:val="4"/>
              </w:rPr>
            </w:pPr>
            <w:r>
              <w:rPr>
                <w:sz w:val="4"/>
                <w:szCs w:val="4"/>
              </w:rPr>
            </w:r>
          </w:p>
        </w:tc>
        <w:tc>
          <w:tcPr>
            <w:tcW w:w="2973" w:type="dxa"/>
            <w:gridSpan w:val="4"/>
            <w:tcBorders/>
            <w:vAlign w:val="center"/>
          </w:tcPr>
          <w:p>
            <w:pPr>
              <w:pStyle w:val="TableContents"/>
              <w:bidi w:val="0"/>
              <w:spacing w:before="0" w:after="283"/>
              <w:jc w:val="left"/>
              <w:rPr>
                <w:sz w:val="4"/>
                <w:szCs w:val="4"/>
              </w:rPr>
            </w:pPr>
            <w:r>
              <w:rPr>
                <w:sz w:val="4"/>
                <w:szCs w:val="4"/>
              </w:rPr>
            </w:r>
          </w:p>
        </w:tc>
      </w:tr>
      <w:tr>
        <w:trPr/>
        <w:tc>
          <w:tcPr>
            <w:tcW w:w="11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2" w:type="dxa"/>
            <w:tcBorders>
              <w:bottom w:val="single" w:sz="2" w:space="0" w:color="000000"/>
            </w:tcBorders>
            <w:tcMar>
              <w:bottom w:w="28" w:type="dxa"/>
            </w:tcMar>
            <w:vAlign w:val="bottom"/>
          </w:tcPr>
          <w:p>
            <w:pPr>
              <w:pStyle w:val="TableContents"/>
              <w:bidi w:val="0"/>
              <w:spacing w:before="0" w:after="283"/>
              <w:jc w:val="left"/>
              <w:rPr/>
            </w:pPr>
            <w:r>
              <w:rPr/>
              <w:t> </w:t>
            </w:r>
          </w:p>
        </w:tc>
        <w:tc>
          <w:tcPr>
            <w:tcW w:w="2731" w:type="dxa"/>
            <w:gridSpan w:val="3"/>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and Treasurer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EMC CORPORATION</w:t>
            </w:r>
          </w:p>
        </w:tc>
      </w:tr>
      <w:tr>
        <w:trPr>
          <w:trHeight w:val="240" w:hRule="atLeast"/>
        </w:trPr>
        <w:tc>
          <w:tcPr>
            <w:tcW w:w="1109" w:type="dxa"/>
            <w:tcBorders/>
            <w:vAlign w:val="center"/>
          </w:tcPr>
          <w:p>
            <w:pPr>
              <w:pStyle w:val="TableContents"/>
              <w:bidi w:val="0"/>
              <w:spacing w:before="0" w:after="283"/>
              <w:jc w:val="left"/>
              <w:rPr>
                <w:sz w:val="4"/>
                <w:szCs w:val="4"/>
              </w:rPr>
            </w:pPr>
            <w:r>
              <w:rPr>
                <w:sz w:val="4"/>
                <w:szCs w:val="4"/>
              </w:rPr>
            </w:r>
          </w:p>
        </w:tc>
        <w:tc>
          <w:tcPr>
            <w:tcW w:w="2973" w:type="dxa"/>
            <w:gridSpan w:val="4"/>
            <w:tcBorders/>
            <w:vAlign w:val="center"/>
          </w:tcPr>
          <w:p>
            <w:pPr>
              <w:pStyle w:val="TableContents"/>
              <w:bidi w:val="0"/>
              <w:spacing w:before="0" w:after="283"/>
              <w:jc w:val="left"/>
              <w:rPr>
                <w:sz w:val="4"/>
                <w:szCs w:val="4"/>
              </w:rPr>
            </w:pPr>
            <w:r>
              <w:rPr>
                <w:sz w:val="4"/>
                <w:szCs w:val="4"/>
              </w:rPr>
            </w:r>
          </w:p>
        </w:tc>
      </w:tr>
      <w:tr>
        <w:trPr/>
        <w:tc>
          <w:tcPr>
            <w:tcW w:w="11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2" w:type="dxa"/>
            <w:tcBorders>
              <w:bottom w:val="single" w:sz="2" w:space="0" w:color="000000"/>
            </w:tcBorders>
            <w:tcMar>
              <w:bottom w:w="28" w:type="dxa"/>
            </w:tcMar>
            <w:vAlign w:val="bottom"/>
          </w:tcPr>
          <w:p>
            <w:pPr>
              <w:pStyle w:val="TableContents"/>
              <w:bidi w:val="0"/>
              <w:spacing w:before="0" w:after="283"/>
              <w:jc w:val="left"/>
              <w:rPr/>
            </w:pPr>
            <w:r>
              <w:rPr/>
              <w:t> </w:t>
            </w:r>
          </w:p>
        </w:tc>
        <w:tc>
          <w:tcPr>
            <w:tcW w:w="2731" w:type="dxa"/>
            <w:gridSpan w:val="3"/>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 Tyler W. Johnson</w:t>
            </w:r>
          </w:p>
        </w:tc>
      </w:tr>
      <w:tr>
        <w:trPr/>
        <w:tc>
          <w:tcPr>
            <w:tcW w:w="110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73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74"/>
        <w:gridCol w:w="60"/>
        <w:gridCol w:w="3348"/>
      </w:tblGrid>
      <w:tr>
        <w:trPr/>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TECHNOLOGIES INC.</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Tyler W. Johnson</w:t>
            </w:r>
          </w:p>
        </w:tc>
      </w:tr>
      <w:tr>
        <w:trPr/>
        <w:tc>
          <w:tcPr>
            <w:tcW w:w="67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Tyler W. Johnson</w:t>
            </w:r>
          </w:p>
        </w:tc>
      </w:tr>
      <w:tr>
        <w:trPr/>
        <w:tc>
          <w:tcPr>
            <w:tcW w:w="67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DENALI INTERMEDIATE INC.</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Tyler W. Johnson</w:t>
            </w:r>
          </w:p>
        </w:tc>
      </w:tr>
      <w:tr>
        <w:trPr/>
        <w:tc>
          <w:tcPr>
            <w:tcW w:w="67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Tyler W. Johnson</w:t>
            </w:r>
          </w:p>
        </w:tc>
      </w:tr>
      <w:tr>
        <w:trPr/>
        <w:tc>
          <w:tcPr>
            <w:tcW w:w="67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DELL INC.</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Tyler W. Johnson</w:t>
            </w:r>
          </w:p>
        </w:tc>
      </w:tr>
      <w:tr>
        <w:trPr/>
        <w:tc>
          <w:tcPr>
            <w:tcW w:w="67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Tyler W. Johnson</w:t>
            </w:r>
          </w:p>
        </w:tc>
      </w:tr>
      <w:tr>
        <w:trPr/>
        <w:tc>
          <w:tcPr>
            <w:tcW w:w="67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Senior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w:t>
            </w:r>
          </w:p>
          <w:p>
            <w:pPr>
              <w:pStyle w:val="TableContents"/>
              <w:bidi w:val="0"/>
              <w:spacing w:before="0" w:after="0"/>
              <w:jc w:val="left"/>
              <w:rPr>
                <w:rFonts w:ascii="Times New Roman" w:hAnsi="Times New Roman"/>
                <w:sz w:val="20"/>
              </w:rPr>
            </w:pPr>
            <w:r>
              <w:rPr>
                <w:rFonts w:ascii="Times New Roman" w:hAnsi="Times New Roman"/>
                <w:sz w:val="20"/>
              </w:rPr>
              <w:t>TRUST COMPANY, N.A.,</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Peggy Guel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left"/>
        <w:rPr>
          <w:rFonts w:ascii="Times New Roman" w:hAnsi="Times New Roman"/>
          <w:sz w:val="20"/>
        </w:rPr>
      </w:pPr>
      <w:r>
        <w:rPr>
          <w:rFonts w:ascii="Times New Roman" w:hAnsi="Times New Roman"/>
          <w:sz w:val="20"/>
        </w:rPr>
        <w:t xml:space="preserve">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SECTION 2.06(c) OF THE INDENTURE, (II) THIS GLOBAL SECURITY MAY BE EXCHANGED IN WHOLE BUT NOT IN PART PURSUANT TO SECTION 2.06(a) OF THE INDENTURE, (III) THIS GLOBAL SECURITY MAY BE DELIVERED TO THE TRUSTEE FOR CANCELLATION PURSUANT TO SECTION 2.11 OF THE INDENTURE AND (IV) THIS GLOBAL SECURITY MAY BE TRANSFERRED TO A SUCCESSOR DEPOSITARY WITH THE PRIOR WRITTEN CONSENT OF THE ISSUERS.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24703D BX8 </w:t>
      </w:r>
    </w:p>
    <w:p>
      <w:pPr>
        <w:pStyle w:val="TextBody"/>
        <w:bidi w:val="0"/>
        <w:spacing w:before="0" w:after="0"/>
        <w:jc w:val="right"/>
        <w:rPr>
          <w:rFonts w:ascii="Times New Roman" w:hAnsi="Times New Roman"/>
          <w:sz w:val="20"/>
        </w:rPr>
      </w:pPr>
      <w:r>
        <w:rPr>
          <w:rFonts w:ascii="Times New Roman" w:hAnsi="Times New Roman"/>
          <w:sz w:val="20"/>
        </w:rPr>
        <w:t xml:space="preserve">ISIN US24703DBX84 </w:t>
      </w:r>
    </w:p>
    <w:p>
      <w:pPr>
        <w:pStyle w:val="TextBody"/>
        <w:bidi w:val="0"/>
        <w:spacing w:before="240" w:after="0"/>
        <w:jc w:val="center"/>
        <w:rPr>
          <w:rFonts w:ascii="Times New Roman" w:hAnsi="Times New Roman"/>
          <w:sz w:val="20"/>
        </w:rPr>
      </w:pPr>
      <w:r>
        <w:rPr>
          <w:rFonts w:ascii="Times New Roman" w:hAnsi="Times New Roman"/>
          <w:sz w:val="20"/>
        </w:rPr>
        <w:t xml:space="preserve">GLOBAL SECURITY </w:t>
      </w:r>
    </w:p>
    <w:p>
      <w:pPr>
        <w:pStyle w:val="TextBody"/>
        <w:bidi w:val="0"/>
        <w:spacing w:before="0" w:after="0"/>
        <w:jc w:val="center"/>
        <w:rPr>
          <w:rFonts w:ascii="Times New Roman" w:hAnsi="Times New Roman"/>
          <w:sz w:val="20"/>
        </w:rPr>
      </w:pPr>
      <w:r>
        <w:rPr>
          <w:rFonts w:ascii="Times New Roman" w:hAnsi="Times New Roman"/>
          <w:sz w:val="20"/>
        </w:rPr>
        <w:t xml:space="preserve">representing up to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5.250% Senior Notes due 2037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0"/>
        <w:gridCol w:w="122"/>
        <w:gridCol w:w="4823"/>
      </w:tblGrid>
      <w:tr>
        <w:trPr/>
        <w:tc>
          <w:tcPr>
            <w:tcW w:w="52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23" w:type="dxa"/>
            <w:tcBorders/>
            <w:vAlign w:val="center"/>
          </w:tcPr>
          <w:p>
            <w:pPr>
              <w:pStyle w:val="TableContents"/>
              <w:bidi w:val="0"/>
              <w:spacing w:before="0" w:after="283"/>
              <w:jc w:val="left"/>
              <w:rPr>
                <w:sz w:val="4"/>
                <w:szCs w:val="4"/>
              </w:rPr>
            </w:pPr>
            <w:r>
              <w:rPr>
                <w:sz w:val="4"/>
                <w:szCs w:val="4"/>
              </w:rPr>
            </w:r>
          </w:p>
        </w:tc>
      </w:tr>
      <w:tr>
        <w:trPr/>
        <w:tc>
          <w:tcPr>
            <w:tcW w:w="5260" w:type="dxa"/>
            <w:tcBorders/>
          </w:tcPr>
          <w:p>
            <w:pPr>
              <w:pStyle w:val="TableContents"/>
              <w:bidi w:val="0"/>
              <w:spacing w:before="0" w:after="283"/>
              <w:jc w:val="left"/>
              <w:rPr/>
            </w:pPr>
            <w:r>
              <w:rPr/>
              <w:t xml:space="preserve">No. </w:t>
            </w:r>
            <w:r>
              <w:rPr>
                <w:u w:val="single"/>
              </w:rPr>
              <w:t>    </w:t>
            </w:r>
          </w:p>
        </w:tc>
        <w:tc>
          <w:tcPr>
            <w:tcW w:w="122"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283"/>
              <w:jc w:val="right"/>
              <w:rPr/>
            </w:pPr>
            <w:r>
              <w:rPr/>
              <w:t>$[</w:t>
            </w:r>
            <w:r>
              <w:rPr>
                <w:u w:val="single"/>
              </w:rPr>
              <w:t>    </w:t>
            </w:r>
            <w:r>
              <w:rPr/>
              <w: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DELL INTERNATIONAL L.L.C.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EMC CORPORATION </w:t>
      </w:r>
    </w:p>
    <w:p>
      <w:pPr>
        <w:pStyle w:val="TextBody"/>
        <w:bidi w:val="0"/>
        <w:spacing w:before="240" w:after="0"/>
        <w:jc w:val="left"/>
        <w:rPr>
          <w:rFonts w:ascii="Times New Roman" w:hAnsi="Times New Roman"/>
          <w:sz w:val="20"/>
        </w:rPr>
      </w:pPr>
      <w:r>
        <w:rPr>
          <w:rFonts w:ascii="Times New Roman" w:hAnsi="Times New Roman"/>
          <w:sz w:val="20"/>
        </w:rPr>
        <w:t xml:space="preserve">promise to pay to CEDE &amp; CO. or registered assigns, the principal sum set forth on the Schedule of Exchanges of Interests in the Global Security attached hereto on February 15, 2037. </w:t>
      </w:r>
    </w:p>
    <w:p>
      <w:pPr>
        <w:pStyle w:val="TextBody"/>
        <w:bidi w:val="0"/>
        <w:spacing w:before="360" w:after="0"/>
        <w:jc w:val="left"/>
        <w:rPr>
          <w:rFonts w:ascii="Times New Roman" w:hAnsi="Times New Roman"/>
          <w:sz w:val="20"/>
        </w:rPr>
      </w:pPr>
      <w:r>
        <w:rPr>
          <w:rFonts w:ascii="Times New Roman" w:hAnsi="Times New Roman"/>
          <w:sz w:val="20"/>
        </w:rPr>
        <w:t xml:space="preserve">Interest Payment Dates: February 15 and August 15 </w:t>
      </w:r>
    </w:p>
    <w:p>
      <w:pPr>
        <w:pStyle w:val="TextBody"/>
        <w:bidi w:val="0"/>
        <w:spacing w:before="360" w:after="0"/>
        <w:jc w:val="left"/>
        <w:rPr>
          <w:rFonts w:ascii="Times New Roman" w:hAnsi="Times New Roman"/>
          <w:sz w:val="20"/>
        </w:rPr>
      </w:pPr>
      <w:r>
        <w:rPr>
          <w:rFonts w:ascii="Times New Roman" w:hAnsi="Times New Roman"/>
          <w:sz w:val="20"/>
        </w:rPr>
        <w:t xml:space="preserve">Record Dates: February 1 and August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Issuers have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[ ], 20[ ]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50"/>
        <w:gridCol w:w="108"/>
        <w:gridCol w:w="3424"/>
      </w:tblGrid>
      <w:tr>
        <w:trPr/>
        <w:tc>
          <w:tcPr>
            <w:tcW w:w="55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DELL INTERNATIONAL L.L.C.</w:t>
            </w:r>
          </w:p>
        </w:tc>
      </w:tr>
      <w:tr>
        <w:trPr>
          <w:trHeight w:val="240" w:hRule="atLeast"/>
        </w:trPr>
        <w:tc>
          <w:tcPr>
            <w:tcW w:w="550" w:type="dxa"/>
            <w:tcBorders/>
            <w:vAlign w:val="center"/>
          </w:tcPr>
          <w:p>
            <w:pPr>
              <w:pStyle w:val="TableContents"/>
              <w:bidi w:val="0"/>
              <w:spacing w:before="0" w:after="283"/>
              <w:jc w:val="left"/>
              <w:rPr>
                <w:sz w:val="4"/>
                <w:szCs w:val="4"/>
              </w:rPr>
            </w:pPr>
            <w:r>
              <w:rPr>
                <w:sz w:val="4"/>
                <w:szCs w:val="4"/>
              </w:rPr>
            </w:r>
          </w:p>
        </w:tc>
        <w:tc>
          <w:tcPr>
            <w:tcW w:w="3532"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EMC CORPORATION</w:t>
            </w:r>
          </w:p>
        </w:tc>
      </w:tr>
      <w:tr>
        <w:trPr>
          <w:trHeight w:val="240" w:hRule="atLeast"/>
        </w:trPr>
        <w:tc>
          <w:tcPr>
            <w:tcW w:w="550" w:type="dxa"/>
            <w:tcBorders/>
            <w:vAlign w:val="center"/>
          </w:tcPr>
          <w:p>
            <w:pPr>
              <w:pStyle w:val="TableContents"/>
              <w:bidi w:val="0"/>
              <w:spacing w:before="0" w:after="283"/>
              <w:jc w:val="left"/>
              <w:rPr>
                <w:sz w:val="4"/>
                <w:szCs w:val="4"/>
              </w:rPr>
            </w:pPr>
            <w:r>
              <w:rPr>
                <w:sz w:val="4"/>
                <w:szCs w:val="4"/>
              </w:rPr>
            </w:r>
          </w:p>
        </w:tc>
        <w:tc>
          <w:tcPr>
            <w:tcW w:w="3532"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5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w:t>
            </w:r>
          </w:p>
          <w:p>
            <w:pPr>
              <w:pStyle w:val="TableContents"/>
              <w:bidi w:val="0"/>
              <w:spacing w:before="0" w:after="0"/>
              <w:jc w:val="left"/>
              <w:rPr>
                <w:rFonts w:ascii="Times New Roman" w:hAnsi="Times New Roman"/>
                <w:sz w:val="20"/>
              </w:rPr>
            </w:pPr>
            <w:r>
              <w:rPr>
                <w:rFonts w:ascii="Times New Roman" w:hAnsi="Times New Roman"/>
                <w:sz w:val="20"/>
              </w:rPr>
              <w:t>TRUST COMPANY, N.A.,</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pPr>
            <w:r>
              <w:rPr/>
              <w:t>Dated: [ ], 20[ ]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 </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center"/>
              <w:rPr/>
            </w:pPr>
            <w:r>
              <w:rPr/>
              <w:t>Authorized Signatory</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5.250% Senior Notes due 2037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Dell International L.L.C., a Delaware limited liability company (“</w:t>
      </w:r>
      <w:r>
        <w:rPr>
          <w:rFonts w:ascii="Times New Roman" w:hAnsi="Times New Roman"/>
          <w:sz w:val="20"/>
          <w:u w:val="single"/>
        </w:rPr>
        <w:t>Dell International</w:t>
      </w:r>
      <w:r>
        <w:rPr>
          <w:rFonts w:ascii="Times New Roman" w:hAnsi="Times New Roman"/>
          <w:sz w:val="20"/>
        </w:rPr>
        <w:t>”), and EMC Corporation, a Massachusetts corporation (“</w:t>
      </w:r>
      <w:r>
        <w:rPr>
          <w:rFonts w:ascii="Times New Roman" w:hAnsi="Times New Roman"/>
          <w:sz w:val="20"/>
          <w:u w:val="single"/>
        </w:rPr>
        <w:t>EMC</w:t>
      </w:r>
      <w:r>
        <w:rPr>
          <w:rFonts w:ascii="Times New Roman" w:hAnsi="Times New Roman"/>
          <w:sz w:val="20"/>
        </w:rPr>
        <w:t>” and, together with Dell International, the “</w:t>
      </w:r>
      <w:r>
        <w:rPr>
          <w:rFonts w:ascii="Times New Roman" w:hAnsi="Times New Roman"/>
          <w:sz w:val="20"/>
          <w:u w:val="single"/>
        </w:rPr>
        <w:t>Issuers</w:t>
      </w:r>
      <w:r>
        <w:rPr>
          <w:rFonts w:ascii="Times New Roman" w:hAnsi="Times New Roman"/>
          <w:sz w:val="20"/>
        </w:rPr>
        <w:t>”), promise to pay interest on the principal amount of this 2037 Note at 5.250% per annum, from June 16, 2026 until Maturity. The Issuers shall pay interest semi-annually in arrears on February 15 and August 15 of each year, or if any such day is not a Business Day, on the next succeeding Business Day (each, an “</w:t>
      </w:r>
      <w:r>
        <w:rPr>
          <w:rFonts w:ascii="Times New Roman" w:hAnsi="Times New Roman"/>
          <w:sz w:val="20"/>
          <w:u w:val="single"/>
        </w:rPr>
        <w:t>Interest Payment Date</w:t>
      </w:r>
      <w:r>
        <w:rPr>
          <w:rFonts w:ascii="Times New Roman" w:hAnsi="Times New Roman"/>
          <w:sz w:val="20"/>
        </w:rPr>
        <w:t>”), commencing on August 15, 2026. Interest on the 2037 Notes shall accrue from the most recent date to which interest has been paid or, if no interest has been paid, from June 16, 2026. The Issuers shall pay interest (including post-petition interest in any proceeding under any Bankruptcy Law) on overdue principal and premium, if any, from time to time on demand at the interest rate on the 2037 Notes to the extent lawful; the Issuers shall pay interest (including post-petition interest in any proceeding under any Bankruptcy Law) on overdue installments of interest, if any, from time to time on demand at the interest rate on the 2037 Notes. Interest shall be computed on the basis of a 360-day year comprised of twelve 30-day months. The interest rate on the 2037 Notes will in no event be higher than the maximum rate permitted by New York law as the same may be modified by United States law of general application. This 2037 Note is one of the series designated on the face hereof (individually, a “</w:t>
      </w:r>
      <w:r>
        <w:rPr>
          <w:rFonts w:ascii="Times New Roman" w:hAnsi="Times New Roman"/>
          <w:sz w:val="20"/>
          <w:u w:val="single"/>
        </w:rPr>
        <w:t>2037 Note</w:t>
      </w:r>
      <w:r>
        <w:rPr>
          <w:rFonts w:ascii="Times New Roman" w:hAnsi="Times New Roman"/>
          <w:sz w:val="20"/>
        </w:rPr>
        <w:t>” and, collectively, the “</w:t>
      </w:r>
      <w:r>
        <w:rPr>
          <w:rFonts w:ascii="Times New Roman" w:hAnsi="Times New Roman"/>
          <w:sz w:val="20"/>
          <w:u w:val="single"/>
        </w:rPr>
        <w:t>2037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Issuers will pay interest on the 2037 Notes to the Persons who are registered Holders of the 2037 Notes at the close of business (if applicable) on the February 1 or August 1 (whether or not a Business Day), as the case may be, immediately preceding the Interest Payment Date, even if such Securities are canceled after such record date and on or before such Interest Payment Date, except as provided in Section 2.12 of the Base Indenture with respect to defaulted interest. Payment of interest may be made by check mailed to the Holders of the 2037 Notes at their addresses set forth in the register of Holders, </w:t>
      </w:r>
      <w:r>
        <w:rPr>
          <w:rFonts w:ascii="Times New Roman" w:hAnsi="Times New Roman"/>
          <w:sz w:val="20"/>
          <w:u w:val="single"/>
        </w:rPr>
        <w:t>provided</w:t>
      </w:r>
      <w:r>
        <w:rPr>
          <w:rFonts w:ascii="Times New Roman" w:hAnsi="Times New Roman"/>
          <w:sz w:val="20"/>
        </w:rPr>
        <w:t xml:space="preserve"> that all payments of principal of and interest and premium, if any, with respect to the 2037 Notes represented by one or more Global Securities will be made in accordance with DTC’s applicable procedures.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The Bank of New York Mellon Trust Company, N.A., the Trustee under the Indenture, will act as Paying Agent and Registrar. The Issuers may change any Paying Agent or Registrar without notice to the Holders. Parent or any of its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Issuers issued the 2037 Notes under the Base Indenture, dated as of January 24, 2023 (the “</w:t>
      </w:r>
      <w:r>
        <w:rPr>
          <w:rFonts w:ascii="Times New Roman" w:hAnsi="Times New Roman"/>
          <w:sz w:val="20"/>
          <w:u w:val="single"/>
        </w:rPr>
        <w:t>Base Indenture</w:t>
      </w:r>
      <w:r>
        <w:rPr>
          <w:rFonts w:ascii="Times New Roman" w:hAnsi="Times New Roman"/>
          <w:sz w:val="20"/>
        </w:rPr>
        <w:t>”), among the Issuers, the Guarantors and the Trustee, as supplemented by the 2037 Notes Supplemental Indenture No. 1, dated as of June 16, 2026 (the “</w:t>
      </w:r>
      <w:r>
        <w:rPr>
          <w:rFonts w:ascii="Times New Roman" w:hAnsi="Times New Roman"/>
          <w:sz w:val="20"/>
          <w:u w:val="single"/>
        </w:rPr>
        <w:t>2037 Notes Supplemental Indenture No. 1</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among the Issuers, the Guarantors and the Trustee. This 2037 Note is one of a duly authorized issue of securities of the Issuers designated as their 5.250% Senior Notes due 2037. The Issuers shall be entitled to issue Additional Securities constituting Securities pursuant to Section 2.01 of the Base Indenture and Section 1(b) of the 2037 Notes Supplemental Indenture No. 1. The terms of the 2037 Notes include those stated in the Indenture. The 2037 Notes are subject to all such terms, and Holders of the 2037 Notes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referred to the Indenture for a statement of such terms. To the extent any provision of this 2037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5. REDEMPTION AND REPURCHASE. The 2037 Notes are subject to optional redemption, and may be the subject of a Change of Control Offer or an Alternate Offer, as further described in the 2037 Notes Supplemental Indenture No. 1. The Issuers shall not be required to make any mandatory redemption or sinking fund payments with respect to the 2037 Notes.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The 2037 Notes are in registered form without coupons in denominations of $2,000 and integral multiples of $1,000 in excess thereof. The transfer of Securities may be registered and Securities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Security or portion of a Security selected for redemption or tendered (and not withdrawn) for repurchase in connection with a Change of Control Offer, an Alternate Offer or other tender offer, in whole or in part, except for the unredeemed portion of any Security being redeemed in part. Also, the Issuers need not exchange or register the transfer of any Securities for a period of 15 days before a selection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The registered Holder of a Security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8. AMENDMENT, SUPPLEMENT AND WAIVER. The Indenture, the 2037 Notes or the related Note Guarantees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9. DEFAULTS AND REMEDIES. The Events of Default relating to the 2037 Notes are defined in Section 6.01 of the Base Indenture. Upon the occurrence of an Event of Default relating to the 2037 Notes, the rights and obligations of the Issuers, the Guarantors, the Trustee and the Holders of the 2037 Notes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10. AUTHENTICATION. This 2037 Note shall not be entitled to any benefit under the Indenture or be valid or obligatory for any purpose until authenticated by the manual or electronic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11.  GOVERNING LAW. THE LAWS OF THE STATE OF NEW YORK SHALL GOVERN AND BE USED TO CONSTRUE THE INDENTURE, THE 2037 NOTES AND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12. CUSIP AND ISIN NUMBERS. Pursuant to a recommendation promulgated by the Committee on Uniform Security Identification Procedures, the Issuers have caused CUSIP and ISIN numbers and/or similar numbers to be printed on the 2037 Notes and the Trustee may use CUSIP and ISIN numbers and/or similar numbers in notices of redemption as a convenience to Holders of the 2037 Notes. No representation is made as to the accuracy of such numbers either as printed on the 2037 Notes or as contained in any notice of redemption and reliance may be placed only on the other identification numbers placed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will furnish to any Holder upon written request and without charge a copy of the Indenture. Requests may be made to the Issuers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c/o Dell Inc. </w:t>
      </w:r>
    </w:p>
    <w:p>
      <w:pPr>
        <w:pStyle w:val="TextBody"/>
        <w:bidi w:val="0"/>
        <w:spacing w:before="0" w:after="0"/>
        <w:jc w:val="left"/>
        <w:rPr>
          <w:rFonts w:ascii="Times New Roman" w:hAnsi="Times New Roman"/>
          <w:sz w:val="20"/>
        </w:rPr>
      </w:pPr>
      <w:r>
        <w:rPr>
          <w:rFonts w:ascii="Times New Roman" w:hAnsi="Times New Roman"/>
          <w:sz w:val="20"/>
        </w:rPr>
        <w:t xml:space="preserve">One Dell Way </w:t>
      </w:r>
    </w:p>
    <w:p>
      <w:pPr>
        <w:pStyle w:val="TextBody"/>
        <w:bidi w:val="0"/>
        <w:spacing w:before="0" w:after="0"/>
        <w:jc w:val="left"/>
        <w:rPr>
          <w:rFonts w:ascii="Times New Roman" w:hAnsi="Times New Roman"/>
          <w:sz w:val="20"/>
        </w:rPr>
      </w:pPr>
      <w:r>
        <w:rPr>
          <w:rFonts w:ascii="Times New Roman" w:hAnsi="Times New Roman"/>
          <w:sz w:val="20"/>
        </w:rPr>
        <w:t xml:space="preserve">Round Rock, Texas 78682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Garcia </w:t>
      </w:r>
    </w:p>
    <w:p>
      <w:pPr>
        <w:pStyle w:val="TextBody"/>
        <w:bidi w:val="0"/>
        <w:spacing w:before="0" w:after="0"/>
        <w:jc w:val="left"/>
        <w:rPr>
          <w:rFonts w:ascii="Times New Roman" w:hAnsi="Times New Roman"/>
          <w:sz w:val="20"/>
        </w:rPr>
      </w:pPr>
      <w:r>
        <w:rPr>
          <w:rFonts w:ascii="Times New Roman" w:hAnsi="Times New Roman"/>
          <w:sz w:val="20"/>
        </w:rPr>
        <w:t xml:space="preserve">Email: Christopher.A.Garcia@dell.com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tbl>
      <w:tblPr>
        <w:tblW w:w="12560" w:type="dxa"/>
        <w:jc w:val="center"/>
        <w:tblInd w:w="0" w:type="dxa"/>
        <w:tblLayout w:type="fixed"/>
        <w:tblCellMar>
          <w:top w:w="0" w:type="dxa"/>
          <w:left w:w="0" w:type="dxa"/>
          <w:bottom w:w="0" w:type="dxa"/>
          <w:right w:w="0" w:type="dxa"/>
        </w:tblCellMar>
      </w:tblPr>
      <w:tblGrid>
        <w:gridCol w:w="12560"/>
      </w:tblGrid>
      <w:tr>
        <w:trPr/>
        <w:tc>
          <w:tcPr>
            <w:tcW w:w="12560" w:type="dxa"/>
            <w:tcBorders/>
            <w:vAlign w:val="center"/>
          </w:tcPr>
          <w:p>
            <w:pPr>
              <w:pStyle w:val="TableContents"/>
              <w:bidi w:val="0"/>
              <w:spacing w:before="0" w:after="283"/>
              <w:jc w:val="left"/>
              <w:rPr>
                <w:sz w:val="4"/>
                <w:szCs w:val="4"/>
              </w:rPr>
            </w:pPr>
            <w:r>
              <w:rPr>
                <w:sz w:val="4"/>
                <w:szCs w:val="4"/>
              </w:rPr>
            </w:r>
          </w:p>
        </w:tc>
      </w:tr>
      <w:tr>
        <w:trPr/>
        <w:tc>
          <w:tcPr>
            <w:tcW w:w="12560" w:type="dxa"/>
            <w:tcBorders/>
          </w:tcPr>
          <w:p>
            <w:pPr>
              <w:pStyle w:val="TableContents"/>
              <w:bidi w:val="0"/>
              <w:spacing w:before="0" w:after="283"/>
              <w:jc w:val="center"/>
              <w:rPr/>
            </w:pPr>
            <w:r>
              <w:rPr/>
              <w:t>ASSIGNMENT FORM</w:t>
            </w:r>
          </w:p>
        </w:tc>
      </w:tr>
      <w:tr>
        <w:trPr/>
        <w:tc>
          <w:tcPr>
            <w:tcW w:w="12560" w:type="dxa"/>
            <w:tcBorders/>
          </w:tcPr>
          <w:p>
            <w:pPr>
              <w:pStyle w:val="TableContents"/>
              <w:bidi w:val="0"/>
              <w:spacing w:before="0" w:after="0"/>
              <w:jc w:val="left"/>
              <w:rPr>
                <w:rFonts w:ascii="Times New Roman" w:hAnsi="Times New Roman"/>
                <w:sz w:val="20"/>
              </w:rPr>
            </w:pPr>
            <w:r>
              <w:rPr>
                <w:rFonts w:ascii="Times New Roman" w:hAnsi="Times New Roman"/>
                <w:sz w:val="20"/>
              </w:rPr>
              <w:t>To assign this 2037 Note, fill in the form below:</w:t>
            </w:r>
          </w:p>
          <w:p>
            <w:pPr>
              <w:pStyle w:val="TableContents"/>
              <w:bidi w:val="0"/>
              <w:spacing w:before="0" w:after="20"/>
              <w:jc w:val="left"/>
              <w:rPr/>
            </w:pPr>
            <w:r>
              <w:rPr/>
              <w:t> </w:t>
            </w:r>
          </w:p>
        </w:tc>
      </w:tr>
      <w:tr>
        <w:trPr/>
        <w:tc>
          <w:tcPr>
            <w:tcW w:w="12560" w:type="dxa"/>
            <w:tcBorders/>
          </w:tcPr>
          <w:p>
            <w:pPr>
              <w:pStyle w:val="TableContents"/>
              <w:bidi w:val="0"/>
              <w:spacing w:before="0" w:after="283"/>
              <w:jc w:val="left"/>
              <w:rPr/>
            </w:pPr>
            <w:r>
              <w:rPr/>
              <w:t xml:space="preserve">(I) or (we) assign and transfer this 2037 Note to:  </w:t>
            </w:r>
            <w:r>
              <w:rPr>
                <w:u w:val="single"/>
              </w:rPr>
              <w:t xml:space="preserve">                                           </w:t>
            </w:r>
          </w:p>
        </w:tc>
      </w:tr>
      <w:tr>
        <w:trPr/>
        <w:tc>
          <w:tcPr>
            <w:tcW w:w="12560" w:type="dxa"/>
            <w:tcBorders>
              <w:bottom w:val="single" w:sz="2" w:space="0" w:color="000000"/>
            </w:tcBorders>
            <w:tcMar>
              <w:bottom w:w="240" w:type="dxa"/>
            </w:tcMar>
          </w:tcPr>
          <w:p>
            <w:pPr>
              <w:pStyle w:val="TableContents"/>
              <w:bidi w:val="0"/>
              <w:spacing w:before="0" w:after="283"/>
              <w:jc w:val="center"/>
              <w:rPr/>
            </w:pPr>
            <w:r>
              <w:rPr/>
              <w:t>              </w:t>
            </w:r>
            <w:r>
              <w:rPr/>
              <w:t>(Insert assignee’s legal name)</w:t>
            </w:r>
          </w:p>
        </w:tc>
      </w:tr>
      <w:tr>
        <w:trPr/>
        <w:tc>
          <w:tcPr>
            <w:tcW w:w="12560" w:type="dxa"/>
            <w:tcBorders/>
          </w:tcPr>
          <w:p>
            <w:pPr>
              <w:pStyle w:val="TableContents"/>
              <w:bidi w:val="0"/>
              <w:spacing w:before="0" w:after="283"/>
              <w:jc w:val="center"/>
              <w:rPr/>
            </w:pPr>
            <w:r>
              <w:rPr/>
              <w:t>(Insert assignee’s soc. sec. or tax I.D. no.)</w:t>
            </w:r>
          </w:p>
        </w:tc>
      </w:tr>
      <w:tr>
        <w:trPr/>
        <w:tc>
          <w:tcPr>
            <w:tcW w:w="12560" w:type="dxa"/>
            <w:tcBorders>
              <w:bottom w:val="single" w:sz="2" w:space="0" w:color="000000"/>
            </w:tcBorders>
            <w:tcMar>
              <w:bottom w:w="28" w:type="dxa"/>
            </w:tcMar>
          </w:tcPr>
          <w:p>
            <w:pPr>
              <w:pStyle w:val="TableContents"/>
              <w:bidi w:val="0"/>
              <w:spacing w:before="0" w:after="283"/>
              <w:jc w:val="left"/>
              <w:rPr/>
            </w:pPr>
            <w:r>
              <w:rPr/>
              <w:t> </w:t>
            </w:r>
          </w:p>
        </w:tc>
      </w:tr>
      <w:tr>
        <w:trPr/>
        <w:tc>
          <w:tcPr>
            <w:tcW w:w="12560" w:type="dxa"/>
            <w:tcBorders>
              <w:bottom w:val="single" w:sz="2" w:space="0" w:color="000000"/>
            </w:tcBorders>
            <w:tcMar>
              <w:bottom w:w="28" w:type="dxa"/>
            </w:tcMar>
          </w:tcPr>
          <w:p>
            <w:pPr>
              <w:pStyle w:val="TableContents"/>
              <w:bidi w:val="0"/>
              <w:spacing w:before="0" w:after="283"/>
              <w:jc w:val="left"/>
              <w:rPr/>
            </w:pPr>
            <w:r>
              <w:rPr/>
              <w:t> </w:t>
            </w:r>
          </w:p>
        </w:tc>
      </w:tr>
      <w:tr>
        <w:trPr/>
        <w:tc>
          <w:tcPr>
            <w:tcW w:w="12560" w:type="dxa"/>
            <w:tcBorders>
              <w:bottom w:val="single" w:sz="2" w:space="0" w:color="000000"/>
            </w:tcBorders>
            <w:tcMar>
              <w:bottom w:w="28" w:type="dxa"/>
            </w:tcMar>
          </w:tcPr>
          <w:p>
            <w:pPr>
              <w:pStyle w:val="TableContents"/>
              <w:bidi w:val="0"/>
              <w:spacing w:before="0" w:after="283"/>
              <w:jc w:val="left"/>
              <w:rPr/>
            </w:pPr>
            <w:r>
              <w:rPr/>
              <w:t> </w:t>
            </w:r>
          </w:p>
        </w:tc>
      </w:tr>
      <w:tr>
        <w:trPr/>
        <w:tc>
          <w:tcPr>
            <w:tcW w:w="12560" w:type="dxa"/>
            <w:tcBorders>
              <w:bottom w:val="single" w:sz="2" w:space="0" w:color="000000"/>
            </w:tcBorders>
            <w:tcMar>
              <w:bottom w:w="28" w:type="dxa"/>
            </w:tcMar>
          </w:tcPr>
          <w:p>
            <w:pPr>
              <w:pStyle w:val="TableContents"/>
              <w:bidi w:val="0"/>
              <w:spacing w:before="0" w:after="283"/>
              <w:jc w:val="left"/>
              <w:rPr/>
            </w:pPr>
            <w:r>
              <w:rPr/>
              <w:t> </w:t>
            </w:r>
          </w:p>
        </w:tc>
      </w:tr>
      <w:tr>
        <w:trPr/>
        <w:tc>
          <w:tcPr>
            <w:tcW w:w="12560" w:type="dxa"/>
            <w:tcBorders/>
          </w:tcPr>
          <w:p>
            <w:pPr>
              <w:pStyle w:val="TableContents"/>
              <w:bidi w:val="0"/>
              <w:spacing w:before="0" w:after="283"/>
              <w:jc w:val="center"/>
              <w:rPr/>
            </w:pPr>
            <w:r>
              <w:rPr/>
              <w:t>(Print or type assignee’s name, address and zip code)</w:t>
            </w:r>
          </w:p>
        </w:tc>
      </w:tr>
      <w:tr>
        <w:trPr/>
        <w:tc>
          <w:tcPr>
            <w:tcW w:w="12560" w:type="dxa"/>
            <w:tcBorders/>
          </w:tcPr>
          <w:p>
            <w:pPr>
              <w:pStyle w:val="TableContents"/>
              <w:bidi w:val="0"/>
              <w:spacing w:before="0" w:after="283"/>
              <w:jc w:val="left"/>
              <w:rPr/>
            </w:pPr>
            <w:r>
              <w:rPr/>
              <w:t xml:space="preserve">and irrevocably appoint  </w:t>
            </w:r>
            <w:r>
              <w:rPr>
                <w:u w:val="single"/>
              </w:rPr>
              <w:t xml:space="preserve">                                                     </w:t>
            </w:r>
          </w:p>
        </w:tc>
      </w:tr>
      <w:tr>
        <w:trPr/>
        <w:tc>
          <w:tcPr>
            <w:tcW w:w="12560" w:type="dxa"/>
            <w:tcBorders/>
          </w:tcPr>
          <w:p>
            <w:pPr>
              <w:pStyle w:val="TableContents"/>
              <w:bidi w:val="0"/>
              <w:spacing w:before="0" w:after="283"/>
              <w:jc w:val="left"/>
              <w:rPr/>
            </w:pPr>
            <w:r>
              <w:rPr/>
              <w:t>to transfer this 2037 Note on the books of the Issuers. The agent may substitute another to act for him.</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p>
      <w:pPr>
        <w:pStyle w:val="TextBody"/>
        <w:bidi w:val="0"/>
        <w:spacing w:before="0" w:after="0"/>
        <w:jc w:val="left"/>
        <w:rPr/>
      </w:pPr>
      <w:r>
        <w:rPr/>
        <w:t> </w:t>
      </w:r>
    </w:p>
    <w:tbl>
      <w:tblPr>
        <w:tblW w:w="4660" w:type="dxa"/>
        <w:jc w:val="right"/>
        <w:tblInd w:w="0" w:type="dxa"/>
        <w:tblLayout w:type="fixed"/>
        <w:tblCellMar>
          <w:top w:w="0" w:type="dxa"/>
          <w:left w:w="0" w:type="dxa"/>
          <w:bottom w:w="0" w:type="dxa"/>
          <w:right w:w="0" w:type="dxa"/>
        </w:tblCellMar>
      </w:tblPr>
      <w:tblGrid>
        <w:gridCol w:w="1220"/>
        <w:gridCol w:w="60"/>
        <w:gridCol w:w="3380"/>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Your Signature:</w:t>
            </w:r>
            <w:r>
              <w:rPr>
                <w:u w:val="single"/>
              </w:rPr>
              <w:t>              </w:t>
            </w:r>
          </w:p>
        </w:tc>
      </w:tr>
      <w:tr>
        <w:trPr/>
        <w:tc>
          <w:tcPr>
            <w:tcW w:w="1220"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w:t>
            </w:r>
          </w:p>
          <w:p>
            <w:pPr>
              <w:pStyle w:val="TableContents"/>
              <w:bidi w:val="0"/>
              <w:spacing w:before="0" w:after="20"/>
              <w:jc w:val="left"/>
              <w:rPr>
                <w:rFonts w:ascii="Times New Roman" w:hAnsi="Times New Roman"/>
                <w:sz w:val="20"/>
              </w:rPr>
            </w:pPr>
            <w:r>
              <w:rPr>
                <w:rFonts w:ascii="Times New Roman" w:hAnsi="Times New Roman"/>
                <w:sz w:val="20"/>
              </w:rPr>
              <w:t>the face of this 2037 Note)</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2037 Note purchased by the Issuers pursuant to Section 6 of the 2037 Notes Supplemental Indenture No. 1, check the appropriate box below: </w:t>
      </w:r>
    </w:p>
    <w:p>
      <w:pPr>
        <w:pStyle w:val="TextBody"/>
        <w:bidi w:val="0"/>
        <w:spacing w:before="240" w:after="0"/>
        <w:jc w:val="center"/>
        <w:rPr>
          <w:rFonts w:ascii="Times New Roman" w:hAnsi="Times New Roman"/>
          <w:sz w:val="20"/>
        </w:rPr>
      </w:pPr>
      <w:r>
        <w:rPr>
          <w:rFonts w:ascii="Times New Roman" w:hAnsi="Times New Roman"/>
          <w:sz w:val="20"/>
        </w:rPr>
        <w:t xml:space="preserve">[ ] Section 6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2037 Note purchased by the Issuers pursuant to Section 6 of the 2037 Notes Supplemental Indenture No. 1,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p>
      <w:pPr>
        <w:pStyle w:val="TextBody"/>
        <w:bidi w:val="0"/>
        <w:spacing w:before="0" w:after="0"/>
        <w:jc w:val="left"/>
        <w:rPr/>
      </w:pPr>
      <w:r>
        <w:rPr/>
        <w:t> </w:t>
      </w:r>
    </w:p>
    <w:tbl>
      <w:tblPr>
        <w:tblW w:w="6745" w:type="dxa"/>
        <w:jc w:val="right"/>
        <w:tblInd w:w="0" w:type="dxa"/>
        <w:tblLayout w:type="fixed"/>
        <w:tblCellMar>
          <w:top w:w="0" w:type="dxa"/>
          <w:left w:w="0" w:type="dxa"/>
          <w:bottom w:w="0" w:type="dxa"/>
          <w:right w:w="0" w:type="dxa"/>
        </w:tblCellMar>
      </w:tblPr>
      <w:tblGrid>
        <w:gridCol w:w="440"/>
        <w:gridCol w:w="60"/>
        <w:gridCol w:w="6245"/>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Your Signature: </w:t>
            </w:r>
            <w:r>
              <w:rPr>
                <w:u w:val="single"/>
              </w:rPr>
              <w:t>              </w:t>
            </w:r>
          </w:p>
        </w:tc>
      </w:tr>
      <w:tr>
        <w:trPr/>
        <w:tc>
          <w:tcPr>
            <w:tcW w:w="4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(Sign exactly as your name appears on the face of this 2037 Note)</w:t>
            </w:r>
          </w:p>
        </w:tc>
      </w:tr>
      <w:tr>
        <w:trPr>
          <w:trHeight w:val="240" w:hRule="atLeast"/>
        </w:trPr>
        <w:tc>
          <w:tcPr>
            <w:tcW w:w="44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245" w:type="dxa"/>
            <w:tcBorders/>
            <w:vAlign w:val="bottom"/>
          </w:tcPr>
          <w:p>
            <w:pPr>
              <w:pStyle w:val="TableContents"/>
              <w:bidi w:val="0"/>
              <w:spacing w:before="0" w:after="283"/>
              <w:jc w:val="left"/>
              <w:rPr/>
            </w:pPr>
            <w:r>
              <w:rPr/>
              <w:t xml:space="preserve">Tax Identification No.: </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Security is $[__________]. The following exchanges of a part of this Global Security for an interest in another Global Security or for a Definitive Security, or exchanges of a part of another Global or Definitive Security for an interest in this Global Security,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3"/>
        <w:gridCol w:w="120"/>
        <w:gridCol w:w="2121"/>
        <w:gridCol w:w="120"/>
        <w:gridCol w:w="2121"/>
        <w:gridCol w:w="298"/>
        <w:gridCol w:w="1311"/>
        <w:gridCol w:w="120"/>
        <w:gridCol w:w="1321"/>
      </w:tblGrid>
      <w:tr>
        <w:trPr/>
        <w:tc>
          <w:tcPr>
            <w:tcW w:w="26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6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w:t>
              <w:br/>
              <w:t>Exchange</w:t>
            </w:r>
          </w:p>
        </w:tc>
        <w:tc>
          <w:tcPr>
            <w:tcW w:w="120" w:type="dxa"/>
            <w:tcBorders/>
            <w:vAlign w:val="bottom"/>
          </w:tcPr>
          <w:p>
            <w:pPr>
              <w:pStyle w:val="TableContents"/>
              <w:bidi w:val="0"/>
              <w:spacing w:before="0" w:after="283"/>
              <w:jc w:val="left"/>
              <w:rPr/>
            </w:pPr>
            <w:r>
              <w:rPr/>
              <w:t>  </w:t>
            </w:r>
          </w:p>
        </w:tc>
        <w:tc>
          <w:tcPr>
            <w:tcW w:w="21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Amount of</w:t>
              <w:br/>
              <w:t>decrease</w:t>
              <w:br/>
              <w:t>in Principal</w:t>
              <w:br/>
              <w:t>Amount of this</w:t>
              <w:br/>
              <w:t>Global Security</w:t>
            </w:r>
          </w:p>
        </w:tc>
        <w:tc>
          <w:tcPr>
            <w:tcW w:w="120" w:type="dxa"/>
            <w:tcBorders/>
            <w:vAlign w:val="bottom"/>
          </w:tcPr>
          <w:p>
            <w:pPr>
              <w:pStyle w:val="TableContents"/>
              <w:bidi w:val="0"/>
              <w:spacing w:before="0" w:after="283"/>
              <w:jc w:val="left"/>
              <w:rPr/>
            </w:pPr>
            <w:r>
              <w:rPr/>
              <w:t>  </w:t>
            </w:r>
          </w:p>
        </w:tc>
        <w:tc>
          <w:tcPr>
            <w:tcW w:w="21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Amount of increase</w:t>
              <w:br/>
              <w:t>in Principal</w:t>
              <w:br/>
              <w:t>Amount of this</w:t>
              <w:br/>
              <w:t>Global Security</w:t>
            </w:r>
          </w:p>
        </w:tc>
        <w:tc>
          <w:tcPr>
            <w:tcW w:w="298" w:type="dxa"/>
            <w:tcBorders/>
            <w:vAlign w:val="bottom"/>
          </w:tcPr>
          <w:p>
            <w:pPr>
              <w:pStyle w:val="TableContents"/>
              <w:bidi w:val="0"/>
              <w:spacing w:before="0" w:after="283"/>
              <w:jc w:val="left"/>
              <w:rPr/>
            </w:pPr>
            <w:r>
              <w:rPr/>
              <w:t>  </w:t>
            </w:r>
          </w:p>
        </w:tc>
        <w:tc>
          <w:tcPr>
            <w:tcW w:w="1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Principal Amount</w:t>
              <w:br/>
              <w:t>of</w:t>
              <w:br/>
              <w:t>this Global</w:t>
              <w:br/>
              <w:t>Security</w:t>
              <w:br/>
              <w:t>following such</w:t>
              <w:br/>
              <w:t>decrease or</w:t>
              <w:br/>
              <w:t>increase</w:t>
            </w:r>
          </w:p>
        </w:tc>
        <w:tc>
          <w:tcPr>
            <w:tcW w:w="120" w:type="dxa"/>
            <w:tcBorders/>
            <w:vAlign w:val="bottom"/>
          </w:tcPr>
          <w:p>
            <w:pPr>
              <w:pStyle w:val="TableContents"/>
              <w:bidi w:val="0"/>
              <w:spacing w:before="0" w:after="283"/>
              <w:jc w:val="left"/>
              <w:rPr/>
            </w:pPr>
            <w:r>
              <w:rPr/>
              <w:t>  </w:t>
            </w:r>
          </w:p>
        </w:tc>
        <w:tc>
          <w:tcPr>
            <w:tcW w:w="13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 of</w:t>
              <w:br/>
              <w:t>authorized officer</w:t>
              <w:br/>
              <w:t>of Trustee or</w:t>
              <w:br/>
              <w:t>Note Custodian</w:t>
            </w:r>
          </w:p>
        </w:tc>
      </w:tr>
      <w:tr>
        <w:trPr/>
        <w:tc>
          <w:tcPr>
            <w:tcW w:w="267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Security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p>
    <w:p>
      <w:pPr>
        <w:pStyle w:val="TextBody"/>
        <w:bidi w:val="0"/>
        <w:spacing w:before="0" w:after="0"/>
        <w:jc w:val="right"/>
        <w:rPr>
          <w:rFonts w:ascii="Times New Roman" w:hAnsi="Times New Roman"/>
          <w:b/>
          <w:sz w:val="20"/>
        </w:rPr>
      </w:pPr>
      <w:bookmarkStart w:id="8" w:name="d20600dex51.htm"/>
      <w:bookmarkStart w:id="9" w:name="ksd20600dex51"/>
      <w:bookmarkEnd w:id="8"/>
      <w:bookmarkEnd w:id="9"/>
      <w:r>
        <w:rPr>
          <w:rFonts w:ascii="Times New Roman" w:hAnsi="Times New Roman"/>
          <w:b/>
          <w:sz w:val="20"/>
        </w:rPr>
        <w:t xml:space="preserve">Exhibit 5.1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120" w:after="0"/>
        <w:jc w:val="center"/>
        <w:rPr>
          <w:rFonts w:ascii="Times New Roman" w:hAnsi="Times New Roman"/>
          <w:sz w:val="20"/>
        </w:rPr>
      </w:pPr>
      <w:r>
        <w:rPr>
          <w:rFonts w:ascii="Times New Roman" w:hAnsi="Times New Roman"/>
          <w:sz w:val="20"/>
        </w:rPr>
        <w:t xml:space="preserve">425 LEXINGTON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10017-3954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TELEPHONE: +1-212-455-2000 </w:t>
      </w:r>
    </w:p>
    <w:p>
      <w:pPr>
        <w:pStyle w:val="TextBody"/>
        <w:bidi w:val="0"/>
        <w:spacing w:before="0" w:after="0"/>
        <w:jc w:val="center"/>
        <w:rPr>
          <w:rFonts w:ascii="Times New Roman" w:hAnsi="Times New Roman"/>
          <w:sz w:val="20"/>
        </w:rPr>
      </w:pPr>
      <w:r>
        <w:rPr>
          <w:rFonts w:ascii="Times New Roman" w:hAnsi="Times New Roman"/>
          <w:sz w:val="20"/>
        </w:rPr>
        <w:t xml:space="preserve">FACSIMILE: +1-212-455-2502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2"/>
        <w:gridCol w:w="124"/>
        <w:gridCol w:w="3140"/>
        <w:gridCol w:w="124"/>
        <w:gridCol w:w="3215"/>
      </w:tblGrid>
      <w:tr>
        <w:trPr/>
        <w:tc>
          <w:tcPr>
            <w:tcW w:w="360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3602" w:type="dxa"/>
            <w:tcBorders/>
            <w:vAlign w:val="bottom"/>
          </w:tcPr>
          <w:p>
            <w:pPr>
              <w:pStyle w:val="TableContents"/>
              <w:bidi w:val="0"/>
              <w:spacing w:before="0" w:after="283"/>
              <w:jc w:val="left"/>
              <w:rPr/>
            </w:pPr>
            <w:r>
              <w:rPr/>
              <w:t>Direct Dial Number</w:t>
            </w:r>
          </w:p>
        </w:tc>
        <w:tc>
          <w:tcPr>
            <w:tcW w:w="124" w:type="dxa"/>
            <w:tcBorders/>
            <w:vAlign w:val="bottom"/>
          </w:tcPr>
          <w:p>
            <w:pPr>
              <w:pStyle w:val="TableContents"/>
              <w:bidi w:val="0"/>
              <w:spacing w:before="0" w:after="283"/>
              <w:jc w:val="left"/>
              <w:rPr/>
            </w:pPr>
            <w:r>
              <w:rPr/>
              <w:t>  </w:t>
            </w:r>
          </w:p>
        </w:tc>
        <w:tc>
          <w:tcPr>
            <w:tcW w:w="3140" w:type="dxa"/>
            <w:tcBorders/>
            <w:vAlign w:val="bottom"/>
          </w:tcPr>
          <w:p>
            <w:pPr>
              <w:pStyle w:val="TableContents"/>
              <w:bidi w:val="0"/>
              <w:spacing w:before="0" w:after="0"/>
              <w:jc w:val="left"/>
              <w:rPr/>
            </w:pPr>
            <w:r>
              <w:rPr/>
              <w:t> </w:t>
            </w:r>
          </w:p>
        </w:tc>
        <w:tc>
          <w:tcPr>
            <w:tcW w:w="124" w:type="dxa"/>
            <w:tcBorders/>
            <w:vAlign w:val="bottom"/>
          </w:tcPr>
          <w:p>
            <w:pPr>
              <w:pStyle w:val="TableContents"/>
              <w:bidi w:val="0"/>
              <w:spacing w:before="0" w:after="283"/>
              <w:jc w:val="left"/>
              <w:rPr/>
            </w:pPr>
            <w:r>
              <w:rPr/>
              <w:t>  </w:t>
            </w:r>
          </w:p>
        </w:tc>
        <w:tc>
          <w:tcPr>
            <w:tcW w:w="3215" w:type="dxa"/>
            <w:tcBorders/>
            <w:vAlign w:val="bottom"/>
          </w:tcPr>
          <w:p>
            <w:pPr>
              <w:pStyle w:val="TableContents"/>
              <w:bidi w:val="0"/>
              <w:spacing w:before="0" w:after="283"/>
              <w:jc w:val="right"/>
              <w:rPr/>
            </w:pPr>
            <w:r>
              <w:rPr/>
              <w:t>E-mail Address</w:t>
            </w:r>
          </w:p>
        </w:tc>
      </w:tr>
    </w:tbl>
    <w:p>
      <w:pPr>
        <w:pStyle w:val="TextBody"/>
        <w:bidi w:val="0"/>
        <w:spacing w:before="240" w:after="0"/>
        <w:jc w:val="right"/>
        <w:rPr>
          <w:rFonts w:ascii="Times New Roman" w:hAnsi="Times New Roman"/>
          <w:sz w:val="20"/>
        </w:rPr>
      </w:pPr>
      <w:r>
        <w:rPr>
          <w:rFonts w:ascii="Times New Roman" w:hAnsi="Times New Roman"/>
          <w:sz w:val="20"/>
        </w:rPr>
        <w:t xml:space="preserve">June 16, 2026 </w:t>
      </w:r>
    </w:p>
    <w:p>
      <w:pPr>
        <w:pStyle w:val="TextBody"/>
        <w:bidi w:val="0"/>
        <w:spacing w:before="240" w:after="0"/>
        <w:jc w:val="left"/>
        <w:rPr>
          <w:rFonts w:ascii="Times New Roman" w:hAnsi="Times New Roman"/>
          <w:sz w:val="20"/>
        </w:rPr>
      </w:pPr>
      <w:r>
        <w:rPr>
          <w:rFonts w:ascii="Times New Roman" w:hAnsi="Times New Roman"/>
          <w:sz w:val="20"/>
        </w:rPr>
        <w:t xml:space="preserve">Dell Technologies Inc. </w:t>
      </w:r>
    </w:p>
    <w:p>
      <w:pPr>
        <w:pStyle w:val="TextBody"/>
        <w:bidi w:val="0"/>
        <w:spacing w:before="0" w:after="0"/>
        <w:jc w:val="left"/>
        <w:rPr>
          <w:rFonts w:ascii="Times New Roman" w:hAnsi="Times New Roman"/>
          <w:sz w:val="20"/>
        </w:rPr>
      </w:pPr>
      <w:r>
        <w:rPr>
          <w:rFonts w:ascii="Times New Roman" w:hAnsi="Times New Roman"/>
          <w:sz w:val="20"/>
        </w:rPr>
        <w:t xml:space="preserve">Dell International L.L.C. </w:t>
      </w:r>
    </w:p>
    <w:p>
      <w:pPr>
        <w:pStyle w:val="TextBody"/>
        <w:bidi w:val="0"/>
        <w:spacing w:before="0" w:after="0"/>
        <w:jc w:val="left"/>
        <w:rPr>
          <w:rFonts w:ascii="Times New Roman" w:hAnsi="Times New Roman"/>
          <w:sz w:val="20"/>
        </w:rPr>
      </w:pPr>
      <w:r>
        <w:rPr>
          <w:rFonts w:ascii="Times New Roman" w:hAnsi="Times New Roman"/>
          <w:sz w:val="20"/>
        </w:rPr>
        <w:t xml:space="preserve">Dell Inc. </w:t>
      </w:r>
    </w:p>
    <w:p>
      <w:pPr>
        <w:pStyle w:val="TextBody"/>
        <w:bidi w:val="0"/>
        <w:spacing w:before="0" w:after="0"/>
        <w:jc w:val="left"/>
        <w:rPr>
          <w:rFonts w:ascii="Times New Roman" w:hAnsi="Times New Roman"/>
          <w:sz w:val="20"/>
        </w:rPr>
      </w:pPr>
      <w:r>
        <w:rPr>
          <w:rFonts w:ascii="Times New Roman" w:hAnsi="Times New Roman"/>
          <w:sz w:val="20"/>
        </w:rPr>
        <w:t xml:space="preserve">Denali Intermediate Inc. </w:t>
      </w:r>
    </w:p>
    <w:p>
      <w:pPr>
        <w:pStyle w:val="TextBody"/>
        <w:bidi w:val="0"/>
        <w:spacing w:before="0" w:after="0"/>
        <w:jc w:val="left"/>
        <w:rPr>
          <w:rFonts w:ascii="Times New Roman" w:hAnsi="Times New Roman"/>
          <w:sz w:val="20"/>
        </w:rPr>
      </w:pPr>
      <w:r>
        <w:rPr>
          <w:rFonts w:ascii="Times New Roman" w:hAnsi="Times New Roman"/>
          <w:sz w:val="20"/>
        </w:rPr>
        <w:t xml:space="preserve">One Dell Way </w:t>
      </w:r>
    </w:p>
    <w:p>
      <w:pPr>
        <w:pStyle w:val="TextBody"/>
        <w:bidi w:val="0"/>
        <w:spacing w:before="0" w:after="0"/>
        <w:jc w:val="left"/>
        <w:rPr>
          <w:rFonts w:ascii="Times New Roman" w:hAnsi="Times New Roman"/>
          <w:sz w:val="20"/>
        </w:rPr>
      </w:pPr>
      <w:r>
        <w:rPr>
          <w:rFonts w:ascii="Times New Roman" w:hAnsi="Times New Roman"/>
          <w:sz w:val="20"/>
        </w:rPr>
        <w:t xml:space="preserve">Round Rock, Texas 78682 </w:t>
      </w:r>
    </w:p>
    <w:p>
      <w:pPr>
        <w:pStyle w:val="TextBody"/>
        <w:bidi w:val="0"/>
        <w:spacing w:before="240" w:after="0"/>
        <w:jc w:val="left"/>
        <w:rPr>
          <w:rFonts w:ascii="Times New Roman" w:hAnsi="Times New Roman"/>
          <w:sz w:val="20"/>
        </w:rPr>
      </w:pPr>
      <w:r>
        <w:rPr>
          <w:rFonts w:ascii="Times New Roman" w:hAnsi="Times New Roman"/>
          <w:sz w:val="20"/>
        </w:rPr>
        <w:t xml:space="preserve">EMC Corporation </w:t>
      </w:r>
    </w:p>
    <w:p>
      <w:pPr>
        <w:pStyle w:val="TextBody"/>
        <w:bidi w:val="0"/>
        <w:spacing w:before="0" w:after="0"/>
        <w:jc w:val="left"/>
        <w:rPr>
          <w:rFonts w:ascii="Times New Roman" w:hAnsi="Times New Roman"/>
          <w:sz w:val="20"/>
        </w:rPr>
      </w:pPr>
      <w:r>
        <w:rPr>
          <w:rFonts w:ascii="Times New Roman" w:hAnsi="Times New Roman"/>
          <w:sz w:val="20"/>
        </w:rPr>
        <w:t xml:space="preserve">176 South Street </w:t>
      </w:r>
    </w:p>
    <w:p>
      <w:pPr>
        <w:pStyle w:val="TextBody"/>
        <w:bidi w:val="0"/>
        <w:spacing w:before="0" w:after="0"/>
        <w:jc w:val="left"/>
        <w:rPr>
          <w:rFonts w:ascii="Times New Roman" w:hAnsi="Times New Roman"/>
          <w:sz w:val="20"/>
        </w:rPr>
      </w:pPr>
      <w:r>
        <w:rPr>
          <w:rFonts w:ascii="Times New Roman" w:hAnsi="Times New Roman"/>
          <w:sz w:val="20"/>
        </w:rPr>
        <w:t xml:space="preserve">Hopkinton, Massachusetts 01748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Addressees Stated Above: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Dell International L.L.C., a Delaware limited liability company (“Dell International”), and EMC Corporation, a Massachusetts corporation (“EMC” and, together with Dell International, the “Issuers”), and the guarantors listed in Schedule I to this opinion letter (collectively, the “Guarantors”) in connection with the Registration Statement on Form S-3 (File No. 333-296691) (the “Registration Statement”) filed by the Issuers and the Guarantors with the Securities and Exchange Commission (the “Commission”) under the Securities Act of 1933, as amended, relating to the issuance by the Issuers of $1,000,000,000 aggregate principal amount of 4.750% Senior Notes due 2031 (the “2031 Notes”), $750,000,000 aggregate principal amount of 5.000% Senior Notes due 2034 (the “2034 Notes”) and $1,250,000,000 aggregate principal amount of 5.250% Senior Notes due 2037 (the “2037 Notes” and, together with the 2031 Notes and the 2034 Notes, the “Notes”) and the issuance by the Guarantors of Guarantees (as defined below) with respect to the Notes. </w:t>
      </w:r>
    </w:p>
    <w:p>
      <w:pPr>
        <w:pStyle w:val="TextBody"/>
        <w:bidi w:val="0"/>
        <w:spacing w:before="0" w:after="0"/>
        <w:jc w:val="left"/>
        <w:rPr/>
      </w:pPr>
      <w:r>
        <w:rPr/>
        <w:t> </w:t>
      </w:r>
    </w:p>
    <w:tbl>
      <w:tblPr>
        <w:tblW w:w="19745" w:type="dxa"/>
        <w:jc w:val="center"/>
        <w:tblInd w:w="0" w:type="dxa"/>
        <w:tblLayout w:type="fixed"/>
        <w:tblCellMar>
          <w:top w:w="0" w:type="dxa"/>
          <w:left w:w="0" w:type="dxa"/>
          <w:bottom w:w="0" w:type="dxa"/>
          <w:right w:w="0" w:type="dxa"/>
        </w:tblCellMar>
      </w:tblPr>
      <w:tblGrid>
        <w:gridCol w:w="935"/>
        <w:gridCol w:w="120"/>
        <w:gridCol w:w="1010"/>
        <w:gridCol w:w="120"/>
        <w:gridCol w:w="1235"/>
        <w:gridCol w:w="120"/>
        <w:gridCol w:w="1520"/>
        <w:gridCol w:w="120"/>
        <w:gridCol w:w="1205"/>
        <w:gridCol w:w="120"/>
        <w:gridCol w:w="1070"/>
        <w:gridCol w:w="120"/>
        <w:gridCol w:w="1670"/>
        <w:gridCol w:w="120"/>
        <w:gridCol w:w="1760"/>
        <w:gridCol w:w="120"/>
        <w:gridCol w:w="1385"/>
        <w:gridCol w:w="120"/>
        <w:gridCol w:w="1955"/>
        <w:gridCol w:w="120"/>
        <w:gridCol w:w="1400"/>
        <w:gridCol w:w="120"/>
        <w:gridCol w:w="890"/>
        <w:gridCol w:w="120"/>
        <w:gridCol w:w="2270"/>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935"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205"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070"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670"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760" w:type="dxa"/>
            <w:tcBorders/>
          </w:tcPr>
          <w:p>
            <w:pPr>
              <w:pStyle w:val="TableContents"/>
              <w:bidi w:val="0"/>
              <w:spacing w:before="0" w:after="283"/>
              <w:jc w:val="left"/>
              <w:rPr/>
            </w:pPr>
            <w:r>
              <w:rPr/>
              <w:t>LUXEMBOURG</w:t>
            </w:r>
          </w:p>
        </w:tc>
        <w:tc>
          <w:tcPr>
            <w:tcW w:w="120" w:type="dxa"/>
            <w:tcBorders/>
            <w:vAlign w:val="bottom"/>
          </w:tcPr>
          <w:p>
            <w:pPr>
              <w:pStyle w:val="TableContents"/>
              <w:bidi w:val="0"/>
              <w:spacing w:before="0" w:after="283"/>
              <w:jc w:val="left"/>
              <w:rPr/>
            </w:pPr>
            <w:r>
              <w:rPr/>
              <w:t>  </w:t>
            </w:r>
          </w:p>
        </w:tc>
        <w:tc>
          <w:tcPr>
            <w:tcW w:w="1385" w:type="dxa"/>
            <w:tcBorders/>
          </w:tcPr>
          <w:p>
            <w:pPr>
              <w:pStyle w:val="TableContents"/>
              <w:bidi w:val="0"/>
              <w:spacing w:before="0" w:after="283"/>
              <w:jc w:val="left"/>
              <w:rPr/>
            </w:pPr>
            <w:r>
              <w:rPr/>
              <w:t>PALO ALTO</w:t>
            </w:r>
          </w:p>
        </w:tc>
        <w:tc>
          <w:tcPr>
            <w:tcW w:w="120"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SAN FRANCISCO</w:t>
            </w:r>
          </w:p>
        </w:tc>
        <w:tc>
          <w:tcPr>
            <w:tcW w:w="120" w:type="dxa"/>
            <w:tcBorders/>
            <w:vAlign w:val="bottom"/>
          </w:tcPr>
          <w:p>
            <w:pPr>
              <w:pStyle w:val="TableContents"/>
              <w:bidi w:val="0"/>
              <w:spacing w:before="0" w:after="283"/>
              <w:jc w:val="left"/>
              <w:rPr/>
            </w:pPr>
            <w:r>
              <w:rPr/>
              <w:t>  </w:t>
            </w:r>
          </w:p>
        </w:tc>
        <w:tc>
          <w:tcPr>
            <w:tcW w:w="1400" w:type="dxa"/>
            <w:tcBorders/>
          </w:tcPr>
          <w:p>
            <w:pPr>
              <w:pStyle w:val="TableContents"/>
              <w:bidi w:val="0"/>
              <w:spacing w:before="0" w:after="283"/>
              <w:jc w:val="left"/>
              <w:rPr/>
            </w:pPr>
            <w:r>
              <w:rPr/>
              <w:t>SÃO PAULO</w:t>
            </w:r>
          </w:p>
        </w:tc>
        <w:tc>
          <w:tcPr>
            <w:tcW w:w="120" w:type="dxa"/>
            <w:tcBorders/>
            <w:vAlign w:val="bottom"/>
          </w:tcPr>
          <w:p>
            <w:pPr>
              <w:pStyle w:val="TableContents"/>
              <w:bidi w:val="0"/>
              <w:spacing w:before="0" w:after="283"/>
              <w:jc w:val="left"/>
              <w:rPr/>
            </w:pPr>
            <w:r>
              <w:rPr/>
              <w:t>  </w:t>
            </w:r>
          </w:p>
        </w:tc>
        <w:tc>
          <w:tcPr>
            <w:tcW w:w="890" w:type="dxa"/>
            <w:tcBorders/>
          </w:tcPr>
          <w:p>
            <w:pPr>
              <w:pStyle w:val="TableContents"/>
              <w:bidi w:val="0"/>
              <w:spacing w:before="0" w:after="283"/>
              <w:jc w:val="left"/>
              <w:rPr/>
            </w:pPr>
            <w:r>
              <w:rPr/>
              <w:t>TOKYO</w:t>
            </w:r>
          </w:p>
        </w:tc>
        <w:tc>
          <w:tcPr>
            <w:tcW w:w="120" w:type="dxa"/>
            <w:tcBorders/>
            <w:vAlign w:val="bottom"/>
          </w:tcPr>
          <w:p>
            <w:pPr>
              <w:pStyle w:val="TableContents"/>
              <w:bidi w:val="0"/>
              <w:spacing w:before="0" w:after="283"/>
              <w:jc w:val="left"/>
              <w:rPr/>
            </w:pPr>
            <w:r>
              <w:rPr/>
              <w:t>  </w:t>
            </w:r>
          </w:p>
        </w:tc>
        <w:tc>
          <w:tcPr>
            <w:tcW w:w="2270" w:type="dxa"/>
            <w:tcBorders/>
          </w:tcPr>
          <w:p>
            <w:pPr>
              <w:pStyle w:val="TableContents"/>
              <w:bidi w:val="0"/>
              <w:spacing w:before="0" w:after="283"/>
              <w:jc w:val="left"/>
              <w:rPr/>
            </w:pPr>
            <w:r>
              <w:rPr/>
              <w:t>WASHINGTON, D.C.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5"/>
        <w:gridCol w:w="120"/>
        <w:gridCol w:w="3186"/>
        <w:gridCol w:w="120"/>
        <w:gridCol w:w="3134"/>
      </w:tblGrid>
      <w:tr>
        <w:trPr/>
        <w:tc>
          <w:tcPr>
            <w:tcW w:w="36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Dell Technologies Inc.</w:t>
            </w:r>
          </w:p>
          <w:p>
            <w:pPr>
              <w:pStyle w:val="TableContents"/>
              <w:bidi w:val="0"/>
              <w:spacing w:before="0" w:after="0"/>
              <w:jc w:val="left"/>
              <w:rPr>
                <w:rFonts w:ascii="Times New Roman" w:hAnsi="Times New Roman"/>
                <w:sz w:val="20"/>
              </w:rPr>
            </w:pPr>
            <w:r>
              <w:rPr>
                <w:rFonts w:ascii="Times New Roman" w:hAnsi="Times New Roman"/>
                <w:sz w:val="20"/>
              </w:rPr>
              <w:t>Dell International L.L.C.</w:t>
            </w:r>
          </w:p>
          <w:p>
            <w:pPr>
              <w:pStyle w:val="TableContents"/>
              <w:bidi w:val="0"/>
              <w:spacing w:before="0" w:after="20"/>
              <w:jc w:val="left"/>
              <w:rPr>
                <w:rFonts w:ascii="Times New Roman" w:hAnsi="Times New Roman"/>
                <w:sz w:val="20"/>
              </w:rPr>
            </w:pPr>
            <w:r>
              <w:rPr>
                <w:rFonts w:ascii="Times New Roman" w:hAnsi="Times New Roman"/>
                <w:sz w:val="20"/>
              </w:rPr>
              <w:t>EMC Corporation, et al.</w:t>
            </w:r>
          </w:p>
        </w:tc>
        <w:tc>
          <w:tcPr>
            <w:tcW w:w="120" w:type="dxa"/>
            <w:tcBorders/>
            <w:vAlign w:val="bottom"/>
          </w:tcPr>
          <w:p>
            <w:pPr>
              <w:pStyle w:val="TableContents"/>
              <w:bidi w:val="0"/>
              <w:spacing w:before="0" w:after="283"/>
              <w:jc w:val="left"/>
              <w:rPr/>
            </w:pPr>
            <w:r>
              <w:rPr/>
              <w:t>  </w:t>
            </w:r>
          </w:p>
        </w:tc>
        <w:tc>
          <w:tcPr>
            <w:tcW w:w="3186" w:type="dxa"/>
            <w:tcBorders/>
            <w:vAlign w:val="bottom"/>
          </w:tcPr>
          <w:p>
            <w:pPr>
              <w:pStyle w:val="TableContents"/>
              <w:bidi w:val="0"/>
              <w:spacing w:before="0" w:after="283"/>
              <w:jc w:val="center"/>
              <w:rPr/>
            </w:pPr>
            <w:r>
              <w:rPr/>
              <w:t>-2-</w:t>
            </w:r>
          </w:p>
        </w:tc>
        <w:tc>
          <w:tcPr>
            <w:tcW w:w="120"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283"/>
              <w:jc w:val="right"/>
              <w:rPr/>
            </w:pPr>
            <w:r>
              <w:rPr/>
              <w:t>June 16,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examined the Registration Statement; the Underwriting Agreement, dated June 11, 2026 (the “Underwriting Agreement”), among the Issuers, the Guarantors and the several underwriters named therein, pursuant to which such underwriters have agreed to purchase the Notes issued by the Issuers and unconditionally guaranteed by the Guarantors; the Indenture, dated as of January 24, 2023 (the “Base Indenture”), among the Issuers, the Guarantors and The Bank of New York Mellon Trust Company, N.A., as trustee (the “Trustee”), and as supplemented by the 2031 Notes Supplemental Indenture No. 1, dated as of June 16, 2026 relating to the 2031 Notes, the 2034 Notes Supplemental Indenture No. 1, dated as of June 16, 2026 relating to the 2034 Notes, and the 2037 Notes Supplemental Indenture No. 1, dated as of June 16, 2026 relating to the 2037 Notes (collectively, the “Notes Supplemental Indentures” and, together with the Base Indenture, the “Indenture”); duplicates of the global notes representing the Notes; and the guarantees whose terms are set forth in the Indenture (the “Guarantees”).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Issuers and the Guarantors and have made such other investigations as we have deemed relevant and necessary in connection with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5"/>
        <w:gridCol w:w="120"/>
        <w:gridCol w:w="3186"/>
        <w:gridCol w:w="120"/>
        <w:gridCol w:w="3134"/>
      </w:tblGrid>
      <w:tr>
        <w:trPr/>
        <w:tc>
          <w:tcPr>
            <w:tcW w:w="36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Dell Technologies Inc.</w:t>
            </w:r>
          </w:p>
          <w:p>
            <w:pPr>
              <w:pStyle w:val="TableContents"/>
              <w:bidi w:val="0"/>
              <w:spacing w:before="0" w:after="0"/>
              <w:jc w:val="left"/>
              <w:rPr>
                <w:rFonts w:ascii="Times New Roman" w:hAnsi="Times New Roman"/>
                <w:sz w:val="20"/>
              </w:rPr>
            </w:pPr>
            <w:r>
              <w:rPr>
                <w:rFonts w:ascii="Times New Roman" w:hAnsi="Times New Roman"/>
                <w:sz w:val="20"/>
              </w:rPr>
              <w:t>Dell International L.L.C.</w:t>
            </w:r>
          </w:p>
          <w:p>
            <w:pPr>
              <w:pStyle w:val="TableContents"/>
              <w:bidi w:val="0"/>
              <w:spacing w:before="0" w:after="20"/>
              <w:jc w:val="left"/>
              <w:rPr>
                <w:rFonts w:ascii="Times New Roman" w:hAnsi="Times New Roman"/>
                <w:sz w:val="20"/>
              </w:rPr>
            </w:pPr>
            <w:r>
              <w:rPr>
                <w:rFonts w:ascii="Times New Roman" w:hAnsi="Times New Roman"/>
                <w:sz w:val="20"/>
              </w:rPr>
              <w:t>EMC Corporation, et al.</w:t>
            </w:r>
          </w:p>
        </w:tc>
        <w:tc>
          <w:tcPr>
            <w:tcW w:w="120" w:type="dxa"/>
            <w:tcBorders/>
            <w:vAlign w:val="bottom"/>
          </w:tcPr>
          <w:p>
            <w:pPr>
              <w:pStyle w:val="TableContents"/>
              <w:bidi w:val="0"/>
              <w:spacing w:before="0" w:after="283"/>
              <w:jc w:val="left"/>
              <w:rPr/>
            </w:pPr>
            <w:r>
              <w:rPr/>
              <w:t>  </w:t>
            </w:r>
          </w:p>
        </w:tc>
        <w:tc>
          <w:tcPr>
            <w:tcW w:w="3186" w:type="dxa"/>
            <w:tcBorders/>
            <w:vAlign w:val="bottom"/>
          </w:tcPr>
          <w:p>
            <w:pPr>
              <w:pStyle w:val="TableContents"/>
              <w:bidi w:val="0"/>
              <w:spacing w:before="0" w:after="283"/>
              <w:jc w:val="center"/>
              <w:rPr/>
            </w:pPr>
            <w:r>
              <w:rPr/>
              <w:t>-3-</w:t>
            </w:r>
          </w:p>
        </w:tc>
        <w:tc>
          <w:tcPr>
            <w:tcW w:w="120"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283"/>
              <w:jc w:val="right"/>
              <w:rPr/>
            </w:pPr>
            <w:r>
              <w:rPr/>
              <w:t>June 16, 2026</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further that the execution, issuance, delivery and performance by each of the Issuers and the Guarantors of the Underwriting Agreement, the Indenture, the Notes and the Guarantees, as applicable, do not constitute a breach or default under any agreement or instrument which is binding upon any of the Issuers or Guarantors.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Assuming due authentication thereof by the Trustee and upon payment and delivery in accordance with the provisions of the Underwriting Agreement, the Notes will constitute valid and legally binding obligations of the Issuers enforceable against the Issuers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2. Assuming due authentication of the Notes by the Trustee and upon payment for and delivery of the Notes in accordance with the Underwriting Agreement, the Guarantees will constitute valid and legally binding obligations of the Guarantors enforceable against the Guarantors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Our opinions set forth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Section 13.15 of the Base Indenture relating to the severability of provisions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13.08 of the Base Indenture whereby the parties submit to the jurisdiction of the courts of the United States of America located in The City of New York, we note the limitations of 28 U.S.C. Sections 1331 and 1332 on subject matter jurisdiction of the U.S. federal courts.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5"/>
        <w:gridCol w:w="120"/>
        <w:gridCol w:w="3186"/>
        <w:gridCol w:w="120"/>
        <w:gridCol w:w="3134"/>
      </w:tblGrid>
      <w:tr>
        <w:trPr/>
        <w:tc>
          <w:tcPr>
            <w:tcW w:w="36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Dell Technologies Inc.</w:t>
            </w:r>
          </w:p>
          <w:p>
            <w:pPr>
              <w:pStyle w:val="TableContents"/>
              <w:bidi w:val="0"/>
              <w:spacing w:before="0" w:after="0"/>
              <w:jc w:val="left"/>
              <w:rPr>
                <w:rFonts w:ascii="Times New Roman" w:hAnsi="Times New Roman"/>
                <w:sz w:val="20"/>
              </w:rPr>
            </w:pPr>
            <w:r>
              <w:rPr>
                <w:rFonts w:ascii="Times New Roman" w:hAnsi="Times New Roman"/>
                <w:sz w:val="20"/>
              </w:rPr>
              <w:t>Dell International L.L.C.</w:t>
            </w:r>
          </w:p>
          <w:p>
            <w:pPr>
              <w:pStyle w:val="TableContents"/>
              <w:bidi w:val="0"/>
              <w:spacing w:before="0" w:after="20"/>
              <w:jc w:val="left"/>
              <w:rPr>
                <w:rFonts w:ascii="Times New Roman" w:hAnsi="Times New Roman"/>
                <w:sz w:val="20"/>
              </w:rPr>
            </w:pPr>
            <w:r>
              <w:rPr>
                <w:rFonts w:ascii="Times New Roman" w:hAnsi="Times New Roman"/>
                <w:sz w:val="20"/>
              </w:rPr>
              <w:t>EMC Corporation, et al.</w:t>
            </w:r>
          </w:p>
        </w:tc>
        <w:tc>
          <w:tcPr>
            <w:tcW w:w="120" w:type="dxa"/>
            <w:tcBorders/>
            <w:vAlign w:val="bottom"/>
          </w:tcPr>
          <w:p>
            <w:pPr>
              <w:pStyle w:val="TableContents"/>
              <w:bidi w:val="0"/>
              <w:spacing w:before="0" w:after="283"/>
              <w:jc w:val="left"/>
              <w:rPr/>
            </w:pPr>
            <w:r>
              <w:rPr/>
              <w:t>  </w:t>
            </w:r>
          </w:p>
        </w:tc>
        <w:tc>
          <w:tcPr>
            <w:tcW w:w="3186" w:type="dxa"/>
            <w:tcBorders/>
            <w:vAlign w:val="bottom"/>
          </w:tcPr>
          <w:p>
            <w:pPr>
              <w:pStyle w:val="TableContents"/>
              <w:bidi w:val="0"/>
              <w:spacing w:before="0" w:after="283"/>
              <w:jc w:val="center"/>
              <w:rPr/>
            </w:pPr>
            <w:r>
              <w:rPr/>
              <w:t>-4-</w:t>
            </w:r>
          </w:p>
        </w:tc>
        <w:tc>
          <w:tcPr>
            <w:tcW w:w="120" w:type="dxa"/>
            <w:tcBorders/>
            <w:vAlign w:val="bottom"/>
          </w:tcPr>
          <w:p>
            <w:pPr>
              <w:pStyle w:val="TableContents"/>
              <w:bidi w:val="0"/>
              <w:spacing w:before="0" w:after="283"/>
              <w:jc w:val="left"/>
              <w:rPr/>
            </w:pPr>
            <w:r>
              <w:rPr/>
              <w:t>  </w:t>
            </w:r>
          </w:p>
        </w:tc>
        <w:tc>
          <w:tcPr>
            <w:tcW w:w="3134" w:type="dxa"/>
            <w:tcBorders/>
            <w:vAlign w:val="bottom"/>
          </w:tcPr>
          <w:p>
            <w:pPr>
              <w:pStyle w:val="TableContents"/>
              <w:bidi w:val="0"/>
              <w:spacing w:before="0" w:after="283"/>
              <w:jc w:val="right"/>
              <w:rPr/>
            </w:pPr>
            <w:r>
              <w:rPr/>
              <w:t>June 16,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do not express any opinion herein concerning any law other than the law of the State of New York, the Delaware General Corporation Law, the Delaware Limited Liability Company Act and the Massachusetts Business Corporation Act. We expressly disclaim coverage of any other Delaware or Massachusetts law, except judicial decisions interpreting the Delaware General Corporation Law, the Delaware Limited Liability Company Act and the Massachusetts Business Corporation Act,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Current Report on Form 8-K of Dell Technologies Inc. filed with the Commission in connection with the offer and sale of the Notes by the Issuers and to the use of our name under the caption “Validity of Securities” in the prospectus included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Simpson Thacher &amp; Bartlett LLP</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SIMPSON THACHER &amp; BARTLETT LLP</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DELAWARE GUARANTORS </w:t>
      </w:r>
    </w:p>
    <w:p>
      <w:pPr>
        <w:pStyle w:val="TextBody"/>
        <w:bidi w:val="0"/>
        <w:spacing w:before="240" w:after="0"/>
        <w:jc w:val="left"/>
        <w:rPr>
          <w:rFonts w:ascii="Times New Roman" w:hAnsi="Times New Roman"/>
          <w:sz w:val="20"/>
        </w:rPr>
      </w:pPr>
      <w:r>
        <w:rPr>
          <w:rFonts w:ascii="Times New Roman" w:hAnsi="Times New Roman"/>
          <w:sz w:val="20"/>
        </w:rPr>
        <w:t xml:space="preserve">Dell Inc. </w:t>
      </w:r>
    </w:p>
    <w:p>
      <w:pPr>
        <w:pStyle w:val="TextBody"/>
        <w:bidi w:val="0"/>
        <w:spacing w:before="0" w:after="0"/>
        <w:jc w:val="left"/>
        <w:rPr>
          <w:rFonts w:ascii="Times New Roman" w:hAnsi="Times New Roman"/>
          <w:sz w:val="20"/>
        </w:rPr>
      </w:pPr>
      <w:r>
        <w:rPr>
          <w:rFonts w:ascii="Times New Roman" w:hAnsi="Times New Roman"/>
          <w:sz w:val="20"/>
        </w:rPr>
        <w:t xml:space="preserve">Dell Technologies Inc. </w:t>
      </w:r>
    </w:p>
    <w:p>
      <w:pPr>
        <w:pStyle w:val="TextBody"/>
        <w:bidi w:val="0"/>
        <w:spacing w:before="0" w:after="0"/>
        <w:jc w:val="left"/>
        <w:rPr>
          <w:rFonts w:ascii="Times New Roman" w:hAnsi="Times New Roman"/>
          <w:sz w:val="20"/>
        </w:rPr>
      </w:pPr>
      <w:r>
        <w:rPr>
          <w:rFonts w:ascii="Times New Roman" w:hAnsi="Times New Roman"/>
          <w:sz w:val="20"/>
        </w:rPr>
        <w:t xml:space="preserve">Denali Intermediate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35931</Words>
  <Characters>182389</Characters>
  <CharactersWithSpaces>218806</CharactersWithSpaces>
  <Paragraphs>1460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