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66"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(Mark One)</w:t>
      </w:r>
    </w:p>
    <w:p>
      <w:pPr>
        <w:spacing w:after="0" w:line="28" w:lineRule="exact"/>
        <w:rPr>
          <w:sz w:val="24"/>
          <w:szCs w:val="24"/>
          <w:color w:val="auto"/>
        </w:rPr>
      </w:pPr>
    </w:p>
    <w:p>
      <w:pPr>
        <w:ind w:left="2280" w:right="3020" w:hanging="501"/>
        <w:spacing w:after="0" w:line="180" w:lineRule="auto"/>
        <w:tabs>
          <w:tab w:leader="none" w:pos="2280" w:val="left"/>
        </w:tabs>
        <w:numPr>
          <w:ilvl w:val="0"/>
          <w:numId w:val="1"/>
        </w:numPr>
        <w:rPr>
          <w:rFonts w:ascii="MS PGothic" w:cs="MS PGothic" w:eastAsia="MS PGothic" w:hAnsi="MS PGothic"/>
          <w:sz w:val="31"/>
          <w:szCs w:val="31"/>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02"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For the fiscal year ended January 28, 2022</w:t>
      </w:r>
    </w:p>
    <w:p>
      <w:pPr>
        <w:spacing w:after="0" w:line="32"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2280" w:right="2700" w:hanging="501"/>
        <w:spacing w:after="0" w:line="180" w:lineRule="auto"/>
        <w:tabs>
          <w:tab w:leader="none" w:pos="2280" w:val="left"/>
        </w:tabs>
        <w:numPr>
          <w:ilvl w:val="0"/>
          <w:numId w:val="2"/>
        </w:numPr>
        <w:rPr>
          <w:rFonts w:ascii="MS PGothic" w:cs="MS PGothic" w:eastAsia="MS PGothic" w:hAnsi="MS PGothic"/>
          <w:sz w:val="31"/>
          <w:szCs w:val="31"/>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80" w:type="dxa"/>
            <w:vAlign w:val="bottom"/>
            <w:gridSpan w:val="3"/>
          </w:tcPr>
          <w:p>
            <w:pPr>
              <w:ind w:left="1140"/>
              <w:spacing w:after="0"/>
              <w:rPr>
                <w:sz w:val="20"/>
                <w:szCs w:val="20"/>
                <w:color w:val="auto"/>
              </w:rPr>
            </w:pPr>
            <w:r>
              <w:rPr>
                <w:rFonts w:ascii="Arial" w:cs="Arial" w:eastAsia="Arial" w:hAnsi="Arial"/>
                <w:sz w:val="16"/>
                <w:szCs w:val="16"/>
                <w:b w:val="1"/>
                <w:bCs w:val="1"/>
                <w:color w:val="auto"/>
                <w:w w:val="94"/>
              </w:rPr>
              <w:t>For the transition period from</w:t>
            </w:r>
          </w:p>
        </w:tc>
        <w:tc>
          <w:tcPr>
            <w:tcW w:w="400" w:type="dxa"/>
            <w:vAlign w:val="bottom"/>
            <w:tcBorders>
              <w:bottom w:val="single" w:sz="8" w:color="auto"/>
            </w:tcBorders>
            <w:gridSpan w:val="2"/>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3140" w:type="dxa"/>
            <w:vAlign w:val="bottom"/>
            <w:gridSpan w:val="2"/>
          </w:tcPr>
          <w:p>
            <w:pPr>
              <w:spacing w:after="0"/>
              <w:rPr>
                <w:sz w:val="16"/>
                <w:szCs w:val="16"/>
                <w:color w:val="auto"/>
              </w:rPr>
            </w:pPr>
          </w:p>
        </w:tc>
      </w:tr>
      <w:tr>
        <w:trPr>
          <w:trHeight w:val="312"/>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Arial" w:cs="Arial" w:eastAsia="Arial" w:hAnsi="Arial"/>
                <w:sz w:val="16"/>
                <w:szCs w:val="16"/>
                <w:b w:val="1"/>
                <w:bCs w:val="1"/>
                <w:color w:val="auto"/>
                <w:w w:val="91"/>
              </w:rPr>
              <w:t>Commission File Number: 001-37867</w:t>
            </w:r>
          </w:p>
        </w:tc>
      </w:tr>
      <w:tr>
        <w:trPr>
          <w:trHeight w:val="402"/>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Arial" w:cs="Arial" w:eastAsia="Arial" w:hAnsi="Arial"/>
                <w:sz w:val="29"/>
                <w:szCs w:val="29"/>
                <w:b w:val="1"/>
                <w:bCs w:val="1"/>
                <w:color w:val="auto"/>
                <w:w w:val="87"/>
              </w:rPr>
              <w:t>Dell Technologies Inc.</w:t>
            </w:r>
          </w:p>
        </w:tc>
      </w:tr>
      <w:tr>
        <w:trPr>
          <w:trHeight w:val="267"/>
        </w:trPr>
        <w:tc>
          <w:tcPr>
            <w:tcW w:w="1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200" w:type="dxa"/>
            <w:vAlign w:val="bottom"/>
            <w:gridSpan w:val="8"/>
          </w:tcPr>
          <w:p>
            <w:pPr>
              <w:jc w:val="center"/>
              <w:ind w:right="3159"/>
              <w:spacing w:after="0"/>
              <w:rPr>
                <w:sz w:val="20"/>
                <w:szCs w:val="20"/>
                <w:color w:val="auto"/>
              </w:rPr>
            </w:pPr>
            <w:r>
              <w:rPr>
                <w:rFonts w:ascii="Arial" w:cs="Arial" w:eastAsia="Arial" w:hAnsi="Arial"/>
                <w:sz w:val="14"/>
                <w:szCs w:val="14"/>
                <w:color w:val="auto"/>
                <w:w w:val="92"/>
              </w:rPr>
              <w:t>(Exact name of registrant as specified in its charter)</w:t>
            </w:r>
          </w:p>
        </w:tc>
      </w:tr>
      <w:tr>
        <w:trPr>
          <w:trHeight w:val="452"/>
        </w:trPr>
        <w:tc>
          <w:tcPr>
            <w:tcW w:w="1220" w:type="dxa"/>
            <w:vAlign w:val="bottom"/>
          </w:tcPr>
          <w:p>
            <w:pPr>
              <w:spacing w:after="0"/>
              <w:rPr>
                <w:sz w:val="24"/>
                <w:szCs w:val="24"/>
                <w:color w:val="auto"/>
              </w:rPr>
            </w:pPr>
          </w:p>
        </w:tc>
        <w:tc>
          <w:tcPr>
            <w:tcW w:w="242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91"/>
              </w:rPr>
              <w:t>Delaware</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4"/>
          </w:tcPr>
          <w:p>
            <w:pPr>
              <w:jc w:val="right"/>
              <w:ind w:right="1359"/>
              <w:spacing w:after="0"/>
              <w:rPr>
                <w:sz w:val="20"/>
                <w:szCs w:val="20"/>
                <w:color w:val="auto"/>
              </w:rPr>
            </w:pPr>
            <w:r>
              <w:rPr>
                <w:rFonts w:ascii="Arial" w:cs="Arial" w:eastAsia="Arial" w:hAnsi="Arial"/>
                <w:sz w:val="16"/>
                <w:szCs w:val="16"/>
                <w:b w:val="1"/>
                <w:bCs w:val="1"/>
                <w:color w:val="auto"/>
              </w:rPr>
              <w:t>80-0890963</w:t>
            </w:r>
          </w:p>
        </w:tc>
      </w:tr>
      <w:tr>
        <w:trPr>
          <w:trHeight w:val="216"/>
        </w:trPr>
        <w:tc>
          <w:tcPr>
            <w:tcW w:w="6080" w:type="dxa"/>
            <w:vAlign w:val="bottom"/>
            <w:gridSpan w:val="7"/>
          </w:tcPr>
          <w:p>
            <w:pPr>
              <w:jc w:val="center"/>
              <w:ind w:right="16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2"/>
          </w:tcPr>
          <w:p>
            <w:pPr>
              <w:jc w:val="center"/>
              <w:ind w:right="439"/>
              <w:spacing w:after="0"/>
              <w:rPr>
                <w:sz w:val="20"/>
                <w:szCs w:val="20"/>
                <w:color w:val="auto"/>
              </w:rPr>
            </w:pPr>
            <w:r>
              <w:rPr>
                <w:rFonts w:ascii="Arial" w:cs="Arial" w:eastAsia="Arial" w:hAnsi="Arial"/>
                <w:sz w:val="16"/>
                <w:szCs w:val="16"/>
                <w:color w:val="auto"/>
                <w:w w:val="94"/>
              </w:rPr>
              <w:t>(I.R.S. Employer Identification No.)</w:t>
            </w:r>
          </w:p>
        </w:tc>
      </w:tr>
      <w:tr>
        <w:trPr>
          <w:trHeight w:val="334"/>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39"/>
              <w:spacing w:after="0"/>
              <w:rPr>
                <w:sz w:val="20"/>
                <w:szCs w:val="20"/>
                <w:color w:val="auto"/>
              </w:rPr>
            </w:pPr>
            <w:r>
              <w:rPr>
                <w:rFonts w:ascii="Arial" w:cs="Arial" w:eastAsia="Arial" w:hAnsi="Arial"/>
                <w:sz w:val="16"/>
                <w:szCs w:val="16"/>
                <w:b w:val="1"/>
                <w:bCs w:val="1"/>
                <w:color w:val="auto"/>
                <w:w w:val="91"/>
              </w:rPr>
              <w:t>One Dell Way, Round Rock, Texas 78682</w:t>
            </w:r>
          </w:p>
        </w:tc>
      </w:tr>
      <w:tr>
        <w:trPr>
          <w:trHeight w:val="206"/>
        </w:trPr>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40" w:type="dxa"/>
            <w:vAlign w:val="bottom"/>
            <w:gridSpan w:val="9"/>
          </w:tcPr>
          <w:p>
            <w:pPr>
              <w:jc w:val="center"/>
              <w:ind w:right="191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415"/>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gridSpan w:val="2"/>
          </w:tcPr>
          <w:p>
            <w:pPr>
              <w:jc w:val="center"/>
              <w:ind w:left="808"/>
              <w:spacing w:after="0"/>
              <w:rPr>
                <w:sz w:val="20"/>
                <w:szCs w:val="20"/>
                <w:color w:val="auto"/>
              </w:rPr>
            </w:pPr>
            <w:r>
              <w:rPr>
                <w:rFonts w:ascii="Arial" w:cs="Arial" w:eastAsia="Arial" w:hAnsi="Arial"/>
                <w:sz w:val="16"/>
                <w:szCs w:val="16"/>
                <w:b w:val="1"/>
                <w:bCs w:val="1"/>
                <w:color w:val="auto"/>
                <w:w w:val="93"/>
              </w:rPr>
              <w:t>1-800-289-3355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40" w:type="dxa"/>
            <w:vAlign w:val="bottom"/>
            <w:gridSpan w:val="9"/>
          </w:tcPr>
          <w:p>
            <w:pPr>
              <w:jc w:val="center"/>
              <w:ind w:right="191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432"/>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40" w:type="dxa"/>
            <w:vAlign w:val="bottom"/>
            <w:gridSpan w:val="9"/>
          </w:tcPr>
          <w:p>
            <w:pPr>
              <w:jc w:val="center"/>
              <w:ind w:right="189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76"/>
        </w:trPr>
        <w:tc>
          <w:tcPr>
            <w:tcW w:w="1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6"/>
                <w:szCs w:val="16"/>
                <w:color w:val="auto"/>
                <w:w w:val="93"/>
              </w:rPr>
              <w:t>Trading Symbol(s)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2"/>
          </w:tcPr>
          <w:p>
            <w:pPr>
              <w:jc w:val="center"/>
              <w:ind w:left="199"/>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2"/>
        </w:trPr>
        <w:tc>
          <w:tcPr>
            <w:tcW w:w="36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Class C Common Stock, par value of $0.01 per share</w:t>
            </w:r>
          </w:p>
        </w:tc>
        <w:tc>
          <w:tcPr>
            <w:tcW w:w="840" w:type="dxa"/>
            <w:vAlign w:val="bottom"/>
          </w:tcPr>
          <w:p>
            <w:pPr>
              <w:spacing w:after="0"/>
              <w:rPr>
                <w:sz w:val="20"/>
                <w:szCs w:val="20"/>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rPr>
              <w:t>DELL</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139"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6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52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35"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of July 30, 2021, the last business day of the registrant’s most recently completed second fiscal quarter, the aggregate market value of the shares of the registrant’s common stock held by non-affiliates was approximately $27.4 billion (based on the closing price of $96.62 per share of Class C Common Stock reported on the New York Stock Exchange on that date).</w:t>
      </w:r>
    </w:p>
    <w:p>
      <w:pPr>
        <w:spacing w:after="0" w:line="88"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As of March 22, 2022, there were 760,398,349 shares of the registrant’s common stock outstanding, consisting of 286,567,599 outstanding shares of Class C Common Stock, 378,480,523 outstanding shares of Class A Common Stock, and 95,350,227 outstanding shares of Class B Common Stock.</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DOCUMENTS INCORPORATED BY REFERENCE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by reference from the registrant’s proxy statement relating to its annual meeting of stockholders to be held in 2022. The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report contains </w:t>
      </w:r>
      <w:r>
        <w:rPr>
          <w:rFonts w:ascii="Arial" w:cs="Arial" w:eastAsia="Arial" w:hAnsi="Arial"/>
          <w:sz w:val="15"/>
          <w:szCs w:val="15"/>
          <w:color w:val="auto"/>
        </w:rPr>
        <w:t>“</w:t>
      </w:r>
      <w:r>
        <w:rPr>
          <w:rFonts w:ascii="Arial" w:cs="Arial" w:eastAsia="Arial" w:hAnsi="Arial"/>
          <w:sz w:val="17"/>
          <w:szCs w:val="17"/>
          <w:color w:val="auto"/>
        </w:rPr>
        <w:t>forward-looking statements</w:t>
      </w:r>
      <w:r>
        <w:rPr>
          <w:rFonts w:ascii="Arial" w:cs="Arial" w:eastAsia="Arial" w:hAnsi="Arial"/>
          <w:sz w:val="15"/>
          <w:szCs w:val="15"/>
          <w:color w:val="auto"/>
        </w:rPr>
        <w:t>”</w:t>
      </w:r>
      <w:r>
        <w:rPr>
          <w:rFonts w:ascii="Arial" w:cs="Arial" w:eastAsia="Arial" w:hAnsi="Arial"/>
          <w:sz w:val="17"/>
          <w:szCs w:val="17"/>
          <w:color w:val="auto"/>
        </w:rPr>
        <w:t xml:space="preserve"> within the meaning of Section 27A of the Securities Act of 1933 and Section 21E of the Securities Exchange Act of 1934. The words </w:t>
      </w:r>
      <w:r>
        <w:rPr>
          <w:rFonts w:ascii="Arial" w:cs="Arial" w:eastAsia="Arial" w:hAnsi="Arial"/>
          <w:sz w:val="15"/>
          <w:szCs w:val="15"/>
          <w:color w:val="auto"/>
        </w:rPr>
        <w:t>“</w:t>
      </w:r>
      <w:r>
        <w:rPr>
          <w:rFonts w:ascii="Arial" w:cs="Arial" w:eastAsia="Arial" w:hAnsi="Arial"/>
          <w:sz w:val="17"/>
          <w:szCs w:val="17"/>
          <w:color w:val="auto"/>
        </w:rPr>
        <w:t>may,</w:t>
      </w:r>
      <w:r>
        <w:rPr>
          <w:rFonts w:ascii="Arial" w:cs="Arial" w:eastAsia="Arial" w:hAnsi="Arial"/>
          <w:sz w:val="15"/>
          <w:szCs w:val="15"/>
          <w:color w:val="auto"/>
        </w:rPr>
        <w:t>” “</w:t>
      </w:r>
      <w:r>
        <w:rPr>
          <w:rFonts w:ascii="Arial" w:cs="Arial" w:eastAsia="Arial" w:hAnsi="Arial"/>
          <w:sz w:val="17"/>
          <w:szCs w:val="17"/>
          <w:color w:val="auto"/>
        </w:rPr>
        <w:t>will,</w:t>
      </w:r>
      <w:r>
        <w:rPr>
          <w:rFonts w:ascii="Arial" w:cs="Arial" w:eastAsia="Arial" w:hAnsi="Arial"/>
          <w:sz w:val="15"/>
          <w:szCs w:val="15"/>
          <w:color w:val="auto"/>
        </w:rPr>
        <w:t>” “</w:t>
      </w:r>
      <w:r>
        <w:rPr>
          <w:rFonts w:ascii="Arial" w:cs="Arial" w:eastAsia="Arial" w:hAnsi="Arial"/>
          <w:sz w:val="17"/>
          <w:szCs w:val="17"/>
          <w:color w:val="auto"/>
        </w:rPr>
        <w:t>anticipate,</w:t>
      </w:r>
      <w:r>
        <w:rPr>
          <w:rFonts w:ascii="Arial" w:cs="Arial" w:eastAsia="Arial" w:hAnsi="Arial"/>
          <w:sz w:val="15"/>
          <w:szCs w:val="15"/>
          <w:color w:val="auto"/>
        </w:rPr>
        <w:t>” “</w:t>
      </w:r>
      <w:r>
        <w:rPr>
          <w:rFonts w:ascii="Arial" w:cs="Arial" w:eastAsia="Arial" w:hAnsi="Arial"/>
          <w:sz w:val="17"/>
          <w:szCs w:val="17"/>
          <w:color w:val="auto"/>
        </w:rPr>
        <w:t>estimate,</w:t>
      </w:r>
      <w:r>
        <w:rPr>
          <w:rFonts w:ascii="Arial" w:cs="Arial" w:eastAsia="Arial" w:hAnsi="Arial"/>
          <w:sz w:val="15"/>
          <w:szCs w:val="15"/>
          <w:color w:val="auto"/>
        </w:rPr>
        <w:t>” “</w:t>
      </w:r>
      <w:r>
        <w:rPr>
          <w:rFonts w:ascii="Arial" w:cs="Arial" w:eastAsia="Arial" w:hAnsi="Arial"/>
          <w:sz w:val="17"/>
          <w:szCs w:val="17"/>
          <w:color w:val="auto"/>
        </w:rPr>
        <w:t>expect,</w:t>
      </w:r>
      <w:r>
        <w:rPr>
          <w:rFonts w:ascii="Arial" w:cs="Arial" w:eastAsia="Arial" w:hAnsi="Arial"/>
          <w:sz w:val="15"/>
          <w:szCs w:val="15"/>
          <w:color w:val="auto"/>
        </w:rPr>
        <w:t>” “</w:t>
      </w:r>
      <w:r>
        <w:rPr>
          <w:rFonts w:ascii="Arial" w:cs="Arial" w:eastAsia="Arial" w:hAnsi="Arial"/>
          <w:sz w:val="17"/>
          <w:szCs w:val="17"/>
          <w:color w:val="auto"/>
        </w:rPr>
        <w:t>intend,</w:t>
      </w:r>
      <w:r>
        <w:rPr>
          <w:rFonts w:ascii="Arial" w:cs="Arial" w:eastAsia="Arial" w:hAnsi="Arial"/>
          <w:sz w:val="15"/>
          <w:szCs w:val="15"/>
          <w:color w:val="auto"/>
        </w:rPr>
        <w:t>” “</w:t>
      </w:r>
      <w:r>
        <w:rPr>
          <w:rFonts w:ascii="Arial" w:cs="Arial" w:eastAsia="Arial" w:hAnsi="Arial"/>
          <w:sz w:val="17"/>
          <w:szCs w:val="17"/>
          <w:color w:val="auto"/>
        </w:rPr>
        <w:t>plan,</w:t>
      </w:r>
      <w:r>
        <w:rPr>
          <w:rFonts w:ascii="Arial" w:cs="Arial" w:eastAsia="Arial" w:hAnsi="Arial"/>
          <w:sz w:val="15"/>
          <w:szCs w:val="15"/>
          <w:color w:val="auto"/>
        </w:rPr>
        <w:t>” “</w:t>
      </w:r>
      <w:r>
        <w:rPr>
          <w:rFonts w:ascii="Arial" w:cs="Arial" w:eastAsia="Arial" w:hAnsi="Arial"/>
          <w:sz w:val="17"/>
          <w:szCs w:val="17"/>
          <w:color w:val="auto"/>
        </w:rPr>
        <w:t>aim,</w:t>
      </w:r>
      <w:r>
        <w:rPr>
          <w:rFonts w:ascii="Arial" w:cs="Arial" w:eastAsia="Arial" w:hAnsi="Arial"/>
          <w:sz w:val="15"/>
          <w:szCs w:val="15"/>
          <w:color w:val="auto"/>
        </w:rPr>
        <w:t>” “</w:t>
      </w:r>
      <w:r>
        <w:rPr>
          <w:rFonts w:ascii="Arial" w:cs="Arial" w:eastAsia="Arial" w:hAnsi="Arial"/>
          <w:sz w:val="17"/>
          <w:szCs w:val="17"/>
          <w:color w:val="auto"/>
        </w:rPr>
        <w:t>seek,</w:t>
      </w:r>
      <w:r>
        <w:rPr>
          <w:rFonts w:ascii="Arial" w:cs="Arial" w:eastAsia="Arial" w:hAnsi="Arial"/>
          <w:sz w:val="15"/>
          <w:szCs w:val="15"/>
          <w:color w:val="auto"/>
        </w:rPr>
        <w:t>”</w:t>
      </w:r>
      <w:r>
        <w:rPr>
          <w:rFonts w:ascii="Arial" w:cs="Arial" w:eastAsia="Arial" w:hAnsi="Arial"/>
          <w:sz w:val="17"/>
          <w:szCs w:val="17"/>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future responses to and effects of the coronavirus disease 2019 (“COVID-19”),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60" w:type="dxa"/>
            <w:vAlign w:val="bottom"/>
            <w:gridSpan w:val="12"/>
          </w:tcPr>
          <w:p>
            <w:pPr>
              <w:jc w:val="center"/>
              <w:ind w:right="2840"/>
              <w:spacing w:after="0"/>
              <w:rPr>
                <w:sz w:val="20"/>
                <w:szCs w:val="20"/>
                <w:color w:val="auto"/>
              </w:rPr>
            </w:pPr>
            <w:r>
              <w:rPr>
                <w:rFonts w:ascii="Arial" w:cs="Arial" w:eastAsia="Arial" w:hAnsi="Arial"/>
                <w:sz w:val="18"/>
                <w:szCs w:val="18"/>
                <w:b w:val="1"/>
                <w:bCs w:val="1"/>
                <w:color w:val="auto"/>
              </w:rPr>
              <w:t>DELL TECHNOLOGIES INC.</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40" w:type="dxa"/>
            <w:vAlign w:val="bottom"/>
            <w:gridSpan w:val="11"/>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20" w:type="dxa"/>
            <w:vAlign w:val="bottom"/>
            <w:gridSpan w:val="8"/>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89"/>
        </w:trPr>
        <w:tc>
          <w:tcPr>
            <w:tcW w:w="1720" w:type="dxa"/>
            <w:vAlign w:val="bottom"/>
            <w:gridSpan w:val="8"/>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 w:type="dxa"/>
            <w:vAlign w:val="bottom"/>
            <w:tcBorders>
              <w:top w:val="single" w:sz="8" w:color="0000FF"/>
              <w:bottom w:val="single" w:sz="8" w:color="0000FF"/>
            </w:tcBorders>
          </w:tcPr>
          <w:p>
            <w:pPr>
              <w:spacing w:after="0"/>
              <w:rPr>
                <w:rFonts w:ascii="Arial" w:cs="Arial" w:eastAsia="Arial" w:hAnsi="Arial"/>
                <w:sz w:val="18"/>
                <w:szCs w:val="18"/>
                <w:color w:val="0000FF"/>
                <w:w w:val="83"/>
              </w:rPr>
            </w:pPr>
            <w:hyperlink w:anchor="page5">
              <w:r>
                <w:rPr>
                  <w:rFonts w:ascii="Arial" w:cs="Arial" w:eastAsia="Arial" w:hAnsi="Arial"/>
                  <w:sz w:val="18"/>
                  <w:szCs w:val="18"/>
                  <w:color w:val="0000FF"/>
                  <w:w w:val="83"/>
                </w:rPr>
                <w:t>Item 1.</w:t>
              </w:r>
            </w:hyperlink>
          </w:p>
        </w:tc>
        <w:tc>
          <w:tcPr>
            <w:tcW w:w="80" w:type="dxa"/>
            <w:vAlign w:val="bottom"/>
            <w:tcBorders>
              <w:top w:val="single" w:sz="8" w:color="0000FF"/>
            </w:tcBorders>
          </w:tcPr>
          <w:p>
            <w:pPr>
              <w:spacing w:after="0"/>
              <w:rPr>
                <w:sz w:val="18"/>
                <w:szCs w:val="18"/>
                <w:color w:val="auto"/>
              </w:rPr>
            </w:pPr>
          </w:p>
        </w:tc>
        <w:tc>
          <w:tcPr>
            <w:tcW w:w="1140" w:type="dxa"/>
            <w:vAlign w:val="bottom"/>
            <w:gridSpan w:val="6"/>
          </w:tcPr>
          <w:p>
            <w:pPr>
              <w:spacing w:after="0"/>
              <w:rPr>
                <w:sz w:val="18"/>
                <w:szCs w:val="18"/>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7860" w:type="dxa"/>
            <w:vAlign w:val="bottom"/>
            <w:gridSpan w:val="20"/>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rFonts w:ascii="Arial" w:cs="Arial" w:eastAsia="Arial" w:hAnsi="Arial"/>
                <w:sz w:val="18"/>
                <w:szCs w:val="18"/>
                <w:color w:val="0000FF"/>
                <w:w w:val="83"/>
              </w:rPr>
            </w:pPr>
            <w:hyperlink w:anchor="page17">
              <w:r>
                <w:rPr>
                  <w:rFonts w:ascii="Arial" w:cs="Arial" w:eastAsia="Arial" w:hAnsi="Arial"/>
                  <w:sz w:val="18"/>
                  <w:szCs w:val="18"/>
                  <w:color w:val="0000FF"/>
                  <w:w w:val="83"/>
                </w:rPr>
                <w:t>Item 1A.</w:t>
              </w:r>
            </w:hyperlink>
          </w:p>
        </w:tc>
        <w:tc>
          <w:tcPr>
            <w:tcW w:w="1120" w:type="dxa"/>
            <w:vAlign w:val="bottom"/>
            <w:gridSpan w:val="5"/>
          </w:tcPr>
          <w:p>
            <w:pPr>
              <w:spacing w:after="0"/>
              <w:rPr>
                <w:sz w:val="18"/>
                <w:szCs w:val="18"/>
                <w:color w:val="auto"/>
              </w:rPr>
            </w:pPr>
          </w:p>
        </w:tc>
        <w:tc>
          <w:tcPr>
            <w:tcW w:w="900" w:type="dxa"/>
            <w:vAlign w:val="bottom"/>
            <w:gridSpan w:val="4"/>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Risk Factors</w:t>
              </w:r>
            </w:hyperlink>
          </w:p>
        </w:tc>
        <w:tc>
          <w:tcPr>
            <w:tcW w:w="7600" w:type="dxa"/>
            <w:vAlign w:val="bottom"/>
            <w:gridSpan w:val="17"/>
          </w:tcPr>
          <w:p>
            <w:pPr>
              <w:spacing w:after="0"/>
              <w:rPr>
                <w:sz w:val="18"/>
                <w:szCs w:val="18"/>
                <w:color w:val="auto"/>
              </w:rPr>
            </w:pPr>
          </w:p>
        </w:tc>
        <w:tc>
          <w:tcPr>
            <w:tcW w:w="720" w:type="dxa"/>
            <w:vAlign w:val="bottom"/>
            <w:gridSpan w:val="2"/>
          </w:tcPr>
          <w:p>
            <w:pPr>
              <w:jc w:val="center"/>
              <w:ind w:left="45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Arial" w:cs="Arial" w:eastAsia="Arial" w:hAnsi="Arial"/>
                <w:sz w:val="18"/>
                <w:szCs w:val="18"/>
                <w:color w:val="0000FF"/>
                <w:w w:val="83"/>
              </w:rPr>
            </w:pPr>
            <w:hyperlink w:anchor="page31">
              <w:r>
                <w:rPr>
                  <w:rFonts w:ascii="Arial" w:cs="Arial" w:eastAsia="Arial" w:hAnsi="Arial"/>
                  <w:sz w:val="18"/>
                  <w:szCs w:val="18"/>
                  <w:color w:val="0000FF"/>
                  <w:w w:val="83"/>
                </w:rPr>
                <w:t>Item 1B.</w:t>
              </w:r>
            </w:hyperlink>
          </w:p>
        </w:tc>
        <w:tc>
          <w:tcPr>
            <w:tcW w:w="1120" w:type="dxa"/>
            <w:vAlign w:val="bottom"/>
            <w:gridSpan w:val="5"/>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720" w:type="dxa"/>
            <w:vAlign w:val="bottom"/>
            <w:gridSpan w:val="2"/>
          </w:tcPr>
          <w:p>
            <w:pPr>
              <w:jc w:val="center"/>
              <w:ind w:left="45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rFonts w:ascii="Arial" w:cs="Arial" w:eastAsia="Arial" w:hAnsi="Arial"/>
                <w:sz w:val="18"/>
                <w:szCs w:val="18"/>
                <w:color w:val="0000FF"/>
                <w:w w:val="83"/>
              </w:rPr>
            </w:pPr>
            <w:hyperlink w:anchor="page32">
              <w:r>
                <w:rPr>
                  <w:rFonts w:ascii="Arial" w:cs="Arial" w:eastAsia="Arial" w:hAnsi="Arial"/>
                  <w:sz w:val="18"/>
                  <w:szCs w:val="18"/>
                  <w:color w:val="0000FF"/>
                  <w:w w:val="83"/>
                </w:rPr>
                <w:t>Item 2.</w:t>
              </w:r>
            </w:hyperlink>
          </w:p>
        </w:tc>
        <w:tc>
          <w:tcPr>
            <w:tcW w:w="100" w:type="dxa"/>
            <w:vAlign w:val="bottom"/>
            <w:gridSpan w:val="2"/>
          </w:tcPr>
          <w:p>
            <w:pPr>
              <w:spacing w:after="0"/>
              <w:rPr>
                <w:sz w:val="18"/>
                <w:szCs w:val="18"/>
                <w:color w:val="auto"/>
              </w:rPr>
            </w:pPr>
          </w:p>
        </w:tc>
        <w:tc>
          <w:tcPr>
            <w:tcW w:w="1120" w:type="dxa"/>
            <w:vAlign w:val="bottom"/>
            <w:gridSpan w:val="5"/>
          </w:tcPr>
          <w:p>
            <w:pPr>
              <w:spacing w:after="0"/>
              <w:rPr>
                <w:sz w:val="18"/>
                <w:szCs w:val="18"/>
                <w:color w:val="auto"/>
              </w:rPr>
            </w:pPr>
          </w:p>
        </w:tc>
        <w:tc>
          <w:tcPr>
            <w:tcW w:w="2040" w:type="dxa"/>
            <w:vAlign w:val="bottom"/>
            <w:gridSpan w:val="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Properties</w:t>
              </w:r>
            </w:hyperlink>
          </w:p>
        </w:tc>
        <w:tc>
          <w:tcPr>
            <w:tcW w:w="6460" w:type="dxa"/>
            <w:vAlign w:val="bottom"/>
            <w:gridSpan w:val="12"/>
          </w:tcPr>
          <w:p>
            <w:pPr>
              <w:spacing w:after="0"/>
              <w:rPr>
                <w:sz w:val="18"/>
                <w:szCs w:val="18"/>
                <w:color w:val="auto"/>
              </w:rPr>
            </w:pPr>
          </w:p>
        </w:tc>
        <w:tc>
          <w:tcPr>
            <w:tcW w:w="720" w:type="dxa"/>
            <w:vAlign w:val="bottom"/>
            <w:gridSpan w:val="2"/>
          </w:tcPr>
          <w:p>
            <w:pPr>
              <w:jc w:val="center"/>
              <w:ind w:left="45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rFonts w:ascii="Arial" w:cs="Arial" w:eastAsia="Arial" w:hAnsi="Arial"/>
                <w:sz w:val="18"/>
                <w:szCs w:val="18"/>
                <w:color w:val="0000FF"/>
                <w:w w:val="83"/>
              </w:rPr>
            </w:pPr>
            <w:hyperlink w:anchor="page32">
              <w:r>
                <w:rPr>
                  <w:rFonts w:ascii="Arial" w:cs="Arial" w:eastAsia="Arial" w:hAnsi="Arial"/>
                  <w:sz w:val="18"/>
                  <w:szCs w:val="18"/>
                  <w:color w:val="0000FF"/>
                  <w:w w:val="83"/>
                </w:rPr>
                <w:t>Item 3.</w:t>
              </w:r>
            </w:hyperlink>
          </w:p>
        </w:tc>
        <w:tc>
          <w:tcPr>
            <w:tcW w:w="1220" w:type="dxa"/>
            <w:vAlign w:val="bottom"/>
            <w:gridSpan w:val="7"/>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720" w:type="dxa"/>
            <w:vAlign w:val="bottom"/>
            <w:gridSpan w:val="2"/>
          </w:tcPr>
          <w:p>
            <w:pPr>
              <w:jc w:val="center"/>
              <w:ind w:left="45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rFonts w:ascii="Arial" w:cs="Arial" w:eastAsia="Arial" w:hAnsi="Arial"/>
                <w:sz w:val="18"/>
                <w:szCs w:val="18"/>
                <w:color w:val="0000FF"/>
                <w:w w:val="83"/>
              </w:rPr>
            </w:pPr>
            <w:hyperlink w:anchor="page32">
              <w:r>
                <w:rPr>
                  <w:rFonts w:ascii="Arial" w:cs="Arial" w:eastAsia="Arial" w:hAnsi="Arial"/>
                  <w:sz w:val="18"/>
                  <w:szCs w:val="18"/>
                  <w:color w:val="0000FF"/>
                  <w:w w:val="83"/>
                </w:rPr>
                <w:t>Item 4.</w:t>
              </w:r>
            </w:hyperlink>
          </w:p>
        </w:tc>
        <w:tc>
          <w:tcPr>
            <w:tcW w:w="1220" w:type="dxa"/>
            <w:vAlign w:val="bottom"/>
            <w:gridSpan w:val="7"/>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720" w:type="dxa"/>
            <w:vAlign w:val="bottom"/>
            <w:gridSpan w:val="2"/>
          </w:tcPr>
          <w:p>
            <w:pPr>
              <w:jc w:val="center"/>
              <w:ind w:left="45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0000FF"/>
            </w:tcBorders>
            <w:gridSpan w:val="4"/>
          </w:tcPr>
          <w:p>
            <w:pPr>
              <w:spacing w:after="0" w:line="189" w:lineRule="exact"/>
              <w:rPr>
                <w:rFonts w:ascii="Arial" w:cs="Arial" w:eastAsia="Arial" w:hAnsi="Arial"/>
                <w:sz w:val="18"/>
                <w:szCs w:val="18"/>
                <w:b w:val="1"/>
                <w:bCs w:val="1"/>
                <w:color w:val="0000FF"/>
                <w:w w:val="99"/>
              </w:rPr>
            </w:pPr>
            <w:hyperlink w:anchor="page32">
              <w:r>
                <w:rPr>
                  <w:rFonts w:ascii="Arial" w:cs="Arial" w:eastAsia="Arial" w:hAnsi="Arial"/>
                  <w:sz w:val="18"/>
                  <w:szCs w:val="18"/>
                  <w:b w:val="1"/>
                  <w:bCs w:val="1"/>
                  <w:color w:val="0000FF"/>
                  <w:w w:val="99"/>
                </w:rPr>
                <w:t>PART II</w:t>
              </w:r>
            </w:hyperlink>
          </w:p>
        </w:tc>
        <w:tc>
          <w:tcPr>
            <w:tcW w:w="106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rFonts w:ascii="Arial" w:cs="Arial" w:eastAsia="Arial" w:hAnsi="Arial"/>
                <w:sz w:val="18"/>
                <w:szCs w:val="18"/>
                <w:color w:val="0000FF"/>
                <w:w w:val="83"/>
              </w:rPr>
            </w:pPr>
            <w:hyperlink w:anchor="page33">
              <w:r>
                <w:rPr>
                  <w:rFonts w:ascii="Arial" w:cs="Arial" w:eastAsia="Arial" w:hAnsi="Arial"/>
                  <w:sz w:val="18"/>
                  <w:szCs w:val="18"/>
                  <w:color w:val="0000FF"/>
                  <w:w w:val="83"/>
                </w:rPr>
                <w:t>Item 5.</w:t>
              </w:r>
            </w:hyperlink>
          </w:p>
        </w:tc>
        <w:tc>
          <w:tcPr>
            <w:tcW w:w="1220" w:type="dxa"/>
            <w:vAlign w:val="bottom"/>
            <w:gridSpan w:val="7"/>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Market for Registrant’s Common Equity, Related Stockholder Matters and Issuer Purchases of Equity Securities</w:t>
              </w:r>
            </w:hyperlink>
          </w:p>
        </w:tc>
        <w:tc>
          <w:tcPr>
            <w:tcW w:w="720" w:type="dxa"/>
            <w:vAlign w:val="bottom"/>
            <w:gridSpan w:val="2"/>
          </w:tcPr>
          <w:p>
            <w:pPr>
              <w:jc w:val="center"/>
              <w:ind w:left="45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rFonts w:ascii="Arial" w:cs="Arial" w:eastAsia="Arial" w:hAnsi="Arial"/>
                <w:sz w:val="18"/>
                <w:szCs w:val="18"/>
                <w:color w:val="0000FF"/>
                <w:w w:val="83"/>
              </w:rPr>
            </w:pPr>
            <w:hyperlink w:anchor="page35">
              <w:r>
                <w:rPr>
                  <w:rFonts w:ascii="Arial" w:cs="Arial" w:eastAsia="Arial" w:hAnsi="Arial"/>
                  <w:sz w:val="18"/>
                  <w:szCs w:val="18"/>
                  <w:color w:val="0000FF"/>
                  <w:w w:val="83"/>
                </w:rPr>
                <w:t>Item 6.</w:t>
              </w:r>
            </w:hyperlink>
          </w:p>
        </w:tc>
        <w:tc>
          <w:tcPr>
            <w:tcW w:w="1220" w:type="dxa"/>
            <w:vAlign w:val="bottom"/>
            <w:gridSpan w:val="7"/>
          </w:tcPr>
          <w:p>
            <w:pPr>
              <w:spacing w:after="0"/>
              <w:rPr>
                <w:sz w:val="18"/>
                <w:szCs w:val="18"/>
                <w:color w:val="auto"/>
              </w:rPr>
            </w:pPr>
          </w:p>
        </w:tc>
        <w:tc>
          <w:tcPr>
            <w:tcW w:w="8060" w:type="dxa"/>
            <w:vAlign w:val="bottom"/>
            <w:gridSpan w:val="20"/>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[Reserved]</w:t>
              </w:r>
            </w:hyperlink>
          </w:p>
        </w:tc>
        <w:tc>
          <w:tcPr>
            <w:tcW w:w="440" w:type="dxa"/>
            <w:vAlign w:val="bottom"/>
          </w:tcPr>
          <w:p>
            <w:pPr>
              <w:spacing w:after="0"/>
              <w:rPr>
                <w:sz w:val="18"/>
                <w:szCs w:val="18"/>
                <w:color w:val="auto"/>
              </w:rPr>
            </w:pPr>
          </w:p>
        </w:tc>
        <w:tc>
          <w:tcPr>
            <w:tcW w:w="720" w:type="dxa"/>
            <w:vAlign w:val="bottom"/>
            <w:gridSpan w:val="2"/>
          </w:tcPr>
          <w:p>
            <w:pPr>
              <w:jc w:val="center"/>
              <w:ind w:left="45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rFonts w:ascii="Arial" w:cs="Arial" w:eastAsia="Arial" w:hAnsi="Arial"/>
                <w:sz w:val="18"/>
                <w:szCs w:val="18"/>
                <w:color w:val="0000FF"/>
                <w:w w:val="83"/>
              </w:rPr>
            </w:pPr>
            <w:hyperlink w:anchor="page35">
              <w:r>
                <w:rPr>
                  <w:rFonts w:ascii="Arial" w:cs="Arial" w:eastAsia="Arial" w:hAnsi="Arial"/>
                  <w:sz w:val="18"/>
                  <w:szCs w:val="18"/>
                  <w:color w:val="0000FF"/>
                  <w:w w:val="83"/>
                </w:rPr>
                <w:t>Item 7.</w:t>
              </w:r>
            </w:hyperlink>
          </w:p>
        </w:tc>
        <w:tc>
          <w:tcPr>
            <w:tcW w:w="1220" w:type="dxa"/>
            <w:vAlign w:val="bottom"/>
            <w:gridSpan w:val="7"/>
          </w:tcPr>
          <w:p>
            <w:pPr>
              <w:spacing w:after="0"/>
              <w:rPr>
                <w:sz w:val="18"/>
                <w:szCs w:val="18"/>
                <w:color w:val="auto"/>
              </w:rPr>
            </w:pPr>
          </w:p>
        </w:tc>
        <w:tc>
          <w:tcPr>
            <w:tcW w:w="6460" w:type="dxa"/>
            <w:vAlign w:val="bottom"/>
            <w:gridSpan w:val="17"/>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Management’s Discussion and Analysis of Financial Condition and Results of Operations</w:t>
              </w:r>
            </w:hyperlink>
          </w:p>
        </w:tc>
        <w:tc>
          <w:tcPr>
            <w:tcW w:w="2040" w:type="dxa"/>
            <w:vAlign w:val="bottom"/>
            <w:gridSpan w:val="4"/>
          </w:tcPr>
          <w:p>
            <w:pPr>
              <w:spacing w:after="0"/>
              <w:rPr>
                <w:sz w:val="18"/>
                <w:szCs w:val="18"/>
                <w:color w:val="auto"/>
              </w:rPr>
            </w:pPr>
          </w:p>
        </w:tc>
        <w:tc>
          <w:tcPr>
            <w:tcW w:w="720" w:type="dxa"/>
            <w:vAlign w:val="bottom"/>
            <w:gridSpan w:val="2"/>
          </w:tcPr>
          <w:p>
            <w:pPr>
              <w:jc w:val="center"/>
              <w:ind w:left="45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Borders>
              <w:bottom w:val="single" w:sz="8" w:color="0000FF"/>
            </w:tcBorders>
            <w:gridSpan w:val="5"/>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7A.</w:t>
              </w:r>
            </w:hyperlink>
          </w:p>
        </w:tc>
        <w:tc>
          <w:tcPr>
            <w:tcW w:w="1000" w:type="dxa"/>
            <w:vAlign w:val="bottom"/>
            <w:gridSpan w:val="3"/>
          </w:tcPr>
          <w:p>
            <w:pPr>
              <w:spacing w:after="0"/>
              <w:rPr>
                <w:sz w:val="18"/>
                <w:szCs w:val="18"/>
                <w:color w:val="auto"/>
              </w:rPr>
            </w:pPr>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73">
              <w:r>
                <w:rPr>
                  <w:rFonts w:ascii="Arial" w:cs="Arial" w:eastAsia="Arial" w:hAnsi="Arial"/>
                  <w:sz w:val="18"/>
                  <w:szCs w:val="18"/>
                  <w:color w:val="0000FF"/>
                  <w:w w:val="92"/>
                </w:rPr>
                <w:t>Quantitative and Qualitative Disclosures About Market Risk</w:t>
              </w:r>
            </w:hyperlink>
          </w:p>
        </w:tc>
        <w:tc>
          <w:tcPr>
            <w:tcW w:w="4140" w:type="dxa"/>
            <w:vAlign w:val="bottom"/>
            <w:gridSpan w:val="7"/>
          </w:tcPr>
          <w:p>
            <w:pPr>
              <w:spacing w:after="0"/>
              <w:rPr>
                <w:sz w:val="18"/>
                <w:szCs w:val="18"/>
                <w:color w:val="auto"/>
              </w:rPr>
            </w:pPr>
          </w:p>
        </w:tc>
        <w:tc>
          <w:tcPr>
            <w:tcW w:w="720" w:type="dxa"/>
            <w:vAlign w:val="bottom"/>
            <w:gridSpan w:val="2"/>
          </w:tcPr>
          <w:p>
            <w:pPr>
              <w:jc w:val="center"/>
              <w:ind w:left="450"/>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74</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8.</w:t>
              </w:r>
            </w:hyperlink>
          </w:p>
        </w:tc>
        <w:tc>
          <w:tcPr>
            <w:tcW w:w="1120" w:type="dxa"/>
            <w:vAlign w:val="bottom"/>
            <w:gridSpan w:val="5"/>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Financial Statements and Supplementary Data</w:t>
              </w:r>
            </w:hyperlink>
          </w:p>
        </w:tc>
        <w:tc>
          <w:tcPr>
            <w:tcW w:w="720" w:type="dxa"/>
            <w:vAlign w:val="bottom"/>
            <w:gridSpan w:val="2"/>
          </w:tcPr>
          <w:p>
            <w:pPr>
              <w:jc w:val="center"/>
              <w:ind w:left="450"/>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76</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rFonts w:ascii="Arial" w:cs="Arial" w:eastAsia="Arial" w:hAnsi="Arial"/>
                <w:sz w:val="18"/>
                <w:szCs w:val="18"/>
                <w:color w:val="0000FF"/>
                <w:w w:val="83"/>
              </w:rPr>
            </w:pPr>
            <w:hyperlink w:anchor="page158">
              <w:r>
                <w:rPr>
                  <w:rFonts w:ascii="Arial" w:cs="Arial" w:eastAsia="Arial" w:hAnsi="Arial"/>
                  <w:sz w:val="18"/>
                  <w:szCs w:val="18"/>
                  <w:color w:val="0000FF"/>
                  <w:w w:val="83"/>
                </w:rPr>
                <w:t>Item 9.</w:t>
              </w:r>
            </w:hyperlink>
          </w:p>
        </w:tc>
        <w:tc>
          <w:tcPr>
            <w:tcW w:w="100" w:type="dxa"/>
            <w:vAlign w:val="bottom"/>
            <w:gridSpan w:val="2"/>
          </w:tcPr>
          <w:p>
            <w:pPr>
              <w:spacing w:after="0"/>
              <w:rPr>
                <w:sz w:val="18"/>
                <w:szCs w:val="18"/>
                <w:color w:val="auto"/>
              </w:rPr>
            </w:pPr>
          </w:p>
        </w:tc>
        <w:tc>
          <w:tcPr>
            <w:tcW w:w="1120" w:type="dxa"/>
            <w:vAlign w:val="bottom"/>
            <w:gridSpan w:val="5"/>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Changes in and Disagreements With Accountants on Accounting and Financial Disclosure</w:t>
              </w:r>
            </w:hyperlink>
          </w:p>
        </w:tc>
        <w:tc>
          <w:tcPr>
            <w:tcW w:w="820" w:type="dxa"/>
            <w:vAlign w:val="bottom"/>
            <w:gridSpan w:val="3"/>
          </w:tcPr>
          <w:p>
            <w:pPr>
              <w:jc w:val="center"/>
              <w:ind w:left="350"/>
              <w:spacing w:after="0"/>
              <w:rPr>
                <w:rFonts w:ascii="Arial" w:cs="Arial" w:eastAsia="Arial" w:hAnsi="Arial"/>
                <w:sz w:val="18"/>
                <w:szCs w:val="18"/>
                <w:color w:val="0000FF"/>
                <w:w w:val="86"/>
              </w:rPr>
            </w:pPr>
            <w:hyperlink w:anchor="page158">
              <w:r>
                <w:rPr>
                  <w:rFonts w:ascii="Arial" w:cs="Arial" w:eastAsia="Arial" w:hAnsi="Arial"/>
                  <w:sz w:val="18"/>
                  <w:szCs w:val="18"/>
                  <w:color w:val="0000FF"/>
                  <w:w w:val="86"/>
                </w:rPr>
                <w:t>159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Arial" w:cs="Arial" w:eastAsia="Arial" w:hAnsi="Arial"/>
                <w:sz w:val="18"/>
                <w:szCs w:val="18"/>
                <w:color w:val="0000FF"/>
                <w:w w:val="83"/>
              </w:rPr>
            </w:pPr>
            <w:hyperlink w:anchor="page159">
              <w:r>
                <w:rPr>
                  <w:rFonts w:ascii="Arial" w:cs="Arial" w:eastAsia="Arial" w:hAnsi="Arial"/>
                  <w:sz w:val="18"/>
                  <w:szCs w:val="18"/>
                  <w:color w:val="0000FF"/>
                  <w:w w:val="83"/>
                </w:rPr>
                <w:t>Item 9A.</w:t>
              </w:r>
            </w:hyperlink>
          </w:p>
        </w:tc>
        <w:tc>
          <w:tcPr>
            <w:tcW w:w="1120" w:type="dxa"/>
            <w:vAlign w:val="bottom"/>
            <w:gridSpan w:val="5"/>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Controls and Procedures</w:t>
              </w:r>
            </w:hyperlink>
          </w:p>
        </w:tc>
        <w:tc>
          <w:tcPr>
            <w:tcW w:w="820" w:type="dxa"/>
            <w:vAlign w:val="bottom"/>
            <w:gridSpan w:val="3"/>
          </w:tcPr>
          <w:p>
            <w:pPr>
              <w:jc w:val="center"/>
              <w:ind w:left="350"/>
              <w:spacing w:after="0"/>
              <w:rPr>
                <w:rFonts w:ascii="Arial" w:cs="Arial" w:eastAsia="Arial" w:hAnsi="Arial"/>
                <w:sz w:val="18"/>
                <w:szCs w:val="18"/>
                <w:color w:val="0000FF"/>
                <w:w w:val="86"/>
              </w:rPr>
            </w:pPr>
            <w:hyperlink w:anchor="page159">
              <w:r>
                <w:rPr>
                  <w:rFonts w:ascii="Arial" w:cs="Arial" w:eastAsia="Arial" w:hAnsi="Arial"/>
                  <w:sz w:val="18"/>
                  <w:szCs w:val="18"/>
                  <w:color w:val="0000FF"/>
                  <w:w w:val="86"/>
                </w:rPr>
                <w:t>159</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rFonts w:ascii="Arial" w:cs="Arial" w:eastAsia="Arial" w:hAnsi="Arial"/>
                <w:sz w:val="18"/>
                <w:szCs w:val="18"/>
                <w:color w:val="0000FF"/>
                <w:w w:val="83"/>
              </w:rPr>
            </w:pPr>
            <w:hyperlink w:anchor="page160">
              <w:r>
                <w:rPr>
                  <w:rFonts w:ascii="Arial" w:cs="Arial" w:eastAsia="Arial" w:hAnsi="Arial"/>
                  <w:sz w:val="18"/>
                  <w:szCs w:val="18"/>
                  <w:color w:val="0000FF"/>
                  <w:w w:val="83"/>
                </w:rPr>
                <w:t>Item 9B.</w:t>
              </w:r>
            </w:hyperlink>
          </w:p>
        </w:tc>
        <w:tc>
          <w:tcPr>
            <w:tcW w:w="1120" w:type="dxa"/>
            <w:vAlign w:val="bottom"/>
            <w:gridSpan w:val="5"/>
          </w:tcPr>
          <w:p>
            <w:pPr>
              <w:spacing w:after="0"/>
              <w:rPr>
                <w:sz w:val="18"/>
                <w:szCs w:val="18"/>
                <w:color w:val="auto"/>
              </w:rPr>
            </w:pPr>
          </w:p>
        </w:tc>
        <w:tc>
          <w:tcPr>
            <w:tcW w:w="1760" w:type="dxa"/>
            <w:vAlign w:val="bottom"/>
            <w:gridSpan w:val="7"/>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Other Information</w:t>
              </w:r>
            </w:hyperlink>
          </w:p>
        </w:tc>
        <w:tc>
          <w:tcPr>
            <w:tcW w:w="6740" w:type="dxa"/>
            <w:vAlign w:val="bottom"/>
            <w:gridSpan w:val="14"/>
          </w:tcPr>
          <w:p>
            <w:pPr>
              <w:spacing w:after="0"/>
              <w:rPr>
                <w:sz w:val="18"/>
                <w:szCs w:val="18"/>
                <w:color w:val="auto"/>
              </w:rPr>
            </w:pPr>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0">
              <w:r>
                <w:rPr>
                  <w:rFonts w:ascii="Arial" w:cs="Arial" w:eastAsia="Arial" w:hAnsi="Arial"/>
                  <w:sz w:val="18"/>
                  <w:szCs w:val="18"/>
                  <w:color w:val="0000FF"/>
                  <w:w w:val="86"/>
                </w:rPr>
                <w:t>161</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gridSpan w:val="8"/>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Item 9C.</w:t>
              </w:r>
            </w:hyperlink>
          </w:p>
        </w:tc>
        <w:tc>
          <w:tcPr>
            <w:tcW w:w="8500" w:type="dxa"/>
            <w:vAlign w:val="bottom"/>
            <w:gridSpan w:val="21"/>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Disclosure Regarding Foreign Jurisdictions that Prevent Inspections</w:t>
              </w:r>
            </w:hyperlink>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1">
              <w:r>
                <w:rPr>
                  <w:rFonts w:ascii="Arial" w:cs="Arial" w:eastAsia="Arial" w:hAnsi="Arial"/>
                  <w:sz w:val="18"/>
                  <w:szCs w:val="18"/>
                  <w:color w:val="0000FF"/>
                  <w:w w:val="86"/>
                </w:rPr>
                <w:t>161</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tcBorders>
              <w:bottom w:val="single" w:sz="8" w:color="0000FF"/>
            </w:tcBorders>
            <w:gridSpan w:val="6"/>
          </w:tcPr>
          <w:p>
            <w:pPr>
              <w:spacing w:after="0" w:line="189" w:lineRule="exact"/>
              <w:rPr>
                <w:rFonts w:ascii="Arial" w:cs="Arial" w:eastAsia="Arial" w:hAnsi="Arial"/>
                <w:sz w:val="18"/>
                <w:szCs w:val="18"/>
                <w:b w:val="1"/>
                <w:bCs w:val="1"/>
                <w:color w:val="0000FF"/>
              </w:rPr>
            </w:pPr>
            <w:hyperlink w:anchor="page161">
              <w:r>
                <w:rPr>
                  <w:rFonts w:ascii="Arial" w:cs="Arial" w:eastAsia="Arial" w:hAnsi="Arial"/>
                  <w:sz w:val="18"/>
                  <w:szCs w:val="18"/>
                  <w:b w:val="1"/>
                  <w:bCs w:val="1"/>
                  <w:color w:val="0000FF"/>
                </w:rPr>
                <w:t>PART III</w:t>
              </w:r>
            </w:hyperlink>
          </w:p>
        </w:tc>
        <w:tc>
          <w:tcPr>
            <w:tcW w:w="98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rFonts w:ascii="Arial" w:cs="Arial" w:eastAsia="Arial" w:hAnsi="Arial"/>
                <w:sz w:val="18"/>
                <w:szCs w:val="18"/>
                <w:color w:val="0000FF"/>
                <w:w w:val="86"/>
              </w:rPr>
            </w:pPr>
            <w:hyperlink w:anchor="page162">
              <w:r>
                <w:rPr>
                  <w:rFonts w:ascii="Arial" w:cs="Arial" w:eastAsia="Arial" w:hAnsi="Arial"/>
                  <w:sz w:val="18"/>
                  <w:szCs w:val="18"/>
                  <w:color w:val="0000FF"/>
                  <w:w w:val="86"/>
                </w:rPr>
                <w:t>Item 10.</w:t>
              </w:r>
            </w:hyperlink>
          </w:p>
        </w:tc>
        <w:tc>
          <w:tcPr>
            <w:tcW w:w="1120" w:type="dxa"/>
            <w:vAlign w:val="bottom"/>
            <w:gridSpan w:val="5"/>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Directors, Executive Officers and Corporate Governance</w:t>
              </w:r>
            </w:hyperlink>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2">
              <w:r>
                <w:rPr>
                  <w:rFonts w:ascii="Arial" w:cs="Arial" w:eastAsia="Arial" w:hAnsi="Arial"/>
                  <w:sz w:val="18"/>
                  <w:szCs w:val="18"/>
                  <w:color w:val="0000FF"/>
                  <w:w w:val="86"/>
                </w:rPr>
                <w:t>162</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Arial" w:cs="Arial" w:eastAsia="Arial" w:hAnsi="Arial"/>
                <w:sz w:val="18"/>
                <w:szCs w:val="18"/>
                <w:color w:val="0000FF"/>
                <w:w w:val="86"/>
              </w:rPr>
            </w:pPr>
            <w:hyperlink w:anchor="page162">
              <w:r>
                <w:rPr>
                  <w:rFonts w:ascii="Arial" w:cs="Arial" w:eastAsia="Arial" w:hAnsi="Arial"/>
                  <w:sz w:val="18"/>
                  <w:szCs w:val="18"/>
                  <w:color w:val="0000FF"/>
                  <w:w w:val="86"/>
                </w:rPr>
                <w:t>Item 11.</w:t>
              </w:r>
            </w:hyperlink>
          </w:p>
        </w:tc>
        <w:tc>
          <w:tcPr>
            <w:tcW w:w="1120" w:type="dxa"/>
            <w:vAlign w:val="bottom"/>
            <w:gridSpan w:val="5"/>
          </w:tcPr>
          <w:p>
            <w:pPr>
              <w:spacing w:after="0"/>
              <w:rPr>
                <w:sz w:val="18"/>
                <w:szCs w:val="18"/>
                <w:color w:val="auto"/>
              </w:rPr>
            </w:pPr>
          </w:p>
        </w:tc>
        <w:tc>
          <w:tcPr>
            <w:tcW w:w="1800" w:type="dxa"/>
            <w:vAlign w:val="bottom"/>
            <w:gridSpan w:val="8"/>
          </w:tcPr>
          <w:p>
            <w:pPr>
              <w:spacing w:after="0"/>
              <w:rPr>
                <w:rFonts w:ascii="Arial" w:cs="Arial" w:eastAsia="Arial" w:hAnsi="Arial"/>
                <w:sz w:val="18"/>
                <w:szCs w:val="18"/>
                <w:color w:val="0000FF"/>
                <w:w w:val="89"/>
              </w:rPr>
            </w:pPr>
            <w:hyperlink w:anchor="page162">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18"/>
                <w:szCs w:val="18"/>
                <w:color w:val="auto"/>
              </w:rPr>
            </w:pPr>
          </w:p>
        </w:tc>
        <w:tc>
          <w:tcPr>
            <w:tcW w:w="4420" w:type="dxa"/>
            <w:vAlign w:val="bottom"/>
            <w:gridSpan w:val="8"/>
          </w:tcPr>
          <w:p>
            <w:pPr>
              <w:spacing w:after="0"/>
              <w:rPr>
                <w:sz w:val="18"/>
                <w:szCs w:val="18"/>
                <w:color w:val="auto"/>
              </w:rPr>
            </w:pPr>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2">
              <w:r>
                <w:rPr>
                  <w:rFonts w:ascii="Arial" w:cs="Arial" w:eastAsia="Arial" w:hAnsi="Arial"/>
                  <w:sz w:val="18"/>
                  <w:szCs w:val="18"/>
                  <w:color w:val="0000FF"/>
                  <w:w w:val="86"/>
                </w:rPr>
                <w:t>163</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Item 12.</w:t>
              </w:r>
            </w:hyperlink>
          </w:p>
        </w:tc>
        <w:tc>
          <w:tcPr>
            <w:tcW w:w="120" w:type="dxa"/>
            <w:vAlign w:val="bottom"/>
            <w:gridSpan w:val="2"/>
          </w:tcPr>
          <w:p>
            <w:pPr>
              <w:spacing w:after="0"/>
              <w:rPr>
                <w:sz w:val="18"/>
                <w:szCs w:val="18"/>
                <w:color w:val="auto"/>
              </w:rPr>
            </w:pPr>
          </w:p>
        </w:tc>
        <w:tc>
          <w:tcPr>
            <w:tcW w:w="1000" w:type="dxa"/>
            <w:vAlign w:val="bottom"/>
            <w:gridSpan w:val="3"/>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Security Ownership of Certain Beneficial Owners and Management and Related Stockholder Matters</w:t>
              </w:r>
            </w:hyperlink>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163</w:t>
              </w:r>
            </w:hyperlink>
          </w:p>
        </w:tc>
        <w:tc>
          <w:tcPr>
            <w:tcW w:w="0" w:type="dxa"/>
            <w:vAlign w:val="bottom"/>
          </w:tcPr>
          <w:p>
            <w:pPr>
              <w:spacing w:after="0"/>
              <w:rPr>
                <w:sz w:val="1"/>
                <w:szCs w:val="1"/>
                <w:color w:val="auto"/>
              </w:rPr>
            </w:pPr>
          </w:p>
        </w:tc>
      </w:tr>
      <w:tr>
        <w:trPr>
          <w:trHeight w:val="210"/>
        </w:trPr>
        <w:tc>
          <w:tcPr>
            <w:tcW w:w="600" w:type="dxa"/>
            <w:vAlign w:val="bottom"/>
            <w:tcBorders>
              <w:top w:val="single" w:sz="8" w:color="0000FF"/>
            </w:tcBorders>
            <w:gridSpan w:val="3"/>
          </w:tcPr>
          <w:p>
            <w:pPr>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Item 13.</w:t>
              </w:r>
            </w:hyperlink>
          </w:p>
        </w:tc>
        <w:tc>
          <w:tcPr>
            <w:tcW w:w="120" w:type="dxa"/>
            <w:vAlign w:val="bottom"/>
            <w:tcBorders>
              <w:top w:val="single" w:sz="8" w:color="0000FF"/>
            </w:tcBorders>
            <w:gridSpan w:val="2"/>
          </w:tcPr>
          <w:p>
            <w:pPr>
              <w:spacing w:after="0"/>
              <w:rPr>
                <w:sz w:val="18"/>
                <w:szCs w:val="18"/>
                <w:color w:val="auto"/>
              </w:rPr>
            </w:pPr>
          </w:p>
        </w:tc>
        <w:tc>
          <w:tcPr>
            <w:tcW w:w="1000" w:type="dxa"/>
            <w:vAlign w:val="bottom"/>
            <w:gridSpan w:val="3"/>
          </w:tcPr>
          <w:p>
            <w:pPr>
              <w:spacing w:after="0"/>
              <w:rPr>
                <w:sz w:val="18"/>
                <w:szCs w:val="18"/>
                <w:color w:val="auto"/>
              </w:rPr>
            </w:pPr>
          </w:p>
        </w:tc>
        <w:tc>
          <w:tcPr>
            <w:tcW w:w="7280" w:type="dxa"/>
            <w:vAlign w:val="bottom"/>
            <w:tcBorders>
              <w:top w:val="single" w:sz="8" w:color="0000FF"/>
            </w:tcBorders>
            <w:gridSpan w:val="19"/>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Certain Relationships and Related Transactions, and Director Independence</w:t>
              </w:r>
            </w:hyperlink>
          </w:p>
        </w:tc>
        <w:tc>
          <w:tcPr>
            <w:tcW w:w="1220" w:type="dxa"/>
            <w:vAlign w:val="bottom"/>
            <w:gridSpan w:val="2"/>
          </w:tcPr>
          <w:p>
            <w:pPr>
              <w:spacing w:after="0"/>
              <w:rPr>
                <w:sz w:val="18"/>
                <w:szCs w:val="18"/>
                <w:color w:val="auto"/>
              </w:rPr>
            </w:pPr>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163</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Item 14.</w:t>
              </w:r>
            </w:hyperlink>
          </w:p>
        </w:tc>
        <w:tc>
          <w:tcPr>
            <w:tcW w:w="1120" w:type="dxa"/>
            <w:vAlign w:val="bottom"/>
            <w:gridSpan w:val="5"/>
          </w:tcPr>
          <w:p>
            <w:pPr>
              <w:spacing w:after="0"/>
              <w:rPr>
                <w:sz w:val="18"/>
                <w:szCs w:val="18"/>
                <w:color w:val="auto"/>
              </w:rPr>
            </w:pPr>
          </w:p>
        </w:tc>
        <w:tc>
          <w:tcPr>
            <w:tcW w:w="2860" w:type="dxa"/>
            <w:vAlign w:val="bottom"/>
            <w:gridSpan w:val="10"/>
          </w:tcPr>
          <w:p>
            <w:pPr>
              <w:spacing w:after="0"/>
              <w:rPr>
                <w:rFonts w:ascii="Arial" w:cs="Arial" w:eastAsia="Arial" w:hAnsi="Arial"/>
                <w:sz w:val="18"/>
                <w:szCs w:val="18"/>
                <w:color w:val="0000FF"/>
                <w:w w:val="89"/>
              </w:rPr>
            </w:pPr>
            <w:hyperlink w:anchor="page163">
              <w:r>
                <w:rPr>
                  <w:rFonts w:ascii="Arial" w:cs="Arial" w:eastAsia="Arial" w:hAnsi="Arial"/>
                  <w:sz w:val="18"/>
                  <w:szCs w:val="18"/>
                  <w:color w:val="0000FF"/>
                  <w:w w:val="89"/>
                </w:rPr>
                <w:t>Principal Accountant Fees and Services</w:t>
              </w:r>
            </w:hyperlink>
          </w:p>
        </w:tc>
        <w:tc>
          <w:tcPr>
            <w:tcW w:w="2580" w:type="dxa"/>
            <w:vAlign w:val="bottom"/>
            <w:gridSpan w:val="6"/>
          </w:tcPr>
          <w:p>
            <w:pPr>
              <w:spacing w:after="0"/>
              <w:rPr>
                <w:sz w:val="18"/>
                <w:szCs w:val="18"/>
                <w:color w:val="auto"/>
              </w:rPr>
            </w:pPr>
          </w:p>
        </w:tc>
        <w:tc>
          <w:tcPr>
            <w:tcW w:w="3060" w:type="dxa"/>
            <w:vAlign w:val="bottom"/>
            <w:gridSpan w:val="5"/>
          </w:tcPr>
          <w:p>
            <w:pPr>
              <w:spacing w:after="0"/>
              <w:rPr>
                <w:sz w:val="18"/>
                <w:szCs w:val="18"/>
                <w:color w:val="auto"/>
              </w:rPr>
            </w:pPr>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163</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Borders>
              <w:bottom w:val="single" w:sz="8" w:color="0000FF"/>
            </w:tcBorders>
            <w:gridSpan w:val="5"/>
          </w:tcPr>
          <w:p>
            <w:pPr>
              <w:spacing w:after="0"/>
              <w:rPr>
                <w:rFonts w:ascii="Arial" w:cs="Arial" w:eastAsia="Arial" w:hAnsi="Arial"/>
                <w:sz w:val="18"/>
                <w:szCs w:val="18"/>
                <w:b w:val="1"/>
                <w:bCs w:val="1"/>
                <w:color w:val="0000FF"/>
                <w:w w:val="98"/>
              </w:rPr>
            </w:pPr>
            <w:hyperlink w:anchor="page163">
              <w:r>
                <w:rPr>
                  <w:rFonts w:ascii="Arial" w:cs="Arial" w:eastAsia="Arial" w:hAnsi="Arial"/>
                  <w:sz w:val="18"/>
                  <w:szCs w:val="18"/>
                  <w:b w:val="1"/>
                  <w:bCs w:val="1"/>
                  <w:color w:val="0000FF"/>
                  <w:w w:val="98"/>
                </w:rPr>
                <w:t>PART IV</w:t>
              </w:r>
            </w:hyperlink>
          </w:p>
        </w:tc>
        <w:tc>
          <w:tcPr>
            <w:tcW w:w="100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rFonts w:ascii="Arial" w:cs="Arial" w:eastAsia="Arial" w:hAnsi="Arial"/>
                <w:sz w:val="18"/>
                <w:szCs w:val="18"/>
                <w:color w:val="0000FF"/>
                <w:w w:val="86"/>
              </w:rPr>
            </w:pPr>
            <w:hyperlink w:anchor="page164">
              <w:r>
                <w:rPr>
                  <w:rFonts w:ascii="Arial" w:cs="Arial" w:eastAsia="Arial" w:hAnsi="Arial"/>
                  <w:sz w:val="18"/>
                  <w:szCs w:val="18"/>
                  <w:color w:val="0000FF"/>
                  <w:w w:val="86"/>
                </w:rPr>
                <w:t>Item 15.</w:t>
              </w:r>
            </w:hyperlink>
          </w:p>
        </w:tc>
        <w:tc>
          <w:tcPr>
            <w:tcW w:w="1120" w:type="dxa"/>
            <w:vAlign w:val="bottom"/>
            <w:gridSpan w:val="5"/>
          </w:tcPr>
          <w:p>
            <w:pPr>
              <w:spacing w:after="0"/>
              <w:rPr>
                <w:sz w:val="18"/>
                <w:szCs w:val="18"/>
                <w:color w:val="auto"/>
              </w:rPr>
            </w:pPr>
          </w:p>
        </w:tc>
        <w:tc>
          <w:tcPr>
            <w:tcW w:w="8500" w:type="dxa"/>
            <w:vAlign w:val="bottom"/>
            <w:gridSpan w:val="21"/>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Exhibit and Financial Statement Schedules</w:t>
              </w:r>
            </w:hyperlink>
          </w:p>
        </w:tc>
        <w:tc>
          <w:tcPr>
            <w:tcW w:w="820" w:type="dxa"/>
            <w:vAlign w:val="bottom"/>
            <w:gridSpan w:val="3"/>
          </w:tcPr>
          <w:p>
            <w:pPr>
              <w:jc w:val="center"/>
              <w:ind w:left="350"/>
              <w:spacing w:after="0"/>
              <w:rPr>
                <w:rFonts w:ascii="Arial" w:cs="Arial" w:eastAsia="Arial" w:hAnsi="Arial"/>
                <w:sz w:val="18"/>
                <w:szCs w:val="18"/>
                <w:color w:val="0000FF"/>
                <w:w w:val="86"/>
              </w:rPr>
            </w:pPr>
            <w:hyperlink w:anchor="page164">
              <w:r>
                <w:rPr>
                  <w:rFonts w:ascii="Arial" w:cs="Arial" w:eastAsia="Arial" w:hAnsi="Arial"/>
                  <w:sz w:val="18"/>
                  <w:szCs w:val="18"/>
                  <w:color w:val="0000FF"/>
                  <w:w w:val="86"/>
                </w:rPr>
                <w:t>164</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rFonts w:ascii="Arial" w:cs="Arial" w:eastAsia="Arial" w:hAnsi="Arial"/>
                <w:sz w:val="18"/>
                <w:szCs w:val="18"/>
                <w:color w:val="0000FF"/>
                <w:w w:val="86"/>
              </w:rPr>
            </w:pPr>
            <w:hyperlink w:anchor="page170">
              <w:r>
                <w:rPr>
                  <w:rFonts w:ascii="Arial" w:cs="Arial" w:eastAsia="Arial" w:hAnsi="Arial"/>
                  <w:sz w:val="18"/>
                  <w:szCs w:val="18"/>
                  <w:color w:val="0000FF"/>
                  <w:w w:val="86"/>
                </w:rPr>
                <w:t>Item 16.</w:t>
              </w:r>
            </w:hyperlink>
          </w:p>
        </w:tc>
        <w:tc>
          <w:tcPr>
            <w:tcW w:w="1120" w:type="dxa"/>
            <w:vAlign w:val="bottom"/>
            <w:gridSpan w:val="5"/>
          </w:tcPr>
          <w:p>
            <w:pPr>
              <w:spacing w:after="0"/>
              <w:rPr>
                <w:sz w:val="18"/>
                <w:szCs w:val="18"/>
                <w:color w:val="auto"/>
              </w:rPr>
            </w:pPr>
          </w:p>
        </w:tc>
        <w:tc>
          <w:tcPr>
            <w:tcW w:w="3080" w:type="dxa"/>
            <w:vAlign w:val="bottom"/>
            <w:gridSpan w:val="11"/>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Form 10-K Summary</w:t>
              </w:r>
            </w:hyperlink>
          </w:p>
        </w:tc>
        <w:tc>
          <w:tcPr>
            <w:tcW w:w="5420" w:type="dxa"/>
            <w:vAlign w:val="bottom"/>
            <w:gridSpan w:val="10"/>
          </w:tcPr>
          <w:p>
            <w:pPr>
              <w:spacing w:after="0"/>
              <w:rPr>
                <w:sz w:val="18"/>
                <w:szCs w:val="18"/>
                <w:color w:val="auto"/>
              </w:rPr>
            </w:pPr>
          </w:p>
        </w:tc>
        <w:tc>
          <w:tcPr>
            <w:tcW w:w="820" w:type="dxa"/>
            <w:vAlign w:val="bottom"/>
            <w:gridSpan w:val="3"/>
          </w:tcPr>
          <w:p>
            <w:pPr>
              <w:jc w:val="center"/>
              <w:ind w:left="350"/>
              <w:spacing w:after="0"/>
              <w:rPr>
                <w:rFonts w:ascii="Arial" w:cs="Arial" w:eastAsia="Arial" w:hAnsi="Arial"/>
                <w:sz w:val="18"/>
                <w:szCs w:val="18"/>
                <w:color w:val="0000FF"/>
                <w:w w:val="86"/>
              </w:rPr>
            </w:pPr>
            <w:hyperlink w:anchor="page170">
              <w:r>
                <w:rPr>
                  <w:rFonts w:ascii="Arial" w:cs="Arial" w:eastAsia="Arial" w:hAnsi="Arial"/>
                  <w:sz w:val="18"/>
                  <w:szCs w:val="18"/>
                  <w:color w:val="0000FF"/>
                  <w:w w:val="86"/>
                </w:rPr>
                <w:t>170</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Borders>
              <w:bottom w:val="single" w:sz="8" w:color="0000FF"/>
            </w:tcBorders>
            <w:gridSpan w:val="7"/>
          </w:tcPr>
          <w:p>
            <w:pPr>
              <w:spacing w:after="0" w:line="189" w:lineRule="exact"/>
              <w:rPr>
                <w:rFonts w:ascii="Arial" w:cs="Arial" w:eastAsia="Arial" w:hAnsi="Arial"/>
                <w:sz w:val="18"/>
                <w:szCs w:val="18"/>
                <w:color w:val="0000FF"/>
                <w:w w:val="85"/>
              </w:rPr>
            </w:pPr>
            <w:hyperlink w:anchor="page170">
              <w:r>
                <w:rPr>
                  <w:rFonts w:ascii="Arial" w:cs="Arial" w:eastAsia="Arial" w:hAnsi="Arial"/>
                  <w:sz w:val="18"/>
                  <w:szCs w:val="18"/>
                  <w:color w:val="0000FF"/>
                  <w:w w:val="85"/>
                </w:rPr>
                <w:t>Signatures</w:t>
              </w:r>
            </w:hyperlink>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references to “EMC” mean EMC Corporation and EMC Corporation’s consolidated subsidiaries, and references to “VMware” refer to VMware, Inc. and VMware, Inc.’s consolidated subsidiaries.</w:t>
      </w:r>
    </w:p>
    <w:p>
      <w:pPr>
        <w:spacing w:after="0" w:line="2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January 28, 2022, January 29, 2021, and January 31, 2020, as “Fiscal 2022,” “Fiscal 2021,” and “Fiscal 2020,” respectively. Fiscal 2022, Fiscal 2021, and Fiscal 2020 included 52 weeks.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Significant Developments</w:t>
      </w:r>
    </w:p>
    <w:p>
      <w:pPr>
        <w:spacing w:after="0" w:line="256"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On November 1, 2021, Dell Technologies completed its previously announced spin-off of VMware, Inc. (“VMware”) by means of a special stock dividend (the “VMware Spin-off”). The VMware Spin-off was effectuated pursuant to a Separation and Distribution Agreement, dated as of April 14, 2021, between Dell Technologies and VMware (the “Separation and Distribution Agreement”). As part of the transaction, VMware paid a special cash dividend, pro rata, to each holder of VMware common stock in an aggregate amount equal to $11.5 billion, of which Dell Technologies received $9.3 billion.</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connection with and upon completion of the VMware Spin-off, Dell Technologies and VMware entered into a Commercial Framework Agreement (the “CFA”). The CFA provides a framework under which Dell Technologies and VMware will continue their commercial relationship after the transaction.</w:t>
      </w:r>
    </w:p>
    <w:p>
      <w:pPr>
        <w:spacing w:after="0" w:line="15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October 1, 2021, Dell Technologies completed the sale of Boomi, Inc. (“Boomi”) and certain related assets and received total cash consideration of approximately $4.0 billion. The transaction was intended to support the Company’s focus on fueling growth initiatives through targeted investments to modernize Dell Technologies’ core infrastructure and through expansion in high-priority areas, including hybrid and private cloud, edge, telecommunications solutions, and the Company’s APEX offerings.</w:t>
      </w:r>
    </w:p>
    <w:p>
      <w:pPr>
        <w:spacing w:after="0" w:line="20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With the proceeds from the VMware Spin-off and cash on hand, we were able to make steady progress in paying down our outstanding debt throughout Fiscal 2022. As a result of our debt reduction and continued focus on deleveraging, we achieved an investment grade rating from three major credit rating agencies.</w:t>
      </w:r>
    </w:p>
    <w:p>
      <w:pPr>
        <w:spacing w:after="0" w:line="20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During Fiscal 2022, the COVID-19 pandemic continued to present global challenges that directly impacted Dell Technologies, most notably in relation to supply chain impacts. As a result of the global economic recovery coupled with industry-wide constraints on the supply of limited-source components, we experienced demand which outpaced supply across many of our product offerings. The supply chain impacts led to an increase in orders pending fulfillment and extended lead times for our customers. We continue to closely monitor the impacts of COVID-19 and keep the health of our employees, customers, business partners, and communities as our primary focus.</w:t>
      </w: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Note 1, Note 3, and Note 7 of the Notes to the Consolidated Financial Statements included in this report for additional information regarding the VMware Spin-off, the Boomi divestiture, and our outstanding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Dell Technologies helps organizations build their digital futures and individuals transform how they work, live and play. We provide customers with one of the industry’s broadest and most innovative solutions portfolio for the data era, including traditional infrastructure and extending to multi-cloud environments. We continue to seamlessly deliver differentiated and holistic information technology (“IT”) solutions to our customers which has helped drive consistent revenue growth.</w:t>
      </w:r>
    </w:p>
    <w:p>
      <w:pPr>
        <w:spacing w:after="0" w:line="21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Dell Technologies’ integrated solutions help customers modernize their IT infrastructure, manage and operate in a multi-cloud world, address workforce transformation, and provide critical solutions that keep people and organizations connected, which has proven even more important through the COVID-19 pandemic.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forefront of the software-defined and cloud native infrastructure era. As further evidence of our commitment to innovation, we are evolving and expanding our IT as-a-Service and cloud offerings including APEX-branded solutions which provide our customers with greater flexibility to scale IT to meet their evolving business needs and budgets.</w:t>
      </w:r>
    </w:p>
    <w:p>
      <w:pPr>
        <w:spacing w:after="0" w:line="21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Dell Technologies’ end-to-end portfolio is supported by a world-class organization that operates globally in approximately 180 countries across key functional areas, including technology and product development, marketing, sales, financial services, and services. Our go-to-market engine includes a 32,000-person sales force and a global network of over 200,000 channel partners. Dell Financial Services and its affiliates (“DFS”) offer customers payment flexibility and enables synergies across the business. DFS funded $8.5 billion of originations in Fiscal 2022 and maintains a $11 billion global portfolio of high-quality financing receivables. We employ approximately 35,000 full-time service and support professionals and maintain more than 2,400 vendor-managed service centers. We manage a world-class supply chain that drives long-term growth and operating efficiencies, with approximately</w:t>
      </w:r>
    </w:p>
    <w:p>
      <w:pPr>
        <w:spacing w:after="0" w:line="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$75 billion in annual procurement expenditures and over 750 parts distribution centers. Together, these elements provide a critical foundation for our success.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 and Strategy</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vision is to become the most essential technology company for the data era. We seek to address our customers’ evolving needs and their broader digital transformation objectives as they embrace today’s hybrid multi-cloud environment. We intend to execute on our vision by focusing on two overarching strategic priorities:</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and modernize our core offerings in the markets in which we predominantly compete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attractive new growth opportunities such as Edge, Telecom, data management, and as-a-Service consumption models</w:t>
      </w:r>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believe that we are uniquely positioned in the data and multi-cloud era and that our results will benefit from our competitive advantages. We intend to continue to execute our business model to position our company for long-term success while balancing liquidity, profitability, and growth.</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seeing an accelerated rate of change in the IT industry and increased demand for simpler, more agile IT as companies leverage multiple clouds in their IT environments. COVID-19 has accelerated the introduction and adoption of new technologies to ensure productivity and collaboration from anywhere. To meet our customer needs, we continue to invest in research and development, sales, and other key areas of our business to deliver superior products and solutions capabilities and to drive long-term sustainable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design, develop, manufacture, market, sell, and support a wide range of comprehensive and integrated solutions, products, and services. We are organized into two business units, referred to as Infrastructure Solutions Group and Client Solutions Group, which are our reportable segments.</w:t>
      </w:r>
    </w:p>
    <w:p>
      <w:pPr>
        <w:spacing w:after="0" w:line="151" w:lineRule="exact"/>
        <w:rPr>
          <w:sz w:val="20"/>
          <w:szCs w:val="20"/>
          <w:color w:val="auto"/>
        </w:rPr>
      </w:pPr>
    </w:p>
    <w:p>
      <w:pPr>
        <w:ind w:left="660" w:right="180" w:hanging="328"/>
        <w:spacing w:after="0" w:line="279" w:lineRule="auto"/>
        <w:tabs>
          <w:tab w:leader="none" w:pos="65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Infrastructure Solutions Group (“ISG”)</w:t>
      </w:r>
      <w:r>
        <w:rPr>
          <w:rFonts w:ascii="Arial" w:cs="Arial" w:eastAsia="Arial" w:hAnsi="Arial"/>
          <w:sz w:val="17"/>
          <w:szCs w:val="17"/>
          <w:i w:val="1"/>
          <w:iCs w:val="1"/>
          <w:color w:val="auto"/>
        </w:rPr>
        <w:t xml:space="preserve"> </w:t>
      </w:r>
      <w:r>
        <w:rPr>
          <w:rFonts w:ascii="Arial" w:cs="Arial" w:eastAsia="Arial" w:hAnsi="Arial"/>
          <w:sz w:val="17"/>
          <w:szCs w:val="17"/>
          <w:color w:val="auto"/>
        </w:rPr>
        <w:t>— ISG enables our customers’ digital transformation through our trusted multi-cloud and big data</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which are built upon modern data center infrastructure. ISG helps customers in the area of hybrid cloud deployment with the goal of simplifying, streamlining, and automating cloud operations. ISG solutions are built for multi-cloud environments and are optimized to run cloud native workloads in both public and private clouds, as well as traditional on-premise workloads.</w:t>
      </w:r>
    </w:p>
    <w:p>
      <w:pPr>
        <w:spacing w:after="0" w:line="198" w:lineRule="exact"/>
        <w:rPr>
          <w:rFonts w:ascii="Arial" w:cs="Arial" w:eastAsia="Arial" w:hAnsi="Arial"/>
          <w:sz w:val="17"/>
          <w:szCs w:val="17"/>
          <w:i w:val="1"/>
          <w:iCs w:val="1"/>
          <w:color w:val="auto"/>
        </w:rPr>
      </w:pPr>
    </w:p>
    <w:p>
      <w:pPr>
        <w:ind w:left="660"/>
        <w:spacing w:after="0" w:line="275" w:lineRule="auto"/>
        <w:rPr>
          <w:rFonts w:ascii="Arial" w:cs="Arial" w:eastAsia="Arial" w:hAnsi="Arial"/>
          <w:sz w:val="17"/>
          <w:szCs w:val="17"/>
          <w:i w:val="1"/>
          <w:iCs w:val="1"/>
          <w:color w:val="auto"/>
        </w:rPr>
      </w:pPr>
      <w:r>
        <w:rPr>
          <w:rFonts w:ascii="Arial" w:cs="Arial" w:eastAsia="Arial" w:hAnsi="Arial"/>
          <w:sz w:val="17"/>
          <w:szCs w:val="17"/>
          <w:color w:val="auto"/>
        </w:rPr>
        <w:t>Our comprehensive portfolio of advanced storage solutions includes traditional storage solutions as well as next-generation storage solutions (such as all-flash arrays, scale-out file, object platforms, and software-defined solutions). In May 2020, we released our new PowerStore offering, a differentiated midrange storage solution that enables seamless updates using microservices and container-based software architecture. This offering allows us to compete more effectively within midrange storage. We continue to make enhancements to our storage solutions offerings and expect that these offerings will drive long-term improvements in the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Our server portfolio includes high-performance rack, blade, tower, and hyperscale servers, optimized to run high value workloads, including artificial intelligence and machine learning. Our networking portfolio helps our business customers transform and modernize their infrastructure, mobilize and enrich end-user experiences, and accelerate business applications and processes.</w:t>
      </w:r>
    </w:p>
    <w:p>
      <w:pPr>
        <w:spacing w:after="0" w:line="211"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21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97" w:lineRule="exact"/>
        <w:rPr>
          <w:sz w:val="20"/>
          <w:szCs w:val="20"/>
          <w:color w:val="auto"/>
        </w:rPr>
      </w:pPr>
    </w:p>
    <w:p>
      <w:pPr>
        <w:ind w:left="660" w:right="80" w:hanging="328"/>
        <w:spacing w:after="0" w:line="273" w:lineRule="auto"/>
        <w:tabs>
          <w:tab w:leader="none" w:pos="65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Client Solutions Group (“CSG”)</w:t>
      </w:r>
      <w:r>
        <w:rPr>
          <w:rFonts w:ascii="Arial" w:cs="Arial" w:eastAsia="Arial" w:hAnsi="Arial"/>
          <w:sz w:val="17"/>
          <w:szCs w:val="17"/>
          <w:i w:val="1"/>
          <w:iCs w:val="1"/>
          <w:color w:val="auto"/>
        </w:rPr>
        <w:t xml:space="preserve"> </w:t>
      </w:r>
      <w:r>
        <w:rPr>
          <w:rFonts w:ascii="Arial" w:cs="Arial" w:eastAsia="Arial" w:hAnsi="Arial"/>
          <w:sz w:val="17"/>
          <w:szCs w:val="17"/>
          <w:color w:val="auto"/>
        </w:rPr>
        <w:t>— CSG includes branded hardware (such as desktops, workstations, and notebooks) and branded peripherals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displays and projectors), as well as third-party software and peripherals. Our computing devices are designed with our commercial and consumer customers’ needs in mind, and we seek to optimize performance, reliability, manageability, design, and security. For our customers that are seeking to simplify client lifecycle management, Dell PC as-a-Service offering combines hardware, software, lifecycle services, and financing into one all-encompassing solution that provides predictable pricing per seat per month. CSG also offers attached software, peripherals, and services, including support and deployment, configuration, and extended warranty services.</w:t>
      </w:r>
    </w:p>
    <w:p>
      <w:pPr>
        <w:spacing w:after="0" w:line="205"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other businesses, described below, consists of our resale of standalone VMware offerings, referred to as VMware Resale, as well as product and service offerings of SecureWorks Corp. (“Secureworks”) and Virtustream. These businesses are not classified as reportable segments, either individually or collectively.</w:t>
      </w:r>
    </w:p>
    <w:p>
      <w:pPr>
        <w:spacing w:after="0" w:line="211" w:lineRule="exact"/>
        <w:rPr>
          <w:sz w:val="20"/>
          <w:szCs w:val="20"/>
          <w:color w:val="auto"/>
        </w:rPr>
      </w:pPr>
    </w:p>
    <w:p>
      <w:pPr>
        <w:ind w:left="660" w:right="520" w:hanging="328"/>
        <w:spacing w:after="0" w:line="226" w:lineRule="auto"/>
        <w:tabs>
          <w:tab w:leader="none" w:pos="648" w:val="left"/>
        </w:tabs>
        <w:numPr>
          <w:ilvl w:val="0"/>
          <w:numId w:val="6"/>
        </w:numPr>
        <w:rPr>
          <w:rFonts w:ascii="Arial" w:cs="Arial" w:eastAsia="Arial" w:hAnsi="Arial"/>
          <w:sz w:val="20"/>
          <w:szCs w:val="20"/>
          <w:i w:val="1"/>
          <w:iCs w:val="1"/>
          <w:color w:val="auto"/>
        </w:rPr>
      </w:pPr>
      <w:r>
        <w:rPr>
          <w:rFonts w:ascii="Arial" w:cs="Arial" w:eastAsia="Arial" w:hAnsi="Arial"/>
          <w:sz w:val="18"/>
          <w:szCs w:val="18"/>
          <w:i w:val="1"/>
          <w:iCs w:val="1"/>
          <w:color w:val="auto"/>
        </w:rPr>
        <w:t xml:space="preserve">VMware Resale </w:t>
      </w:r>
      <w:r>
        <w:rPr>
          <w:rFonts w:ascii="Arial" w:cs="Arial" w:eastAsia="Arial" w:hAnsi="Arial"/>
          <w:sz w:val="18"/>
          <w:szCs w:val="18"/>
          <w:color w:val="auto"/>
        </w:rPr>
        <w:t>consists of our sale of standalone VMware offerings. Under the CFA entered into as part of the VMware Spin-off, Dell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continues to act as a key channel partner in this relationship, reselling VMware offerings to our customers. This partnership is intended to facilitate mutually beneficial growth for both Dell and VMware.</w:t>
      </w:r>
    </w:p>
    <w:p>
      <w:pPr>
        <w:spacing w:after="0" w:line="217" w:lineRule="exact"/>
        <w:rPr>
          <w:rFonts w:ascii="Arial" w:cs="Arial" w:eastAsia="Arial" w:hAnsi="Arial"/>
          <w:sz w:val="20"/>
          <w:szCs w:val="20"/>
          <w:i w:val="1"/>
          <w:iCs w:val="1"/>
          <w:color w:val="auto"/>
        </w:rPr>
      </w:pPr>
    </w:p>
    <w:p>
      <w:pPr>
        <w:ind w:left="660" w:right="80"/>
        <w:spacing w:after="0" w:line="308" w:lineRule="auto"/>
        <w:rPr>
          <w:rFonts w:ascii="Arial" w:cs="Arial" w:eastAsia="Arial" w:hAnsi="Arial"/>
          <w:sz w:val="20"/>
          <w:szCs w:val="20"/>
          <w:i w:val="1"/>
          <w:iCs w:val="1"/>
          <w:color w:val="auto"/>
        </w:rPr>
      </w:pPr>
      <w:r>
        <w:rPr>
          <w:rFonts w:ascii="Arial" w:cs="Arial" w:eastAsia="Arial" w:hAnsi="Arial"/>
          <w:sz w:val="17"/>
          <w:szCs w:val="17"/>
          <w:color w:val="auto"/>
        </w:rPr>
        <w:t>VMware works with customers in the areas of hybrid and multi-cloud, modern applications, networking, security, and digital workspaces, helping customers manage their IT resources across private clouds and complex multi-cloud, multi-device environments.</w:t>
      </w:r>
    </w:p>
    <w:p>
      <w:pPr>
        <w:spacing w:after="0" w:line="173" w:lineRule="exact"/>
        <w:rPr>
          <w:rFonts w:ascii="Arial" w:cs="Arial" w:eastAsia="Arial" w:hAnsi="Arial"/>
          <w:sz w:val="20"/>
          <w:szCs w:val="20"/>
          <w:i w:val="1"/>
          <w:iCs w:val="1"/>
          <w:color w:val="auto"/>
        </w:rPr>
      </w:pPr>
    </w:p>
    <w:p>
      <w:pPr>
        <w:ind w:left="660" w:right="60" w:hanging="328"/>
        <w:spacing w:after="0" w:line="259"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protecting 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213" w:lineRule="exact"/>
        <w:rPr>
          <w:rFonts w:ascii="Arial" w:cs="Arial" w:eastAsia="Arial" w:hAnsi="Arial"/>
          <w:sz w:val="18"/>
          <w:szCs w:val="18"/>
          <w:i w:val="1"/>
          <w:iCs w:val="1"/>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w:t>
      </w:r>
    </w:p>
    <w:p>
      <w:pPr>
        <w:spacing w:after="0" w:line="19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believe the collaboration, innovation, and coordination of the operations and strategies across the segments of our business, as well as our differentiated go-to-market model, will continue to drive revenue synergies. Through our research and development activities, we are able to engineer leading innovative solutions that incorporate the distinct set of hardware, software, and services across all segments of our business.</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products and services offerings are continually evolving in response to industry dynamics. As a result, reclassifications of certain products and services solutions in major product categories may be required. For further discussion regarding our current reportable segments, see “Results of Operations — Business Unit Results” and Note 19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See “Part II — Item 7 — Management’s Discussion and Analysis of Financial Condition and Results of Operations — Results of Operations — Business Unit Results” and Note 19 of the Notes to the Consolidated Financial Statements for further discussion of our reportable segment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Revenue and Consumption Models</w:t>
      </w:r>
    </w:p>
    <w:p>
      <w:pPr>
        <w:spacing w:after="0" w:line="25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customers are seeking new and innovative models that address how they consume our solutions. We offer options including as-a-Service, utility, leases, and immediate pay models, all designed to match customers’ consumption and financing preferences. We continue to evolve and build momentum across our family of as-a-Service offerings as we pursue our strategy of modernizing our core business solutions, with APEX at the forefront. We expect that our flexible consumption models and as-a-Service offerings will further strengthen our customer relationships and provide a foundation for growth in recurring revenue.</w:t>
      </w:r>
    </w:p>
    <w:p>
      <w:pPr>
        <w:spacing w:after="0" w:line="21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These offerings typically result in multiyear agreements which generate recurring revenue streams over the term of the arrangements. We define recurring revenue as revenue recognized primarily related to hardware and software maintenance as well as subscription, as-a-Service, and usage based offerings, and operating leases.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DFS supports our businesses by offering and arranging various financing options and services for our customers globally. DFS originates, collects, and services customer receivables primarily related to the purchase or use of our product, software, and services solutions. We also arrange financing for some of our customers in various countries where DFS does not currently operate as a captive entity. DFS further strengthens our customer relationships through its flexible consumption models which provide our customers with financial flexibility to meet their changing technological requirements. Our flexible consumption models enable us to offer our customers the option to pay over time and, in certain cases, based on utilization. The results of these operations are allocated to our segments based on the underlying product or service financed. For additional information about our financing arrangements, see Note 5 of the Notes to the Consolidated Financial Statements included in this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focus on developing scalable technology solutions that incorporate desirable features and capabilities at competitive prices. We employ a collaborative approach to product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Our team of software engineers is focused on developing the next generation of solutions for new and innovative technologies. Most of our research and development (“R&amp;D”) expenditures represent costs to develop the software that powers our solutions. This software simplifies the complex through automation, increasingly leveraging artificial intelligence and machine-learning technology. We manage our R&amp;D spending by targeting those innovations and solutions that we believe are most valuable to our customers and by relying on the capabilities of our strategic relationships. Our customer base includes a growing number of service providers, such as cloud service providers, Software-as-a-Service companies, consumer webtech providers, and telecommunications companies. These service providers turn to Dell Technologies for our advanced solutions that enable efficient service delivery at cloud scale. Through our collaborative, customer-focused approach to innovation, we strive to deliver new and relevant products to the market quickly and efficiently.</w:t>
      </w:r>
    </w:p>
    <w:p>
      <w:pPr>
        <w:spacing w:after="0" w:line="2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we invest in early-stage, privately-held companies that develop software, hardware, and other technologies or provide services supporting our technologies. We manage our investments through our venture capital investment arm, Dell Technologies Capital.</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Dell Technologies has a global R&amp;D presence, with total R&amp;D expenses of $2.6 billion, $2.5 billion, and $2.5 billion, for Fiscal 2022, Fiscal 2021, and Fiscal 2020, respectively. These investments reflect our commitment to R&amp;D activities that ultimately support our mission to help our customers build their digital future and to transform IT.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Materials</w:t>
      </w:r>
    </w:p>
    <w:p>
      <w:pPr>
        <w:spacing w:after="0" w:line="25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own manufacturing facilities located in the United States, Malaysia, China, Brazil, India, Poland, and Ireland. See “Item 2 — Properties” for information about our manufacturing and distribution facilities.</w:t>
      </w:r>
    </w:p>
    <w:p>
      <w:pPr>
        <w:spacing w:after="0" w:line="19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enhancing our supply chain.</w:t>
      </w:r>
    </w:p>
    <w:p>
      <w:pPr>
        <w:spacing w:after="0" w:line="3"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20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processing of information from customers obtained through services and support programs. This system is certified to the ISO 9001 International Standard that includes our global sites and organizations that design, manufacture, and service our products.</w:t>
      </w:r>
    </w:p>
    <w:p>
      <w:pPr>
        <w:spacing w:after="0" w:line="2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order fulfillment, manufacturing, and test facilities are certified to the ISO 14001 International Standard for environmental management systems, the ISO 45001 International Standard for health and safety management systems, and the ISO 50001 International Standard for energy management systems. These internationally-recognized endorsements of ongoing quality, environmental, health and safety, and energy management are among the highest levels of certifications available. We also have implemented programs and methodologies to ensure that the quality of our designs, manufacturing, test processes, and supplier relationships are continually improved.</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maintain a Supplier Code of Conduct, actively manage recycling processes for our returned products, and are certified by the Environmental Protection Agency as a Smartway Transport Partner.</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Risks Relating to Our Business and Our Industry — Reliance on vendors for products and components, many of which are single-source or limited-source suppliers, could harm our business by adversely affecting product availability, delivery, reliability, and cost” for information about the risks associated with Dell Technologies’ use of single- or limited-source suppliers.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2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global corporate headquarters is located in Round Rock, Texas. We have operations and conduct business in many countries located in the Americas, Europe, the Middle East, Asia, and other geographic regions. To increase our global presence,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Our expansion in emerging markets creates additional complexity in coordinating the design, development, procurement, manufacturing, distribution, and support of our product and services offerings. For information about the amount of net revenue we generated from our operations outside of the United States during the last three fiscal years, see Note 19 of the Notes to the Consolidated Financial Statements included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Our sales are affected by seasonal trends. Among the trends with the most significant effect on our operating results, sales to government customers (particularly the U.S. government) generally are stronger in our third fiscal quarter, sales in Europe, the Middle East and Africa are often weaker in our third fiscal quarter, and sales to consumers are typically strongest during our fourth fiscal quarter.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and solutions trends,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spacing w:after="0" w:line="219"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We also face competition from non-traditional IT companies such as cloud service providers, also known as hyperscalers, that buy their infrastructure directly from original design manufacturers. Competitive pressures could increase if customers choose to move application workloads to cloud service providers away from traditional or private data centers.</w:t>
      </w:r>
    </w:p>
    <w:p>
      <w:pPr>
        <w:spacing w:after="0" w:line="20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markets in which we compete are comprised of large and small companies across all areas of our business. We believe that new businesses will continue to enter these markets and develop technologies that, if commercialized, may compete with our products and services. Moreover, current competitors may enter into new strategic relationships with new or existing competitors, which may further increase the competitive pressures. See “Item 1A — Risk Factors — Risks Relating to Our Business and Our Industry” for information about our competitive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sales efforts are organized around the evolving needs of our customers, and our marketing initiatives reflect this focus. Our unified global sales and marketing team creates a sales organization that is customer-focused, collaborative, and innovative. Our customers include large global and national enterprises, public institutions that include governmental agencies, educational institutions, healthcare organizations, and law enforcement agencies, small and medium-sized businesses, and consumers.</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Go-to-market strategy </w:t>
      </w:r>
      <w:r>
        <w:rPr>
          <w:rFonts w:ascii="Arial" w:cs="Arial" w:eastAsia="Arial" w:hAnsi="Arial"/>
          <w:sz w:val="16"/>
          <w:szCs w:val="16"/>
          <w:color w:val="auto"/>
        </w:rPr>
        <w:t>— We sell products and services directly to customers and through other sales channels, which include value-added resellers, system</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integrators, distributors, and retailers. We continue to pursue our direct business strategy, which emphasizes direct communication with customers, thereby allowing us to refine our products and marketing programs for specific customer groups. In addition to our direct business model, we use our network of channel partners to sell our products and services, enabling us to efficiently serve a greater number of customers. The Dell Technologies partner program contributes to the development of channel sales by providing appropriate incentives to encourage sales generation. We also facilitate access to third-party financing to help our channel partners manage their working capital. We believe that building long-term relationships with our channel partners enhances our ability to deliver an excellent customer experience. During Fiscal 2022, our other sales channels contributed over 50% of our net revenue.</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Large enterprises and public institutions </w:t>
      </w:r>
      <w:r>
        <w:rPr>
          <w:rFonts w:ascii="Arial" w:cs="Arial" w:eastAsia="Arial" w:hAnsi="Arial"/>
          <w:sz w:val="18"/>
          <w:szCs w:val="18"/>
          <w:color w:val="auto"/>
        </w:rPr>
        <w:t>— For large enterprises and public institutions, we maintain a field sales force throughout the world. Dedicated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teams, which include technical sales specialists, form long-term relationships to provide our largest customers with a single source of assistance, develop tailored solutions for these customers,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Small and medium-sized business and consumers </w:t>
      </w:r>
      <w:r>
        <w:rPr>
          <w:rFonts w:ascii="Arial" w:cs="Arial" w:eastAsia="Arial" w:hAnsi="Arial"/>
          <w:sz w:val="17"/>
          <w:szCs w:val="17"/>
          <w:color w:val="auto"/>
        </w:rPr>
        <w:t>— We market our products and services to small and medium-sized businesses and consumers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advertising media. To react quickly to our customers’ needs, we track our Net Promoter Score, a customer loyalty metric that is widely used across various industries. Net Promoter Score is a trademark of Satmetrix Systems, Inc., Bain &amp; Company, Inc., and Fred Reichheld. We also engage with customers through our social media communities on our website and in external social media channels.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Backlog</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backlog represents the value of unfulfilled manufacturing orders and is included as a component of remaining performance obligations to the extent we determine that the manufacturing orders are non-cancelable. Our business model generally gives us the ability to optimize product backlog at any point in time, such as by expediting shipping or prioritizing customer orders for products that have shorter lead times. During Fiscal 2022, we were impacted by industry-wide constraints in the supply of limited-source components in certain product offerings as a result of the impacts of COVID-19. Further, global economic recovery led to growth in demand that outpaced supply and, as a result, we experienced elevated backlog and extended lead times for our customers in certain offerings.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January 28, 2022, we held a worldwide portfolio of 18,570 granted patents and 7,619 pending patent applications. As a result of the VMware Spin-off, patents and patent applications held by VMware are no longer being reported as part of our portfolio. We continue to obtain new patents through our ongoing research and development activities. The inventions claimed in our patents and patent applications cover aspects of our current and possible future computer system and software products, manufacturing processes, and related technologies. We also hold licenses to use numerous third-party patents. Although we use our patented inventions and license some of them to others, we are not substantially dependent on any single patent or group of related patents. Our product and process patents may establish barriers to entry, and we anticipate that our worldwide patent portfolio will continue to be of value in negotiating intellectual property rights with others in the industry.</w:t>
      </w:r>
    </w:p>
    <w:p>
      <w:pPr>
        <w:spacing w:after="0" w:line="20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have used, registered, or applied to register certain trademarks and copyrights in the United States and in other countries. We believe that Dell Technologies, DELL, Dell EMC, Alienware, Secureworks, and Virtustream word marks and logo marks in the United States are material to our operations.</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entered into software licensing agreements with other companies. We also license certain technology and intellectual property from third parties for use in our offerings and processes, and license some of our technologies and intellectual property to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state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operations are subject to a variety of environmental, performance and safety regulations in all areas in which we conduct business. Product design and procurement operations must comply with requirements relating to materials composition, sourcing, radiated emissions, energy efficiency and collection, recycling, treatment, transportation, and disposal of electronics products, including restrictions on mercury, lead, cadmium, lithium metal, lithium ion, and other substances. Operations may also become subject to new or emergent standards relating to climate change laws and regulations. The costs and timing of costs under environmental and safety laws are difficult to predict. We were not assessed any material environmental fines, nor did we have any material environmental remediation or other environmental costs, during Fiscal 2022.</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and our subsidiaries are subject to various anti-corruption laws that prohibit improper payments or offers of payments to foreign governments and their officials for the purpose of obtaining or retaining business, and are also subject to export controls, customs, economic sanctions laws, including those currently imposed on Russia, and embargoes imposed by the U.S. government. Violations of the Foreign Corrupt Practices Act or other anti-corruption laws or export control, customs, or economic sanctions laws may result in severe criminal or civil sanctions and penalties.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Dell Technologies is committed to driving human progress by putting our technology and expertise to work where it can do the most good for both people and the planet. We recognize that all of our stakeholders — shareholders, customers, suppliers, employees, and communities — as well as the environment and society, are essential to our business.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November 2019, Dell Technologies announced its social impact goals and plan for 2030 called Progress Made Real (the “2030 Plan”). Our goals under the 2030 Plan represent an extension of our purpose as a company — to create technologies that drive human progress. We are using these goals to build our social impact strategies over the next decade. The 2030 Plan has four critical areas of focus:</w:t>
      </w:r>
    </w:p>
    <w:p>
      <w:pPr>
        <w:spacing w:after="0" w:line="211" w:lineRule="exact"/>
        <w:rPr>
          <w:sz w:val="20"/>
          <w:szCs w:val="20"/>
          <w:color w:val="auto"/>
        </w:rPr>
      </w:pPr>
    </w:p>
    <w:p>
      <w:pPr>
        <w:ind w:left="660" w:right="2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Advancing Sustainability </w:t>
      </w:r>
      <w:r>
        <w:rPr>
          <w:rFonts w:ascii="Arial" w:cs="Arial" w:eastAsia="Arial" w:hAnsi="Arial"/>
          <w:sz w:val="18"/>
          <w:szCs w:val="18"/>
          <w:color w:val="auto"/>
        </w:rPr>
        <w:t>— We believe we have a responsibility to protect and enrich our planet together with our customers, suppliers,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In working across our business ecosystem, Dell Technologies will continue valuing natural resources and seeking to minimizing our impact. With the power of our global supply chain, Dell Technologies has the scale and responsibility to pursue the highest standards of sustainability and ethical practices.</w:t>
      </w:r>
    </w:p>
    <w:p>
      <w:pPr>
        <w:spacing w:after="0" w:line="213" w:lineRule="exact"/>
        <w:rPr>
          <w:rFonts w:ascii="Arial" w:cs="Arial" w:eastAsia="Arial" w:hAnsi="Arial"/>
          <w:sz w:val="18"/>
          <w:szCs w:val="18"/>
          <w:color w:val="auto"/>
        </w:rPr>
      </w:pPr>
    </w:p>
    <w:p>
      <w:pPr>
        <w:jc w:val="both"/>
        <w:ind w:left="660" w:right="80" w:hanging="328"/>
        <w:spacing w:after="0" w:line="263"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Cultivating Inclusion </w:t>
      </w:r>
      <w:r>
        <w:rPr>
          <w:rFonts w:ascii="Arial" w:cs="Arial" w:eastAsia="Arial" w:hAnsi="Arial"/>
          <w:sz w:val="18"/>
          <w:szCs w:val="18"/>
          <w:color w:val="auto"/>
        </w:rPr>
        <w:t>— We view diversity and inclusion as a business imperative that will enable us to build and empower our future workforce.</w:t>
      </w:r>
      <w:r>
        <w:rPr>
          <w:rFonts w:ascii="Arial" w:cs="Arial" w:eastAsia="Arial" w:hAnsi="Arial"/>
          <w:sz w:val="18"/>
          <w:szCs w:val="18"/>
          <w:i w:val="1"/>
          <w:iCs w:val="1"/>
          <w:color w:val="auto"/>
        </w:rPr>
        <w:t xml:space="preserve"> </w:t>
      </w:r>
      <w:r>
        <w:rPr>
          <w:rFonts w:ascii="Arial" w:cs="Arial" w:eastAsia="Arial" w:hAnsi="Arial"/>
          <w:sz w:val="18"/>
          <w:szCs w:val="18"/>
          <w:color w:val="auto"/>
        </w:rPr>
        <w:t>It is essential that our workforce be fully representative of the diversity in our global customer base. Diversity of leadership increases innovation and ensures that company decisions reflect a wide variety of perspectives.</w:t>
      </w:r>
    </w:p>
    <w:p>
      <w:pPr>
        <w:spacing w:after="0" w:line="210" w:lineRule="exact"/>
        <w:rPr>
          <w:rFonts w:ascii="Arial" w:cs="Arial" w:eastAsia="Arial" w:hAnsi="Arial"/>
          <w:sz w:val="18"/>
          <w:szCs w:val="18"/>
          <w:i w:val="1"/>
          <w:iCs w:val="1"/>
          <w:color w:val="auto"/>
        </w:rPr>
      </w:pPr>
    </w:p>
    <w:p>
      <w:pPr>
        <w:ind w:left="660" w:right="20" w:hanging="328"/>
        <w:spacing w:after="0" w:line="286"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Transforming Lives </w:t>
      </w:r>
      <w:r>
        <w:rPr>
          <w:rFonts w:ascii="Arial" w:cs="Arial" w:eastAsia="Arial" w:hAnsi="Arial"/>
          <w:sz w:val="17"/>
          <w:szCs w:val="17"/>
          <w:color w:val="auto"/>
        </w:rPr>
        <w:t>— We believe our scale, support, and the innovative application of our portfolio can play an important role in advancing</w:t>
      </w:r>
      <w:r>
        <w:rPr>
          <w:rFonts w:ascii="Arial" w:cs="Arial" w:eastAsia="Arial" w:hAnsi="Arial"/>
          <w:sz w:val="17"/>
          <w:szCs w:val="17"/>
          <w:i w:val="1"/>
          <w:iCs w:val="1"/>
          <w:color w:val="auto"/>
        </w:rPr>
        <w:t xml:space="preserve"> </w:t>
      </w:r>
      <w:r>
        <w:rPr>
          <w:rFonts w:ascii="Arial" w:cs="Arial" w:eastAsia="Arial" w:hAnsi="Arial"/>
          <w:sz w:val="17"/>
          <w:szCs w:val="17"/>
          <w:color w:val="auto"/>
        </w:rPr>
        <w:t>fundamental human rights and addressing complex societal challenges, including improving health, education, and economic opportunities for the underserved. We endeavor to harness the power of technology to create a future that is capable of realizing human potential.</w:t>
      </w:r>
    </w:p>
    <w:p>
      <w:pPr>
        <w:spacing w:after="0" w:line="192" w:lineRule="exact"/>
        <w:rPr>
          <w:rFonts w:ascii="Arial" w:cs="Arial" w:eastAsia="Arial" w:hAnsi="Arial"/>
          <w:sz w:val="17"/>
          <w:szCs w:val="17"/>
          <w:i w:val="1"/>
          <w:iCs w:val="1"/>
          <w:color w:val="auto"/>
        </w:rPr>
      </w:pPr>
    </w:p>
    <w:p>
      <w:pPr>
        <w:ind w:left="660" w:right="100" w:hanging="328"/>
        <w:spacing w:after="0" w:line="259"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Upholding Ethics and Privacy </w:t>
      </w:r>
      <w:r>
        <w:rPr>
          <w:rFonts w:ascii="Arial" w:cs="Arial" w:eastAsia="Arial" w:hAnsi="Arial"/>
          <w:sz w:val="18"/>
          <w:szCs w:val="18"/>
          <w:color w:val="auto"/>
        </w:rPr>
        <w:t>— Ethics and privacy play a critical role in establishing a strong foundation for positive social impact.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ensuring that new talent and existing team members align to our ethical culture. We will continue to invest in our advanced privacy governance and risk-management technology and continue seeking to select, evaluate, and do business with third parties who share our level of dedication to ethics and privacy.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measures its progress against each goal under the 2030 Plan in its annually released reports available on our website.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w:t>
      </w:r>
    </w:p>
    <w:p>
      <w:pPr>
        <w:spacing w:after="0" w:line="2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At Dell Technologies, we believe that by addressing climate change, we are demonstrating our commitment to protect our planet and the community. We have a responsibility to manage the greenhouse gas emissions associated with our direct and indirect footprint, and technology plays an important role in this undertaking. We aim to reach net zero emissions across Scopes 1, 2 and 3 by 2050.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diverse team with unique perspectives, united in our purpose, our strategy, and our culture. Our goal is to ensure that employees of different backgrounds feel valued, engaged, and inspired to do their best work. Through our ongoing diversity and inclusion efforts, flexible workplace transformation programs, training and development offerings, and health and wellness resources for our employees, we are striving to attract, develop and retain an empowered workforce for maximum impact internally and externally for our customers and communities. We believe in winning with integrity, and we leverage technology and deploy state-of-the-art tools to assist our team members in applying the principles of integrity and compliance as part of everyday business transactions, activities, and decisions. We seek to support our culture in four key focus areas: diversity and inclusion, achievement, balance, and connection.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 At Dell Technologies, we believe diversity is power. Within our 2030 Plan, one critical area of focus —</w:t>
      </w:r>
      <w:r>
        <w:rPr>
          <w:rFonts w:ascii="Arial" w:cs="Arial" w:eastAsia="Arial" w:hAnsi="Arial"/>
          <w:sz w:val="18"/>
          <w:szCs w:val="18"/>
          <w:i w:val="1"/>
          <w:iCs w:val="1"/>
          <w:color w:val="auto"/>
        </w:rPr>
        <w:t xml:space="preserve"> cultivating inclusion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highlights how our human capital resources are vital to our social impact and long-term success. Cultivating inclusion is a core component of our culture, and we believe that closing the diversity gap is critical to meeting future talent needs and ensuring that new perspectives reflect our global customer base. We are committed to equal employment opportunity for all and upholding ethics and integrity in all we do and will continue to champion for inclusive policies that support full-spectrum diversity.</w:t>
      </w:r>
    </w:p>
    <w:p>
      <w:pPr>
        <w:spacing w:after="0" w:line="21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January 28, 2022, we had approximately 133,000 employees, approximately 32% of whom were located in the United States. Excluding employees of Secureworks, the overall representation of employees who self-identify as women was approximately 34%. Of our global people leaders, 28% self-identified as women. We define people leaders as employees in a job management level or executive or manager position.</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of the same date, our U.S. employee base was comprised of employees who self-identified with the following ethnicities: 65% as White or Caucasian; 15% as Asian; 9% as Hispanic or Latino; 6% as Black or African American; 2% with two or more races; and 1% with additional groups (including American Indian, Alaska Native, Native Hawaiian or Other Pacific Islander). Approximately 2% of our U.S. employee base did not self-report or specify ethnicity status. Of our U.S. people leaders, 12% self-identified as Hispanic or Latino or as Black or African American.</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the composition of the workforce evolves, we recognize that companies embracing diversity and inclusion are experiencing greater innovation, productivity, engagement, and employee satisfaction. We are committed to increasing gender and ethnic diversity throughout Dell Technologies and, as part of our 2030 Plan, have established goals focused on this objective. We seek to achieve the following diversity goals within our workforce (excluding employees of Secureworks):</w:t>
      </w:r>
    </w:p>
    <w:p>
      <w:pPr>
        <w:spacing w:after="0" w:line="21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2030, 50% of our global workforce and 40% of our global people leaders will be those who self-identify as women.</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2030, 25% of our U.S. workforce and 15% of our U.S. people leaders will be those who self-identify as Black or African American or as Hispanic or Latino.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seek to meet these goals by:</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building and attracting the future workforce </w:t>
      </w:r>
      <w:r>
        <w:rPr>
          <w:rFonts w:ascii="Arial" w:cs="Arial" w:eastAsia="Arial" w:hAnsi="Arial"/>
          <w:sz w:val="17"/>
          <w:szCs w:val="17"/>
          <w:color w:val="auto"/>
        </w:rPr>
        <w:t>to create a workplace that is accessible, equitable and attractive to a diverse talent pipeline;</w:t>
      </w:r>
    </w:p>
    <w:p>
      <w:pPr>
        <w:spacing w:after="0" w:line="263"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developing and retaining an empowered workforce </w:t>
      </w:r>
      <w:r>
        <w:rPr>
          <w:rFonts w:ascii="Arial" w:cs="Arial" w:eastAsia="Arial" w:hAnsi="Arial"/>
          <w:sz w:val="18"/>
          <w:szCs w:val="18"/>
          <w:color w:val="auto"/>
        </w:rPr>
        <w:t>to foster an internal community that is engaged, productive, and innovative; and</w:t>
      </w:r>
    </w:p>
    <w:p>
      <w:pPr>
        <w:spacing w:after="0" w:line="252" w:lineRule="exact"/>
        <w:rPr>
          <w:rFonts w:ascii="Arial" w:cs="Arial" w:eastAsia="Arial" w:hAnsi="Arial"/>
          <w:sz w:val="18"/>
          <w:szCs w:val="18"/>
          <w:i w:val="1"/>
          <w:iCs w:val="1"/>
          <w:color w:val="auto"/>
        </w:rPr>
      </w:pPr>
    </w:p>
    <w:p>
      <w:pPr>
        <w:ind w:left="660" w:right="520" w:hanging="328"/>
        <w:spacing w:after="0" w:line="27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expanding our impact </w:t>
      </w:r>
      <w:r>
        <w:rPr>
          <w:rFonts w:ascii="Arial" w:cs="Arial" w:eastAsia="Arial" w:hAnsi="Arial"/>
          <w:sz w:val="18"/>
          <w:szCs w:val="18"/>
          <w:color w:val="auto"/>
        </w:rPr>
        <w:t>beyond our four walls, to build stronger customer relationships and external community that recognizes, respects and</w:t>
      </w:r>
      <w:r>
        <w:rPr>
          <w:rFonts w:ascii="Arial" w:cs="Arial" w:eastAsia="Arial" w:hAnsi="Arial"/>
          <w:sz w:val="18"/>
          <w:szCs w:val="18"/>
          <w:i w:val="1"/>
          <w:iCs w:val="1"/>
          <w:color w:val="auto"/>
        </w:rPr>
        <w:t xml:space="preserve"> </w:t>
      </w:r>
      <w:r>
        <w:rPr>
          <w:rFonts w:ascii="Arial" w:cs="Arial" w:eastAsia="Arial" w:hAnsi="Arial"/>
          <w:sz w:val="18"/>
          <w:szCs w:val="18"/>
          <w:color w:val="auto"/>
        </w:rPr>
        <w:t>embraces our shared value.</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still have work to do, and plan to provide transparency into our progress via annual reporting available on the social impact reporting page of our website.</w:t>
      </w:r>
    </w:p>
    <w:p>
      <w:pPr>
        <w:spacing w:after="0" w:line="19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Achievement through Learning, Development, and Total Rewards </w:t>
      </w:r>
      <w:r>
        <w:rPr>
          <w:rFonts w:ascii="Arial" w:cs="Arial" w:eastAsia="Arial" w:hAnsi="Arial"/>
          <w:sz w:val="17"/>
          <w:szCs w:val="17"/>
          <w:color w:val="auto"/>
        </w:rPr>
        <w:t>— We offer a competitive and comprehensive benefits package and strive to provide the</w:t>
      </w:r>
      <w:r>
        <w:rPr>
          <w:rFonts w:ascii="Arial" w:cs="Arial" w:eastAsia="Arial" w:hAnsi="Arial"/>
          <w:sz w:val="17"/>
          <w:szCs w:val="17"/>
          <w:i w:val="1"/>
          <w:iCs w:val="1"/>
          <w:color w:val="auto"/>
        </w:rPr>
        <w:t xml:space="preserve"> </w:t>
      </w:r>
      <w:r>
        <w:rPr>
          <w:rFonts w:ascii="Arial" w:cs="Arial" w:eastAsia="Arial" w:hAnsi="Arial"/>
          <w:sz w:val="17"/>
          <w:szCs w:val="17"/>
          <w:color w:val="auto"/>
        </w:rPr>
        <w:t>best choice and value at the best cost. Our comprehensive rewards programs are designed to attract, reward, and retain high-quality talent and to inspire employees to be their best and do their best work for our customers and the growth of our business. We recognize and reward performance through awards aligned with business strategy and individual objectives while supporting team members’ mental, physical, and financial health, and promoting workplace flexibility and connection. Further, Dell Technologies’ focus on cultivating inclusion is an important component of our total rewards philosophy — we believe that equal pay is a business imperative and we are committed to it.</w:t>
      </w:r>
    </w:p>
    <w:p>
      <w:pPr>
        <w:spacing w:after="0" w:line="20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provide a multitude of programs to enhance employees’ career growth and development. We offer formal training options, individualized development programs and sponsorship, tools for 360-degree feedback, mentoring, networking, stretch assignments, and growth opportunities. Our programs are designed to empower and inspire employees to direct their own career paths and build a portfolio of valuable skills for success in the technology industry. We are committed to building a diverse leadership pipeline with a broad spectrum of skills, including the ability to lead with integrity and inspire others.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Balance and Wellness </w:t>
      </w:r>
      <w:r>
        <w:rPr>
          <w:rFonts w:ascii="Arial" w:cs="Arial" w:eastAsia="Arial" w:hAnsi="Arial"/>
          <w:sz w:val="17"/>
          <w:szCs w:val="17"/>
          <w:color w:val="auto"/>
        </w:rPr>
        <w:t>— Work flexibility is part of our culture and has been critical to our success throughout the COVID-19 pandemic. Dell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has built tools and a culture that provide choice and flexibility to employees, the majority of whom continue to work in a mostly virtual environment. Dell’s Connected Workplace program allows eligible employees to choose from a variety of flexible work arrangement options that best meet their needs and is now available in 84 countries globally. We have implemented pandemic-specific protocols for employees whose jobs require them to be on-site or with customers and are deploying return-to-site processes based on ongoing assessments of local conditions.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our employees’ wellness through a comprehensive approach focused on mental, physical, and financial health, flexibility, and connection. We provide wellness resources to help employees and their families develop and sustain healthy habits. We further support employee wellness via regular communications, virtual live and on-demand educational sessions, voluntary progress tracking, wellness challenges, paid personal wellness time, and other incentives.</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Connection and Engagement </w:t>
      </w:r>
      <w:r>
        <w:rPr>
          <w:rFonts w:ascii="Arial" w:cs="Arial" w:eastAsia="Arial" w:hAnsi="Arial"/>
          <w:sz w:val="17"/>
          <w:szCs w:val="17"/>
          <w:color w:val="auto"/>
        </w:rPr>
        <w:t>— We believe that employee feedback is an important part of our culture and how we drive our strategy. Through our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Tell Dell survey, employees can confidentially voice their perceptions of our Company, their work experience, and ways in which Dell Technologies can improve. We drive further employee engagement and connection through a variety of initiatives including, but not limited to, our member listening strategy and our Employee Resource Groups (“ERGs”). We have a total of 13 unique ERGs, such as the Black Networking Alliance, Women in Action, and Planet. Our ERGs cultivate inclusion and bring many collective voices together for a greater business impact. Our ERGs also provide personal and professional development through networking opportunities, mentoring, volunteerism, and community involvement.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Resources</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manage our responsible business practices in one of the world’s largest supply chains, which involves hundreds of thousands of people around the world. We continue our efforts to drive responsible manufacturing through robust assurance practices including human rights due diligence and environmental stewardship. We recognize that looking after the wellbeing of people in our supply chain is important and have set goals for our work in this area, including:</w:t>
      </w:r>
    </w:p>
    <w:p>
      <w:pPr>
        <w:spacing w:after="0" w:line="21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healthy work environments;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future-ready skills development for employees in our supply chain;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our engagement with the people who make our products.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support supplier employees at all levels with training on key topics, including forced labor and health and safety, and we continue to work with suppliers to deliver training directly to employees via their mobile phones. Through this program, Dell Technologies covers the cost of developing training modules and shares training costs with suppliers who deliver them.</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Dell Technologies works to ensure that we and our suppliers manufacture our products responsibly, in part through our social and environmental responsibility assurance program. Through audits conducted under this program, we seek to monitor a supplier factory’s adherence to the Responsible Business Alliance (“RBA”) Code of Conduct. Audits are conducted by third-party auditors that have been trained and certified by the RBA. The audits cover topics across five areas: labor, including risks of forced labor and weekly working hours; employee health and safety; environment; ethics; and management systems. Through our audit program, we aim to identify and solve concerns in our supply chain, and seek continuous improvements to address issues and enable suppliers to build their own in-house capabilities. We supplement our audits with targeted assessments of suppliers when we identify opportunities to drive further improvements.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supply chain sustainability progress is available through annual reporting on the social impact reporting page of our website.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a holding company that conducts our operations through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mailing address of our principal executive offices is One Dell Way, Round Rock, Texas 78682. Our telephone number is 1-800-289-3355.</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website address is www.delltechnologies.com. We make available free of charge through our website our annual report on Form 10-K, quarterly reports on Form 10-Q, and current reports on Form 8-K, and all amendments to those reports, as soon as reasonably practicable after we electronically file such material with, or furnish it to, the SEC. The information on, or accessible through, our website referred to above or any other website we refer to in this report is not part of, and is not incorporated by reference into, this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March 4, 2022, information about our executive officers, who are appointed by our board of directors.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Michael S. Dell</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Jeffrey W. Clarke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Co-Chief Operating Officer and Vice Chairman</w:t>
            </w:r>
          </w:p>
        </w:tc>
      </w:tr>
      <w:tr>
        <w:trPr>
          <w:trHeight w:val="22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Allison Dew</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8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3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Howard D. Elias</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Chief Customer Officer and President, Services and Digital</w:t>
            </w:r>
          </w:p>
        </w:tc>
      </w:tr>
      <w:tr>
        <w:trPr>
          <w:trHeight w:val="22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J. Rothberg</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8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3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Jennifer D. Saavedra,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2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William F. Scannell</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8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Global Sales and Customer Operations</w:t>
            </w: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Thomas W. Sweet</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Anthony Charles Whitten</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Co-Chief Operating Officer</w:t>
            </w:r>
          </w:p>
        </w:tc>
      </w:tr>
    </w:tbl>
    <w:p>
      <w:pPr>
        <w:spacing w:after="0" w:line="32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Michael S. Dell </w:t>
      </w:r>
      <w:r>
        <w:rPr>
          <w:rFonts w:ascii="Arial" w:cs="Arial" w:eastAsia="Arial" w:hAnsi="Arial"/>
          <w:sz w:val="17"/>
          <w:szCs w:val="17"/>
          <w:color w:val="auto"/>
        </w:rPr>
        <w:t>— Mr. Dell serves as Chairman of the Board and Chief Executive Officer of Dell Technologies. Mr. Dell served as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Dell Inc., a wholly-owned subsidiary of Dell Technologies, from 1984 until July 2004 and resumed that role in January 2007. In 1998, Mr. Dell formed MSD Capital, L.P., a private investment firm that exclusively manages the capital for the Dell family, and, in 1999, he and his wife established the Michael &amp; Susan Dell Foundation to accelerate opportunity for children growing up in urban poverty in the United States, India, or South Africa. He is an honorary member of the Foundation Board of the World Economic Forum and is an executive committee member of the International Business Council. He serves as a member of the Technology CEO Council and is a member of the Business Roundtable. He also serves on the advisory board of Tsinghua University’s School of Economics and Management in Beijing, China, on the governing board of the Indian School of Business in Hyderabad, India, and as a board member of Catalyst, Inc., a non-profit organization that promotes inclusive workplaces for women. In June 2014, Mr. Dell was named the United Nations Foundation’s first Global Advocate for Entrepreneurship. Mr. Dell is also Chairman of the Board of Directors of VMware, Inc. and Non-Executive Chairman of SecureWorks Corp., a public majority-owned subsidiary of Dell Technologies. Mr. Dell was a board member of Pivotal Software, Inc., formerly a public majority-owned subsidiary of Dell Technologies that provides a leading cloud-native platform, from September 2016 until it was merged with VMware, Inc. in December 2019.</w:t>
      </w:r>
    </w:p>
    <w:p>
      <w:pPr>
        <w:spacing w:after="0" w:line="20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Jeffrey W. Clarke </w:t>
      </w:r>
      <w:r>
        <w:rPr>
          <w:rFonts w:ascii="Arial" w:cs="Arial" w:eastAsia="Arial" w:hAnsi="Arial"/>
          <w:sz w:val="16"/>
          <w:szCs w:val="16"/>
          <w:color w:val="auto"/>
        </w:rPr>
        <w:t>— Mr. Clarke serves as Co-Chief Operating Officer and Vice Chairman of Dell Technologies, responsible for running day-to-day</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operations, shaping the Company’s strategic agenda, and setting priorities across the Dell Technologies executive leadership team. In partnership with Mr. Whitten, Mr. Clarke directs the Infrastructure Solutions Group and the Client Solutions Group and manages Global Operations, including manufacturing, procurement, and supply chain. He is also responsible for setting the long-term strategy and leads planning for emerging technology areas such as Cloud, Edge, Telecom, and as-a-Service. Mr. Clarke has served as Co-Chief Operating Officer since August 2021, Chief Operating Officer from December 2019 to August 2021 and Vice Chairman, Products and Operations since September 2017, before which he served as Vice Chairman and President, Operations and Client Solutions with Dell Technologies and, previously, Dell, since January 2009.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quality engineer and has served in a variety of other engineering and management roles. Before joining Dell Technologies, Mr. Clarke served as a reliability and product engineer at Motorola, Inc.</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Allison Dew </w:t>
      </w:r>
      <w:r>
        <w:rPr>
          <w:rFonts w:ascii="Arial" w:cs="Arial" w:eastAsia="Arial" w:hAnsi="Arial"/>
          <w:sz w:val="17"/>
          <w:szCs w:val="17"/>
          <w:color w:val="auto"/>
        </w:rPr>
        <w:t>— Ms. Dew serves as the Chief Marketing Officer of Dell Technologies. In this role, in which she has served since March 2018, Ms. Dew is</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responsible for the global marketing organization, strategy, and all aspects of Dell Technologies’ marketing efforts, including brand and creative, product marketing, communications, digital, and field and channel marketing. Since joining Dell Technologies in 2008, Ms. Dew has been instrumental in Dell Technologies’ marketing transformation, leading an emphasis on data-driven marketing, customer understanding, and integrated planning. Most recently, prior to her current position, Ms. Dew led marketing for the Dell Technologies Client Solutions Group from December 2013 to March 2018. Before joining Dell Technologies, Ms. Dew served in various marketing leadership roles at Microsoft Corporation, a global technology company. Ms. Dew also worked in both a regional advertising shop in Tokyo, Japan and an independent multicultural agency in New York.</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Howard D. Elias </w:t>
      </w:r>
      <w:r>
        <w:rPr>
          <w:rFonts w:ascii="Arial" w:cs="Arial" w:eastAsia="Arial" w:hAnsi="Arial"/>
          <w:sz w:val="17"/>
          <w:szCs w:val="17"/>
          <w:color w:val="auto"/>
        </w:rPr>
        <w:t>— Mr. Elias serves as Chief Customer Officer and President, Services and Digital at Dell Technologies. He leads a global 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devoted to customer advocacy and oversees global support, deployment, consulting, education, managed services, the IT organization, and Virtustream. He is executive sponsor for more than a dozen of Dell Technologies’ largest enterprise accounts and is responsible for setting and driving strategy to enable and accelerate the mission-critical business transformations of customers and Dell’s own global operations. Mr. Elias previously served as President and Chief Operating Officer, EMC Global Enterprise Services from January 2013 until EMC’s acquisition by Dell Technologies in September 2016,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Company, now part of Dell Technologies’ converged platform division. Before joining EMC, Mr. Elias served in various capacities at Hewlett-Packard Company, a provider of information technology products, services, and solutions for enterprise customers, most recently as Senior Vice President of Business Management and Operations for the Enterprise Systems Group. Mr. Elias currently serves as chairman of TEGNA Inc., a media and digital business company, and is a member of the Massachusetts Business Roundtable.</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Richard J. Rothberg </w:t>
      </w:r>
      <w:r>
        <w:rPr>
          <w:rFonts w:ascii="Arial" w:cs="Arial" w:eastAsia="Arial" w:hAnsi="Arial"/>
          <w:sz w:val="17"/>
          <w:szCs w:val="17"/>
          <w:color w:val="auto"/>
        </w:rPr>
        <w:t>— Mr. Rothberg serves as General Counsel and Secretary for Dell Technologies. In this role, in which he has served since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spacing w:after="0" w:line="2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Jennifer D. Saavedra, Ph.D. </w:t>
      </w:r>
      <w:r>
        <w:rPr>
          <w:rFonts w:ascii="Arial" w:cs="Arial" w:eastAsia="Arial" w:hAnsi="Arial"/>
          <w:sz w:val="16"/>
          <w:szCs w:val="16"/>
          <w:color w:val="auto"/>
        </w:rPr>
        <w:t>— Dr. Saavedra is Dell Technologies' Chief Human Resources Officer. In this role, Dr. Saavedra leads Dell’s Global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and Facilities function and accelerates the performance and growth of the company through its culture and its people. Dr. Saavedra previously served as Dell’s Senior Vice President, Human Resources – Sales from December 2019 to March 2021 and as Dell’s Senior Vice President, Human Resources – Talent and Culture from November 2017 to December 2019. Dr. Saavedra joined Dell in 2005 and has served in many key leadership roles throughout the Human Resources organization, including talent development and culture, business partner, strategy, and learning and development. Before joining Dell in 2005, Dr. Saavedra served as a Human Resources consultant to private and public companies.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William F. Scannell </w:t>
      </w:r>
      <w:r>
        <w:rPr>
          <w:rFonts w:ascii="Arial" w:cs="Arial" w:eastAsia="Arial" w:hAnsi="Arial"/>
          <w:sz w:val="17"/>
          <w:szCs w:val="17"/>
          <w:color w:val="auto"/>
        </w:rPr>
        <w:t>— Mr. Scannell serves as President, Global Sales and Customer Operations for Dell Technologies, heading the global go-to-market</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including Channel, OEM, Global Alliances, and Specialty Sales. In this role, in which he has served since February 2020, Mr. Scannell is responsible for go-to-market strategy and driving global growth by delivering Dell Technologies’ solutions to organizations in established new markets and in approximately 180 countries around the world. Mr. Scannell previously served as President, Global Enterprise Sales and Customer Operations for Dell Technologies from September 2017 to January 2020, leading the sales teams to deliver innovative and practical technology solutions to large enterprises and public institutions worldwide. Prior to joining Dell Technologies, Mr. Scannell served as President, Global Sales and Customer Operations at EMC Corporation. In this role, to which he was appointed in July 2012 after overseeing customer operations in the Americas and EMEA,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Thomas W. Sweet </w:t>
      </w:r>
      <w:r>
        <w:rPr>
          <w:rFonts w:ascii="Arial" w:cs="Arial" w:eastAsia="Arial" w:hAnsi="Arial"/>
          <w:sz w:val="17"/>
          <w:szCs w:val="17"/>
          <w:color w:val="auto"/>
        </w:rPr>
        <w:t>— Mr. Sweet serves as Chief Financial Officer of Dell Technologies. In this role, in which he has served since January 2014, he is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all aspects of the Company’s finance function, including accounting, financial planning and analysis, tax, treasury, and investor relations, as well as global business operations, Dell Financial Services and Dell Technologies Capital. He also leads corporate strategy, partnering closely with the office of the CEO to develop and execute a long-term growth strategy that creates value for Dell Technologies stakeholders. From May 2007 to January 2014, 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Inc. was a publicly-traded company. Prior to this service, he served in a variety of finance leadership positions, including as Vice President responsible for overall finance activities within the corporate business, education, government, and healthcare business units of Dell. Mr. Sweet also has served as the head of internal audit and in a number of sales leadership roles in education and corporate business units since joining Dell in 1997. Prior to joining Dell, Mr. Sweet was Vice President, Accounting and Finance, for Telos Corporation, a provider of security solutions. He previously spent 13 years with Price Waterhouse, a firm specializing in accounting, assurance, tax, and consulting services, in a variety of roles primarily focused on providing audit and accounting services to the technology industry. Mr. Sweet serves on the board of directors of Trimble Inc., an industrial technology company.</w:t>
      </w:r>
    </w:p>
    <w:p>
      <w:pPr>
        <w:spacing w:after="0" w:line="21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Anthony Charles Whitten </w:t>
      </w:r>
      <w:r>
        <w:rPr>
          <w:rFonts w:ascii="Arial" w:cs="Arial" w:eastAsia="Arial" w:hAnsi="Arial"/>
          <w:sz w:val="16"/>
          <w:szCs w:val="16"/>
          <w:color w:val="auto"/>
        </w:rPr>
        <w:t>— Mr. Whitten is Co-Chief Operating Officer for Dell Technologies, responsible for managing day-to-day business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shaping the Company’s strategic agenda and setting priorities across the Dell Technologies executive leadership team. In partnership with Mr. Clarke, Mr. Whitten directs the Infrastructure Solutions Group and the Client Solutions Group and manages Global Operations, including manufacturing, procurement, and supply chain. He is also responsible for setting the long-term strategy and leads planning for emerging technology areas such as Cloud, Edge, Telecom, and as-a-Service. Mr. Whitten joined Dell Technologies in August 2021 from Bain &amp; Company (“Bain”), a management consulting company, where he served as the managing partner of Bain Southwest and was a two-time elected member of Bain’s Board of Directors. During his 22-year tenure at Bain, Mr. Whitten supported hundreds of clients across the globe on strategy, company transformation, M&amp;A and capital markets strategy. In the last decade of his career at Bain, he focused exclusively on the technology sector and was intimately involved in shaping the long-term strategy of Dell Technologies. Under his leadership of Bain’s Southwest region, the business more than doubled, was perennially a top Bain office in employee satisfaction, and was recognized in 2020 and 2021 by </w:t>
      </w:r>
      <w:r>
        <w:rPr>
          <w:rFonts w:ascii="Arial" w:cs="Arial" w:eastAsia="Arial" w:hAnsi="Arial"/>
          <w:sz w:val="16"/>
          <w:szCs w:val="16"/>
          <w:i w:val="1"/>
          <w:iCs w:val="1"/>
          <w:color w:val="auto"/>
        </w:rPr>
        <w:t>Fortune Magazine</w:t>
      </w:r>
      <w:r>
        <w:rPr>
          <w:rFonts w:ascii="Arial" w:cs="Arial" w:eastAsia="Arial" w:hAnsi="Arial"/>
          <w:sz w:val="16"/>
          <w:szCs w:val="16"/>
          <w:color w:val="auto"/>
        </w:rPr>
        <w:t xml:space="preserve"> as one of the best workplaces in Texas.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we currently expect or seek. The risks described below are not the only risks we face. There are additional risks and uncertainties not currently known to us or that we currently deem to be immaterial that also may materially adversely affect our business, operating results, financial condition, or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spin-off of VMware may not achieve the intended benefits.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1, 2021, VMware distributed to its stockholders, including us, a special one-time cash dividend, and we distributed all of the issued and outstanding shares of VMware common stock then owned by us to the holders of record of shares of Dell Technologies as of the distribution record date (the “VMware Spin-off”). Upon completion of the VMware Spin-off, the businesses of VMware were separated from our remaining businesses, and we and VMware entered into various agreements that will govern our future relationship. Among those agreements, a commercial framework agreement provides a framework under which we and VMware will continue our strategic relationship, particularly with respect to projects we and VMware believe have the potential to accelerate the growth of the industry, product, service, or platform that may provide one or both of our companies with a strategic market opportunity. The VMware Spin-off may not provide the benefits that we intend, including the benefits we seek from a continuation of our strategic relationship with VMware under the commercial framework and other arrangements. There is a potential for business disruption and significant separation costs. The VMware Spin-off could cause our customers to delay or defer decisions to purchase products or renew contracts, or to end their relationships. Any of these factors could have a material adverse effect on our business, financial condition, results of operations, cash flows or the price of our Class C Common Stock. In addition, the combined value of the common stock of the two companies held by our stockholders may not be equal to or greater than what the value of our common stock alone would have been had the proposed VMware Spin-off not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may continue to have adverse effects on our business and result in reduced net revenue and profitability.</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ongoing COVID-19 pandemic and associated containment measures have caused economic and financial disruptions globally, affecting regions in which we sell our products and services and in which we conduct our business operations. COVID-19 disruptions continue to impact the demand environment for our ISG products and services. Further, while COVID-19 positively impacted the demand environment for our CSG products and services during Fiscal 2022, we may not experience a continuation of such increased demand at the same level, or at all, for those products and services. Any reduced demand for PC products or a significant increase in competition could cause our operating income to fluctuate and adversely impact our results of operations. Our business in Fiscal 2022 was adversely affected by supply constraints resulting from the pandemic that affected the timing of shipments of certain products in desired quantities or configurations. We also experienced increased freight costs as a result of both expedited shipments of components and rate increases in the freight network as capacity remained constrained.</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Given the unpredictability, duration, novel variances of the virus, and, at times, the severity of resurgences of the pandemic, we are unable to predict the full impact the pandemic may have on our results of operations, financial condition, liquidity, and cash flows due to numerous uncertainties, including the progression of the pandemic, governmental and other responses, vaccine availability and acceptance, and the timing of economic recovery. We are also unable to predict the extent of the impact of the pandemic on our customers, suppliers, and other partners, which could continue to adversely affect demand for our products and services.</w:t>
      </w:r>
    </w:p>
    <w:p>
      <w:pPr>
        <w:spacing w:after="0" w:line="21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Measures taken to contain the COVID-19 pandemic globally, such as travel restrictions, quarantines, shelter-in-place, and shutdowns as applicable by jurisdiction, have affected and will likely continue to affect our workforce and operations, and those of our vendors, suppliers, and partners. Restrictions on our operations or workforce, or similar limitations for others, may affect our ability to meet customer demand. We have taken and will continue to take risk mitigation actions that we believe are in the best interests of our employees, customers, suppliers, and other partners. Work-from-home and other measures introduce additional operational risks, including heightened cybersecurity risks. These measures may not be sufficient to mitigate the risks posed by the pandemic, and illness and workforce disruptions could lead to unavailability of key personnel and impair our</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ability to perform critical functions. The COVID-19 pandemic may continue to cause disruption and volatility in the global debt and capital markets, which may increase our cost of capital and adversely affect our access to capital.</w:t>
      </w:r>
    </w:p>
    <w:p>
      <w:pPr>
        <w:spacing w:after="0" w:line="197"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To the extent the COVID-19 pandemic adversely affects our business, results of operations, and financial condition, it also may have the effect of exacerbating the other risks discussed in this “Risk Factors” section. Developments related to the COVID-19 pandemic have been unpredictable, and additional impacts and risks may arise that we are not aware of or are not able to respond to in an effective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may adversely affect our industry unit share position, revenue, and profitability.</w:t>
      </w:r>
    </w:p>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operate in an industry in which there are rapid technological advances in hardware, software, and services offerings. As a result, we face aggressive product and price competition from both branded and generic competitors. We compete based on our ability to offer to our customers integrated solutions that provide desired product and services features at a competitive price. Our competitors may provide products that are less costly, perform better or include additional features. Further, our product portfolios may quickly become outdated or our market share may quickly erode. Efforts to balance the mix of products and services to optimize profitability, liquidity, and growth may put pressure on our industry position.</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the technology industry continues to expand, there may be new and increased competition in different geographic regions. The generally low barriers to entry into the technology industry increase the potential for challenges from new competitors. Competition also may intensify from an increase in alternatives for mobile and cloud computing solutions. In addition, companies with which we have strategic alliances may become competitors in other product areas, or current competitors may enter into new strategic relationships with new or existing competitors, all of which may further increase competitive pressures.</w:t>
      </w:r>
    </w:p>
    <w:p>
      <w:pPr>
        <w:spacing w:after="0" w:line="21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Reliance on vendors for products and components, many of which are single-source or limited-source suppliers, could harm our business by adversely affecting product availability, delivery, reliability, and cost.</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maintain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we may not be able to replace the functionality provided by third-party software currently offered with our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our operating results.</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obtain many products and all of our components from third-party vendors, many of which are located outside of the United States. In addition, significant portions of our products are assembled by contract manufacturers, primarily in various locations in Asia. A significant concentration of such outsourced manufacturing is performed by only a few contract manufacturers, often in single locations. We sell components to these contract manufacturers and generate large non-trade accounts receivables, an arrangement that would present a risk of uncollectibility if the financial condition of a contract manufacturer should deteriorate.</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these relationships generate cost efficiencies, they limit our direct control over production. The increasing reliance on vendors subjects us to a greater risk of shortages and reduced control over delivery schedules of components and products, as well as a greater risk of increases in product and component costs. We experienced some of these adverse effects in Fiscal 2022 and Fiscal 2021 as a result of COVID-19 impacts. We may experience additional supply shortages and price increases caused by changes to raw material availability, manufacturing capacity, labor shortages, public health issues, tariffs, trade disputes and protectionist measures, natural catastrophes or the effects of climate change (such as extreme weather conditions, sea level rise, drought, flooding and wildfires), and significant changes in the financial condition of our suppliers. Because we maintain minimal levels of component and product inventories, a disruption in component or product availability could harm our ability to satisfy customer needs. In addition, defective parts and products from these vendors could reduce product reliability and harm our reputation.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achieve favorable pricing from vendors, our profitability could be adversely affected.</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profitability is affected by our ability to achieve favorable pricing from vendors and contract manufacturers, including through negotiations for vendor rebates, marketing funds, and other vendor funding received in the normal course of business.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Because these supplier negotiations are continual and reflect the evolving competitive environment, the variability in timing and amount of incremental vendor discounts and rebates can affect our profitability. The vendor programs may change periodically, potentially resulting in adverse profitability trends if we cannot adjust pricing or variable costs. An inability to establish a cost and product advantage, or determine alternative means to deliver value to customers, may adversely affect our revenue and profitability.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global economic conditions may harm our business and result in reduced net revenue and profitability.</w:t>
      </w:r>
    </w:p>
    <w:p>
      <w:pPr>
        <w:spacing w:after="0" w:line="25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 global company with customers operating in a broad range of businesses and industries, our performance is affected by global economic conditions and the demand for technology products and services in international markets. Adverse economic conditions may negatively affect customer demand, and could result in postponed or decreased spending amid customer concerns over unemployment, reduced asset values, volatile energy costs, geopolitical issues, the availability and cost of credit, and the stability and solvency of financial institutions, financial markets, businesses, local and state governments, and sovereign nations. Weak or unstable global economic conditions, including those attributable to international conflicts, such as the conflict in Ukraine, international trade protection measures and disputes, such as those between the United States and China, or public health issues, such as the outbreak of COVID-19, also could harm our business by contributing to product shortages or delays, supply chain disruptions, insolvency of key suppliers, customer and counterparty insolvencies, increased product costs and associated price increases, reduced global sales, and other adverse effects on our operations. Any such effects could have a negative impact on our net revenue and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results of operations of our business units may be adversely affected if we fail to successfully execute our strategy.</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strategy involves enabling the digital transformation of our customers while leading in the core infrastructure markets in which we compete. Accordingly, we must continue to expand our customer base through direct sales, new distribution channels, further development of relationships with resellers, and augmentation of selected business areas through targeted acquisitions and other commercial arrangements. As we reach more customers through new distribution channels and expanded reseller relationships, we may fail to effectively manage the increasingly difficult tasks of inventory management and demand forecasting. Our ability to implement this strategy depends on efficiently transitioning sales capabilities, successfully adding to the breadth of our solutions capabilities through selective acquisitions of other businesses, and effective management of the consequences of these strategic initiatives. If we are unable to meet these challenges, our results of operations could be adversely affected.</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organized into two business units consisting of ISG and CSG that are each important components of our strategy. ISG offers a portfolio of storage, server, and networking solutions and faces intense competition from existing on-premises competitors and increasing competitive pressures from public cloud providers. Accordingly, we could be required to make additional investments to combat such competitive pressures and drive future growth. Such pressures could result in the erosion of revenue and operating income and adversely affect ISG’s results of operations. To address an industry trend toward hybrid-computing models, we have developed and continue to develop traditional, converged, and hyper-converged infrastructure solutions. ISG’s results of operations could be adversely affected if such solutions are not adopted by our customers or potential customers, or if customers move rapidly to adopt public cloud solutions.</w:t>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CSG largely relies on sales of desktops, workstations, and notebooks. Revenue from CSG absorbs our overhead costs and allows for scaled procurement. CSG faces risk and uncertainties from fundamental changes in the personal computer (“PC”) market, including a decline in worldwide revenues for desktops, workstations, and notebooks, and lower shipment forecasts for these products due to a general lengthening of the replacement cycle. Any reduced demand for PC products or a significant increase in competition could cause our operating income to fluctuate and adversely impact CSG’s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cost efficiency measures are not successful, we may become less competitive.</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continue to focus on minimizing operating expenses through cost improvements and simplification of our corporate structure. We may experience delays or unanticipated costs in implementing our cost efficiency plans, which could prevent the timely or full achievement of expected cost efficiencies and adversely affect our competitive position.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inability to manage solutions and product and services transitions in an effective manner could reduce the demand for our solutions, products, and services, and negatively affect the profitability of our operations.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Continuing improvements in technology result in the frequent introduction of new solutions, products, and services, improvements in product performance characteristics, and short product life cycles. If we fail to effectively manage transitions to new solutions and offerings, the products and services associated with such offerings and customer demand for our solutions, products, and services could diminish, and our profitability could suffer.</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increasingly source new products and transition existing products through our contract manufacturers and manufacturing outsourcing relationships to generate cost efficiencies and better serve our customers. The success of product transitions depends on a number of factors, including the availability of sufficient quantities of components at attractive costs. Product transitions also present execution uncertainties and risks, including the risk that new or upgraded products may have quality problems or other defects.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deliver high-quality products, software, and services could lead to loss of customers and diminished profitability.</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must identify and address quality issues associated with its products,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our operating results.</w:t>
      </w:r>
    </w:p>
    <w:p>
      <w:pPr>
        <w:spacing w:after="0" w:line="21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Cyber-attacks and other security incidents that disrupt our operations or result in the breach or other compromise of proprietary or confidential information about us or our workforce, customers, or other third parties could disrupt our business, harm our reputation, cause us to lose clients and expose us to costly regulatory enforcement and litigation.</w:t>
      </w:r>
    </w:p>
    <w:p>
      <w:pPr>
        <w:spacing w:after="0" w:line="2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routinely manage, store, transmit and otherwise process large amounts of proprietary information and confidential data, including sensitive and personally identifiable information, relating to our operations, products, and customers. We face numerous evolving cyber threats of increasing scale, volume, severity, and complexity, making it increasingly difficult to defend against security incidents successfully or to implement adequate preventative measures.</w:t>
      </w:r>
    </w:p>
    <w:p>
      <w:pPr>
        <w:spacing w:after="0" w:line="21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Despite our internal controls and significant investment in security measures, criminal or other unauthorized threat actors, including nation states or state-sponsored organizations, may be able to penetrate our security measures, breach our information technology systems, misappropriate or compromise confidential and proprietary information of our company and our customers, cause system disruptions and shutdowns, or introduce ransomware, malware, or vulnerabilities into our products, systems, and networks or those of our customers and partners. Employees, contractors, or other insiders may introduce vulnerabilities into our environments or otherwise may seek to misappropriate our intellectual property and proprietary information. In addition, cyber-attacks are increasingly being used in geopolitical conflicts. The shift to work-from-home and flexible work arrangements resulting from the COVID-19 pandemic also may increase our vulnerability, as employees and contractors of our company and third-party providers are working remotely and using home networks that may pose a significant risk to network and cyber security. In the past, we have experienced security incidents, including the unauthorized activity on our network attempting to extract Dell.com customer information we disclosed in November 2018.</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costs to address cyber risks, both before and after a security incident, could be significant, regardless of whether incidents result from an attack on us directly or on third-party vendors upon which we rely. Our third-party vendors continue to experience security incidents of varying severity, including but not limited to increased ransomware attacks, network intrusions, and unauthorized data exfiltration, which have directly and indirectly impacted our operations in the past. Targeted cyber-attacks or those that may result from a security incident directed at a third-party vendor could compromise our internal systems and products and the systems of our customers, resulting in interruptions, delays, or cessation of service that could disrupt business operations for us and our customers. Our proactive measures and remediation efforts may not be successful or timely. In addition, breaches of our security measures and the unapproved dissemination of proprietary information or sensitive or confidential data about us, our customers, or other third parties could impair our intellectual property rights and expose us, our customers, or such other third parties to a risk of loss or misuse of such information or data. Any such incidents also could subject us to government investigations and regulatory enforcement actions, litigation, potential liability, damage our brand and reputation, or otherwise harm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Hardware and operating system software and applications that we produce or procure from third parties also may contain defects in design or manufacture or other deficiencies, including security vulnerabilities that could interfere with the operation or security of our products, services, and offerings. In the event of a security vulnerability or other flaws in third-party components or software code, we may have to rely on multiple third parties to mitigate vulnerability. Such mitigation techniques may be ineffective or may result in adverse performance, system instability or data loss, and may not always be available, or available on a timely basis. Any actual or perceived security vulnerabilities in our products or services, or those of third parties we sell, could lead to loss of existing or potential customers, and may impede our sales, manufacturing, distribution, outsourcing services, information technology solutions, and other critical functions and offerings. Failure to promptly mitigate security vulnerabilities may adversely affect our brand and reputation and subject us in government investigations, regulatory enforcement actions, litigation and potential liability resulting from our inability to fulfill our contractual obligations to our customers and partners.</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global enterprise, we are subject to an increasing number of laws and regulations in the United States and numerous other countries relating to the collection, use, transfer, and protection of customer data and other sensitive, confidential, and proprietary information. Our ability to execute transactions and to process and use personal information and other data in the conduct of our business and service of our customers subjects us to increased obligations to comply with applicable laws and regulations and may require us to notify regulators, customers, employees, or other individuals or entities of a security incident or data or privacy breach. We continue to incur significant expenditures to comply with mandatory privacy, security, data protection and localization requirements and controls imposed by law, regulation, industry standards and contractual obligations. Despite such expenditures, we may face regulatory and other legal actions, including potential liability, in the event of a security incident or data or privacy breach or perceived or actual non-compliance with such requirements and controls.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successfully implement our acquisition strategy, which could result in unforeseen operating difficulties and increased costs.</w:t>
      </w:r>
    </w:p>
    <w:p>
      <w:pPr>
        <w:spacing w:after="0" w:line="26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make strategic acquisitions of other companies as part of our growth strategy. We could experience unforeseen operating difficulties in integrating the businesses, technologies, services, products, personnel, or operations of acquired companies, especially if we are unable to retain the key personnel of an acquired company. Further, future acquisitions may result in a delay or reduction of sales for both us and the acquired company because of customer uncertainty about the continuity and effectiveness of solutions offered by either company and may disrupt our existing business by diverting resources and significant management attention that otherwise would be focused on development of the existing business. Acquisitions also may negatively affect our relationships with strategic partners if the acquisitions are seen as bringing us into competition with such partners.</w:t>
      </w:r>
    </w:p>
    <w:p>
      <w:pPr>
        <w:spacing w:after="0" w:line="19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complete an acquisition, we may be required to use substantial amounts of cash, engage in equity or debt financings, or enter into credit agreements to secure additional funds. Such debt financings could involve restrictive covenants that might limit our capital-raising activities and operating flexibility. Further, an acquisition may negatively affect our results of operations because it may expose us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spacing w:after="0" w:line="20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we periodically divest businesses, including businesses that are no longer a part of our strategic plan.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generate substantial non-U.S. net revenue is subject to additional risks and uncertainties.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Sales outside the United States accounted for approximately half of our consolidated net revenue for Fiscal 2022. Our future growth rates and success are substantially dependent on the continued growth of our business outside of the United States. Our international operations face many risks and uncertainties, including varied local economic and labor conditions; political instability; public health issues; changes in the U.S. and international regulatory environments; the impacts of trade protection measures, including increases in tariffs and trade barriers due to the current geopolitical climate and changes and instability in government policies and international trade arrangements, which could adversely affect our ability to conduct business in non-</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U.S. markets; changes in tax laws (including laws imposing U.S. taxes on foreign operations); potential theft or other compromise of our technology, data, or intellectual property; copyright levies; and foreign currency exchange rates. Our international operations could suffer as a result of the withdrawal of the United Kingdom from the European Union, commonly referred to as Brexit, including as a result of modification of trade, immigration, and commercial regulation. We could incur additional operating costs, or sustain supply chain disruptions, due to any such changes. Any of these factors could negatively affect our international business results and growth prospects.</w:t>
      </w:r>
    </w:p>
    <w:p>
      <w:pPr>
        <w:spacing w:after="0" w:line="21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profitability may be adversely affected by changes in the mix of products and services, customers, or geographic sales, and by seasonal sales trends.</w:t>
      </w:r>
    </w:p>
    <w:p>
      <w:pPr>
        <w:spacing w:after="0" w:line="19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overall profitability for any period may be adversely affected by changes in the mix of products and services, customers, or geographic markets reflected in sales for that period, and by seasonal trends. Profit margins vary among products, services, customers, and geographic markets. For example, services offerings generally have a higher profit margin than consumer products. In addition, parts of our business are subject to seasonal sales trends. Among the trends with the most significant impact on our operating results, sales to government customers (particularly the U.S. federal government) generally are stronger in our third fiscal quarter, sales in Europe, the Middle East and Africa are often weaker in our third fiscal quarter, and sales to consumers are typically strongest during our fourth fiscal quarter.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lose revenue opportunities and experience gross margin pressure if sales channel participants fail to perform as expected.</w:t>
      </w:r>
    </w:p>
    <w:p>
      <w:pPr>
        <w:spacing w:after="0" w:line="26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rely on value-added resellers, system integrators, distributors, and retailers as sales channels to complement our direct sales organization in order to reach more end-users. Future operating results depend on the performance of sales channel participants and on our success in maintaining and developing these relationships. Revenue and gross margins could be negatively affected if the financial condition or operations of channel participants weaken as a result of adverse economic conditions or other business challenges, or if uncertainty regarding the demand for our products causes channel participants to reduce their orders for these products. Further, some channel participants may consider the expansion of our direct sales initiatives to conflict with their business interests as distributors or resellers of our products, which could lead them to reduce their investment in the distribution and sale of such products, or to cease all sales of our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performance could suffer from reduced access to the capital markets by us or some of our customers.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access debt and capital sources to provide financing for customers and to obtain funds for general corporate purposes, including working capital, acquisitions, capital expenditures, and funding of customer receivables. In addition, we maintain customer financing relationships with some companies that rely on access to the debt and capital markets to meet significant funding needs. Any inability of these companies to access such markets could compel us to self-fund transactions with such companies or to forgo customer financing opportunities, which could harm our financial performance. The debt and capital markets may experience extreme volatility and disruption from time to time in the future, which could result in higher credit spreads in such markets and higher funding costs for us. Deterioration in our business performance, a credit rating downgrade, volatility in the securitization markets, changes in financial services regulation, or adverse changes in the economy could lead to reductions in the availability of debt financing. In addition, these events could limit our ability to continue asset securitizations or other forms of financing from debt or capital sources, reduce the amount of financing receivables that we originate, or negatively affect the costs or terms on which we may be able to obtain capital. Any of these developments could adversely affect our net revenue, profitability, and cash flows.</w:t>
      </w:r>
    </w:p>
    <w:p>
      <w:pPr>
        <w:spacing w:after="0" w:line="20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If the value of goodwill or intangible assets is materially impaired, our results of operations and financial condition could be materially and adversely affected.</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of January 28, 2022, goodwill and intangible assets, net had a combined carrying value of $27.2 billion, representing approximately 29%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and additional regulation could harm our financial services activities.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financial services activities primarily through DFS are negatively affected by adverse economic conditions that contribute to loan delinquencies and defaults. An increase in loan delinquencies and defaults would result in greater net credit losses, which may require us to increase our reserves for customer receivables.</w:t>
      </w:r>
    </w:p>
    <w:p>
      <w:pPr>
        <w:spacing w:after="0" w:line="2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the implementation of new financial services regulations, or the application of existing financial services regulation, in countries where we conduct our financial services and related supporting activities, could unfavorably affect the profitability and cash flows of our consumer financing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numerous arrangements with financial institutions that include cash and investment deposits, interest rate swap contracts, foreign currency option contracts, and forward contracts. As a result, we are subject to the risk that the counterparty to one or more of these arrangements will default, either voluntarily or involuntarily, on its performance under the terms of the arrangement. In times of market distress, a counterparty may default rapidly and without notice, and we may be unable to take action to cover its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 In the event of such a default, we could incur significant losses, which could harm our business and adversely affect our results of operations and financial condition.</w:t>
      </w:r>
    </w:p>
    <w:p>
      <w:pPr>
        <w:spacing w:after="0" w:line="201" w:lineRule="exact"/>
        <w:rPr>
          <w:sz w:val="20"/>
          <w:szCs w:val="20"/>
          <w:color w:val="auto"/>
        </w:rPr>
      </w:pPr>
    </w:p>
    <w:p>
      <w:pPr>
        <w:ind w:right="620"/>
        <w:spacing w:after="0" w:line="312" w:lineRule="auto"/>
        <w:rPr>
          <w:sz w:val="20"/>
          <w:szCs w:val="20"/>
          <w:color w:val="auto"/>
        </w:rPr>
      </w:pPr>
      <w:r>
        <w:rPr>
          <w:rFonts w:ascii="Arial" w:cs="Arial" w:eastAsia="Arial" w:hAnsi="Arial"/>
          <w:sz w:val="17"/>
          <w:szCs w:val="17"/>
          <w:b w:val="1"/>
          <w:bCs w:val="1"/>
          <w:color w:val="auto"/>
        </w:rPr>
        <w:t>Our performance and business could suffer if our contracts for ISG services and solutions fail to produce revenue at expected levels due to exercise of customer rights under the contracts, inaccurate estimation of costs, or customer defaults in payment.</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offer our ISG customers a range of consumption models for our services and solutions, including as-a-Service, utility, leases, or immediate pay models, designed to match customers’ consumption preferences. These solutions generally are multiyear agreements that typically result in recurring revenue streams over the term of the arrangement. Our financial results and growth depend, in part, on customers continuing to purchase our services and solutions over the contract life on the agreed terms. The contracts allow customers to take actions that may adversely affect our recurring revenue and profitability. These actions include terminating a contract if our performance does not meet specified services levels, requesting rate reductions, reducing the use of our services and solutions or terminating a contract early upon payment of agreed fees. In addition, we estimate the costs of delivering the services and solutions at the outset of the contract. If we fail to estimate such costs accurately and actual costs significantly exceed estimates, we may incur losses on the contracts. We also are subject to the risk of loss under the contracts as a result of a default, voluntarily or involuntarily, in payment by the customer, whether because of financial weakness or other reasons.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government contracts could harm our business.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our products and services. In addition, if we violate legal or regulatory requirements, the applicable government could suspend or disbar us as a contractor, which would unfavorably affect our net revenue and profitability.</w:t>
      </w:r>
    </w:p>
    <w:p>
      <w:pPr>
        <w:spacing w:after="0" w:line="21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Our business could suffer if we do not develop and protect our proprietary intellectual property or obtain or protect licenses to intellectual property developed by others on commercially reasonable and competitive terms.</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or our suppliers are unable to develop or protect desirable technology or technology licenses, we may be prevented from marketing products, may have to market products without desirable features, or may incur substantial costs to redesign products. We also may have to defend or enforce legal actions or pay damages if we are found to have violated the intellectual property of other parties. Although our suppliers might be contractually obligated to obtain or protect such licenses and indemnify us against related expenses, those suppliers could be unable to meet their obligations. We invest in research and development and obtain additional intellectual property through acquisitions, but those activities do not guarantee that we will</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develop or obtain intellectual property necessary for profitable operations. Costs involved in developing and protecting rights in intellectual property may have a negative impact on our business. In addition, our operating costs could increase because of copyright levies or similar fees by rights holders and collection agencies in European and other countries.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disruptions could harm our business.</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depend on our information technology and manufacturing infrastructure to achieve our business objectives. Natural disasters, manufacturing failures, telecommunications system failures, or defective or improperly installed new or upgraded business management systems could lead to disruptions in this infrastructure. Portions of our IT infrastructure, including those provided by third parties, also may experience interruptions, delays, or cessations of service, or produce errors in connection with systems integration or migration work. Such disruptions may adversely affect our ability to receive or process orders, manufacture and ship products in a timely manner, or otherwise conduct business in the normal course. Further, portions of our business involve the processing, storage, and transmission of data, which also would be negatively affected by such an event. Disruptions in our infrastructure could lead to loss of customers and revenue, particularly during a period of heavy demand for our products and services. We also could incur significant expense in repairing system damage and taking other remedial measures.</w:t>
      </w:r>
    </w:p>
    <w:p>
      <w:pPr>
        <w:spacing w:after="0" w:line="20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Failure to hedge effectively our exposure to fluctuations in foreign currency exchange rates and interest rates could adversely affect our financial condition and results of operations.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utilize derivative instruments to hedge our exposure to fluctuations in foreign currency exchange rates and interest rates. Some of these instruments and contracts may involve elements of market and credit risk in excess of the amounts recognized in our financial statements. Global economic events, including trade disputes, economic sanctions and emerging market volatility, and associated uncertainty may cause currencies to fluctuate, which may contribute to variations in our sales of products and services in various jurisdictions. If we are not successful in monitoring our foreign exchange exposures and conducting an effective hedging program, our foreign currency hedging activities may not offset the impact of fluctuations in currency exchange rates on our future results of operations and financial position.</w:t>
      </w:r>
    </w:p>
    <w:p>
      <w:pPr>
        <w:spacing w:after="0" w:line="215"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Adverse legislative or regulatory tax changes, the expiration of tax holidays or favorable tax rate structures, or unfavorable outcomes in tax audits and other tax compliance matters could result in an increase in our tax expense or our effective income tax rate.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Changes in tax laws (including any future U.S. Treasury notices or regulations related to the Tax Cuts and Jobs Act that was signed into law on December 22, 2017) could adversely affect our operations and profitability. In recent years, numerous legislative, judicial, and administrative changes have been made to tax laws applicable to us and similar companies. The Organisation for Economic Co-operation and Development (the “OECD”), an international association of 38 countries, including the United States, has issued guidelines that change long-standing tax principles. The OECD guidelines may introduce tax uncertainty as countries amend their tax laws to adopt certain parts of the guidelines. Additional changes to tax laws are likely to occur, and such changes may adversely affect our tax liability.</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Many of these holidays may be extended when certain conditions are met, or may be terminated if certain conditions are not met. If the tax holidays are not extended, or if we fail to satisfy the conditions of the reduced tax rate, our effective tax rate would be affected. Our effective tax rate also could be impacted if our geographic sales mix changes. In addition, any actions by us to repatriate non-U.S. earnings for which we have not previously provided for U.S. taxes may affect the effective tax rate.</w:t>
      </w:r>
    </w:p>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continually under audit in various tax jurisdictions. We may not be successful in resolving potential tax claims that arise from these audits. An unfavorable outcome in certain of these matters could result in a substantial increase in our tax expense. In addition, our provision for income taxes could be adversely affected by changes in the valuation of deferred tax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profitability could suffer from declines in fair value or impairment of our portfolio investments.</w:t>
      </w:r>
    </w:p>
    <w:p>
      <w:pPr>
        <w:spacing w:after="0" w:line="25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invest a significant portion of available funds in a portfolio consisting of both equity and debt securities of various types and maturities pending the deployment of these funds in our business. Our equity investments consist of strategic investments in both marketable and non-marketable securities. Investments in marketable securities are measured at fair value on a</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recurring basis. We have elected to apply the measurement alternative for non-marketable securities. Under the alternative, we measure investments without readily determinable fair values at cost, less impairment, adjusted by observable price changes. Our debt securities generally are classified as held to maturity and are recorded in our financial statements at amortized cost. Our earnings performance could suffer from declines in fair value or impairment of our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results of legal proceedings could harm our business and result in substantial costs.</w:t>
      </w:r>
    </w:p>
    <w:p>
      <w:pPr>
        <w:spacing w:after="0" w:line="25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are involved in various claims, suits, investigations, and legal proceedings that arise from time to time in the ordinary course of business or otherwise, including those pending in connection with the Class V transaction and others described elsewhere in this report. Additional legal claims or regulatory matters affecting us and our subsidiaries may arise in the future and could involve stockholder, consumer, regulatory, compliance, intellectual property, antitrust, tax, and other issues on a global basis. Litigation is inherently unpredictable. Regardless of the merits of a claim, litigation may be both time-consuming and disruptive to our business. We could incur judgments or enter into settlements of claims that could adversely affect our operating results or cash flows in a particular period. Even if we are not named a party to a particular suit, we may be subject to indemnification obligations to the named parties that could subject us to liability for damages or other amounts payable as a result of such judgments or settlements. In addition, our business, operating results, and financial condition could be adversely affected if any infringement or other intellectual property claim made against us by any third party is successful, or if we fail to develop non-infringing technology or license the proprietary rights on commercially reasonable terms and conditions.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Compliance requirements of current or future environmental and safety laws, or other laws, may increase costs, expose us to potential liability and otherwise harm our business.</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operations are subject to environmental and safety regulations in all areas in which we conduct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we fail to comply with applicable rules and regulations regarding the transportation, source, use, and sale of such regulated substances, we could be subject to liability. The costs and timing of costs under environmental and safety laws are difficult to predict, but could have an adverse impact on our business.</w:t>
      </w:r>
    </w:p>
    <w:p>
      <w:pPr>
        <w:spacing w:after="0" w:line="21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we and our subsidiaries are subject to various anti-corruption laws that prohibit improper payments or offers of payments to foreign governments and their officials for the purpose of obtaining or retaining business, and are also subject to export controls, customs, economic sanctions laws, including those currently imposed on Russia, and embargoes imposed by the U.S. government. Violations of the Foreign Corrupt Practices Act or other anti-corruption laws or export control, customs, or economic sanctions laws may result in severe criminal or civil sanctions and penalties, and we and our subsidiaries may be subject to other liabilities which could have a material adverse effect on our business, results of operations, and financial condition.</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 Further, we may face reputational harm if our customers or other stakeholders conclude that we are unable to sufficiently verify the origins of the minerals used in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terrorism, armed hostilities, or public health issues could harm our business.</w:t>
      </w:r>
    </w:p>
    <w:p>
      <w:pPr>
        <w:spacing w:after="0" w:line="256"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auto"/>
        </w:rPr>
        <w:t>Natural disasters, terrorism or armed hostilities, such as the attack on Ukraine, or public health issues, such as those resulting from the COVID-19 pandemic, whether in the United States or in other countries, could cause damage or disruption to us or our suppliers and customers, or could create political or economic instability, any of which could harm our business. Any such events could cause a decrease in demand for our products, make it difficult or impossible to deliver products or for suppliers to deliver components, and create delays and inefficiencies in our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Global climate change, and legal, regulatory, or market measures to address climate change, may negatively affect or business, operations, and financial results.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risks associated with the long-term effects of climate change on the global economy and on the IT industry in particular. The physical risks associated with climate change include the adverse effects of carbon dioxide and other greenhouse gases on global temperatures, weather patterns, and the frequency and severity of natural disasters. Extreme weather and natural disasters within or outside the United States could make it more difficult and costly for us to manufacture and deliver our products to our customers, obtain production materials from our suppliers, or perform other critical corporate functions. For example, tornadoes in Tennessee, wildfires in California, and typhoons in the Philippines disrupted our operations in those areas in recent periods.</w:t>
      </w:r>
    </w:p>
    <w:p>
      <w:pPr>
        <w:spacing w:after="0" w:line="260"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The increasing concern over climate change could also result in transition risks such as shifting customer preferences or regulatory changes. Changing customer preferences may result in increased demands regarding our solutions, products, and services, including the use of packaging materials and other</w:t>
      </w:r>
    </w:p>
    <w:p>
      <w:pPr>
        <w:ind w:right="60"/>
        <w:spacing w:after="0" w:line="311" w:lineRule="auto"/>
        <w:rPr>
          <w:sz w:val="20"/>
          <w:szCs w:val="20"/>
          <w:color w:val="auto"/>
        </w:rPr>
      </w:pPr>
      <w:r>
        <w:rPr>
          <w:rFonts w:ascii="Arial" w:cs="Arial" w:eastAsia="Arial" w:hAnsi="Arial"/>
          <w:sz w:val="16"/>
          <w:szCs w:val="16"/>
          <w:color w:val="auto"/>
        </w:rPr>
        <w:t>components in our products and their environmental impact on sustainability. These demands may cause us to incur additional costs or make other changes to other operations to respond to such demands, which could adversely affect our financial results. If we fail to manage transition risks, including such demands, in an effective manner, customer demand for our solutions, products, and services could diminish, and our profitability could suffer.</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increasing concern over climate change could result in new domestic or international legal requirements for us to reduce greenhouse gas emissions and other environmental impacts of our operations, improve our energy efficiency, or undertake sustainability measures that exceed those we currently pursue. Any such regulatory requirements could cause disruptions in the manufacture of our products and result in increased procurement, production, and distribution costs. Our reputation and brand could be harmed if we fail, or are seen as having failed, to respond responsibly and effectively to changes in legal and regulatory measures adopted to address climate change.</w:t>
      </w:r>
    </w:p>
    <w:p>
      <w:pPr>
        <w:spacing w:after="0" w:line="211" w:lineRule="exact"/>
        <w:rPr>
          <w:sz w:val="20"/>
          <w:szCs w:val="20"/>
          <w:color w:val="auto"/>
        </w:rPr>
      </w:pPr>
    </w:p>
    <w:p>
      <w:pPr>
        <w:ind w:right="380"/>
        <w:spacing w:after="0" w:line="312" w:lineRule="auto"/>
        <w:rPr>
          <w:sz w:val="20"/>
          <w:szCs w:val="20"/>
          <w:color w:val="auto"/>
        </w:rPr>
      </w:pPr>
      <w:r>
        <w:rPr>
          <w:rFonts w:ascii="Arial" w:cs="Arial" w:eastAsia="Arial" w:hAnsi="Arial"/>
          <w:sz w:val="17"/>
          <w:szCs w:val="17"/>
          <w:b w:val="1"/>
          <w:bCs w:val="1"/>
          <w:color w:val="auto"/>
        </w:rPr>
        <w:t>We are highly dependent on the services of Michael S. Dell, our Chief Executive Officer, and our loss of, or our inability to continue to attract, retain, and motivate, executive talent and other employees in this highly competitive market could harm our business.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highly dependent on the services of Michael S. Dell, our founder, Chief Executive Officer, and largest stockholder. If we lose the services of Mr. Dell, we may not be able to locate a suitable or qualified replacement, and we may incur additional expenses to recruit a replacement, which could severely disrupt our business and growth. Further, we rely on key personnel, including other members of our executive leadership team, to support our business and increasingly complex product and services offerings. Our experienced executives are supported by employees in our U.S. and international operations who are highly skilled in product development, manufacturing, sales and other functions critical to our future growth and profitability. We face intensive competition, both within and outside of our industry, in retaining and hiring individuals with the requisite expertise. The disruption in labor markets as a result of COVID-19 has increased the competition for talent. As a result of this competition, we may be unable to continue to attract, retain, and motivate suitably qualified individuals at acceptable compensation levels who have the managerial, operational, and technical knowledge and experience to meet our needs. Any failure by us to do so could adversely affect our competitive position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outstanding indebtedness and may incur additional debt in the future, which could adversely affect our financial condition.</w:t>
      </w:r>
    </w:p>
    <w:p>
      <w:pPr>
        <w:spacing w:after="0" w:line="2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January 28, 2022, we and our subsidiaries had approximately $27.0 billion aggregate principal amount of indebtedness. As of the same date, we and our subsidiaries also had an additional $5.0 billion available for borrowing under our revolving credit facilities. Although continued debt paydown is part of our overall capital allocation strategy, a substantial portion of our cash flow from operations is used to make interest and other debt service payments, which reduces funds available to us for other purposes such as working capital, capital expenditures, other general corporate purposes, and potential acquisitions. Our indebtedness could also reduce our flexibility in responding to current and changing industry and financial market conditions. We may be able to incur significant additional secured and unsecured indebtedness under the terms of our existing debt, which generally do not restrict our ability to incur additional unsecured debt and contain certain significant exceptions to the covenant restricting our ability to incur additional secured debt.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adversely affected by the transition from LIBOR as a reference rate to calculate interest rates under our variable-rate indebtedness</w:t>
      </w:r>
    </w:p>
    <w:p>
      <w:pPr>
        <w:spacing w:after="0" w:line="2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January 28, 2022, approximately $0.9 billion of our debt was variable-rate indebtedness consisting of unhedged outstanding DFS borrowings. Our current outstanding variable-rate indebtedness uses the London Interbank Offered Rate (“LIBOR”) as a benchmark for establishing the interest rate. LIBOR is the subject of recent national and international regulatory guidance and proposals for reform. As a result of these reforms, the ICE Benchmark Administration Limited, the administrator of LIBOR, ceased publication for the one-week and two-month USD LIBOR settings on December 31, 2021 and is expected to begin phasing out the remaining USD LIBOR settings on July 1, 2023. Alternatives to LIBOR may perform differently than in the past. We are in the process of amending relevant agreements based on LIBOR, but we cannot predict what alternative index will be negotiated with our counterparties. As a result, our interest expense could increase and our available cash flow for general corporate requirements may be adversely affected. In addition, uncertainty as to the nature of a potential discontinuance, modification, alternative reference rates or other reforms may materially adversely affect the trading market for securities linked to such benchmarks. We, however, cannot predict the timing of these developments or their impact on our indebtedness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multi-class common stock structure with different voting rights may adversely affect the trading price of the Class C Common Stock.</w:t>
      </w:r>
    </w:p>
    <w:p>
      <w:pPr>
        <w:spacing w:after="0" w:line="26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Each share of our Class A Common Stock and each share of our Class B Common Stock has ten votes, while each share of our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94.4% of the total voting power of our outstanding common stock as of January 28, 2022. The limited ability of holders of the Class C Common Stock to influence matters requiring stockholder approval may adversely affect the market price of the Class C Common Stock.</w:t>
      </w:r>
    </w:p>
    <w:p>
      <w:pPr>
        <w:spacing w:after="0" w:line="2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in 2017, FTSE Russell and S&amp;P Dow Jones changed their eligibility criteria to exclude new companies with multiple classes of shares of common stock from being added to certain stock indices. FTSE Russell instituted a requirement that new and, beginning in September 2022, existing constituents of its indices have greater than 5% of their voting rights in the hands of public stockholders, as calculated by FTSE Russell, whereas S&amp;P Dow Jones announced that companies with multiple share classes, such as Dell Technologies, will not be eligible for inclusion in the S&amp;P 500, S&amp;P MidCap 400, and S&amp;P SmallCap 600, which together make up the S&amp;P Composite 1500. Other major stock indices might adopt similar requirements in the future. FTSE Russell’s determination may change at any time. Under the current criteria, at a minimum, our multi-class capital structure makes it ineligible for inclusion in specified S&amp;P Dow Jones indices, including those making up the S&amp;P Composite 1500, and, as a result, mutual funds, exchange-traded funds, and other investment vehicles that track these indices will not invest in the Class C Common Stock. It is unclear what effect, if any, exclusion from any indices will have on the valuations of the affected publicly-traded companies. It is possible that such policies may depress the valuations of public companies excluded from such indices compared to valuations of companies that are included.</w:t>
      </w:r>
    </w:p>
    <w:p>
      <w:pPr>
        <w:spacing w:after="0" w:line="20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Future sales, or the perception of future sales, of a substantial amount of shares of the Class C Common Stock could depress the trading price of the Class C Common Stock.</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and our ability to use Class C Common Stock as consideration for acquisitions of other businesses, investments, or other corporate purposes. As of January 28, 2022, we had a total of approximately 283 million shares of Class C Common Stock outstanding.</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January 28, 2022, the 378,224,977 outstanding shares of Class A Common Stock held by the MD stockholders and the 95,350,227 outstanding shares of Class B Common Stock held by the SLP stockholders are convertible into shares of Class C Common Stock at any time on a one-to-one basis. Such shares, upon any conversion into shares of Class C Common Stock, will be eligible for resale in the public market pursuant to Rule 144 under the Securities Act of 1933 (the “Securities Act”), subject to volume, manner of sale, and other limitations under Rule 144.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entered into a registration rights agreement with holders of 378,224,977 outstanding shares of Class A Common Stock (which are convertible into number of shares of Class C Common Stock), holders of all of the 95,350,227 outstanding shares of Class B Common Stock (which are convertible into the same number of shares of Class C Common Stock), and holders of approximately 6,000,000 outstanding shares of Class C Common Stock, pursuant to which we granted such holders and their permitted transferees shelf, demand and/or piggyback registration rights with respect to such shares. Registration of those shares under the Securities Act would permit such holders to sell the shares into the public market.</w:t>
      </w:r>
    </w:p>
    <w:p>
      <w:pPr>
        <w:spacing w:after="0" w:line="2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Further, as of January 28, 2022, we had 62,152,041 shares of Class C Common Stock that may be issued upon the exercise, vesting, or settlement of outstanding stock options, restricted stock units, or deferred stock units under our stock incentive plan, all of which would have been, upon issuance, eligible for sale in the public market, subject where applicable to expiration or waiver of contractual transfer restrictions, and an additional 45,674,713 shares of Class C Common Stock that have been authorized and reserved for issuance pursuant to potential future awards under the stock incentive plan. We also may issue additional stock options in the future that may be exercised for additional shares of Class C Common Stock and additional restricted stock units or deferred stock units that may vest. We expect that all shares of Class C Common Stock issuable with respect to such awards will be registered under one or more registration statements on Form S-8 under the Securities Act and available for sale in the open market.</w:t>
      </w:r>
    </w:p>
    <w:p>
      <w:pPr>
        <w:spacing w:after="0" w:line="189"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We are controlled by the MD stockholders, who, together with the SLP stockholders, collectively own a substantial majority of our common stock and are able to effectively control our actions, including approval of mergers and other significant corporate transactions.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By reason of their ownership of Class A Common Stock possessing a majority of the aggregate votes entitled to be cast by holders of all outstanding shares of our common stock voting together as a single class, the MD stockholders have the ability to approve any matter submitted to the vote of all of the outstanding shares of the common stock voting together as a single class. Through their control, the MD stockholders are able to control our actions, including actions related to the election of our directors and directors of our subsidiaries, amendments to our organizational documents, and the approval of significant corporate transactions, including mergers and sales of substantially all of our assets that our stockholders may deem advantageous. For example, although our bylaws provide that the number of directors will be fixed by resolution of the board of directors, our stockholders may adopt, amend, or repeal the bylaws in accordance with the Delaware General Corporation Law. Through their control, the MD stockholders therefore may amend our bylaws to change the number of directors (within the limits of the certificate of incorporation), notwithstanding any determination by the board of directors regarding board size.</w:t>
      </w:r>
    </w:p>
    <w:p>
      <w:pPr>
        <w:spacing w:after="0" w:line="20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Further, as of January 28, 2022, the MD stockholders and the SLP stockholders collectively beneficially owned 63.3% of our outstanding common stock. This concentration of ownership together with the disparate voting rights of our common stock may delay or deter possible changes in control of Dell Technologies, which may reduce the value of an investment in the Class C Common Stock. So long as the MD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w:t>
      </w:r>
    </w:p>
    <w:p>
      <w:pPr>
        <w:spacing w:after="0" w:line="203"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In addition, the MD stockholders and the SLP stockholders, respectively, have the right to nominate a number of individuals for election as Group I Directors (who constitute all but one of our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spacing w:after="0" w:line="18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19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in which their interests conflict with our interests or those of other stockholders. Our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refrain from engaging, directly or indirectly, in the same business activities or similar business activities or lines of business in which we operate. The MD stockholders, the MSD Partners stockholders, and the SLP stockholders also may pursue acquisition opportunities that may be complementary to our business and, as a result, those acquisition opportunities may not be available to us.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21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Because we are a “controlled company” within the meaning of the rules of the New York Stock Exchange and, as a result, qualify for, and rely on, exemptions from certain corporate governance requirements, holders of Class C Common Stock do not have the same protections afforded to stockholders of companies that are subject to such requirements.</w:t>
      </w: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 “controlled company” within the meaning of the rules of the New York Stock Exchange (the “NYSE”) because the MD stockholders hold common stock representing more than 50% of the voting power in the election of directors. As a controlled company, we may elect not to comply with certain corporate governance requirements under NYSE rules, including the requirements that we have a board composed of a majority of “independent directors,” as defined under NYSE rules, and that we have a compensation committee and a nominating/corporate governance committee each composed entirely of independent directors. Although we currently maintain a board composed of a majority of independent directors, we currently utilize the exemptions relating to committee composition and expect to continue to utilize those exemptions. As a result, none of the committees of the board of directors, other than the audit committee, consists entirely of independent directors. Further, we may decide in the future to change our board membership so that the board is not composed of a majority of independent directors. Accordingly, holders of Class C Common Stock do not have the same protections afforded to stockholders of companies that are subject to all of the NYSE’s corporate governance requirements.</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certificate of incorporation designates a state court of the State of Delaware or the federal district court for the District of Delaware as the sole and exclusive forum for certain types of actions and proceedings that may be initiated by our stockholders, which could limit the ability of the holders of Class C Common Stock to obtain a favorable judicial forum for disputes with us or with our directors, officers, or controlling stockholders.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Under our certificate of incorporation, unless we consent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or officer or stockholder of Dell Technologies to us or our stockholders;</w:t>
      </w:r>
    </w:p>
    <w:p>
      <w:pPr>
        <w:spacing w:after="0" w:line="19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asserting a claim against Dell Technologies or any director or officer or stockholder of Dell Technologies arising pursuant to any provision of the Delaware General Corporation Law or of our certificate of incorporation or bylaws;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action asserting a claim against us or any director or officer or stockholder of Dell Technologies governed by our internal affairs doctrine.</w:t>
      </w:r>
    </w:p>
    <w:p>
      <w:pPr>
        <w:spacing w:after="0" w:line="26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provisions of our certificate of incorporation could limit the ability of the holders of the Class C Common Stock to obtain a favorable judicial forum for disputes with us or with our directors, officers, or controlling stockholders, which may discourage such lawsuits against us and our directors, officers, and stockholders.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choice of forum provision is intended to apply to the fullest extent permitted by law to the above-specified types of actions and proceedings, including, to the extent permitted by the federal securities laws, to lawsuits asserting both the above-specified claims and claims under the federal securities laws. Application of the choice of forum provision may be limited in some instances by applicable law. Section 27 of the Securities Exchange Act of 1934 (the “Exchange Act”) creates exclusive federal jurisdiction over all suits brought to enforce any duty or liability created by the Exchange Act or the rules and regulations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thereunder. As a result, the choice of forum provision will not apply to actions arising under the Exchange Act or the rules and regulations thereunder. Section 22 of the Securities Act creates concurrent jurisdiction for federal and state courts over suits brought to enforce any duty or liability created by the Securities Act or the rules and regulations thereunder, subject to a limited exception for certain “covered class actions.” There is uncertainty, particularly in light of current litigation, as to whether a court would enforce the choice of forum provision with respect to claims under the Securities Act. Our stockholders will not be deemed, by operation of the choice of forum provision, to have waived claims arising under the federal securities laws and the rules and regulations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continue to pay dividends or to pay dividends at the same rate as announced in February 2022.</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payment of dividends, as well as the rate at which we pay dividends, is solely at the discretion of our board of directors. Further, dividend payments, if any, are subject to our financial results and the availability of statutory surplus to pay dividends. These factors could result in a change to our current dividend policy.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and global headquarters are located at One Dell Way, Round Rock, Texas.</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January 28, 2022, as shown in the following table, we owned or leased 22.6 million square feet of office, manufacturing, and warehouse space worldwide: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International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(a)</w:t>
        <w:tab/>
        <w:t>Includes 2.2 million square feet of subleased or vacant space.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Owned</w:t>
            </w: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Leased</w:t>
            </w:r>
          </w:p>
        </w:tc>
      </w:tr>
      <w:tr>
        <w:trPr>
          <w:trHeight w:val="222"/>
        </w:trPr>
        <w:tc>
          <w:tcPr>
            <w:tcW w:w="2900" w:type="dxa"/>
            <w:vAlign w:val="bottom"/>
            <w:gridSpan w:val="3"/>
          </w:tcPr>
          <w:p>
            <w:pPr>
              <w:ind w:left="1800"/>
              <w:spacing w:after="0"/>
              <w:rPr>
                <w:sz w:val="20"/>
                <w:szCs w:val="20"/>
                <w:color w:val="auto"/>
              </w:rPr>
            </w:pPr>
            <w:r>
              <w:rPr>
                <w:rFonts w:ascii="Arial" w:cs="Arial" w:eastAsia="Arial" w:hAnsi="Arial"/>
                <w:sz w:val="18"/>
                <w:szCs w:val="18"/>
                <w:color w:val="auto"/>
              </w:rPr>
              <w:t>(in millions)</w:t>
            </w:r>
          </w:p>
        </w:tc>
        <w:tc>
          <w:tcPr>
            <w:tcW w:w="1580" w:type="dxa"/>
            <w:vAlign w:val="bottom"/>
          </w:tcPr>
          <w:p>
            <w:pPr>
              <w:spacing w:after="0"/>
              <w:rPr>
                <w:sz w:val="19"/>
                <w:szCs w:val="19"/>
                <w:color w:val="auto"/>
              </w:rPr>
            </w:pPr>
          </w:p>
        </w:tc>
      </w:tr>
      <w:tr>
        <w:trPr>
          <w:trHeight w:val="229"/>
        </w:trPr>
        <w:tc>
          <w:tcPr>
            <w:tcW w:w="2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80" w:lineRule="exact"/>
        <w:rPr>
          <w:sz w:val="20"/>
          <w:szCs w:val="20"/>
          <w:color w:val="auto"/>
        </w:rPr>
      </w:pPr>
    </w:p>
    <w:p>
      <w:pPr>
        <w:sectPr>
          <w:pgSz w:w="11900" w:h="16838" w:orient="portrait"/>
          <w:cols w:equalWidth="0" w:num="2">
            <w:col w:w="6020" w:space="720"/>
            <w:col w:w="4500"/>
          </w:cols>
          <w:pgMar w:left="320" w:top="125" w:right="339" w:bottom="1440" w:gutter="0" w:footer="0" w:header="0"/>
          <w:type w:val="continuous"/>
        </w:sectPr>
      </w:pPr>
    </w:p>
    <w:p>
      <w:pPr>
        <w:spacing w:after="0" w:line="6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January 28, 2022, our facilities consisted of business centers, which include facilities that contain operations for sales, technical support, administrative, and support functions; manufacturing operations; and research and development centers. For additional information about our facilities, including the location of certain facilities, see “Item 1 — Business — Manufacturing and Materials.”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the interrelation of the products and services offered in each of our segments, we generally do not designate our properties to any segment. With limited exceptions, each property is used at least in part by both of our segments, and we retain the flexibility to make future use of each of the properties available to each of the segments.</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our existing properties are suitable and adequate for our current needs, and we will continue to assess our facilities requirements in light of a number of factors, including the increased number of employees who are adopting flexible work arrangements under our Connected Workplace programs. The shift to such arrangements may result in an overall reduction in the square footage of our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information required by this Item 3 is incorporated herein by reference to the information set forth under the caption “Legal Matters” in Note 11 of the Notes to the Consolidated Financial Statements included in “Part II — Item 8 — Financial Statements and Supplementary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Class C Common Stock</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Class C Common Stock is listed and traded on the New York Stock Exchange under the symbol “DELL.” The Class C Common Stock began trading on the NYSE on a regular-way basis on December 28, 2018.</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is no public market for our Class A Common Stock or Class B Common Stock. No shares of our Class D Common Stock were outstanding as of January 28,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March 22, 2022, there were 4,369 holders of record of our Class C Common Stock, six holders of record of our Class A Common Stock, and six holders of record of our Class B Common Stock. The number of record holders does not include individuals or entities that beneficially own shares of any class of our common stock, but whose shares are held of record by a broker, bank, or other nominee.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On February 24, 2022, subsequent to the close of our fiscal year ended January 28, 2022, we announced that our board of directors has adopted a dividend policy under which we intend to pay quarterly cash dividends on our common stock, beginning in the first fiscal quarter of Fiscal 2023, at an initial rate of $0.33 per share per fiscal quarter for Fiscal 2023. We also announced that our board has declared the initial quarterly dividend under the new policy in the amount of $0.33 per share, which will be payable on April 29, 2022 to the holders of record of all of the issued and outstanding shares of common stock as of the close of business on April 20, 2022.</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The board retains the power to modify, suspend, or cancel the dividend policy in any manner and at any time that it may deem necessary or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December 2021, we issued 72,727 shares of Class C Common Stock to a stockholder upon the conversion of the same number of shares of our Class A Common Stock held by such stockholder. The issuance of the Class C Common Stock in this transaction was made in reliance on the exemption from registration under the Securities Act of 1933 afforded by Section 3(a)(9) thereof. No commission or other remuneration was paid or given directly or indirectly for soliciting the exchange of these securities.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our purchases of Class C Common Stock during the fourth quarter of Fiscal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7"/>
                <w:szCs w:val="17"/>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5"/>
                <w:szCs w:val="15"/>
                <w:color w:val="auto"/>
              </w:rPr>
            </w:pPr>
          </w:p>
        </w:tc>
        <w:tc>
          <w:tcPr>
            <w:tcW w:w="18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176"/>
        </w:trPr>
        <w:tc>
          <w:tcPr>
            <w:tcW w:w="3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Average Price</w:t>
            </w:r>
          </w:p>
        </w:tc>
        <w:tc>
          <w:tcPr>
            <w:tcW w:w="20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120" w:type="dxa"/>
            <w:vAlign w:val="bottom"/>
          </w:tcPr>
          <w:p>
            <w:pPr>
              <w:spacing w:after="0"/>
              <w:rPr>
                <w:sz w:val="15"/>
                <w:szCs w:val="15"/>
                <w:color w:val="auto"/>
              </w:rPr>
            </w:pPr>
          </w:p>
        </w:tc>
        <w:tc>
          <w:tcPr>
            <w:tcW w:w="18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Purchased</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Under the Programs</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Repurchases from October 30, 2021 through</w:t>
            </w: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2,768,236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2,768,236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4,845,229,568</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26, 2021</w:t>
            </w:r>
          </w:p>
        </w:tc>
        <w:tc>
          <w:tcPr>
            <w:tcW w:w="18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Repurchases from November 27, 2021 through</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3,065,914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3,065,914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4,672,445,598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December 24, 2021</w:t>
            </w:r>
          </w:p>
        </w:tc>
        <w:tc>
          <w:tcPr>
            <w:tcW w:w="18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Repurchases from December 25, 2021 through</w:t>
            </w: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5,747,928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5,747,928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4,341,241,561</w:t>
            </w: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28, 2022</w:t>
            </w:r>
          </w:p>
        </w:tc>
        <w:tc>
          <w:tcPr>
            <w:tcW w:w="1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11,582,078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4,341,241,561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 as of September 23, 2021, our board of directors terminated our previous stock repurchase program and approved a new stock repurchase program with no established expiration date under which we may repurchase from time to time, through open market purchases, block trades, or accelerated or other structured share purchases, up to $5 billion of shares of Class C Common Stock, exclusive of any fees, commissions, or other expenses related to such repurchases.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C Common Stock</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following graph compares the cumulative total return on the Company’s Class C Common Stock for the period from December 28, 2018, the date on which the Class C Common Stock began trading on the NYSE, through January 28, 2022, with the total return over the same period on the S&amp;P 500 Index and the S&amp;P 500 Systems Software Index. The graph assumes that $100 was invested on December 28, 2018 in the Class C Common Stock and in each of the foregoing indices and assumes reinvestment of dividends, if any. The comparisons in the graph are based on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829300" cy="3326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2930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28, 2018</w:t>
            </w:r>
          </w:p>
        </w:tc>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February 1, 2019</w:t>
            </w:r>
          </w:p>
        </w:tc>
        <w:tc>
          <w:tcPr>
            <w:tcW w:w="1800" w:type="dxa"/>
            <w:vAlign w:val="bottom"/>
            <w:gridSpan w:val="2"/>
          </w:tcPr>
          <w:p>
            <w:pPr>
              <w:ind w:left="200"/>
              <w:spacing w:after="0"/>
              <w:rPr>
                <w:sz w:val="20"/>
                <w:szCs w:val="20"/>
                <w:color w:val="auto"/>
              </w:rPr>
            </w:pPr>
            <w:r>
              <w:rPr>
                <w:rFonts w:ascii="Arial" w:cs="Arial" w:eastAsia="Arial" w:hAnsi="Arial"/>
                <w:sz w:val="18"/>
                <w:szCs w:val="18"/>
                <w:b w:val="1"/>
                <w:bCs w:val="1"/>
                <w:color w:val="auto"/>
              </w:rPr>
              <w:t>January 31, 2020</w:t>
            </w: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29, 2021</w:t>
            </w: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January 28, 2022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C Common Stock</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$160.44</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$109.06</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$155.44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$188.08</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S&amp;P 500 Systems Software</w:t>
            </w: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1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$226.05</w:t>
            </w:r>
          </w:p>
        </w:tc>
        <w:tc>
          <w:tcPr>
            <w:tcW w:w="1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Index</w:t>
            </w:r>
          </w:p>
        </w:tc>
        <w:tc>
          <w:tcPr>
            <w:tcW w:w="1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preceding stock performance graph shall not be deemed to be incorporated by reference by means of any general statement incorporating by reference this annual report on Form 10-K into any filing under the Securities Act of 1933 or the Securities Exchange Act of 1934, except to the extent that Dell Technologies specifically incorporates such information by reference, and shall not otherwise be deemed filed under such 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This management’s discussion and analysis should be read in conjunction with the audited Consolidated Financial Statements and accompanying Notes included in this Annual Report on Form 10-K.</w:t>
      </w:r>
    </w:p>
    <w:p>
      <w:pPr>
        <w:spacing w:after="0" w:line="19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references to “EMC” mean EMC Corporation and EMC Corporation’s consolidated subsidiaries, and references to “VMware” refer to VMware, Inc. and VMware, Inc.’s consolidated subsidiaries.</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On November 1, 2021, the Company completed its previously announced spin-off of VMware. In accordance with applicable accounting guidance, the results of VMware, excluding Dell's resale of VMware offerings, are presented as discontinued operations in the Consolidated Statements of Income and, as such, have been excluded from both continuing operations and segment results for all periods presented. Further, the Company reclassified the assets and liabilities of VMware as assets and liabilities of discontinued operations in the Consolidated Statements of Financial Position as of January 29, 2021. The Consolidated Statements of Cash Flows are presented on a consolidated basis for both continuing operations and discontinued operations.</w:t>
      </w:r>
    </w:p>
    <w:p>
      <w:pPr>
        <w:spacing w:after="0" w:line="20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Our fiscal year is the 52- or 53-week period ending on the Friday nearest January 31. We refer to our fiscal years ended January 28, 2022, January 29, 2021, and January 31, 2020 as “Fiscal 2022,” “Fiscal 2021,” and “Fiscal 2020,” respectively. All fiscal years presented included 52 weeks.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Significant Developments</w:t>
      </w:r>
    </w:p>
    <w:p>
      <w:pPr>
        <w:spacing w:after="0" w:line="25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November 1, 2021, we completed our previously announced spin-off of VMware by means of a special stock dividend. The VMware Spin-off was effectuated pursuant to a Separation and Distribution Agreement, dated as of April 14, 2021, between Dell Technologies and VMware. As part of the transaction, VMware paid a special cash dividend, pro rata, to each holder of VMware common stock in an aggregate amount equal to $11.5 billion, of which Dell Technologies received $9.3 billion.</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and upon completion of the VMware Spin-off, we entered into a Commercial Framework Agreement (the “CFA”) with VMware, which provides the framework under which we and VMware will continue our commercial relationship after the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2021, we completed the sale of Boomi, Inc. (“Boomi”) and certain related assets and received total cash consideration of approximately</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$4.0 billion. The transaction was intended to support our focus on fueling growth initiatives through targeted investments to modernize Dell Technologies’ core infrastructure and through expansion in high-priority areas, including hybrid and private cloud, edge, telecommunications solutions, and our APEX offerings.</w:t>
      </w:r>
    </w:p>
    <w:p>
      <w:pPr>
        <w:spacing w:after="0" w:line="2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With the proceeds from the VMware Spin-off and cash on hand, we were able to make steady progress on paying down our outstanding debt throughout Fiscal 2022. As a result of our debt reduction and our continued focus on deleveraging, we achieved an investment grade rating from three major credit rating agencies.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Fiscal 2022, the coronavirus disease 2019 (“COVID-19”) pandemic continued to present global challenges that directly impacted Dell Technologies, most notably in relation to supply chain dynamics and the mix of our products and services sold. As a result of the global economic recovery coupled with industry-wide constraints on the supply of limited-source components, we experienced demand which outpaced supply across many of our product offerings. Throughout Fiscal 2022, these impacts led to an increase in orders pending fulfillment and extended lead times for our customers for certain offerings as well as increases in component and logistics costs. We also experienced significant demand growth for our CSG offerings driven by the continuation of the work and learn from home environment. This led to a shift in the mix of products and services sold towards CSG, which impacted our overall profitability. In response to these pressures, we took steps to address our customers’ demands while balancing profitability and growth. We continue to closely monitor the impacts of COVID-19 and keep the health of our employees, customers, business partners, and communities as our primary focus. Although we continue to experience some uncertainty in the global market as a result of the ongoing COVID-19 pandemic, we see opportunities to create value and grow in Fiscal 2023 in the midst of resilient demand for our IT solutions driven by a technology-enabled world.</w:t>
      </w:r>
    </w:p>
    <w:p>
      <w:pPr>
        <w:spacing w:after="0" w:line="195"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See “Recent Transactions” below and Note 3, Note 1, and Note 7 of the Notes to the Consolidated Financial Statements included in this report for additional information regarding the VMware Spin-off, the Boomi divestiture, and our outstanding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Dell Technologies helps organizations build their digital futures and individuals transform how they work, live and play. We provide customers with one of the industry’s broadest and most innovative solutions portfolio for the data era, including traditional infrastructure and extending to multi-cloud environments. We continue to seamlessly deliver differentiated and holistic IT solutions to our customers which has helped drive consistent revenue growth.</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Dell Technologies’ integrated solutions help customers modernize their IT infrastructure, manage and operate in a multi-cloud world, address workforce transformation, and provide critical solutions that keep people and organizations connected, which has proven even more important through the COVID-19 pandemic.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 the forefront of the software-defined and cloud native infrastructure era. As further evidence of our commitment to innovation, we are evolving and expanding our IT as-a-Service and cloud offerings including APEX-branded solutions which provide our customers with greater flexibility to scale IT to meet their evolving business needs and budgets.</w:t>
      </w:r>
    </w:p>
    <w:p>
      <w:pPr>
        <w:spacing w:after="0" w:line="22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Dell Technologies’ end-to-end portfolio is supported by a world-class organization that operates globally in approximately 180 countries across key functional areas, including technology and product development, marketing, sales, financial services, and services. Our go-to-market engine includes a 32,000-person sales force and a global network of over 200,000 channel partners. Dell Financial Services and its affiliates (“DFS”) offer customers payment flexibility and enables synergies across the business. DFS funded $8.5 billion of originations in Fiscal 2022 and maintains a $11 billion global portfolio of high-quality financing receivables. We employ approximately 35,000 full-time service and support professionals and maintain more than 2,400 vendor-managed service centers. We manage a world-class supply chain that drives long-term growth and operating efficiencies, with approximately</w:t>
      </w:r>
    </w:p>
    <w:p>
      <w:pPr>
        <w:spacing w:after="0" w:line="4"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$75 billion in annual procurement expenditures and over 750 parts distribution centers. Together, these elements provide a critical foundation for our success.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 and Strategy</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vision is to become the most essential technology company for the data era. We seek to address our customers’ evolving needs and their broader digital transformation objectives as they embrace today’s hybrid multi-cloud environment. We intend to execute on our vision by focusing on two overarching strategic priorities:</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 and modernize our core offerings in the markets in which we predominantly compete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Pursue attractive new growth opportunities such as Edge, Telecom, data management, and as-a-Service consumption models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believe that we are uniquely positioned in the data and multi-cloud era and that our results will benefit from our durable competitive advantages. We intend to continue to execute our business model to position our company for long-term success while balancing liquidity, profitability, and growth.</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seeing an accelerated rate of change in the IT industry and increased demand for simpler, more agile IT as companies leverage multiple clouds in their IT environments. COVID-19 has accelerated the introduction and adoption of new technologies to ensure productivity and collaboration from anywhere. To meet our customer needs, we continue to invest in research and development, sales, and other key areas of our business to deliver superior products and solutions capabilities and to drive long-term sustainable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design, develop, manufacture, market, sell, and support a wide range of comprehensive and integrated solutions, products, and services. We are organized into two business units, referred to as Infrastructure Solutions Group and Client Solutions Group, which are our reportable segments.</w:t>
      </w:r>
    </w:p>
    <w:p>
      <w:pPr>
        <w:spacing w:after="0" w:line="151" w:lineRule="exact"/>
        <w:rPr>
          <w:sz w:val="20"/>
          <w:szCs w:val="20"/>
          <w:color w:val="auto"/>
        </w:rPr>
      </w:pPr>
    </w:p>
    <w:p>
      <w:pPr>
        <w:ind w:left="660" w:right="200" w:hanging="328"/>
        <w:spacing w:after="0" w:line="279"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Infrastructure Solutions Group (“ISG”)</w:t>
      </w:r>
      <w:r>
        <w:rPr>
          <w:rFonts w:ascii="Arial" w:cs="Arial" w:eastAsia="Arial" w:hAnsi="Arial"/>
          <w:sz w:val="17"/>
          <w:szCs w:val="17"/>
          <w:i w:val="1"/>
          <w:iCs w:val="1"/>
          <w:color w:val="auto"/>
        </w:rPr>
        <w:t xml:space="preserve"> </w:t>
      </w:r>
      <w:r>
        <w:rPr>
          <w:rFonts w:ascii="Arial" w:cs="Arial" w:eastAsia="Arial" w:hAnsi="Arial"/>
          <w:sz w:val="17"/>
          <w:szCs w:val="17"/>
          <w:color w:val="auto"/>
        </w:rPr>
        <w:t>— ISG enables our customers’ digital transformation through our trusted multi-cloud and big data</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which are built upon modern data center infrastructure. ISG helps customers in the area of hybrid cloud deployment with the goal of simplifying, streamlining, and automating cloud operations. ISG solutions are built for multi-cloud environments and are optimized to run cloud native workloads in both public and private clouds, as well as traditional on-premise workloads.</w:t>
      </w:r>
    </w:p>
    <w:p>
      <w:pPr>
        <w:spacing w:after="0" w:line="198" w:lineRule="exact"/>
        <w:rPr>
          <w:rFonts w:ascii="Arial" w:cs="Arial" w:eastAsia="Arial" w:hAnsi="Arial"/>
          <w:sz w:val="17"/>
          <w:szCs w:val="17"/>
          <w:i w:val="1"/>
          <w:iCs w:val="1"/>
          <w:color w:val="auto"/>
        </w:rPr>
      </w:pPr>
    </w:p>
    <w:p>
      <w:pPr>
        <w:ind w:left="660" w:right="20"/>
        <w:spacing w:after="0" w:line="275" w:lineRule="auto"/>
        <w:rPr>
          <w:rFonts w:ascii="Arial" w:cs="Arial" w:eastAsia="Arial" w:hAnsi="Arial"/>
          <w:sz w:val="17"/>
          <w:szCs w:val="17"/>
          <w:i w:val="1"/>
          <w:iCs w:val="1"/>
          <w:color w:val="auto"/>
        </w:rPr>
      </w:pPr>
      <w:r>
        <w:rPr>
          <w:rFonts w:ascii="Arial" w:cs="Arial" w:eastAsia="Arial" w:hAnsi="Arial"/>
          <w:sz w:val="17"/>
          <w:szCs w:val="17"/>
          <w:color w:val="auto"/>
        </w:rPr>
        <w:t>Our comprehensive portfolio of advanced storage solutions includes traditional storage solutions as well as next-generation storage solutions (such as all-flash arrays, scale-out file, object platforms, and software-defined solutions). In May 2020, we released our new PowerStore offering, a differentiated midrange storage solution that enables seamless updates using microservices and container-based software architecture. This offering allows us to compete more effectively within midrange storage. We continue to make enhancements to our storage solutions offerings and expect that these offerings will drive long-term improvements in the business.</w:t>
      </w:r>
    </w:p>
    <w:p>
      <w:pPr>
        <w:spacing w:after="0" w:line="203" w:lineRule="exact"/>
        <w:rPr>
          <w:rFonts w:ascii="Arial" w:cs="Arial" w:eastAsia="Arial" w:hAnsi="Arial"/>
          <w:sz w:val="17"/>
          <w:szCs w:val="17"/>
          <w:i w:val="1"/>
          <w:iCs w:val="1"/>
          <w:color w:val="auto"/>
        </w:rPr>
      </w:pPr>
    </w:p>
    <w:p>
      <w:pPr>
        <w:ind w:left="660" w:right="160"/>
        <w:spacing w:after="0" w:line="263" w:lineRule="auto"/>
        <w:rPr>
          <w:rFonts w:ascii="Arial" w:cs="Arial" w:eastAsia="Arial" w:hAnsi="Arial"/>
          <w:sz w:val="17"/>
          <w:szCs w:val="17"/>
          <w:i w:val="1"/>
          <w:iCs w:val="1"/>
          <w:color w:val="auto"/>
        </w:rPr>
      </w:pPr>
      <w:r>
        <w:rPr>
          <w:rFonts w:ascii="Arial" w:cs="Arial" w:eastAsia="Arial" w:hAnsi="Arial"/>
          <w:sz w:val="18"/>
          <w:szCs w:val="18"/>
          <w:color w:val="auto"/>
        </w:rPr>
        <w:t>Our server portfolio includes high-performance rack, blade, tower, and hyperscale servers, optimized to run high value workloads, including artificial intelligence and machine learning. Our networking portfolio helps our business customers transform and modernize their infrastructure, mobilize and enrich end-user experiences, and accelerate business applications and processes.</w:t>
      </w:r>
    </w:p>
    <w:p>
      <w:pPr>
        <w:spacing w:after="0" w:line="210" w:lineRule="exact"/>
        <w:rPr>
          <w:rFonts w:ascii="Arial" w:cs="Arial" w:eastAsia="Arial" w:hAnsi="Arial"/>
          <w:sz w:val="17"/>
          <w:szCs w:val="17"/>
          <w:i w:val="1"/>
          <w:iCs w:val="1"/>
          <w:color w:val="auto"/>
        </w:rPr>
      </w:pPr>
    </w:p>
    <w:p>
      <w:pPr>
        <w:ind w:left="660" w:right="8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213" w:lineRule="exact"/>
        <w:rPr>
          <w:rFonts w:ascii="Arial" w:cs="Arial" w:eastAsia="Arial" w:hAnsi="Arial"/>
          <w:sz w:val="17"/>
          <w:szCs w:val="17"/>
          <w:i w:val="1"/>
          <w:iCs w:val="1"/>
          <w:color w:val="auto"/>
        </w:rPr>
      </w:pPr>
    </w:p>
    <w:p>
      <w:pPr>
        <w:ind w:left="66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97" w:lineRule="exact"/>
        <w:rPr>
          <w:rFonts w:ascii="Arial" w:cs="Arial" w:eastAsia="Arial" w:hAnsi="Arial"/>
          <w:sz w:val="17"/>
          <w:szCs w:val="17"/>
          <w:i w:val="1"/>
          <w:iCs w:val="1"/>
          <w:color w:val="auto"/>
        </w:rPr>
      </w:pPr>
    </w:p>
    <w:p>
      <w:pPr>
        <w:ind w:left="660" w:right="120" w:hanging="328"/>
        <w:spacing w:after="0" w:line="273"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Client Solutions Group (“CSG”)</w:t>
      </w:r>
      <w:r>
        <w:rPr>
          <w:rFonts w:ascii="Arial" w:cs="Arial" w:eastAsia="Arial" w:hAnsi="Arial"/>
          <w:sz w:val="17"/>
          <w:szCs w:val="17"/>
          <w:i w:val="1"/>
          <w:iCs w:val="1"/>
          <w:color w:val="auto"/>
        </w:rPr>
        <w:t xml:space="preserve"> </w:t>
      </w:r>
      <w:r>
        <w:rPr>
          <w:rFonts w:ascii="Arial" w:cs="Arial" w:eastAsia="Arial" w:hAnsi="Arial"/>
          <w:sz w:val="17"/>
          <w:szCs w:val="17"/>
          <w:color w:val="auto"/>
        </w:rPr>
        <w:t>— CSG includes branded hardware (such as desktops, workstations, and notebooks) and branded peripherals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displays and projectors), as well as third-party software and peripherals. Our computing devices are designed with our commercial and consumer customers’ needs in mind, and we seek to optimize performance, reliability, manageability, design, and security. For our customers that are seeking to simplify client lifecycle management, Dell PC as a Service offering combines hardware, software, lifecycle services, and financing into one all-encompassing solution that provides predictable pricing per seat per month. CSG also offers attached software, peripherals, and services, including support and deployment, configuration, and extended warranty services.</w:t>
      </w:r>
    </w:p>
    <w:p>
      <w:pPr>
        <w:spacing w:after="0" w:line="204" w:lineRule="exact"/>
        <w:rPr>
          <w:rFonts w:ascii="Arial" w:cs="Arial" w:eastAsia="Arial" w:hAnsi="Arial"/>
          <w:sz w:val="17"/>
          <w:szCs w:val="17"/>
          <w:i w:val="1"/>
          <w:iCs w:val="1"/>
          <w:color w:val="auto"/>
        </w:rPr>
      </w:pPr>
    </w:p>
    <w:p>
      <w:pPr>
        <w:ind w:left="660" w:right="72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other businesses, described below, consists of our resale of standalone VMware offerings, referred to as VMware Resale, as well as product and service offerings of Secureworks and Virtustream. These businesses are not classified as reportable segments, either individually or collectively.</w:t>
      </w:r>
    </w:p>
    <w:p>
      <w:pPr>
        <w:spacing w:after="0" w:line="187" w:lineRule="exact"/>
        <w:rPr>
          <w:sz w:val="20"/>
          <w:szCs w:val="20"/>
          <w:color w:val="auto"/>
        </w:rPr>
      </w:pPr>
    </w:p>
    <w:p>
      <w:pPr>
        <w:ind w:left="660" w:right="520" w:hanging="328"/>
        <w:spacing w:after="0" w:line="250" w:lineRule="auto"/>
        <w:tabs>
          <w:tab w:leader="none" w:pos="648" w:val="left"/>
        </w:tabs>
        <w:numPr>
          <w:ilvl w:val="0"/>
          <w:numId w:val="14"/>
        </w:numPr>
        <w:rPr>
          <w:rFonts w:ascii="Arial" w:cs="Arial" w:eastAsia="Arial" w:hAnsi="Arial"/>
          <w:sz w:val="20"/>
          <w:szCs w:val="20"/>
          <w:i w:val="1"/>
          <w:iCs w:val="1"/>
          <w:color w:val="auto"/>
        </w:rPr>
      </w:pPr>
      <w:r>
        <w:rPr>
          <w:rFonts w:ascii="Arial" w:cs="Arial" w:eastAsia="Arial" w:hAnsi="Arial"/>
          <w:sz w:val="18"/>
          <w:szCs w:val="18"/>
          <w:i w:val="1"/>
          <w:iCs w:val="1"/>
          <w:color w:val="auto"/>
        </w:rPr>
        <w:t xml:space="preserve">VMware Resale </w:t>
      </w:r>
      <w:r>
        <w:rPr>
          <w:rFonts w:ascii="Arial" w:cs="Arial" w:eastAsia="Arial" w:hAnsi="Arial"/>
          <w:sz w:val="18"/>
          <w:szCs w:val="18"/>
          <w:color w:val="auto"/>
        </w:rPr>
        <w:t>consists of our sale of standalone VMware offerings. Under the CFA entered into as part of the VMware Spin-off, Dell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continues to act as a key channel partner in this relationship, reselling VMware offerings to our customers. This partnership is intended to facilitate mutually beneficial growth for both Dell and VMware.</w:t>
      </w:r>
    </w:p>
    <w:p>
      <w:pPr>
        <w:spacing w:after="0" w:line="220" w:lineRule="exact"/>
        <w:rPr>
          <w:rFonts w:ascii="Arial" w:cs="Arial" w:eastAsia="Arial" w:hAnsi="Arial"/>
          <w:sz w:val="20"/>
          <w:szCs w:val="20"/>
          <w:i w:val="1"/>
          <w:iCs w:val="1"/>
          <w:color w:val="auto"/>
        </w:rPr>
      </w:pPr>
    </w:p>
    <w:p>
      <w:pPr>
        <w:ind w:left="660" w:right="80"/>
        <w:spacing w:after="0" w:line="308" w:lineRule="auto"/>
        <w:rPr>
          <w:rFonts w:ascii="Arial" w:cs="Arial" w:eastAsia="Arial" w:hAnsi="Arial"/>
          <w:sz w:val="20"/>
          <w:szCs w:val="20"/>
          <w:i w:val="1"/>
          <w:iCs w:val="1"/>
          <w:color w:val="auto"/>
        </w:rPr>
      </w:pPr>
      <w:r>
        <w:rPr>
          <w:rFonts w:ascii="Arial" w:cs="Arial" w:eastAsia="Arial" w:hAnsi="Arial"/>
          <w:sz w:val="17"/>
          <w:szCs w:val="17"/>
          <w:color w:val="auto"/>
        </w:rPr>
        <w:t>VMware works with customers in the areas of hybrid and multi-cloud, modern applications, networking, security, and digital workspaces, helping customers manage their IT resources across private clouds and complex multi-cloud, multi-device environments.</w:t>
      </w:r>
    </w:p>
    <w:p>
      <w:pPr>
        <w:spacing w:after="0" w:line="173" w:lineRule="exact"/>
        <w:rPr>
          <w:rFonts w:ascii="Arial" w:cs="Arial" w:eastAsia="Arial" w:hAnsi="Arial"/>
          <w:sz w:val="20"/>
          <w:szCs w:val="20"/>
          <w:i w:val="1"/>
          <w:iCs w:val="1"/>
          <w:color w:val="auto"/>
        </w:rPr>
      </w:pPr>
    </w:p>
    <w:p>
      <w:pPr>
        <w:ind w:left="660" w:right="60" w:hanging="328"/>
        <w:spacing w:after="0" w:line="259"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protecting 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213" w:lineRule="exact"/>
        <w:rPr>
          <w:rFonts w:ascii="Arial" w:cs="Arial" w:eastAsia="Arial" w:hAnsi="Arial"/>
          <w:sz w:val="18"/>
          <w:szCs w:val="18"/>
          <w:i w:val="1"/>
          <w:iCs w:val="1"/>
          <w:color w:val="auto"/>
        </w:rPr>
      </w:pPr>
    </w:p>
    <w:p>
      <w:pPr>
        <w:ind w:left="660" w:right="3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w:t>
      </w:r>
    </w:p>
    <w:p>
      <w:pPr>
        <w:spacing w:after="0" w:line="19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believe the collaboration, innovation, and coordination of the operations and strategies across all segments of our business, as well as our differentiated go-to-market model, will continue to drive revenue synergies. Through our research and development activities, we are able to engineer leading innovative solutions that incorporate the distinct set of hardware, software, and services across all segments of our business.</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products and services offerings are continually evolving in response to industry dynamics. As a result, reclassifications of certain products and services solutions in major product categories may be required. For further discussion regarding our current reportable segments, see “Results of Operations — Business Unit Results” and Note 19 of the Notes to the Consolidated Financial Statements included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DFS supports our businesses by offering and arranging various financing options and services for our customers globally. DFS originates, collects, and services customer receivables primarily related to the purchase or use of our product, software, and services solutions. We also arrange financing for some of our customers in various countries where DFS does not currently operate as a captive entity. DFS further strengthens our customer relationships through its flexible consumption models which provide our customers with financial flexibility to meet their changing technological requirements. Our flexible consumption models enable us to offer our customers the option to pay over time and, in certain cases, based on utilization. The results of these operations are allocated to our segments based on the underlying product or service financed. For additional information about our financing arrangements, see Note 5 of the Notes to the Consolidated Financial Statements included in this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Spin-Off of VMware </w:t>
      </w:r>
      <w:r>
        <w:rPr>
          <w:rFonts w:ascii="Arial" w:cs="Arial" w:eastAsia="Arial" w:hAnsi="Arial"/>
          <w:sz w:val="18"/>
          <w:szCs w:val="18"/>
          <w:color w:val="auto"/>
        </w:rPr>
        <w:t>— As described in Note 1 and Note 3 of the Notes to the Consolidated Financial Statements included in this report, on November 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Company completed its previously announced VMware Spin-off.</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Dell Technologies effectuated the VMware Spin-off by means of a special stock dividend of 30,678,605 shares of Class A common stock and 307,221,836 of Class B common stock of VMware to Dell Technologies stockholders of record on October 29, 2021. Prior to receipt of the VMware common stock by the Company’s stockholders, each share of VMware Class B common stock automatically converted into one share of VMware Class A common stock. As a result of these transactions, each holder of record of shares of Dell Technologies common stock as of the distribution record date received approximately 0.440626 of a share of VMware Class A common stock for each outstanding share of Dell Technologies common stock owned by such holder as of such date. VMware paid a special cash dividend, pro rata, to each holder of VMware common stock in an aggregate amount equal to $11.5 billion, of which Dell Technologies received $9.3 billion.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Immediately following VMware’s payment of the special cash dividend, pursuant to the Separation and Distribution Agreement, the businesses of VMware were separated from the remaining businesses of Dell Technologies through a series of transactions that resulted in the pre-transaction stockholders of Dell Technologies owning shares in two separate public companies, consisting of (1) VMware, which continues to own the businesses of VMware, Inc. and its subsidiaries, and (2) Dell Technologies, which continues to own Dell Technologies’ other businesses and subsidiaries. In connection with and upon completion of the VMware Spin-off, Dell Technologies and VMware entered into a Commercial Framework Agreement. The CFA provides a framework under which Dell Technologies and VMware will continue their commercial relationship after the transaction. The CFA has an initial term of five years, with automatic one-year renewals occurring annually thereafter, subject to certain terms and conditions. Dell Technologies and VMware also entered into other agreements that will govern other aspects of their relationship, including, among others, a tax matters agreement and a transition services agreement.</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Pursuant to the CFA, Dell Technologies will continue to act as a distributor of VMware’s standalone products and services and purchase such products and services for resale to end-user customers. Dell Technologies will also continue to integrate VMware’s products and services with Dell Technologies’ offerings and sell them to end users. The results of these transactions are classified as continuing operations within the Company’s Consolidated Statements of Income for all periods presented. See Note 3 of the Notes to the Consolidated Financial Statements for additional information on the VMware Spin-off.</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operating results of VMware, excluding Dell's resale of VMware offerings, are presented as discontinued operations in our Consolidated Statements of Income and as such, have been excluded from both continuing operations and segment results for all periods presented, except as otherwise indicated. Further, the Company reclassified the related assets and liabilities of VMware as assets and liabilities of discontinued operations in the Consolidated Statements of Financial Position as of January 29, 2021. The Consolidated Statements of Cash Flows are presented on a consolidated basis for both continuing operations and discontinued operations. See Note 3 of the Notes to the Consolidated Financial Statements included in this report for more information related to the discontinued operations.</w:t>
      </w:r>
    </w:p>
    <w:p>
      <w:pPr>
        <w:spacing w:after="0" w:line="21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i w:val="1"/>
          <w:iCs w:val="1"/>
          <w:color w:val="auto"/>
        </w:rPr>
        <w:t xml:space="preserve">Boomi Divestiture </w:t>
      </w:r>
      <w:r>
        <w:rPr>
          <w:rFonts w:ascii="Arial" w:cs="Arial" w:eastAsia="Arial" w:hAnsi="Arial"/>
          <w:sz w:val="16"/>
          <w:szCs w:val="16"/>
          <w:color w:val="auto"/>
        </w:rPr>
        <w:t>— On October 1, 2021, we completed the sale of Boomi and certain related assets for a total cash consideration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$4.0 billion, resulting in a pre-tax gain on sale of $4.0 billion. The Company ultimately recorded a $3.0 billion gain, net of $1.0 billion in tax expense.</w:t>
      </w:r>
    </w:p>
    <w:p>
      <w:pPr>
        <w:spacing w:after="0" w:line="15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i w:val="1"/>
          <w:iCs w:val="1"/>
          <w:color w:val="auto"/>
        </w:rPr>
        <w:t xml:space="preserve">RSA Divestiture </w:t>
      </w:r>
      <w:r>
        <w:rPr>
          <w:rFonts w:ascii="Arial" w:cs="Arial" w:eastAsia="Arial" w:hAnsi="Arial"/>
          <w:sz w:val="18"/>
          <w:szCs w:val="18"/>
          <w:color w:val="auto"/>
        </w:rPr>
        <w:t>— On September 1, 2020, we completed the sale of RSA Security LLC (“RSA Security”) for total cash consideration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$2.082 billion, resulting in a pre-tax gain on sale of $338 million. The Company ultimately recorded a $21 million loss net of taxes. The transaction was intended to further simplify our product portfolio and corporate structure.</w:t>
      </w:r>
    </w:p>
    <w:p>
      <w:pPr>
        <w:spacing w:after="0" w:line="21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Prior to the divestitures, the operating results of Boomi and RSA Security were included within other businesses and did not qualify for presentation as discontinued operations. See Note 1 of the Notes to the Consolidated Financial Statements included in this report for more information about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VMware</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upon the completion of the VMware Spin-off, VMware is considered to be a related party of the Company. The related party relationship is as a result of Michael Dell’s ownership interest of both Dell Technologies and VMware and Michael Dell’s continued positions as Chairman and Chief Executive Officer of Dell Technologies, and Chairman of the Board of VMware. Following the completion of the VMware Spin-off, the majority of transactions that occur between Dell Technologies and VMware consist of Dell Technologies’ purchase of VMware products and services for resale, either on a standalone basis or as a part of integrated offerings. For more information regarding related party transactions with VMware, see Note 21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part of our strategy, we will continue to evaluate opportunities for strategic investments through our venture capital investment arm, Dell Technologies Capital, with a focus on emerging technology areas that are relevant to all segments of our business and that will complement our existing portfolio of solutions. Our investment areas include storage, software-defined networking, management and orchestration, security, machine learning and artificial intelligence, Big Data and analytics, cloud, edge computing, and software development operations. As of January 28, 2022 and January 29, 2021, Dell Technologies held strategic investments in non-marketable securities of $1.4 billion and $0.9 billion, respectively.</w:t>
      </w:r>
    </w:p>
    <w:p>
      <w:pPr>
        <w:spacing w:after="0" w:line="2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these investments, we also may make disciplined acquisitions targeting businesses that advance our strategic objectives and accelerate our innovation agenda.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u w:val="single" w:color="auto"/>
          <w:color w:val="auto"/>
        </w:rPr>
        <w:t>Ukraine</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monitoring and responding to the escalating conflict in Ukraine and the associated sanctions and other restrictions.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report, as a result of the conflict, we are not selling, servicing or supporting products in Russia, Belarus, and the Donetsk and Luhansk regions of Ukraine. The full impact of the conflict on our business operations and financial performance remains uncertain and will depend on future developments, including the severity and duration of the conflict and its impact on regional and global economic conditions. We will continue to monitor the conflict and assess the related restrictions and other effects and pursue prudent decisions for our team members, customers, and business.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COVID-19 Pandemic and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 We continue to monitor the COVID-19 pandemic and variants of the virus, as well as the impact it has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customers, business partners, and communities. Our crisis management team is actively engaged in evaluating changes in our environment and aligning our response to recommendations of the World Health Organization and the U.S. Centers for Disease Control and Prevention, and with governmental regulations. We are deploying return-to-site processes in certain regions based on our ongoing assessments of local conditions. We will continue to monitor regional conditions and utilize remote work practices to ensure the health and safety of our employees, customers, and business partners.</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full impact of the COVID-19 pandemic on our business operations and financial performance remains uncertain and will depend on future developments, including, the severity, duration and scope of the pandemic across different geographies; the effectiveness of actions taken to contain, mitigate or prevent the spread of variants of the virus; the further development, availability, and acceptance of effective treatments or vaccines; and governmental, business and individuals’ actions that have been and continue to be taken in response to the pandemic. We will continue to actively monitor global events and pursue prudent decisions to navigate in this uncertain and ever-changing environment. For additional information about impacts of COVID-19 on our operations, see “Results of Operations—Consolidated Results” and “—Business Unit Results.”</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 Dell Technologies maintains limited-source supplier relationships for certain components, because the relationships are advantageous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areas of performance, quality, support, delivery, capacity, and price considerations.</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Fiscal 2022, we were impacted by industry-wide constraints in the supply of limited-source components in certain product offerings as a result of the global impacts of COVID-19. Further, global economic recovery led to growth in demand that outpaced supply, resulting in an increase in orders pending fulfillment and extended lead times for our customers for certain products. These supply constraints coupled with increasing demand also led to increases in component and logistics costs, both of which increased in the aggregate during Fiscal 2022. Logistics costs increased as a result of both expedited shipments of components and rate increases in the freight network as capacity remained constrained. In response to these pressures, we continue to take steps to actively address our customers’ demands while balancing profitability and growth.</w:t>
      </w:r>
    </w:p>
    <w:p>
      <w:pPr>
        <w:spacing w:after="0" w:line="20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expect to continue to manage supply constraints and increased freight costs into the first half of Fiscal 2023. Component cost trends are dependent on the strength or weakness of actual end user demand and supply dynamics, which will continue to evolve and ultimately impact the translation of the cost environment to pricing and operating results. We expect the overall component cost environment to shift to deflationary during the first half of Fiscal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u w:val="single" w:color="auto"/>
          <w:color w:val="auto"/>
        </w:rPr>
        <w:t>ISG</w:t>
      </w:r>
      <w:r>
        <w:rPr>
          <w:rFonts w:ascii="Arial" w:cs="Arial" w:eastAsia="Arial" w:hAnsi="Arial"/>
          <w:sz w:val="16"/>
          <w:szCs w:val="16"/>
          <w:i w:val="1"/>
          <w:iCs w:val="1"/>
          <w:color w:val="auto"/>
        </w:rPr>
        <w:t xml:space="preserve"> </w:t>
      </w:r>
      <w:r>
        <w:rPr>
          <w:rFonts w:ascii="Arial" w:cs="Arial" w:eastAsia="Arial" w:hAnsi="Arial"/>
          <w:sz w:val="16"/>
          <w:szCs w:val="16"/>
          <w:color w:val="auto"/>
        </w:rPr>
        <w:t>— We expect that ISG will continue to be impacted by the changing nature of the IT infrastructure market and competitive environment. During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2022, ISG demand benefited from improvements in the macroeconomic environment which we expect to continue into Fiscal 2023. We expect that demand growth will continue to benefit net revenue in future periods. With our scale and strong solutions portfolio, we believe we are well-positioned to respond to ongoing competitive dynamics. Within servers and networking, we will continue to be selective in determining whether to pursue certain large hyperscale and other server transactions. We continue to focus on customer base expansion and lifetime value of customer relationships.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unprecedented growth throughout all industries is generating continued demand for our storage solutions and services. Cloud native applications are expected to continue as a primary growth driver in the infrastructure market. We believe the complementary cloud solutions across our business position us to meet these demands for our customers. We benefit from offering solutions that address the emerging trends of enterprises deploying software-defined storage, hyper-converged infrastructure, and modular solutions based on server-centric architectures. These trends are changing the way customers are consuming our traditional storage offerings. We continue to expand our offerings in external storage arrays, which incorporate flexible, cloud-based functionality.</w:t>
      </w:r>
    </w:p>
    <w:p>
      <w:pPr>
        <w:spacing w:after="0" w:line="21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Through our research and development efforts, we are developing new solutions in this rapidly changing industry that we believe will enable us to continue to provide superior solutions to our customers. Our customer base includes a growing number of service providers, such as cloud service providers, Software-as-a-Service companies, consumer webtech providers, and telecommunications companies. These service providers turn to Dell Technologies for our advanced solutions that enable efficient service delivery at cloud scale. Through our collaborative, customer-focused approach to innovation, we strive to deliver new and relevant solutions and software to the market quickly and efficiently.</w:t>
      </w:r>
    </w:p>
    <w:p>
      <w:pPr>
        <w:spacing w:after="0" w:line="2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CSG</w:t>
      </w:r>
      <w:r>
        <w:rPr>
          <w:rFonts w:ascii="Arial" w:cs="Arial" w:eastAsia="Arial" w:hAnsi="Arial"/>
          <w:sz w:val="18"/>
          <w:szCs w:val="18"/>
          <w:i w:val="1"/>
          <w:iCs w:val="1"/>
          <w:color w:val="auto"/>
        </w:rPr>
        <w:t xml:space="preserve"> </w:t>
      </w:r>
      <w:r>
        <w:rPr>
          <w:rFonts w:ascii="Arial" w:cs="Arial" w:eastAsia="Arial" w:hAnsi="Arial"/>
          <w:sz w:val="18"/>
          <w:szCs w:val="18"/>
          <w:color w:val="auto"/>
        </w:rPr>
        <w:t>— Our CSG offerings are an important element of our strategy, generating strong cash flow and opportunities for cross-selling of complementary</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During Fiscal 2022, CSG demand was strong across product offerings, driven primarily by the global economic recovery coupled with customers seeking improved connectivity and productivity in both personal and professional environments.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2023, we expect demand growth to be at a more moderate rate than in Fiscal 2022. Further, we expect that the CSG demand environment will continue to be subject to seasonal trends. Competitive dynamics continue to be a factor in our CSG business and will impact pricing and operating results. We remain committed to our long-term strategy for CSG and we will continue to make investments to innovate across the portfolio while benefiting from consolidation trends that are occurring in the markets in which we compete.</w:t>
      </w:r>
    </w:p>
    <w:p>
      <w:pPr>
        <w:spacing w:after="0" w:line="214"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i w:val="1"/>
          <w:iCs w:val="1"/>
          <w:u w:val="single" w:color="auto"/>
          <w:color w:val="auto"/>
        </w:rPr>
        <w:t>Recurring Revenue and Consumption Models</w:t>
      </w:r>
      <w:r>
        <w:rPr>
          <w:rFonts w:ascii="Arial" w:cs="Arial" w:eastAsia="Arial" w:hAnsi="Arial"/>
          <w:sz w:val="17"/>
          <w:szCs w:val="17"/>
          <w:i w:val="1"/>
          <w:iCs w:val="1"/>
          <w:color w:val="auto"/>
        </w:rPr>
        <w:t xml:space="preserve"> </w:t>
      </w:r>
      <w:r>
        <w:rPr>
          <w:rFonts w:ascii="Arial" w:cs="Arial" w:eastAsia="Arial" w:hAnsi="Arial"/>
          <w:sz w:val="17"/>
          <w:szCs w:val="17"/>
          <w:color w:val="auto"/>
        </w:rPr>
        <w:t>— Our customers are seeking new and innovative models that address how they consume our solutions. We</w:t>
      </w:r>
      <w:r>
        <w:rPr>
          <w:rFonts w:ascii="Arial" w:cs="Arial" w:eastAsia="Arial" w:hAnsi="Arial"/>
          <w:sz w:val="17"/>
          <w:szCs w:val="17"/>
          <w:i w:val="1"/>
          <w:iCs w:val="1"/>
          <w:color w:val="auto"/>
        </w:rPr>
        <w:t xml:space="preserve"> </w:t>
      </w:r>
      <w:r>
        <w:rPr>
          <w:rFonts w:ascii="Arial" w:cs="Arial" w:eastAsia="Arial" w:hAnsi="Arial"/>
          <w:sz w:val="17"/>
          <w:szCs w:val="17"/>
          <w:color w:val="auto"/>
        </w:rPr>
        <w:t>offer options including as-a-Service, utility, leases, and immediate pay models, designed to match customers’ consumption and financing preferences. We continue to evolve and build momentum across our family of as-a-Service offerings as we pursue our strategy of modernizing our core business solutions, with APEX at the forefront. We expect that our flexible consumption models and as-a-Service offerings will further strengthen our customer relationships and provide a foundation for growth in recurring revenue.</w:t>
      </w:r>
    </w:p>
    <w:p>
      <w:pPr>
        <w:spacing w:after="0" w:line="203"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These offerings typically result in multiyear agreements which generate recurring revenue streams over the term of the arrangement. We define recurring revenue as revenue recognized primarily related to hardware and software maintenance as well as subscription, as-a-Service, and usage-based offerings, and operating leases.</w:t>
      </w:r>
    </w:p>
    <w:p>
      <w:pPr>
        <w:spacing w:after="0" w:line="20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u w:val="single" w:color="auto"/>
          <w:color w:val="auto"/>
        </w:rPr>
        <w:t>Macroeconomic Risks and Uncertainties</w:t>
      </w:r>
      <w:r>
        <w:rPr>
          <w:rFonts w:ascii="Arial" w:cs="Arial" w:eastAsia="Arial" w:hAnsi="Arial"/>
          <w:sz w:val="17"/>
          <w:szCs w:val="17"/>
          <w:i w:val="1"/>
          <w:iCs w:val="1"/>
          <w:color w:val="auto"/>
        </w:rPr>
        <w:t xml:space="preserve"> </w:t>
      </w:r>
      <w:r>
        <w:rPr>
          <w:rFonts w:ascii="Arial" w:cs="Arial" w:eastAsia="Arial" w:hAnsi="Arial"/>
          <w:sz w:val="17"/>
          <w:szCs w:val="17"/>
          <w:color w:val="auto"/>
        </w:rPr>
        <w:t>— The impacts of trade protection measures, including increases in tariffs and trade barriers,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policies and international trade arrangements, and geopolitical issues may affect our ability to conduct business in some non-U.S. markets. We monitor and seek to mitigate these risks with adjustments to our manufacturing, supply chain, and distribution networks.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our business on a U.S. dollar basis. However, we have a large global presence, generating approximately half of our net revenue from sales to customers outside of the United States during Fiscal 2022, Fiscal 2021, and Fiscal 2020. As a result, our revenue can be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key performance metrics include net revenue, operating income, adjusted EBITDA, and cash flows from operations, which are discussed elsewhere in this management’s discussion and analysis.</w:t>
      </w: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earnings before interest and other, net, taxes, depreciation, and amortization (“EBITDA”); and adjusted EBITDA. The non-GAAP financial measures are not meant to be considered as indicators of performance in isolation from or as a substitute for net revenue, gross margin, operating expenses, operating income, or net income from continuing operations prepared in accordance with GAAP, and should be read only in conjunction with financial information presented on a GAAP basis. We use non-GAAP financial measures to supplement financial information presented on a GAAP basis. Management considers these non-GAAP measures in evaluating our operating trends and performance. Moreover, we believe these non-GAAP financial measures provide our stakeholders with useful and transparent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Non-GAAP product net revenue, non-GAAP services net revenue, non-GAAP net revenue, non-GAAP product gross margin, non-GAAP services gross margin, non-GAAP gross margin, non-GAAP operating expenses, non-GAAP operating income, and non-GAAP net income, as defined by us, exclude amortization of intangible assets, the impact of purchase accounting, transaction-related expenses, stock-based compensation expense, other corporate expenses and, for non-GAAP net income, fair value adjustments on equity adjustments and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w:t>
      </w:r>
    </w:p>
    <w:p>
      <w:pPr>
        <w:spacing w:after="0" w:line="19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items excluded from the most comparable GAAP financial measures to calculate our non-GAAP financial measures:</w:t>
      </w:r>
    </w:p>
    <w:p>
      <w:pPr>
        <w:spacing w:after="0" w:line="275" w:lineRule="exact"/>
        <w:rPr>
          <w:sz w:val="20"/>
          <w:szCs w:val="20"/>
          <w:color w:val="auto"/>
        </w:rPr>
      </w:pPr>
    </w:p>
    <w:p>
      <w:pPr>
        <w:ind w:left="340" w:right="20" w:hanging="332"/>
        <w:spacing w:after="0" w:line="289"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Amortization of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Amortization of intangible assets primarily consists of amortization of customer relationships,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trade names. In connection with our acquisition by merger of EMC on September 7, 2016, referred to as the “EMC merger transaction,” and the acquisition of Dell Inc. by Dell Technologies Inc. on October 29, 2013, referred to as the “going-private transaction,” all of the tangible and intangible assets and liabilities of EMC and Dell, Inc. and its consolidated subsidiaries,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an enhanced understanding of our current operating performance and provide more meaningful period to period comparisons.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40" w:hanging="332"/>
        <w:spacing w:after="0" w:line="269"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Impact of Purchase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The impact of purchase accounting includes purchase accounting adjustments related to the EMC merger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and, to a lesser extent, the going-private transaction, recorded under the acquisition method of 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Although purchase accounting adjustments and related amortization of those adjustments are reflected in our GAAP results, we evaluate the operating results of the underlying businesses on a non-GAAP basis, after removing such adjustments. We believe that excluding the impact of purchase accounting for purposes of calculating the non-GAAP financial measures presented below facilitates an enhanced understanding of our current operating performance and provides more meaningful period to period comparisons.</w:t>
      </w:r>
    </w:p>
    <w:p>
      <w:pPr>
        <w:spacing w:after="0" w:line="208" w:lineRule="exact"/>
        <w:rPr>
          <w:rFonts w:ascii="Arial" w:cs="Arial" w:eastAsia="Arial" w:hAnsi="Arial"/>
          <w:sz w:val="17"/>
          <w:szCs w:val="17"/>
          <w:color w:val="auto"/>
        </w:rPr>
      </w:pPr>
    </w:p>
    <w:p>
      <w:pPr>
        <w:ind w:left="340" w:right="80" w:hanging="332"/>
        <w:spacing w:after="0" w:line="290" w:lineRule="auto"/>
        <w:tabs>
          <w:tab w:leader="none" w:pos="335"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i w:val="1"/>
          <w:iCs w:val="1"/>
          <w:u w:val="single" w:color="auto"/>
          <w:color w:val="auto"/>
        </w:rPr>
        <w:t>Transaction-related (income) expenses</w:t>
      </w:r>
      <w:r>
        <w:rPr>
          <w:rFonts w:ascii="Arial" w:cs="Arial" w:eastAsia="Arial" w:hAnsi="Arial"/>
          <w:sz w:val="16"/>
          <w:szCs w:val="16"/>
          <w:i w:val="1"/>
          <w:iCs w:val="1"/>
          <w:color w:val="auto"/>
        </w:rPr>
        <w:t xml:space="preserve"> — </w:t>
      </w:r>
      <w:r>
        <w:rPr>
          <w:rFonts w:ascii="Arial" w:cs="Arial" w:eastAsia="Arial" w:hAnsi="Arial"/>
          <w:sz w:val="16"/>
          <w:szCs w:val="16"/>
          <w:color w:val="auto"/>
        </w:rPr>
        <w:t>Transaction-related expenses typically consist of acquisition, integration, and divestiture related costs,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the costs incurred in the VMware Spin-off, and are expensed as incurred. These expenses primarily represent costs for legal, banking, consulting, and advisory services. During Fiscal 2022, this category includes $1.5 billion in debt extinguishment fees primarily associated with the early retirement of certain senior notes. See Note 7 of the Notes to the Consolidated Financial Statements included in this report for additional information on our debt activity. From time to time, this category also may include transaction-related income related to divestitures of businesses or asset sales. During Fiscal 2022, we recognized a pre-tax gain of $4.0 billion on the sale of Boomi and during Fiscal 2021 we recognized a pre-tax gain of $338 million on the sale of RSA Security. We exclude these items for purposes of calculating the non-GAAP financial measures presented below to facilitate an enhanced understanding of our current operating performance and provide more meaningful period to period comparisons.</w:t>
      </w:r>
    </w:p>
    <w:p>
      <w:pPr>
        <w:spacing w:after="0" w:line="192" w:lineRule="exact"/>
        <w:rPr>
          <w:rFonts w:ascii="Arial" w:cs="Arial" w:eastAsia="Arial" w:hAnsi="Arial"/>
          <w:sz w:val="16"/>
          <w:szCs w:val="16"/>
          <w:b w:val="1"/>
          <w:bCs w:val="1"/>
          <w:i w:val="1"/>
          <w:iCs w:val="1"/>
          <w:color w:val="auto"/>
        </w:rPr>
      </w:pPr>
    </w:p>
    <w:p>
      <w:pPr>
        <w:ind w:left="340" w:right="20" w:hanging="332"/>
        <w:spacing w:after="0" w:line="270" w:lineRule="auto"/>
        <w:tabs>
          <w:tab w:leader="none" w:pos="335"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Stock-based Compensation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 Stock-based compensation expense consists of equity awards granted based on the estimated fair value of those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at grant date. We estimate the fair value of service-based stock options using the Black-Scholes valuation model. To estimate the fair value of performance-based awards containing a market condition, we use the Monte Carlo valuation model. For all other share-based awards, the fair value is based on the closing price of the Class C Common Stock as reported on the NYSE on the date of grant. Although stock-based compensation is an important aspect of the compensation of our employees and executives, the fair value of the stock-based awards may bear little resemblance to the actual value realized upon the vesting or future exercise of the related stock-based awards. We believe that excluding stock-based compensation expense for purposes of calculating the non-GAAP financial measures presented below facilitates an enhanced understanding of our current operating performance and provides more meaningful period to period comparisons. See Note 16 of the Notes to the Consolidated Financial Statements included in this report for additional information on equity award issuances.</w:t>
      </w:r>
    </w:p>
    <w:p>
      <w:pPr>
        <w:spacing w:after="0" w:line="207" w:lineRule="exact"/>
        <w:rPr>
          <w:rFonts w:ascii="Arial" w:cs="Arial" w:eastAsia="Arial" w:hAnsi="Arial"/>
          <w:sz w:val="17"/>
          <w:szCs w:val="17"/>
          <w:i w:val="1"/>
          <w:iCs w:val="1"/>
          <w:color w:val="auto"/>
        </w:rPr>
      </w:pPr>
    </w:p>
    <w:p>
      <w:pPr>
        <w:ind w:left="340" w:hanging="332"/>
        <w:spacing w:after="0" w:line="291" w:lineRule="auto"/>
        <w:tabs>
          <w:tab w:leader="none" w:pos="335"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Other Corporate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 Other corporate expenses consist of impairment charges, incentive charges related to equity investments,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action, and other costs. Virtustream non-cash pre-tax asset impairment charges of $619 million were recognized in Fiscal 2020. Severance costs are primarily related to severance and benefits for employees terminated pursuant to cost savings initiatives. We continue to optimize our facilities footprint and may incur additional costs as we seek opportunities for operational efficiencies.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an enhanced understanding of our current operating performance and provides more meaningful period to period comparisons.</w:t>
      </w:r>
    </w:p>
    <w:p>
      <w:pPr>
        <w:spacing w:after="0" w:line="193" w:lineRule="exact"/>
        <w:rPr>
          <w:rFonts w:ascii="Arial" w:cs="Arial" w:eastAsia="Arial" w:hAnsi="Arial"/>
          <w:sz w:val="16"/>
          <w:szCs w:val="16"/>
          <w:i w:val="1"/>
          <w:iCs w:val="1"/>
          <w:color w:val="auto"/>
        </w:rPr>
      </w:pPr>
    </w:p>
    <w:p>
      <w:pPr>
        <w:ind w:left="340" w:right="140" w:hanging="332"/>
        <w:spacing w:after="0" w:line="254" w:lineRule="auto"/>
        <w:tabs>
          <w:tab w:leader="none" w:pos="33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Fair Value Adjustments on Equity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Fair value adjustments on equity investments primarily consist of the gain (loss) on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includes the recurring fair value adjustments of investments in publicly-traded companies, as well as those in privately-held companies, which are adjusted for observable price changes, and, to a lesser extent, any potential impairments. See Note 4 of the Notes to the Consolidated Financial Statements included in this report for additional information on our strategic investment activity. Given the volatility in the ongoing adjustments to the valuation of these strategic investments, we believe that excluding these gains and losses for purposes of calculating non-GAAP net income presented below facilitates an enhanced understanding of our current operating performance and provides more meaningful period to period comparisons.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hanging="332"/>
        <w:spacing w:after="0" w:line="255"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Aggregate Adjustment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aggregate adjustment for income taxes is the estimated combined income tax effect for the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as well as an adjustment for discrete tax items. Due to the variability in recognition of discrete tax items from period to period, we believe that excluding these benefits or charges for purposes of calculating non-GAAP net income facilitates an enhanced understanding of our current operating performance and provides more meaningful period to period comparisons. The tax effects are determined based on the tax jurisdictions where the above items were incurred. See Note 12 of the Notes to the Consolidated Financial Statements included in this report for additional information on our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presents a reconciliation of each non-GAAP financial measure to the most directly comparable GAAP measure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6"/>
              </w:rPr>
              <w:t>January 28,</w:t>
            </w: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4"/>
                <w:szCs w:val="14"/>
                <w:color w:val="auto"/>
              </w:rPr>
            </w:pPr>
          </w:p>
        </w:tc>
        <w:tc>
          <w:tcPr>
            <w:tcW w:w="128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January 29,</w:t>
            </w: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4"/>
                <w:szCs w:val="14"/>
                <w:color w:val="auto"/>
              </w:rPr>
            </w:pPr>
          </w:p>
        </w:tc>
        <w:tc>
          <w:tcPr>
            <w:tcW w:w="128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8"/>
              </w:rPr>
              <w:t>January 31,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2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net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67,744</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67,607</w:t>
            </w:r>
          </w:p>
        </w:tc>
        <w:tc>
          <w:tcPr>
            <w:tcW w:w="0" w:type="dxa"/>
            <w:vAlign w:val="bottom"/>
          </w:tcPr>
          <w:p>
            <w:pPr>
              <w:spacing w:after="0"/>
              <w:rPr>
                <w:sz w:val="1"/>
                <w:szCs w:val="1"/>
                <w:color w:val="auto"/>
              </w:rPr>
            </w:pPr>
          </w:p>
        </w:tc>
      </w:tr>
      <w:tr>
        <w:trPr>
          <w:trHeight w:val="229"/>
        </w:trPr>
        <w:tc>
          <w:tcPr>
            <w:tcW w:w="3980" w:type="dxa"/>
            <w:vAlign w:val="bottom"/>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Arial" w:cs="Arial" w:eastAsia="Arial" w:hAnsi="Arial"/>
                <w:sz w:val="18"/>
                <w:szCs w:val="18"/>
                <w:color w:val="auto"/>
              </w:rPr>
              <w:t>Non-GAAP product net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67,746</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Services net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21,367</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18,926</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Non-GAAP services net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101,197</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86,670</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84,815</w:t>
            </w:r>
          </w:p>
        </w:tc>
        <w:tc>
          <w:tcPr>
            <w:tcW w:w="0" w:type="dxa"/>
            <w:vAlign w:val="bottom"/>
          </w:tcPr>
          <w:p>
            <w:pPr>
              <w:spacing w:after="0"/>
              <w:rPr>
                <w:sz w:val="1"/>
                <w:szCs w:val="1"/>
                <w:color w:val="auto"/>
              </w:rPr>
            </w:pPr>
          </w:p>
        </w:tc>
      </w:tr>
      <w:tr>
        <w:trPr>
          <w:trHeight w:val="229"/>
        </w:trPr>
        <w:tc>
          <w:tcPr>
            <w:tcW w:w="3980" w:type="dxa"/>
            <w:vAlign w:val="bottom"/>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Arial" w:cs="Arial" w:eastAsia="Arial" w:hAnsi="Arial"/>
                <w:sz w:val="18"/>
                <w:szCs w:val="18"/>
                <w:color w:val="auto"/>
              </w:rPr>
              <w:t>Non-GAAP net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86,776</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85,044</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Product gross margin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12,606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11,313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598</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Transaction-related (income) expenses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corporate expenses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Non-GAAP product gross margin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gross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Transaction-related expenses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corporate expenses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Non-GAAP services gross margin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3"/>
        </w:trPr>
        <w:tc>
          <w:tcPr>
            <w:tcW w:w="128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6"/>
              </w:rPr>
              <w:t>January 28,</w:t>
            </w: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4"/>
                <w:szCs w:val="14"/>
                <w:color w:val="auto"/>
              </w:rPr>
            </w:pPr>
          </w:p>
        </w:tc>
        <w:tc>
          <w:tcPr>
            <w:tcW w:w="128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January 29,</w:t>
            </w: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4"/>
                <w:szCs w:val="14"/>
                <w:color w:val="auto"/>
              </w:rPr>
            </w:pPr>
          </w:p>
        </w:tc>
        <w:tc>
          <w:tcPr>
            <w:tcW w:w="128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8"/>
              </w:rPr>
              <w:t>January 31,</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2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20,639</w:t>
            </w:r>
          </w:p>
        </w:tc>
        <w:tc>
          <w:tcPr>
            <w:tcW w:w="0" w:type="dxa"/>
            <w:vAlign w:val="bottom"/>
          </w:tcPr>
          <w:p>
            <w:pPr>
              <w:spacing w:after="0"/>
              <w:rPr>
                <w:sz w:val="1"/>
                <w:szCs w:val="1"/>
                <w:color w:val="auto"/>
              </w:rPr>
            </w:pPr>
          </w:p>
        </w:tc>
      </w:tr>
      <w:tr>
        <w:trPr>
          <w:trHeight w:val="229"/>
        </w:trPr>
        <w:tc>
          <w:tcPr>
            <w:tcW w:w="3980" w:type="dxa"/>
            <w:vAlign w:val="bottom"/>
            <w:gridSpan w:val="2"/>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corporate expenses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Non-GAAP gross margin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21,233</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0" w:type="dxa"/>
            <w:vAlign w:val="bottom"/>
          </w:tcPr>
          <w:p>
            <w:pPr>
              <w:spacing w:after="0"/>
              <w:rPr>
                <w:sz w:val="1"/>
                <w:szCs w:val="1"/>
                <w:color w:val="auto"/>
              </w:rPr>
            </w:pPr>
          </w:p>
        </w:tc>
      </w:tr>
      <w:tr>
        <w:trPr>
          <w:trHeight w:val="229"/>
        </w:trPr>
        <w:tc>
          <w:tcPr>
            <w:tcW w:w="3980" w:type="dxa"/>
            <w:vAlign w:val="bottom"/>
            <w:gridSpan w:val="2"/>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Transaction-related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(675)</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corporate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3"/>
        </w:trPr>
        <w:tc>
          <w:tcPr>
            <w:tcW w:w="3980" w:type="dxa"/>
            <w:vAlign w:val="bottom"/>
            <w:gridSpan w:val="2"/>
          </w:tcPr>
          <w:p>
            <w:pPr>
              <w:ind w:left="480"/>
              <w:spacing w:after="0"/>
              <w:rPr>
                <w:sz w:val="20"/>
                <w:szCs w:val="20"/>
                <w:color w:val="auto"/>
              </w:rPr>
            </w:pPr>
            <w:r>
              <w:rPr>
                <w:rFonts w:ascii="Arial" w:cs="Arial" w:eastAsia="Arial" w:hAnsi="Arial"/>
                <w:sz w:val="18"/>
                <w:szCs w:val="18"/>
                <w:color w:val="auto"/>
              </w:rPr>
              <w:t>Non-GAAP operating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4,659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3,685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1,641</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2,133</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Transaction-related expenses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corporate expenses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Non-GAAP operating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331 %</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3980" w:type="dxa"/>
            <w:vAlign w:val="bottom"/>
            <w:gridSpan w:val="2"/>
          </w:tcPr>
          <w:p>
            <w:pPr>
              <w:ind w:left="1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Impact of purchase accounting</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Transaction-related (income)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808</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corporate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Fair value adjustments on equity investments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Aggregate adjustment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0"/>
        </w:trPr>
        <w:tc>
          <w:tcPr>
            <w:tcW w:w="3980" w:type="dxa"/>
            <w:vAlign w:val="bottom"/>
            <w:gridSpan w:val="2"/>
          </w:tcPr>
          <w:p>
            <w:pPr>
              <w:ind w:left="480"/>
              <w:spacing w:after="0"/>
              <w:rPr>
                <w:sz w:val="20"/>
                <w:szCs w:val="20"/>
                <w:color w:val="auto"/>
              </w:rPr>
            </w:pPr>
            <w:r>
              <w:rPr>
                <w:rFonts w:ascii="Arial" w:cs="Arial" w:eastAsia="Arial" w:hAnsi="Arial"/>
                <w:sz w:val="18"/>
                <w:szCs w:val="18"/>
                <w:color w:val="auto"/>
              </w:rPr>
              <w:t>Non-GAAP net income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4,924</w:t>
            </w: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color w:val="auto"/>
              </w:rPr>
              <w:t>31 %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3,746</w:t>
            </w: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color w:val="auto"/>
              </w:rPr>
              <w:t>9 %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126"/>
        </w:trPr>
        <w:tc>
          <w:tcPr>
            <w:tcW w:w="1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20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20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vMerge w:val="restart"/>
          </w:tcPr>
          <w:p>
            <w:pPr>
              <w:jc w:val="right"/>
              <w:ind w:right="105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impairment charges, and severance, facility action, and other costs, and stock-based compensation expense. We believe that, due to the non-operational nature of the purchase accounting entries, it is appropriate to exclude these adjustments.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EBITDA and adjusted EBITDA to net income (loss) for the periods indicated: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from continuing operations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and other, net (a)</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 expense (benefit) (b)</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EBITDA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6"/>
              </w:rPr>
              <w:t>January 28,</w:t>
            </w:r>
          </w:p>
        </w:tc>
        <w:tc>
          <w:tcPr>
            <w:tcW w:w="1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January 29,</w:t>
            </w:r>
          </w:p>
        </w:tc>
        <w:tc>
          <w:tcPr>
            <w:tcW w:w="1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8"/>
              </w:rPr>
              <w:t>January 31,</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2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4,942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120 %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2,245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331 %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458"/>
        </w:trPr>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(1,264)</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1,339</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981</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11 %</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-916305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-624840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-333375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60" w:space="720"/>
            <w:col w:w="72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EBITDA</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8,206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7,552</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11 %</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6,824</w:t>
            </w:r>
          </w:p>
        </w:tc>
      </w:tr>
      <w:tr>
        <w:trPr>
          <w:trHeight w:val="230"/>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purchase accounting (c)</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Transaction-related expenses (d)</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corporate expenses (e)</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23"/>
        </w:trPr>
        <w:tc>
          <w:tcPr>
            <w:tcW w:w="398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5 %</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w:t>
            </w:r>
          </w:p>
        </w:tc>
      </w:tr>
      <w:tr>
        <w:trPr>
          <w:trHeight w:val="20"/>
        </w:trPr>
        <w:tc>
          <w:tcPr>
            <w:tcW w:w="3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12 of the Notes to the Consolidated Financial Statements included in this report for additional information on discrete tax items.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Transaction-related expenses consist of acquisition, integration, and divestiture related costs, as well as the costs incurred in the VMware Spin-off.</w:t>
      </w:r>
    </w:p>
    <w:p>
      <w:pPr>
        <w:spacing w:after="0" w:line="32" w:lineRule="exact"/>
        <w:rPr>
          <w:rFonts w:ascii="Arial" w:cs="Arial" w:eastAsia="Arial" w:hAnsi="Arial"/>
          <w:sz w:val="16"/>
          <w:szCs w:val="16"/>
          <w:color w:val="auto"/>
        </w:rPr>
      </w:pPr>
    </w:p>
    <w:p>
      <w:pPr>
        <w:ind w:left="340" w:right="120" w:hanging="332"/>
        <w:spacing w:after="0" w:line="260" w:lineRule="auto"/>
        <w:tabs>
          <w:tab w:leader="none" w:pos="3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corporate expenses includes impairment charges, incentive charges related to equity investments, severance, facility action, and other costs. For the fiscal year ended January 31, 2020, this category includes Virtustream pre-tax impairment charges of $619 million.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our consolidated results for the periods indicated. Unless otherwise indicated, all changes identified for the current period results represent comparisons to results for the prior corresponding fiscal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6"/>
                <w:szCs w:val="16"/>
                <w:b w:val="1"/>
                <w:bCs w:val="1"/>
                <w:color w:val="auto"/>
                <w:w w:val="91"/>
              </w:rPr>
              <w:t>Fiscal Year Ended</w:t>
            </w: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January 28, 2022</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January 29, 2021</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January 31, 2020</w:t>
            </w:r>
          </w:p>
        </w:tc>
        <w:tc>
          <w:tcPr>
            <w:tcW w:w="0" w:type="dxa"/>
            <w:vAlign w:val="bottom"/>
          </w:tcPr>
          <w:p>
            <w:pPr>
              <w:spacing w:after="0"/>
              <w:rPr>
                <w:sz w:val="1"/>
                <w:szCs w:val="1"/>
                <w:color w:val="auto"/>
              </w:rPr>
            </w:pPr>
          </w:p>
        </w:tc>
      </w:tr>
      <w:tr>
        <w:trPr>
          <w:trHeight w:val="161"/>
        </w:trPr>
        <w:tc>
          <w:tcPr>
            <w:tcW w:w="25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19"/>
              <w:spacing w:after="0" w:line="161" w:lineRule="exact"/>
              <w:rPr>
                <w:sz w:val="20"/>
                <w:szCs w:val="20"/>
                <w:color w:val="auto"/>
              </w:rPr>
            </w:pPr>
            <w:r>
              <w:rPr>
                <w:rFonts w:ascii="Arial" w:cs="Arial" w:eastAsia="Arial" w:hAnsi="Arial"/>
                <w:sz w:val="16"/>
                <w:szCs w:val="16"/>
                <w:b w:val="1"/>
                <w:bCs w:val="1"/>
                <w:color w:val="auto"/>
              </w:rPr>
              <w:t>% of</w:t>
            </w:r>
          </w:p>
        </w:tc>
        <w:tc>
          <w:tcPr>
            <w:tcW w:w="1160" w:type="dxa"/>
            <w:vAlign w:val="bottom"/>
          </w:tcPr>
          <w:p>
            <w:pPr>
              <w:jc w:val="right"/>
              <w:ind w:right="419"/>
              <w:spacing w:after="0" w:line="161"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4"/>
                <w:szCs w:val="14"/>
                <w:color w:val="auto"/>
              </w:rPr>
            </w:pPr>
          </w:p>
        </w:tc>
        <w:tc>
          <w:tcPr>
            <w:tcW w:w="1000" w:type="dxa"/>
            <w:vAlign w:val="bottom"/>
          </w:tcPr>
          <w:p>
            <w:pPr>
              <w:jc w:val="right"/>
              <w:ind w:right="419"/>
              <w:spacing w:after="0" w:line="161"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b w:val="1"/>
                <w:bCs w:val="1"/>
                <w:color w:val="auto"/>
                <w:w w:val="99"/>
              </w:rPr>
              <w:t>Dollars</w:t>
            </w: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9"/>
              <w:spacing w:after="0" w:line="161"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Net Revenue</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Net Revenue</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Net Revenue</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gridSpan w:val="5"/>
          </w:tcPr>
          <w:p>
            <w:pPr>
              <w:spacing w:after="0"/>
              <w:rPr>
                <w:sz w:val="20"/>
                <w:szCs w:val="20"/>
                <w:color w:val="auto"/>
              </w:rPr>
            </w:pPr>
            <w:r>
              <w:rPr>
                <w:rFonts w:ascii="Arial" w:cs="Arial" w:eastAsia="Arial" w:hAnsi="Arial"/>
                <w:sz w:val="16"/>
                <w:szCs w:val="16"/>
                <w:color w:val="auto"/>
                <w:w w:val="98"/>
              </w:rPr>
              <w:t>(in millions, except percentages)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Net revenue: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Arial" w:cs="Arial" w:eastAsia="Arial" w:hAnsi="Arial"/>
                <w:sz w:val="16"/>
                <w:szCs w:val="16"/>
                <w:color w:val="auto"/>
              </w:rPr>
              <w:t>Products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79,830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78.9 %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67,744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78.2 %</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67,607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79.7 %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13 %</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10 %</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17,208</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0" w:type="dxa"/>
            <w:vAlign w:val="bottom"/>
          </w:tcPr>
          <w:p>
            <w:pPr>
              <w:spacing w:after="0"/>
              <w:rPr>
                <w:sz w:val="1"/>
                <w:szCs w:val="1"/>
                <w:color w:val="auto"/>
              </w:rPr>
            </w:pPr>
          </w:p>
        </w:tc>
      </w:tr>
      <w:tr>
        <w:trPr>
          <w:trHeight w:val="206"/>
        </w:trPr>
        <w:tc>
          <w:tcPr>
            <w:tcW w:w="252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101,197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86,670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84,815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Gross margin: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Arial" w:cs="Arial" w:eastAsia="Arial" w:hAnsi="Arial"/>
                <w:sz w:val="16"/>
                <w:szCs w:val="16"/>
                <w:color w:val="auto"/>
              </w:rPr>
              <w:t>Products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12,606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15.8 %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11,313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16.7 %</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12,238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 (b)</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5 %</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46.6 %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5 %</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48.8 %</w:t>
            </w:r>
          </w:p>
        </w:tc>
        <w:tc>
          <w:tcPr>
            <w:tcW w:w="0" w:type="dxa"/>
            <w:vAlign w:val="bottom"/>
          </w:tcPr>
          <w:p>
            <w:pPr>
              <w:spacing w:after="0"/>
              <w:rPr>
                <w:sz w:val="1"/>
                <w:szCs w:val="1"/>
                <w:color w:val="auto"/>
              </w:rPr>
            </w:pPr>
          </w:p>
        </w:tc>
      </w:tr>
      <w:tr>
        <w:trPr>
          <w:trHeight w:val="206"/>
        </w:trPr>
        <w:tc>
          <w:tcPr>
            <w:tcW w:w="2520" w:type="dxa"/>
            <w:vAlign w:val="bottom"/>
          </w:tcPr>
          <w:p>
            <w:pPr>
              <w:ind w:left="240"/>
              <w:spacing w:after="0"/>
              <w:rPr>
                <w:sz w:val="20"/>
                <w:szCs w:val="20"/>
                <w:color w:val="auto"/>
              </w:rPr>
            </w:pPr>
            <w:r>
              <w:rPr>
                <w:rFonts w:ascii="Arial" w:cs="Arial" w:eastAsia="Arial" w:hAnsi="Arial"/>
                <w:sz w:val="16"/>
                <w:szCs w:val="16"/>
                <w:color w:val="auto"/>
              </w:rPr>
              <w:t>Total gross margin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21,891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21.6 %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20,140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23.2 %</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20,639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24.3 %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5 %</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4,659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3,685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2,366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69"/>
        </w:trPr>
        <w:tc>
          <w:tcPr>
            <w:tcW w:w="2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from continuing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120 %</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331 %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6"/>
                <w:szCs w:val="16"/>
                <w:b w:val="1"/>
                <w:bCs w:val="1"/>
                <w:color w:val="auto"/>
                <w:w w:val="91"/>
              </w:rPr>
              <w:t>Fiscal Year Ended</w:t>
            </w: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January 28, 2022</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January 29, 2021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January 31, 2020</w:t>
            </w: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 of Non-</w:t>
            </w:r>
          </w:p>
        </w:tc>
        <w:tc>
          <w:tcPr>
            <w:tcW w:w="11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 of Non-</w:t>
            </w:r>
          </w:p>
        </w:tc>
        <w:tc>
          <w:tcPr>
            <w:tcW w:w="160" w:type="dxa"/>
            <w:vAlign w:val="bottom"/>
          </w:tcPr>
          <w:p>
            <w:pPr>
              <w:spacing w:after="0"/>
              <w:rPr>
                <w:sz w:val="13"/>
                <w:szCs w:val="13"/>
                <w:color w:val="auto"/>
              </w:rPr>
            </w:pPr>
          </w:p>
        </w:tc>
        <w:tc>
          <w:tcPr>
            <w:tcW w:w="100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 of Non-</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0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GAAP Net</w:t>
            </w: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00" w:type="dxa"/>
            <w:vAlign w:val="bottom"/>
          </w:tcPr>
          <w:p>
            <w:pPr>
              <w:spacing w:after="0"/>
              <w:rPr>
                <w:sz w:val="14"/>
                <w:szCs w:val="14"/>
                <w:color w:val="auto"/>
              </w:rPr>
            </w:pPr>
          </w:p>
        </w:tc>
        <w:tc>
          <w:tcPr>
            <w:tcW w:w="128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6"/>
              </w:rPr>
              <w:t>GAAP Net</w:t>
            </w: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9"/>
              </w:rPr>
              <w:t>Dollars</w:t>
            </w:r>
          </w:p>
        </w:tc>
        <w:tc>
          <w:tcPr>
            <w:tcW w:w="8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GAAP Net</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Revenue</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gridSpan w:val="5"/>
          </w:tcPr>
          <w:p>
            <w:pPr>
              <w:spacing w:after="0"/>
              <w:rPr>
                <w:sz w:val="20"/>
                <w:szCs w:val="20"/>
                <w:color w:val="auto"/>
              </w:rPr>
            </w:pPr>
            <w:r>
              <w:rPr>
                <w:rFonts w:ascii="Arial" w:cs="Arial" w:eastAsia="Arial" w:hAnsi="Arial"/>
                <w:sz w:val="16"/>
                <w:szCs w:val="16"/>
                <w:color w:val="auto"/>
                <w:w w:val="98"/>
              </w:rPr>
              <w:t>(in millions, except percentages)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Non-GAAP net revenue: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Arial" w:cs="Arial" w:eastAsia="Arial" w:hAnsi="Arial"/>
                <w:sz w:val="16"/>
                <w:szCs w:val="16"/>
                <w:color w:val="auto"/>
              </w:rPr>
              <w:t>Products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79,830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78.9 %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67,746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78.1 %</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67,612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79.5 %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12 %</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9 %</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17,432</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06"/>
        </w:trPr>
        <w:tc>
          <w:tcPr>
            <w:tcW w:w="2520" w:type="dxa"/>
            <w:vAlign w:val="bottom"/>
          </w:tcPr>
          <w:p>
            <w:pPr>
              <w:ind w:left="240"/>
              <w:spacing w:after="0"/>
              <w:rPr>
                <w:sz w:val="20"/>
                <w:szCs w:val="20"/>
                <w:color w:val="auto"/>
              </w:rPr>
            </w:pPr>
            <w:r>
              <w:rPr>
                <w:rFonts w:ascii="Arial" w:cs="Arial" w:eastAsia="Arial" w:hAnsi="Arial"/>
                <w:sz w:val="16"/>
                <w:szCs w:val="16"/>
                <w:color w:val="auto"/>
              </w:rPr>
              <w:t>Total non-GAAP net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101,229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86,776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85,044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Non-GAAP gross margin: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Arial" w:cs="Arial" w:eastAsia="Arial" w:hAnsi="Arial"/>
                <w:sz w:val="16"/>
                <w:szCs w:val="16"/>
                <w:color w:val="auto"/>
              </w:rPr>
              <w:t>Products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13,261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16.6 %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12,211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18.0 %</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13,540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 (b)</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4 %</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47.4 %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4 %</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49.8 %</w:t>
            </w:r>
          </w:p>
        </w:tc>
        <w:tc>
          <w:tcPr>
            <w:tcW w:w="0" w:type="dxa"/>
            <w:vAlign w:val="bottom"/>
          </w:tcPr>
          <w:p>
            <w:pPr>
              <w:spacing w:after="0"/>
              <w:rPr>
                <w:sz w:val="1"/>
                <w:szCs w:val="1"/>
                <w:color w:val="auto"/>
              </w:rPr>
            </w:pPr>
          </w:p>
        </w:tc>
      </w:tr>
      <w:tr>
        <w:trPr>
          <w:trHeight w:val="207"/>
        </w:trPr>
        <w:tc>
          <w:tcPr>
            <w:tcW w:w="2520" w:type="dxa"/>
            <w:vAlign w:val="bottom"/>
          </w:tcPr>
          <w:p>
            <w:pPr>
              <w:ind w:left="240"/>
              <w:spacing w:after="0"/>
              <w:rPr>
                <w:sz w:val="20"/>
                <w:szCs w:val="20"/>
                <w:color w:val="auto"/>
              </w:rPr>
            </w:pPr>
            <w:r>
              <w:rPr>
                <w:rFonts w:ascii="Arial" w:cs="Arial" w:eastAsia="Arial" w:hAnsi="Arial"/>
                <w:sz w:val="16"/>
                <w:szCs w:val="16"/>
                <w:color w:val="auto"/>
              </w:rPr>
              <w:t>Total non-GAAP gross margin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22,684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22.4 %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21,233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24.5 %</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22,229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26.1 %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4 %</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Non-GAAP operating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7,785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6,949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6,816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31 %</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EBITDA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8,206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8.1 %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7,552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8.7 %</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6,824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12 %</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600" w:hanging="332"/>
        <w:spacing w:after="0" w:line="265" w:lineRule="auto"/>
        <w:tabs>
          <w:tab w:leader="none" w:pos="337"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gross margin percentages represent product gross margin as a percentage of product net revenue, and non-GAAP product gross margin percentages represent non-GAAP product gross margin as a percentage of non-GAAP product net revenue.</w:t>
      </w:r>
    </w:p>
    <w:p>
      <w:pPr>
        <w:ind w:left="340" w:right="480" w:hanging="332"/>
        <w:spacing w:after="0" w:line="290" w:lineRule="auto"/>
        <w:tabs>
          <w:tab w:leader="none" w:pos="334"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Services gross margin percentages represent services gross margin as a percentage of services net revenue, and non-GAAP services gross margin percentages represent non-GAAP services gross margin as a percentage of non-GAAP services net revenue.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19" w:lineRule="exact"/>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non-GAAP net income, EBITDA, and adjusted EBITDA are not measurements of financial performance prepared in accordance with GAAP. Non-GAAP financial measures as a percentage of revenue are calculated based on non-GAAP net revenue. See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Fiscal 2022, our net revenue and non-GAAP net revenue both increased 17% primarily due to growth in net revenue for CSG and, to a lesser extent, an increase in ISG net revenue. CSG net revenue benefited from increased sales of both commercial and consumer offerings, driven by the strong demand as a result of the continued global economic recovery coupled with customers seeking improved connectivity and productivity. ISG net revenue continued to benefit from overall improvements in the macroeconomic environment and a shift toward investment in IT infrastructure.</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Fiscal 2022, our operating income increased 26% to $4.7 billion and our non-GAAP operating income increased 12% to $7.8 billion. The increases in both operating income and non-GAAP operating income were primarily driven by growth in operating income for CSG, driven principally by our commercial offerings. Operating income also benefited from a decrease in amortization of intangible assets partially offset by an increase in stock-based compensation expense.</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Operating income as a percentage of net revenue increased 30 basis points to 4.6%, primarily due to the favorable impact of a decrease in amortization of intangible assets. The increase in operating income as a percentage of net revenue was mostly offset by a decline in gross margin as a percentage of net revenue, which was principally attributable to a shift in mix towards CSG offerings coupled with a mix shift within ISG. Further, the decline in gross margin as a percentage of net revenue was driven by the impacts of supply chain challenges and associated increases in component and logistics costs, the effects of which were not fully offset by pricing adjustments. As a result of these dynamics, non-GAAP operating income as a percentage of net revenue decreased 30 basis points to 7.7%.</w:t>
      </w:r>
    </w:p>
    <w:p>
      <w:pPr>
        <w:spacing w:after="0" w:line="2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Cash provided by operating activities was $10.3 billion and $11.4 billion during Fiscal 2022 and Fiscal 2021, respectively. Our cash flow from operations in Fiscal 2022 were primarily attributable to strong revenue growth throughout the year. See “Market Conditions, Liquidity, Capital Commitments, and Contractual Cash Obligations” for further information on our cash flow metrics.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see opportunities to create value and grow in response to resilient demand for our IT solutions driven by a technology-enabled world. We have demonstrated our ability to adjust as needed to changing market conditions with complementary solutions across all segments of our business, an agile workforce, and the strength of our global supply chain. As we continue to innovate and modernize our core offerings, we believe that Dell Technologies is well-positioned for long-term profitable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During Fiscal 2022, our net revenue and non-GAAP net revenue both increased 17%. The increases in net revenue and non-GAAP net revenue were primarily attributable to an increase in net revenue for CSG and, to a lesser extent, an increase in net revenue for ISG. See “Business Unit Results” for further information.</w:t>
      </w:r>
    </w:p>
    <w:p>
      <w:pPr>
        <w:spacing w:after="0" w:line="211" w:lineRule="exact"/>
        <w:rPr>
          <w:sz w:val="20"/>
          <w:szCs w:val="20"/>
          <w:color w:val="auto"/>
        </w:rPr>
      </w:pPr>
    </w:p>
    <w:p>
      <w:pPr>
        <w:ind w:left="340" w:right="40" w:hanging="332"/>
        <w:spacing w:after="0" w:line="29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i w:val="1"/>
          <w:iCs w:val="1"/>
          <w:u w:val="single" w:color="auto"/>
          <w:color w:val="auto"/>
        </w:rPr>
        <w:t>Product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Product net revenue includes revenue from the sale of hardware products and software licenses. During Fiscal 2022, both</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net revenue and non-GAAP product net revenue increased 18%, primarily due to an increase in product net revenue for CSG and, to a lesser extent, ISG product net revenue. CSG product net revenue increased primarily due to increases in units sold of both commercial and consumer product offerings as a result of continued strength in the demand environment and, to a lesser extent, an increase in average selling price principally related to our commercial offerings. ISG product net revenue increased primarily due to increased sales volumes of our server offerings.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hanging="332"/>
        <w:spacing w:after="0" w:line="271" w:lineRule="auto"/>
        <w:tabs>
          <w:tab w:leader="none" w:pos="335" w:val="left"/>
        </w:tabs>
        <w:numPr>
          <w:ilvl w:val="0"/>
          <w:numId w:val="21"/>
        </w:numPr>
        <w:rPr>
          <w:rFonts w:ascii="Arial" w:cs="Arial" w:eastAsia="Arial" w:hAnsi="Arial"/>
          <w:sz w:val="17"/>
          <w:szCs w:val="17"/>
          <w:color w:val="auto"/>
        </w:rPr>
      </w:pPr>
      <w:r>
        <w:rPr>
          <w:rFonts w:ascii="Arial" w:cs="Arial" w:eastAsia="Arial" w:hAnsi="Arial"/>
          <w:sz w:val="17"/>
          <w:szCs w:val="17"/>
          <w:i w:val="1"/>
          <w:iCs w:val="1"/>
          <w:u w:val="single" w:color="auto"/>
          <w:color w:val="auto"/>
        </w:rPr>
        <w:t>Services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Services net revenue includes revenue from our services offerings and support services related to hardware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licenses. During Fiscal 2022, services net revenue and non-GAAP services net revenue increased 13% and 12%, respectively, driven primarily by growth in CSG services net revenue and, to a lesser extent, growth in both ISG and other businesses services net revenue. Growth in CSG services net revenue was primarily due to increases in services net revenue attributable to both CSG hardware support and maintenance and CSG third-party software support and maintenance. ISG services net revenue increased primarily as a result of growth within hardware support services while other businesses services net revenue increased due to growth in software support and maintenance within VMware Resale. A substantial portion of services net revenue is derived from offerings that have been deferred over a period of time, and, as a result, reported services net revenue growth rates will be different than reported product net revenue growth rates.</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during Fiscal 2022 primarily driven by strong CSG performance and, to a lesser extent, ISG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During Fiscal 2021, our net revenue and non-GAAP net revenue both increased 2%. The increases in net revenue and non-GAAP net revenue were primarily attributable to an increase in net revenue for CSG, partially offset by a decline in ISG net revenue. See “Business Unit Results” for further information.</w:t>
      </w:r>
    </w:p>
    <w:p>
      <w:pPr>
        <w:spacing w:after="0" w:line="211" w:lineRule="exact"/>
        <w:rPr>
          <w:sz w:val="20"/>
          <w:szCs w:val="20"/>
          <w:color w:val="auto"/>
        </w:rPr>
      </w:pPr>
    </w:p>
    <w:p>
      <w:pPr>
        <w:ind w:left="340" w:right="1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2021, both product net revenue and non-GAAP product net revenue remained flat, primarily due to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product net revenue for ISG, which was offset by an increase in product net revenue for CSG.</w:t>
      </w:r>
    </w:p>
    <w:p>
      <w:pPr>
        <w:spacing w:after="0" w:line="197" w:lineRule="exact"/>
        <w:rPr>
          <w:rFonts w:ascii="Arial" w:cs="Arial" w:eastAsia="Arial" w:hAnsi="Arial"/>
          <w:sz w:val="18"/>
          <w:szCs w:val="18"/>
          <w:color w:val="auto"/>
        </w:rPr>
      </w:pPr>
    </w:p>
    <w:p>
      <w:pPr>
        <w:ind w:left="340" w:right="30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2021, services net revenue and non-GAAP services net revenue increased 10% and 9%, respectively.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were primarily attributable to an increase in services net revenue for CSG third-party software support and maintenance as well as an increase in VMware resale.</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a geographical perspective, net revenue generated by sales to customers in the Americas and EMEA both increased during Fiscal 2021 due to strong CSG performance partially offset by declines in ISG net revenue. Net revenue generated by sales to customers in APJ decreased for both CSG and ISG as a result of a weaker demand environment.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2022, our gross margin increased 9% to $21.9 billion principally driven by growth in CSG gross margin and the favorable impact of a decrease in amortization of intangible assets. This increase was partially offset by a decrease in gross margin for other businesses primarily as a result of the impact of the divestiture of RSA Security during Fiscal 2021. Non-GAAP gross margin increased 7% to $22.7 billion and was driven by the same CSG and other businesses dynamics discussed above.</w:t>
      </w:r>
    </w:p>
    <w:p>
      <w:pPr>
        <w:spacing w:after="0" w:line="21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Fiscal 2022, our gross margin percentage decreased 160 basis points to 21.6%. The decrease in gross margin percentage was principally due to a shift in mix towards CSG offerings coupled with a mix shift within ISG. Further, the decline in gross margin as a percentage of net revenue was driven by the impacts of supply chain challenges and associated increases in component and logistics costs, the effects of which were not fully offset by pricing adjustments. These decreases were partially offset by the favorable impact of a decrease in amortization of intangible assets. Non-GAAP gross margin percentage decreased 210 basis points to 22.4% due to the same CSG and ISG dynamics discussed above.</w:t>
      </w:r>
    </w:p>
    <w:p>
      <w:pPr>
        <w:spacing w:after="0" w:line="203" w:lineRule="exact"/>
        <w:rPr>
          <w:sz w:val="20"/>
          <w:szCs w:val="20"/>
          <w:color w:val="auto"/>
        </w:rPr>
      </w:pPr>
    </w:p>
    <w:p>
      <w:pPr>
        <w:ind w:left="340" w:right="180" w:hanging="332"/>
        <w:spacing w:after="0" w:line="259"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Products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2022, product gross margin increased 11% to $12.6 billion primarily as a result of growth in CSG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coupled with the favorable impact of a decrease in amortization of intangible assets. These effects were partially offset by a decline in other businesses product gross margin as a result of the impact of the divestiture of RSA Security. Non-GAAP product gross margin increased 9% to $13.3 billion due to the same CSG and other businesses impacts.</w:t>
      </w:r>
    </w:p>
    <w:p>
      <w:pPr>
        <w:spacing w:after="0" w:line="213" w:lineRule="exact"/>
        <w:rPr>
          <w:rFonts w:ascii="Arial" w:cs="Arial" w:eastAsia="Arial" w:hAnsi="Arial"/>
          <w:sz w:val="18"/>
          <w:szCs w:val="18"/>
          <w:color w:val="auto"/>
        </w:rPr>
      </w:pPr>
    </w:p>
    <w:p>
      <w:pPr>
        <w:ind w:left="340" w:right="800"/>
        <w:spacing w:after="0" w:line="277" w:lineRule="auto"/>
        <w:rPr>
          <w:rFonts w:ascii="Arial" w:cs="Arial" w:eastAsia="Arial" w:hAnsi="Arial"/>
          <w:sz w:val="18"/>
          <w:szCs w:val="18"/>
          <w:color w:val="auto"/>
        </w:rPr>
      </w:pPr>
      <w:r>
        <w:rPr>
          <w:rFonts w:ascii="Arial" w:cs="Arial" w:eastAsia="Arial" w:hAnsi="Arial"/>
          <w:sz w:val="18"/>
          <w:szCs w:val="18"/>
          <w:color w:val="auto"/>
        </w:rPr>
        <w:t>During Fiscal 2022, product gross margin percentage decreased 90 basis points to 15.8%, primarily due to a decline in product gross margin percentage for both CSG and ISG and, to a lesser extent, a shift in mix towards CSG. These impacts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were partially offset by the favorable impact of a decrease in amortization of intangible assets. Non-GAAP product gross margin percentage decreased 140 basis points to 16.6% and was driven by the same CSG and ISG impacts discussed above.</w:t>
      </w:r>
    </w:p>
    <w:p>
      <w:pPr>
        <w:spacing w:after="0" w:line="197" w:lineRule="exact"/>
        <w:rPr>
          <w:sz w:val="20"/>
          <w:szCs w:val="20"/>
          <w:color w:val="auto"/>
        </w:rPr>
      </w:pPr>
    </w:p>
    <w:p>
      <w:pPr>
        <w:ind w:left="340" w:right="100" w:hanging="332"/>
        <w:spacing w:after="0" w:line="259" w:lineRule="auto"/>
        <w:tabs>
          <w:tab w:leader="none" w:pos="33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Services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2022, services gross margin increased 5% to $9.3 billion and non-GAAP services gross margin increased 4%</w:t>
      </w:r>
      <w:r>
        <w:rPr>
          <w:rFonts w:ascii="Arial" w:cs="Arial" w:eastAsia="Arial" w:hAnsi="Arial"/>
          <w:sz w:val="18"/>
          <w:szCs w:val="18"/>
          <w:i w:val="1"/>
          <w:iCs w:val="1"/>
          <w:color w:val="auto"/>
        </w:rPr>
        <w:t xml:space="preserve"> </w:t>
      </w:r>
      <w:r>
        <w:rPr>
          <w:rFonts w:ascii="Arial" w:cs="Arial" w:eastAsia="Arial" w:hAnsi="Arial"/>
          <w:sz w:val="18"/>
          <w:szCs w:val="18"/>
          <w:color w:val="auto"/>
        </w:rPr>
        <w:t>to $9.4 billion. The increases were driven primarily by CSG and ISG services gross margin, partially offset by other businesses services gross margin as a result of the impact of the divestiture of RSA Security. Both CSG and ISG services gross margin increased primarily due to growth in hardware support and maintenance.</w:t>
      </w:r>
    </w:p>
    <w:p>
      <w:pPr>
        <w:spacing w:after="0" w:line="214"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Services gross margin percentage decreased 310 basis points to 43.5% and non-GAAP services gross margin percentage decreased 340 basis points to 44.0%. The decreases were primarily driven by declines in services gross margin percentage across CSG, ISG, and other businesses and, to a lesser extent, a shift in mix towards CSG.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Fiscal 2021, our gross margin and non-GAAP gross margin decreased 2% to $20.1 billion and 4% to $21.2 billion, respectively. The decrease in gross margin was primarily due to a decline in gross margin for ISG and other businesses, mostly offset by an increase in CSG gross margin coupled with a favorable impact of a decrease in amortization of intangible assets. The decline in gross margin for other businesses decrease was driven by the divestiture of RSA Security. The non-GAAP gross margin decrease was driven by the same ISG and other businesses dynamics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2021, our gross margin percentage and non-GAAP gross margin percentage decreased 110 basis points to 23.2% and 160 basis points to</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24.5%, respectively. The decreases in gross margin percentage and non-GAAP gross margin percentage were driven by a shift in product mix due to strong CSG sales, as well as decreases in gross margin percentages for ISG and CSG. The decrease in gross margin percentage was partially offset by the favorable impact of a decrease in amortization of intangible assets.</w:t>
      </w:r>
    </w:p>
    <w:p>
      <w:pPr>
        <w:spacing w:after="0" w:line="217" w:lineRule="exact"/>
        <w:rPr>
          <w:sz w:val="20"/>
          <w:szCs w:val="20"/>
          <w:color w:val="auto"/>
        </w:rPr>
      </w:pPr>
    </w:p>
    <w:p>
      <w:pPr>
        <w:ind w:left="660" w:right="22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Products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2021, product gross margin decreased 8% to $11.3 billion and non-GAAP product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10% to $12.2 billion. The decreases in product gross margin and non-GAAP product gross margin were primarily a decrease in ISG product net revenue, as well as a shift in product mix towards CSG. These unfavorable impacts to product net revenue were partially offset by a decrease in amortization of intangibles.</w:t>
      </w:r>
    </w:p>
    <w:p>
      <w:pPr>
        <w:spacing w:after="0" w:line="213" w:lineRule="exact"/>
        <w:rPr>
          <w:rFonts w:ascii="Arial" w:cs="Arial" w:eastAsia="Arial" w:hAnsi="Arial"/>
          <w:sz w:val="18"/>
          <w:szCs w:val="18"/>
          <w:color w:val="auto"/>
        </w:rPr>
      </w:pPr>
    </w:p>
    <w:p>
      <w:pPr>
        <w:ind w:left="660" w:right="320"/>
        <w:spacing w:after="0" w:line="311" w:lineRule="auto"/>
        <w:rPr>
          <w:rFonts w:ascii="Arial" w:cs="Arial" w:eastAsia="Arial" w:hAnsi="Arial"/>
          <w:sz w:val="18"/>
          <w:szCs w:val="18"/>
          <w:color w:val="auto"/>
        </w:rPr>
      </w:pPr>
      <w:r>
        <w:rPr>
          <w:rFonts w:ascii="Arial" w:cs="Arial" w:eastAsia="Arial" w:hAnsi="Arial"/>
          <w:sz w:val="16"/>
          <w:szCs w:val="16"/>
          <w:color w:val="auto"/>
        </w:rPr>
        <w:t>During Fiscal 2021, product gross margin percentage decreased 140 basis points to 16.7% and non-GAAP product gross margin percentage decreased 200 basis points to 18.0%. The decreases in product gross margin percentage and non-GAAP product gross margin percentage were attributable to a shift in product mix towards CSG, as well as decreases in product gross margin percentages for ISG and CSG.</w:t>
      </w:r>
    </w:p>
    <w:p>
      <w:pPr>
        <w:spacing w:after="0" w:line="175"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2021, services gross margin and non-GAAP services gross margin increased 5% to $8.8 billion and 4% to</w:t>
      </w:r>
      <w:r>
        <w:rPr>
          <w:rFonts w:ascii="Arial" w:cs="Arial" w:eastAsia="Arial" w:hAnsi="Arial"/>
          <w:sz w:val="18"/>
          <w:szCs w:val="18"/>
          <w:i w:val="1"/>
          <w:iCs w:val="1"/>
          <w:color w:val="auto"/>
        </w:rPr>
        <w:t xml:space="preserve"> </w:t>
      </w:r>
      <w:r>
        <w:rPr>
          <w:rFonts w:ascii="Arial" w:cs="Arial" w:eastAsia="Arial" w:hAnsi="Arial"/>
          <w:sz w:val="18"/>
          <w:szCs w:val="18"/>
          <w:color w:val="auto"/>
        </w:rPr>
        <w:t>$9.0 billion, respectively. The increases in both services gross margin and non-GAAP services gross margin were as a result of growth in CSG third-party software support and maintenance. Further, services gross margin increased due to the favorable impact of a decrease in purchase accounting adjustments.</w:t>
      </w:r>
    </w:p>
    <w:p>
      <w:pPr>
        <w:spacing w:after="0" w:line="213" w:lineRule="exact"/>
        <w:rPr>
          <w:rFonts w:ascii="Arial" w:cs="Arial" w:eastAsia="Arial" w:hAnsi="Arial"/>
          <w:sz w:val="18"/>
          <w:szCs w:val="18"/>
          <w:color w:val="auto"/>
        </w:rPr>
      </w:pPr>
    </w:p>
    <w:p>
      <w:pPr>
        <w:ind w:left="660" w:right="160"/>
        <w:spacing w:after="0" w:line="259" w:lineRule="auto"/>
        <w:rPr>
          <w:rFonts w:ascii="Arial" w:cs="Arial" w:eastAsia="Arial" w:hAnsi="Arial"/>
          <w:sz w:val="18"/>
          <w:szCs w:val="18"/>
          <w:color w:val="auto"/>
        </w:rPr>
      </w:pPr>
      <w:r>
        <w:rPr>
          <w:rFonts w:ascii="Arial" w:cs="Arial" w:eastAsia="Arial" w:hAnsi="Arial"/>
          <w:sz w:val="18"/>
          <w:szCs w:val="18"/>
          <w:color w:val="auto"/>
        </w:rPr>
        <w:t>Services gross margin percentage and non-GAAP services gross margin percentage decreased 220 basis points to 46.6% and 240 basis points to 47.4%, respectively. Both services gross margin percentage and non-GAAP services gross margin percentage decreased primarily due to a mix shift towards CSG coupled with a decline in CSG services gross margin percentage. Services gross margin percentage was partially offset by the favorable impact of a decrease in purchase accounting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2022, Fiscal 2021, and Fiscal 2020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1"/>
              </w:rPr>
              <w:t>Fiscal Year Ended</w:t>
            </w: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January 28, 2022</w:t>
            </w: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93"/>
              </w:rPr>
              <w:t>January 29, 2021</w:t>
            </w:r>
          </w:p>
        </w:tc>
        <w:tc>
          <w:tcPr>
            <w:tcW w:w="1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January 31, 2020</w:t>
            </w: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220" w:type="dxa"/>
            <w:vAlign w:val="bottom"/>
          </w:tcPr>
          <w:p>
            <w:pPr>
              <w:jc w:val="center"/>
              <w:ind w:left="19"/>
              <w:spacing w:after="0" w:line="161" w:lineRule="exact"/>
              <w:rPr>
                <w:sz w:val="20"/>
                <w:szCs w:val="20"/>
                <w:color w:val="auto"/>
              </w:rPr>
            </w:pPr>
            <w:r>
              <w:rPr>
                <w:rFonts w:ascii="Arial" w:cs="Arial" w:eastAsia="Arial" w:hAnsi="Arial"/>
                <w:sz w:val="16"/>
                <w:szCs w:val="16"/>
                <w:b w:val="1"/>
                <w:bCs w:val="1"/>
                <w:color w:val="auto"/>
                <w:w w:val="94"/>
              </w:rPr>
              <w:t>% of</w:t>
            </w: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220" w:type="dxa"/>
            <w:vAlign w:val="bottom"/>
          </w:tcPr>
          <w:p>
            <w:pPr>
              <w:jc w:val="center"/>
              <w:ind w:left="19"/>
              <w:spacing w:after="0" w:line="161" w:lineRule="exact"/>
              <w:rPr>
                <w:sz w:val="20"/>
                <w:szCs w:val="20"/>
                <w:color w:val="auto"/>
              </w:rPr>
            </w:pPr>
            <w:r>
              <w:rPr>
                <w:rFonts w:ascii="Arial" w:cs="Arial" w:eastAsia="Arial" w:hAnsi="Arial"/>
                <w:sz w:val="16"/>
                <w:szCs w:val="16"/>
                <w:b w:val="1"/>
                <w:bCs w:val="1"/>
                <w:color w:val="auto"/>
                <w:w w:val="94"/>
              </w:rPr>
              <w:t>% of</w:t>
            </w: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5"/>
              </w:rPr>
              <w:t>Dollars</w:t>
            </w:r>
          </w:p>
        </w:tc>
        <w:tc>
          <w:tcPr>
            <w:tcW w:w="1220" w:type="dxa"/>
            <w:vAlign w:val="bottom"/>
          </w:tcPr>
          <w:p>
            <w:pPr>
              <w:jc w:val="center"/>
              <w:ind w:left="19"/>
              <w:spacing w:after="0" w:line="161" w:lineRule="exact"/>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0"/>
              </w:rPr>
              <w:t>Net Revenue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0"/>
              </w:rPr>
              <w:t>Net Revenue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0"/>
              </w:rPr>
              <w:t>Net Revenue</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6"/>
                <w:szCs w:val="16"/>
                <w:color w:val="auto"/>
                <w:w w:val="91"/>
              </w:rPr>
              <w:t>(in millions, except percentages)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Operating expenses: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w w:val="96"/>
              </w:rPr>
              <w:t>Selling, general, and administrative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14,655</w:t>
            </w:r>
          </w:p>
        </w:tc>
        <w:tc>
          <w:tcPr>
            <w:tcW w:w="1220" w:type="dxa"/>
            <w:vAlign w:val="bottom"/>
          </w:tcPr>
          <w:p>
            <w:pPr>
              <w:jc w:val="right"/>
              <w:spacing w:after="0"/>
              <w:rPr>
                <w:sz w:val="20"/>
                <w:szCs w:val="20"/>
                <w:color w:val="auto"/>
              </w:rPr>
            </w:pPr>
            <w:r>
              <w:rPr>
                <w:rFonts w:ascii="Arial" w:cs="Arial" w:eastAsia="Arial" w:hAnsi="Arial"/>
                <w:sz w:val="16"/>
                <w:szCs w:val="16"/>
                <w:color w:val="auto"/>
              </w:rPr>
              <w:t>14.5 %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14,000</w:t>
            </w:r>
          </w:p>
        </w:tc>
        <w:tc>
          <w:tcPr>
            <w:tcW w:w="1220" w:type="dxa"/>
            <w:vAlign w:val="bottom"/>
          </w:tcPr>
          <w:p>
            <w:pPr>
              <w:jc w:val="right"/>
              <w:spacing w:after="0"/>
              <w:rPr>
                <w:sz w:val="20"/>
                <w:szCs w:val="20"/>
                <w:color w:val="auto"/>
              </w:rPr>
            </w:pPr>
            <w:r>
              <w:rPr>
                <w:rFonts w:ascii="Arial" w:cs="Arial" w:eastAsia="Arial" w:hAnsi="Arial"/>
                <w:sz w:val="16"/>
                <w:szCs w:val="16"/>
                <w:color w:val="auto"/>
              </w:rPr>
              <w:t>16.1 %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15,819</w:t>
            </w:r>
          </w:p>
        </w:tc>
        <w:tc>
          <w:tcPr>
            <w:tcW w:w="1220" w:type="dxa"/>
            <w:vAlign w:val="bottom"/>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5 %</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2"/>
        </w:trPr>
        <w:tc>
          <w:tcPr>
            <w:tcW w:w="25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17,232</w:t>
            </w:r>
          </w:p>
        </w:tc>
        <w:tc>
          <w:tcPr>
            <w:tcW w:w="1220" w:type="dxa"/>
            <w:vAlign w:val="bottom"/>
          </w:tcPr>
          <w:p>
            <w:pPr>
              <w:jc w:val="right"/>
              <w:spacing w:after="0"/>
              <w:rPr>
                <w:sz w:val="20"/>
                <w:szCs w:val="20"/>
                <w:color w:val="auto"/>
              </w:rPr>
            </w:pPr>
            <w:r>
              <w:rPr>
                <w:rFonts w:ascii="Arial" w:cs="Arial" w:eastAsia="Arial" w:hAnsi="Arial"/>
                <w:sz w:val="16"/>
                <w:szCs w:val="16"/>
                <w:color w:val="auto"/>
              </w:rPr>
              <w:t>17.0 %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5 %</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16,455</w:t>
            </w:r>
          </w:p>
        </w:tc>
        <w:tc>
          <w:tcPr>
            <w:tcW w:w="1220" w:type="dxa"/>
            <w:vAlign w:val="bottom"/>
          </w:tcPr>
          <w:p>
            <w:pPr>
              <w:jc w:val="right"/>
              <w:spacing w:after="0"/>
              <w:rPr>
                <w:sz w:val="20"/>
                <w:szCs w:val="20"/>
                <w:color w:val="auto"/>
              </w:rPr>
            </w:pPr>
            <w:r>
              <w:rPr>
                <w:rFonts w:ascii="Arial" w:cs="Arial" w:eastAsia="Arial" w:hAnsi="Arial"/>
                <w:sz w:val="16"/>
                <w:szCs w:val="16"/>
                <w:color w:val="auto"/>
              </w:rPr>
              <w:t>18.9 %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18,273</w:t>
            </w:r>
          </w:p>
        </w:tc>
        <w:tc>
          <w:tcPr>
            <w:tcW w:w="1220" w:type="dxa"/>
            <w:vAlign w:val="bottom"/>
          </w:tcPr>
          <w:p>
            <w:pPr>
              <w:jc w:val="right"/>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2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91"/>
              </w:rPr>
              <w:t>Fiscal Year Ended</w:t>
            </w: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January 28, 2022</w:t>
            </w: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93"/>
              </w:rPr>
              <w:t>January 29, 2021</w:t>
            </w: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January 31, 2020</w:t>
            </w: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jc w:val="center"/>
              <w:ind w:left="19"/>
              <w:spacing w:after="0" w:line="158" w:lineRule="exact"/>
              <w:rPr>
                <w:sz w:val="20"/>
                <w:szCs w:val="20"/>
                <w:color w:val="auto"/>
              </w:rPr>
            </w:pPr>
            <w:r>
              <w:rPr>
                <w:rFonts w:ascii="Arial" w:cs="Arial" w:eastAsia="Arial" w:hAnsi="Arial"/>
                <w:sz w:val="16"/>
                <w:szCs w:val="16"/>
                <w:b w:val="1"/>
                <w:bCs w:val="1"/>
                <w:color w:val="auto"/>
                <w:w w:val="96"/>
              </w:rPr>
              <w:t>% of Non-</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jc w:val="center"/>
              <w:ind w:left="19"/>
              <w:spacing w:after="0" w:line="158" w:lineRule="exact"/>
              <w:rPr>
                <w:sz w:val="20"/>
                <w:szCs w:val="20"/>
                <w:color w:val="auto"/>
              </w:rPr>
            </w:pPr>
            <w:r>
              <w:rPr>
                <w:rFonts w:ascii="Arial" w:cs="Arial" w:eastAsia="Arial" w:hAnsi="Arial"/>
                <w:sz w:val="16"/>
                <w:szCs w:val="16"/>
                <w:b w:val="1"/>
                <w:bCs w:val="1"/>
                <w:color w:val="auto"/>
                <w:w w:val="96"/>
              </w:rPr>
              <w:t>% of Non-</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tcPr>
          <w:p>
            <w:pPr>
              <w:jc w:val="center"/>
              <w:ind w:left="19"/>
              <w:spacing w:after="0" w:line="158" w:lineRule="exact"/>
              <w:rPr>
                <w:sz w:val="20"/>
                <w:szCs w:val="20"/>
                <w:color w:val="auto"/>
              </w:rPr>
            </w:pPr>
            <w:r>
              <w:rPr>
                <w:rFonts w:ascii="Arial" w:cs="Arial" w:eastAsia="Arial" w:hAnsi="Arial"/>
                <w:sz w:val="16"/>
                <w:szCs w:val="16"/>
                <w:b w:val="1"/>
                <w:bCs w:val="1"/>
                <w:color w:val="auto"/>
                <w:w w:val="96"/>
              </w:rPr>
              <w:t>% of Non-</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GAAP Net</w:t>
            </w: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Dollars</w:t>
            </w:r>
          </w:p>
        </w:tc>
        <w:tc>
          <w:tcPr>
            <w:tcW w:w="122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w w:val="99"/>
              </w:rPr>
              <w:t>GAAP Net</w:t>
            </w:r>
          </w:p>
        </w:tc>
        <w:tc>
          <w:tcPr>
            <w:tcW w:w="1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5"/>
              </w:rPr>
              <w:t>Dollars</w:t>
            </w:r>
          </w:p>
        </w:tc>
        <w:tc>
          <w:tcPr>
            <w:tcW w:w="122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w w:val="99"/>
              </w:rPr>
              <w:t>GAAP Net</w:t>
            </w: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9"/>
              </w:rPr>
              <w:t>Revenue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9"/>
              </w:rPr>
              <w:t>Revenue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9"/>
              </w:rPr>
              <w:t>Revenue</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6"/>
                <w:szCs w:val="16"/>
                <w:color w:val="auto"/>
                <w:w w:val="91"/>
              </w:rPr>
              <w:t>(in millions, except percentages)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4 %</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2022, total operating expenses and non-GAAP operating expenses increased 5% and 4%, respectively, primarily due to an increase in selling, general, and administrative expenses and, to a lesser extent, an increase in research and development expenses.</w:t>
      </w:r>
    </w:p>
    <w:p>
      <w:pPr>
        <w:spacing w:after="0" w:line="197" w:lineRule="exact"/>
        <w:rPr>
          <w:sz w:val="20"/>
          <w:szCs w:val="20"/>
          <w:color w:val="auto"/>
        </w:rPr>
      </w:pPr>
    </w:p>
    <w:p>
      <w:pPr>
        <w:ind w:left="340" w:right="140" w:hanging="332"/>
        <w:spacing w:after="0" w:line="301" w:lineRule="auto"/>
        <w:tabs>
          <w:tab w:leader="none" w:pos="335"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Selling,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 Selling, general, and administrative (“SG&amp;A”) expenses increased 5% during Fiscal 2022.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in consulting and contractor costs incurred in connection with our transformational initiatives, primarily the VMware Spin-off. Further, SG&amp;A expenses increased as a result of employee-related compensation and benefits expense due to the reintroduction of expenses that were temporarily reduced during Fiscal 2021 in response to COVID-19, as well as an increase in advertising and promotion expense.</w:t>
      </w:r>
    </w:p>
    <w:p>
      <w:pPr>
        <w:spacing w:after="0" w:line="184" w:lineRule="exact"/>
        <w:rPr>
          <w:rFonts w:ascii="Arial" w:cs="Arial" w:eastAsia="Arial" w:hAnsi="Arial"/>
          <w:sz w:val="16"/>
          <w:szCs w:val="16"/>
          <w:i w:val="1"/>
          <w:iCs w:val="1"/>
          <w:color w:val="auto"/>
        </w:rPr>
      </w:pPr>
    </w:p>
    <w:p>
      <w:pPr>
        <w:ind w:left="340" w:right="100" w:hanging="332"/>
        <w:spacing w:after="0" w:line="301" w:lineRule="auto"/>
        <w:tabs>
          <w:tab w:leader="none" w:pos="335"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Research and Development</w:t>
      </w:r>
      <w:r>
        <w:rPr>
          <w:rFonts w:ascii="Arial" w:cs="Arial" w:eastAsia="Arial" w:hAnsi="Arial"/>
          <w:sz w:val="16"/>
          <w:szCs w:val="16"/>
          <w:i w:val="1"/>
          <w:iCs w:val="1"/>
          <w:color w:val="auto"/>
        </w:rPr>
        <w:t xml:space="preserve"> — </w:t>
      </w:r>
      <w:r>
        <w:rPr>
          <w:rFonts w:ascii="Arial" w:cs="Arial" w:eastAsia="Arial" w:hAnsi="Arial"/>
          <w:sz w:val="16"/>
          <w:szCs w:val="16"/>
          <w:color w:val="auto"/>
        </w:rPr>
        <w:t>Research and development (“R&amp;D”) expenses are primarily composed of personnel-related expenses related to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R&amp;D expenses grew 5% during Fiscal 2022. As a percentage of net revenue, R&amp;D expenses for Fiscal 2022 and Fiscal 2021 were approximately 2.5% and 2.8%, respectively. The decrease in R&amp;D expenses as a percentage of net revenue was attributable to revenue growth that outpaced R&amp;D investments. We intend to continue to support R&amp;D initiatives to innovate and introduce new and enhanced solutions into the market.</w:t>
      </w:r>
    </w:p>
    <w:p>
      <w:pPr>
        <w:spacing w:after="0" w:line="18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continue to make selective investments designed to enable growth, marketing, and R&amp;D, while balancing our efforts to drive cost efficiencies in the business. We also expect to continue to make investments in support of our own digital transformation to modernize our IT operations.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Fiscal 2021, total operating expenses decreased 10% and total non-GAAP operating expenses decreased 7% primarily due to a decrease in selling, general, and administrative expense.</w:t>
      </w:r>
    </w:p>
    <w:p>
      <w:pPr>
        <w:spacing w:after="0" w:line="197" w:lineRule="exact"/>
        <w:rPr>
          <w:sz w:val="20"/>
          <w:szCs w:val="20"/>
          <w:color w:val="auto"/>
        </w:rPr>
      </w:pPr>
    </w:p>
    <w:p>
      <w:pPr>
        <w:ind w:left="660" w:right="40" w:hanging="328"/>
        <w:spacing w:after="0" w:line="275" w:lineRule="auto"/>
        <w:tabs>
          <w:tab w:leader="none" w:pos="655"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Selling,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 Selling, general, and administrative (“SG&amp;A”) expenses decreased 11% during Fiscal 2021. The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SG&amp;A expenses was partly attributable to measures taken as a result of the COVID-19 pandemic, which included global hiring limitations, reductions in consulting and contractor costs and facilities-related costs, global travel restrictions, and suspension of the Dell 401(k) match program for U.S. employees, as well as a decrease in amortization of intangible assets. Additionally, during Fiscal 2021, SG&amp;A expenses benefited from the absence of Virtustream pre-tax impairment charges of $619 million recognized in Fiscal 2020.</w:t>
      </w:r>
    </w:p>
    <w:p>
      <w:pPr>
        <w:spacing w:after="0" w:line="203" w:lineRule="exact"/>
        <w:rPr>
          <w:rFonts w:ascii="Arial" w:cs="Arial" w:eastAsia="Arial" w:hAnsi="Arial"/>
          <w:sz w:val="17"/>
          <w:szCs w:val="17"/>
          <w:i w:val="1"/>
          <w:iCs w:val="1"/>
          <w:color w:val="auto"/>
        </w:rPr>
      </w:pPr>
    </w:p>
    <w:p>
      <w:pPr>
        <w:ind w:left="660" w:right="80" w:hanging="328"/>
        <w:spacing w:after="0" w:line="277" w:lineRule="auto"/>
        <w:tabs>
          <w:tab w:leader="none" w:pos="6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R&amp;D expenses remained flat during Fiscal 2021 when compared to Fiscal 2020. R&amp;D expenses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 also remained essentially flat during Fiscal 2021at 2.8% compared to 2.9% during Fiscal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During Fiscal 2022, our operating income and non-GAAP operating income increased 26% to $4.7 billion and 12% to $7.8 billion, respectively. The increases were primarily due to growth in operating income for CSG, driven primarily by our commercial offerings. Operating income also benefited from the favorable impact of a decrease in amortization of intangible assets, which was partially offset by an increase in stock-based compensation expense.</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as a percentage of net revenue increased 30 basis points to 4.6%, primarily due to the favorable impact of a decrease in amortization of intangible assets. The increase in operating income as a percentage of net revenue was mostly offset by a decline in gross margin as a percentage of net revenue principally due to a shift in mix towards CSG offerings coupled with a mix shift within ISG. Further, the decline in gross margin as a percentage of net revenue was driven by the impacts of supply chain challenges and associated increases in component and logistics costs, the effects of which were not fully offset by pricing adjustments. As a result of these dynamics, non-GAAP operating income as a percentage of net revenue decreased 30 basis points to 7.7%.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During Fiscal 2021, our operating income increased 56% to $3.7 billion, primarily driven by a decrease in amortization of intangible assets and other corporate expenses, most notably resulting from the absence of Virtustream impairment charges of $619 million recognized in Fiscal 2020. Non-GAAP operating income increased 2% to $6.9 billion during Fiscal 2021 primarily due to an increase in operating income for CSG, which was partially offset by a decrease in operating income for ISG. Operating income for both CSG and ISG benefited from lower selling, general, and administrative expenses as we realized the benefit of cost reduction initiatives, of which select initiatives began to be reinstated in the fourth quarter of Fiscal 2021.</w:t>
      </w:r>
    </w:p>
    <w:p>
      <w:pPr>
        <w:spacing w:after="0" w:line="1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Operating income as a percentage of net revenue increased 150 basis points to 4.3% and was primarily driven by the favorable impact of decreases in both amortization of intangible assets and other corporate expenses resulting from the absence of Virtustream impairment charges of $619 million recognized in Fiscal 2020. Non-GAAP operating income as a percentage of net revenue remained flat at 8.0% as result of a decrease in gross margin percentage offset by decreases in operating expenses as a percentage of net revenue.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726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information regarding interest and other, net for the periods indicated:</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4"/>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23"/>
        </w:trPr>
        <w:tc>
          <w:tcPr>
            <w:tcW w:w="4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29, 2021</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January 31, 2020</w:t>
            </w:r>
          </w:p>
        </w:tc>
      </w:tr>
      <w:tr>
        <w:trPr>
          <w:trHeight w:val="223"/>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and other, net: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Investment income, primarily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investments, net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Gain on disposition of businesses and assets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extinguishment fees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and other,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2022, the change in interest and other, net was favorable by $2.6 billion, which was primarily driven by the pre-tax gain of $4.0 billion on the sale of Boomi coupled with a decrease in interest expense due to debt paydowns. These effects were partially offset by debt extinguishment fees of $1.6 billion primarily associated with the early retirement of certain senior notes. Refer to Note 7 of the Notes to the Consolidated Financial Statements for further details associated with the retirement of this debt.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Fiscal 2021, the change in interest and other, net was favorable by $1.1 billion, primarily due to a $233 million net gain on the fair value adjustment of one of our strategic investments and a pre-tax gain of $338 million on the sale of RSA Security. Interest and other, net also benefited from a decrease in interest expense due to debt paydowns over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income and other taxes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January 28, 2022</w:t>
            </w: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January 29, 2021</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January 31, 2020</w:t>
            </w:r>
          </w:p>
        </w:tc>
      </w:tr>
      <w:tr>
        <w:trPr>
          <w:trHeight w:val="223"/>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5,923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2,346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981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(572)</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4.3 %</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1121.6 %</w:t>
            </w:r>
          </w:p>
        </w:tc>
      </w:tr>
    </w:tbl>
    <w:p>
      <w:pPr>
        <w:spacing w:after="0" w:line="31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For Fiscal 2022, Fiscal 2021, and Fiscal 2020, our effective income tax rates were 16.6% on pre-tax income of $5,923 million, 4.3% on pre-tax income of $2,346 million, and 1121.6% on a pre-tax loss of $51 million, respectively. The changes in our effective income tax rate for Fiscal 2022 as compared to Fiscal 2021 and for Fiscal 2021 as compared to Fiscal 2020, were primarily driven by discrete tax items and a change in our jurisdictional mix of income.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Fiscal 2022, the Company’s effective tax rate includes tax expense of $1.0 billion on pre-tax gain of$4.0 billion related to the divestiture of Boomi during the period, as well as tax benefits of $367 million on $1.6 billion debt extinguishment fees and $244 million related to the restructuring of certain legal entities. For Fiscal 2021, the Company’s effective tax rate includes tax benefits of $746 million related to an audit settlement and tax expense of $359 million on pre-tax gain of $338 million relating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the divestiture of RSA Security during the period. For Fiscal 2020, the Company’s effective tax rate includes tax benefits of $405 million related to an intra-entity asset transfer and $305 million related to an audit settlement.</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effective income tax rate can fluctuate depending on the geographic distribution of our worldwide earnings, as our foreign earnings are generally taxed at lower rates than in the United States. The differences between our effective income tax rate and the U.S. federal statutory rate of 21% principally result from the geographical distribution of income, differences between the book and tax treatment of certain items and the discrete tax items described above. In certain jurisdictions, our tax rate is significantly less than the applicable statutory rate as a result of tax holidays. The majority of our foreign income that is subject to these tax holidays is attributable to Singapore and China. A significant portion of these income tax benefits relates to a tax holiday that will be effective until January 31, 2029. Our other tax holidays will expire in whole or in part during Fiscal 2030 through Fiscal 2031. Many of these tax holidays and reduced tax rates may be extended when certain conditions are met or may be terminated early if certain conditions are not met. As of January 28, 2022, we were not aware of any matters of noncompliance related to these tax holidays.</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further discussion regarding tax matters, including the status of income tax audits, see Note 12 of the Notes to the Consolidated Financial Statements included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Net income from continuing operations was $4.9 billion in Fiscal 2022, compared to $2.2 billion in Fiscal 2021. The increase in net income from continuing operations was primarily attributable to a favorable change in interest and other, net coupled with an increase in operating income, partially offset by an increase in tax expense during the period.</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Non-GAAP net income was $4.9 billion in Fiscal 2022, compared to $3.7 billion in Fiscal 2021. The increase in non-GAAP net income was primarily attributable to an increase in non-GAAP operating income coupled with a favorable change in interest and other, 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Net income from continuing operations was $2.2 billion in Fiscal 2021, compared to $0.5 billion in Fiscal 2020. The increase in net income from continuing operations during Fiscal 2021 was primarily attributable to an increase in operating income and a favorable change in interest and other, net, partially offset by an increase in tax expense for the period.</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Non-GAAP net income was $3.7 billion in Fiscal 2021, compared to $3.5 billion in Fiscal 2020. The increase in non-GAAP net income during Fiscal 2021 was primarily attributable to an increase in operating income and a favorable change in interest and other, net for the period.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reportable segments are based on the following business units: ISG and CSG. A description of our business units is provided under “Introduction.” See Note 19 of the Notes to the Consolidated Financial Statements included in this report for a reconciliation of net revenue and operating income by reportable segment to consolidated net revenue and consolidated operating income (loss),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January 28, 2022</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January 29, 2021</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January 31, 2020</w:t>
            </w:r>
          </w:p>
        </w:tc>
      </w:tr>
      <w:tr>
        <w:trPr>
          <w:trHeight w:val="223"/>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34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Servers and networking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17,901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16,592</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17,193</w:t>
            </w:r>
          </w:p>
        </w:tc>
      </w:tr>
      <w:tr>
        <w:trPr>
          <w:trHeight w:val="22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Storage</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16,465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16,410</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17,174</w:t>
            </w:r>
          </w:p>
        </w:tc>
      </w:tr>
      <w:tr>
        <w:trPr>
          <w:trHeight w:val="223"/>
        </w:trPr>
        <w:tc>
          <w:tcPr>
            <w:tcW w:w="3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ISG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34,366</w:t>
            </w:r>
          </w:p>
        </w:tc>
        <w:tc>
          <w:tcPr>
            <w:tcW w:w="13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33,002</w:t>
            </w: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34,367</w:t>
            </w:r>
          </w:p>
        </w:tc>
      </w:tr>
      <w:tr>
        <w:trPr>
          <w:trHeight w:val="250"/>
        </w:trPr>
        <w:tc>
          <w:tcPr>
            <w:tcW w:w="3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Operating income:</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2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ISG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3,736</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3,753</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3,948</w:t>
            </w:r>
          </w:p>
        </w:tc>
      </w:tr>
      <w:tr>
        <w:trPr>
          <w:trHeight w:val="224"/>
        </w:trPr>
        <w:tc>
          <w:tcPr>
            <w:tcW w:w="3740" w:type="dxa"/>
            <w:vAlign w:val="bottom"/>
          </w:tcPr>
          <w:p>
            <w:pPr>
              <w:ind w:left="140"/>
              <w:spacing w:after="0"/>
              <w:rPr>
                <w:sz w:val="20"/>
                <w:szCs w:val="20"/>
                <w:color w:val="auto"/>
              </w:rPr>
            </w:pPr>
            <w:r>
              <w:rPr>
                <w:rFonts w:ascii="Arial" w:cs="Arial" w:eastAsia="Arial" w:hAnsi="Arial"/>
                <w:sz w:val="18"/>
                <w:szCs w:val="18"/>
                <w:i w:val="1"/>
                <w:iCs w:val="1"/>
                <w:color w:val="auto"/>
              </w:rPr>
              <w:t>% of segment net revenue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10.9 %</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11.4 %</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11.5 %</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2022, ISG net revenue increased 4% primarily due to an increase in sales of servers and networking.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improvements in the macroeconomic environment and a shift towards investment in IT infrastructure compared to Fiscal 2021 which was impacted by a weaker demand environment as a result of COVID-19.</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from the sales of servers and networking increased 8% during Fiscal 2022, primarily driven by an increase in units sold due to continued strong demand for our PowerEdge servers.</w:t>
      </w:r>
    </w:p>
    <w:p>
      <w:pPr>
        <w:spacing w:after="0" w:line="19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Storage revenue remained flat during Fiscal 2022. Within storage, revenue associated with our hyper-converged infrastructure offerings increased during the same period. We continue to experience growth in demand across most of our storage offerings which we expect will benefit net revenue in future periods.</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ISG customers are interested in new and innovative models that address how they consume our solutions. We offer options that include as-a-Service, utility, leases, and immediate pay models, designed to match customers’ consumption and financing preferences. Our multiyear agreements typically result in recurring revenue streams over the term of the arrangement. We expect our flexible consumption models and as-a-Service offerings through APEX will further strengthen our customer relationships and provide a foundation for growth in recurring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ISG increased in all regions during Fiscal 2022.</w:t>
      </w:r>
    </w:p>
    <w:p>
      <w:pPr>
        <w:spacing w:after="0" w:line="25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2022, ISG operating income as a percentage of net revenue decreased 50 basis points to 10.9% due to a decline in ISG</w:t>
      </w:r>
      <w:r>
        <w:rPr>
          <w:rFonts w:ascii="Arial" w:cs="Arial" w:eastAsia="Arial" w:hAnsi="Arial"/>
          <w:sz w:val="16"/>
          <w:szCs w:val="16"/>
          <w:i w:val="1"/>
          <w:iCs w:val="1"/>
          <w:color w:val="auto"/>
        </w:rPr>
        <w:t xml:space="preserve"> </w:t>
      </w:r>
      <w:r>
        <w:rPr>
          <w:rFonts w:ascii="Arial" w:cs="Arial" w:eastAsia="Arial" w:hAnsi="Arial"/>
          <w:sz w:val="16"/>
          <w:szCs w:val="16"/>
          <w:color w:val="auto"/>
        </w:rPr>
        <w:t>gross margin percentage. The decline in ISG gross margin percentage was driven by a shift in mix within ISG towards servers and networking, competitive pricing pressure, and the impacts of industry-wide supply chain challenges which were not fully offset by pricing adjustments. Supply chain challenges included component availability, increased logistics costs, and the inflationary component cost environment. The decrease in ISG operating income as a percentage of net revenue was partially offset by a decrease in ISG operating expense as a percentage of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2021, ISG net revenue decreased 4% due to decreases in sales of servers and networking and storage. ISG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primarily due to a weaker demand environment, as customers shifted their investments toward remote work and business continuity solutions.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the sales of servers and networking decreased 3% during Fiscal 2021, primarily driven by a decline in demand of our PowerEdge servers due to the broader macroeconomic environment, including the effects of COVID-19.</w:t>
      </w:r>
    </w:p>
    <w:p>
      <w:pPr>
        <w:spacing w:after="0" w:line="19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Storage revenue decreased 4% during Fiscal 2021 primarily due to declines in demand for our core storage solutions offerings, partially offset by increased demand for converged and hyper-converged infrastructure solutions. We continue to make enhancements to our storage solutions offerings and expect that these offerings, including our PowerStore storage array released in May 2020, will drive long-term improvements in the business.</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a geographical perspective, net revenue attributable to ISG decreased in all regions during Fiscal 2021, driven by a weaker demand environment as a result of pervasive global COVID-19 disruptions.</w:t>
      </w:r>
    </w:p>
    <w:p>
      <w:pPr>
        <w:spacing w:after="0" w:line="1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u w:val="single" w:color="auto"/>
          <w:color w:val="auto"/>
        </w:rPr>
        <w:t>Operating Income</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2021, ISG operating income as a percentage of net revenue decreased 10 basis points to 11.4%. The decline in ISG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income percentage during Fiscal 2021 was driven by a decrease in ISG gross margin percentage from higher server configuration costs, increased freight costs, and lower benefits from component cost deflation. During Fiscal 2021, ISG component costs remained deflationary in the aggregate, but to a lesser degree relative to Fiscal 2020. The decline in ISG gross margin percentage in Fiscal 2021 was partially offset by a decrease in ISG operating expenses as a percentage of net revenue, as we realized the benefit of cost reduction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Client Solutions Group</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8260" w:type="dxa"/>
            <w:vAlign w:val="bottom"/>
            <w:gridSpan w:val="6"/>
          </w:tcPr>
          <w:p>
            <w:pPr>
              <w:spacing w:after="0"/>
              <w:rPr>
                <w:sz w:val="20"/>
                <w:szCs w:val="20"/>
                <w:color w:val="auto"/>
              </w:rPr>
            </w:pPr>
            <w:r>
              <w:rPr>
                <w:rFonts w:ascii="Arial" w:cs="Arial" w:eastAsia="Arial" w:hAnsi="Arial"/>
                <w:sz w:val="18"/>
                <w:szCs w:val="18"/>
                <w:color w:val="auto"/>
                <w:w w:val="95"/>
              </w:rPr>
              <w:t>The following table presents net revenue and operating income attributable to CSG for the periods indicated:</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1"/>
        </w:trPr>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3"/>
        </w:trPr>
        <w:tc>
          <w:tcPr>
            <w:tcW w:w="3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28, 2022</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January 29, 2021</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January 31, 2020</w:t>
            </w:r>
          </w:p>
        </w:tc>
      </w:tr>
      <w:tr>
        <w:trPr>
          <w:trHeight w:val="223"/>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340" w:type="dxa"/>
            <w:vAlign w:val="bottom"/>
            <w:gridSpan w:val="4"/>
          </w:tcPr>
          <w:p>
            <w:pPr>
              <w:jc w:val="center"/>
              <w:spacing w:after="0"/>
              <w:rPr>
                <w:sz w:val="20"/>
                <w:szCs w:val="20"/>
                <w:color w:val="auto"/>
              </w:rPr>
            </w:pPr>
            <w:r>
              <w:rPr>
                <w:rFonts w:ascii="Arial" w:cs="Arial" w:eastAsia="Arial" w:hAnsi="Arial"/>
                <w:sz w:val="18"/>
                <w:szCs w:val="18"/>
                <w:color w:val="auto"/>
                <w:w w:val="91"/>
              </w:rPr>
              <w:t>(in millions, except percentages)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45,576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35,423</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34,293</w:t>
            </w: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15,888</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12,964</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11,562</w:t>
            </w:r>
          </w:p>
        </w:tc>
      </w:tr>
      <w:tr>
        <w:trPr>
          <w:trHeight w:val="223"/>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CSG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61,464</w:t>
            </w:r>
          </w:p>
        </w:tc>
        <w:tc>
          <w:tcPr>
            <w:tcW w:w="13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48,387</w:t>
            </w: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45,855</w:t>
            </w:r>
          </w:p>
        </w:tc>
      </w:tr>
      <w:tr>
        <w:trPr>
          <w:trHeight w:val="250"/>
        </w:trPr>
        <w:tc>
          <w:tcPr>
            <w:tcW w:w="3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Operating income:</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23"/>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CSG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4,365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3,333</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3,114</w:t>
            </w:r>
          </w:p>
        </w:tc>
      </w:tr>
      <w:tr>
        <w:trPr>
          <w:trHeight w:val="224"/>
        </w:trPr>
        <w:tc>
          <w:tcPr>
            <w:tcW w:w="3760" w:type="dxa"/>
            <w:vAlign w:val="bottom"/>
          </w:tcPr>
          <w:p>
            <w:pPr>
              <w:ind w:left="140"/>
              <w:spacing w:after="0"/>
              <w:rPr>
                <w:sz w:val="20"/>
                <w:szCs w:val="20"/>
                <w:color w:val="auto"/>
              </w:rPr>
            </w:pPr>
            <w:r>
              <w:rPr>
                <w:rFonts w:ascii="Arial" w:cs="Arial" w:eastAsia="Arial" w:hAnsi="Arial"/>
                <w:sz w:val="18"/>
                <w:szCs w:val="18"/>
                <w:i w:val="1"/>
                <w:iCs w:val="1"/>
                <w:color w:val="auto"/>
              </w:rPr>
              <w:t>% of segment net revenue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7.1 %</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6.9 %</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6.8 %</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2022 compared to Fiscal 2021</w:t>
      </w:r>
    </w:p>
    <w:p>
      <w:pPr>
        <w:spacing w:after="0" w:line="25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2022, CSG net revenue increased 27% primarily due to increases in units sold of both commercial and consumer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The commercial and consumer increases were driven by strength in the demand environment as a result of the continued global economic recovery coupled with customers seeking improved connectivity and productivity.</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Commercial revenue increased 29% during Fiscal 2022 primarily due to an increase in sales across the majority of our commercial offerings. To a lesser extent, increases in average selling price also contributed to the growth in commercial revenue as we navigated through supply chain shortages and managed pricing in response to the inflationary cost environment.</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Consumer revenue increased 23% during Fiscal 2022 primarily due to an increase in units sold as a result of strong demand across the majority of our consumer product offerings.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CSG increased across all regions during Fiscal 2022.</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2022, CSG operating income as a percentage of net revenue increased 20 basis points to 7.1%, driven primarily by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CSG operating expenses as a percentage of revenue. This benefit was mostly offset by a decrease in CSG gross margin percentage which was impacted by heightened supply chain challenges, logistics costs, and the inflationary component cost environment, the effects of which were not fully offset by pricing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2021 compared to Fiscal 2020</w:t>
      </w:r>
    </w:p>
    <w:p>
      <w:pPr>
        <w:spacing w:after="0" w:line="25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2021, CSG net revenue increased 6% primarily due to an increase in commercial and consumer notebook sales,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decrease in commercial desktop sales. Much of this demand was driven by the imperative for remote work and remote learning solutions, as business, government, and education customers sought to maintain productivity in the midst of COVID-19.</w:t>
      </w:r>
    </w:p>
    <w:p>
      <w:pPr>
        <w:spacing w:after="0" w:line="211"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Commercial revenue increased 3% during Fiscal 2021 due to an increase in commercial notebooks sales, and particularly for entry-level commercial notebooks driven by customers in education and state and local government. The increases were partially offset by lower sales of commercial desktops.</w:t>
      </w:r>
    </w:p>
    <w:p>
      <w:pPr>
        <w:spacing w:after="0" w:line="15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Consumer revenue increased 12% during Fiscal 2021 due to increases in average selling prices across all consumer product offerings, coupled with continued strong demand for consumer notebooks and high-end and gaming systems.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a geographical perspective, net revenue attributable to CSG increased in the Americas and EMEA during Fiscal 2021. These increases were partially offset by a decline in net revenue attributable to CSG in APJ during the period.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2021, CSG operating income as a percentage of net revenue increased 10 basis points to 6.9%.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a decrease in CSG operating expenses as a percentage of revenue, as we realized the benefit of cost reduction initiatives. This benefit was mostly offset by a decrease in CSG gross margin percentage driven by a shift in product mix to entry-level commercial notebooks and lower component cost deflation relative to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sell products and services directly to customers and through a variety sales channels, including retail distribution. Our accounts receivable, net, was $12.9 billion and $10.7 billion as of January 28, 2022 and January 29, 2021, respectively.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reasonable and supportable expectation of future conditions, as well as specific identifiable customer accounts that are deemed at risk. As of January 28, 2022 and January 29, 2021, the allowance for expected credit losses was $90 million and $99 million, respectively. Based on our assessment, we believe that we are adequately reserved for expected credit losses. We will continue to monitor the aging of our accounts receivable and take actions, where necessary, to reduce our exposure to credit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 and Financing Receivables</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offers or arranges various financing options and services for our customers globally, including through captive financing operations. DFS originates, collects, and services customer receivables primarily related to the purchase of our product, software, and service solutions. The Company further strengthens our customer relationships through its flexible consumption models, which enable us to offer our customers the option to pay over time and, in certain cases, based on utilization, to provide them with financial flexibility to meet their changing technological requirements. New financing originations were $8.5 billion, $8.9 billion, and $8.5 billion for Fiscal 2022, Fiscal 2021, and Fiscal 2020, respectively.</w:t>
      </w:r>
    </w:p>
    <w:p>
      <w:pPr>
        <w:spacing w:after="0" w:line="20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Company’s leases are classified as sales-type leases, direct financing leases, or operating leases. Amounts due from lessees under sales-type leases or direct financing leases are recorded as part of financing receivables, with interest income recognized over the contract term. On commencement of sales-type leases, we typically qualify for up-front revenue recognition. On originations of operating leases, we record equipment under operating leases, classified as property, plant, and equipment, and recognize rental revenue and depreciation expense, classified as cost of net revenue, over the contract term. Direct financing leases are immaterial. Leases that commenced prior to the effective date of the current lease accounting standard continue to be accounted for under previous lease accounting guidance.</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January 28, 2022 and January 29, 2021, our financing receivables, net were $10.6 billion and $10.5 billion, respectively. We maintain an allowance to cover expected financing receivable credit losses and evaluate credit loss expectations based on our total portfolio. For Fiscal 2022, Fiscal 2021, and Fiscal 2020, the principal charge-off rate for our financing receivables portfolio was 0.6%, 0.7%, and 1.0%, respectively. The credit quality of our financing receivables has improved in recent years as the mix of high-quality commercial accounts in our portfolio has continued to increase. We continue to monitor broader economic indicators and their potential impact on future credit loss performance. We have an extensive process to manage our exposure to customer credit risk, including active management of credit lines and our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spacing w:after="0" w:line="20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retain a residual interest in equipment leased under our lease programs. As of January 28, 2022 and January 29, 2021, the residual interest recorded as part of financing receivables was $217 million and $424 million, respectively. The decline in residual interest during Fiscal 2022 was principally attributable to a corresponding increase in originations of operating leases.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impairment. Generally, expected losses as a result of residual value risk on equipment under lease are not considered to be significant primarily because of the existence of a secondary market with respect to the equipment. Further, the lease agreement clearly defines applicable return conditions and remedies for non-compliance, to ensure that the leased equipment will be in good operating condition upon return. No expected losses were recorded related to residual assets during Fiscal 2022 or Fiscal 2021.</w:t>
      </w:r>
    </w:p>
    <w:p>
      <w:pPr>
        <w:spacing w:after="0" w:line="2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January 28, 2022 and January 29, 2021, equipment under operating leases, net was $1.7 billion and $1.3 billion, respectively. We assess the carrying amount of the equipment under operating leases for impairment whenever events or circumstances may indicate that an impairment has occurred. No material impairment losses were recorded related to such equipment during Fiscal 2022, Fiscal 2021, or Fiscal 2020.</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DFS offerings are initially funded through cash on hand at the time of origination, most of which is subsequently replaced with asset-backed financing. For DFS offerings which qualify as sales-type leases, the initial funding of financing receivables is reflected as an impact to cash flows from operations, and is largely subsequently offset by cash proceeds from financing. For DFS operating leases, the initial funding is classified as a capital expenditure and reflected as an impact to cash flows used in investing activities.</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5 of the Notes to the Consolidated Financial Statements included in this report for additional information about our financing receivables and the associated allowances, and equipment under operating leases.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COMMITMENTS, CONTRACTUAL CASH OBLIGATIONS, AND MARKET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 support our ongoing business operations, we rely on operating cash flows as our primary source of liquidity. We monitor the efficiency of our balance sheet to ensure that we have adequate liquidity to support our business and strategic initiatives. In addition to internally generated cash, we have access to other capital sources to finance our strategic initiatives and fund growth in our financing operations. Our strategy is to deploy capital from any potential source, whether internally generated cash or debt, depending on the adequacy and availability of that source of capital and whether it can be accessed in a cost-effective manner.</w:t>
      </w:r>
    </w:p>
    <w:p>
      <w:pPr>
        <w:spacing w:after="0" w:line="215"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We believe that our current cash and cash equivalents, together with cash that will be provided by future operations and borrowings expected to be available under our revolving credit facility, will be sufficient over at least the next twelve months and for the foreseeable future thereafter meet our material cash requirements, including funding of our operations, debt related payments, capital expenditures, and other corporate needs.</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part our overall capital allocation strategy, we intend to drive growth while maintaining our investment grade rating and focusing on returning capital to our shareholders through both share repurchase programs and dividend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and cash equivalents as well as our available borrowings as of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January 29, 2021</w:t>
            </w:r>
          </w:p>
        </w:tc>
      </w:tr>
      <w:tr>
        <w:trPr>
          <w:trHeight w:val="223"/>
        </w:trPr>
        <w:tc>
          <w:tcPr>
            <w:tcW w:w="7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gridSpan w:val="4"/>
          </w:tcPr>
          <w:p>
            <w:pPr>
              <w:jc w:val="right"/>
              <w:ind w:right="1490"/>
              <w:spacing w:after="0"/>
              <w:rPr>
                <w:sz w:val="20"/>
                <w:szCs w:val="20"/>
                <w:color w:val="auto"/>
              </w:rPr>
            </w:pPr>
            <w:r>
              <w:rPr>
                <w:rFonts w:ascii="Arial" w:cs="Arial" w:eastAsia="Arial" w:hAnsi="Arial"/>
                <w:sz w:val="18"/>
                <w:szCs w:val="18"/>
                <w:color w:val="auto"/>
              </w:rPr>
              <w:t>(in millions)</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and cash equivalents, and available borrowings: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9,508</w:t>
            </w:r>
          </w:p>
        </w:tc>
      </w:tr>
      <w:tr>
        <w:trPr>
          <w:trHeight w:val="229"/>
        </w:trPr>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Remaining available borrowings under revolving credit facilities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r>
      <w:tr>
        <w:trPr>
          <w:trHeight w:val="223"/>
        </w:trPr>
        <w:tc>
          <w:tcPr>
            <w:tcW w:w="7200" w:type="dxa"/>
            <w:vAlign w:val="bottom"/>
          </w:tcPr>
          <w:p>
            <w:pPr>
              <w:ind w:left="240"/>
              <w:spacing w:after="0"/>
              <w:rPr>
                <w:sz w:val="20"/>
                <w:szCs w:val="20"/>
                <w:color w:val="auto"/>
              </w:rPr>
            </w:pPr>
            <w:r>
              <w:rPr>
                <w:rFonts w:ascii="Arial" w:cs="Arial" w:eastAsia="Arial" w:hAnsi="Arial"/>
                <w:sz w:val="18"/>
                <w:szCs w:val="18"/>
                <w:color w:val="auto"/>
              </w:rPr>
              <w:t>Total cash, cash equivalents, and available borrowings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13,975</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revolving credit facilities as of January 28, 2022 consist only of the 2021 Revolving Credit Facility which has a maximum capacity of $5.0 billion and available borrowings under this facility are reduced by draws on the facility and outstanding letters of credit. As of January 28, 2022, there were no borrowings outstanding under the facility and remaining available borrowings totaled approximately $5.0 billion. We may regularly use our available borrowings from the 2021 Revolving Credit Facility on a short-term basis for general corporate purposes. See Note 7 of the Notes to the Consolidated Financial Statements included in this report for additional information about the 2021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Debt</w:t>
            </w:r>
          </w:p>
        </w:tc>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79"/>
        </w:trPr>
        <w:tc>
          <w:tcPr>
            <w:tcW w:w="558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our outstanding debt as of the dates indicated: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Increase (Decrease)</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29, 2021</w:t>
            </w:r>
          </w:p>
        </w:tc>
      </w:tr>
      <w:tr>
        <w:trPr>
          <w:trHeight w:val="223"/>
        </w:trPr>
        <w:tc>
          <w:tcPr>
            <w:tcW w:w="3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Core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580" w:type="dxa"/>
            <w:vAlign w:val="bottom"/>
            <w:gridSpan w:val="2"/>
          </w:tcPr>
          <w:p>
            <w:pPr>
              <w:ind w:left="120"/>
              <w:spacing w:after="0"/>
              <w:rPr>
                <w:sz w:val="20"/>
                <w:szCs w:val="20"/>
                <w:color w:val="auto"/>
              </w:rPr>
            </w:pPr>
            <w:r>
              <w:rPr>
                <w:rFonts w:ascii="Arial" w:cs="Arial" w:eastAsia="Arial" w:hAnsi="Arial"/>
                <w:sz w:val="18"/>
                <w:szCs w:val="18"/>
                <w:color w:val="auto"/>
              </w:rPr>
              <w:t>Senior Notes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(11,177)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27,477</w:t>
            </w:r>
          </w:p>
        </w:tc>
      </w:tr>
      <w:tr>
        <w:trPr>
          <w:trHeight w:val="229"/>
        </w:trPr>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Legacy Notes and Debentures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29"/>
        </w:trPr>
        <w:tc>
          <w:tcPr>
            <w:tcW w:w="5580" w:type="dxa"/>
            <w:vAlign w:val="bottom"/>
            <w:gridSpan w:val="2"/>
          </w:tcPr>
          <w:p>
            <w:pPr>
              <w:ind w:left="120"/>
              <w:spacing w:after="0"/>
              <w:rPr>
                <w:sz w:val="20"/>
                <w:szCs w:val="20"/>
                <w:color w:val="auto"/>
              </w:rPr>
            </w:pPr>
            <w:r>
              <w:rPr>
                <w:rFonts w:ascii="Arial" w:cs="Arial" w:eastAsia="Arial" w:hAnsi="Arial"/>
                <w:sz w:val="18"/>
                <w:szCs w:val="18"/>
                <w:color w:val="auto"/>
              </w:rPr>
              <w:t>EMC Notes</w:t>
            </w: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DFS allocated debt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Total core debt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29,163</w:t>
            </w: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DFS related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580" w:type="dxa"/>
            <w:vAlign w:val="bottom"/>
            <w:gridSpan w:val="2"/>
          </w:tcPr>
          <w:p>
            <w:pPr>
              <w:ind w:left="120"/>
              <w:spacing w:after="0"/>
              <w:rPr>
                <w:sz w:val="20"/>
                <w:szCs w:val="20"/>
                <w:color w:val="auto"/>
              </w:rPr>
            </w:pPr>
            <w:r>
              <w:rPr>
                <w:rFonts w:ascii="Arial" w:cs="Arial" w:eastAsia="Arial" w:hAnsi="Arial"/>
                <w:sz w:val="18"/>
                <w:szCs w:val="18"/>
                <w:color w:val="auto"/>
              </w:rPr>
              <w:t>DFS debt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9,666</w:t>
            </w:r>
          </w:p>
        </w:tc>
      </w:tr>
      <w:tr>
        <w:trPr>
          <w:trHeight w:val="230"/>
        </w:trPr>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DFS allocated debt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Total DFS related debt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10,332</w:t>
            </w: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60" w:type="dxa"/>
            <w:vAlign w:val="bottom"/>
          </w:tcPr>
          <w:p>
            <w:pPr>
              <w:spacing w:after="0"/>
              <w:rPr>
                <w:sz w:val="19"/>
                <w:szCs w:val="19"/>
                <w:color w:val="auto"/>
              </w:rPr>
            </w:pPr>
          </w:p>
        </w:tc>
        <w:tc>
          <w:tcPr>
            <w:tcW w:w="5220" w:type="dxa"/>
            <w:vAlign w:val="bottom"/>
          </w:tcPr>
          <w:p>
            <w:pPr>
              <w:jc w:val="right"/>
              <w:ind w:right="3090"/>
              <w:spacing w:after="0"/>
              <w:rPr>
                <w:sz w:val="20"/>
                <w:szCs w:val="20"/>
                <w:color w:val="auto"/>
              </w:rPr>
            </w:pPr>
            <w:r>
              <w:rPr>
                <w:rFonts w:ascii="Arial" w:cs="Arial" w:eastAsia="Arial" w:hAnsi="Arial"/>
                <w:sz w:val="18"/>
                <w:szCs w:val="18"/>
                <w:color w:val="auto"/>
                <w:w w:val="90"/>
              </w:rPr>
              <w:t>Total debt, principal amount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39,675</w:t>
            </w:r>
          </w:p>
        </w:tc>
      </w:tr>
      <w:tr>
        <w:trPr>
          <w:trHeight w:val="229"/>
        </w:trPr>
        <w:tc>
          <w:tcPr>
            <w:tcW w:w="360" w:type="dxa"/>
            <w:vAlign w:val="bottom"/>
            <w:shd w:val="clear" w:color="auto" w:fill="CCEEFF"/>
          </w:tcPr>
          <w:p>
            <w:pPr>
              <w:spacing w:after="0"/>
              <w:rPr>
                <w:sz w:val="19"/>
                <w:szCs w:val="19"/>
                <w:color w:val="auto"/>
              </w:rPr>
            </w:pPr>
          </w:p>
        </w:tc>
        <w:tc>
          <w:tcPr>
            <w:tcW w:w="5220" w:type="dxa"/>
            <w:vAlign w:val="bottom"/>
            <w:shd w:val="clear" w:color="auto" w:fill="CCEEFF"/>
          </w:tcPr>
          <w:p>
            <w:pPr>
              <w:jc w:val="right"/>
              <w:ind w:right="3030"/>
              <w:spacing w:after="0"/>
              <w:rPr>
                <w:sz w:val="20"/>
                <w:szCs w:val="20"/>
                <w:color w:val="auto"/>
              </w:rPr>
            </w:pPr>
            <w:r>
              <w:rPr>
                <w:rFonts w:ascii="Arial" w:cs="Arial" w:eastAsia="Arial" w:hAnsi="Arial"/>
                <w:sz w:val="18"/>
                <w:szCs w:val="18"/>
                <w:color w:val="auto"/>
                <w:w w:val="95"/>
              </w:rPr>
              <w:t>Carrying value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3"/>
        </w:trPr>
        <w:tc>
          <w:tcPr>
            <w:tcW w:w="360" w:type="dxa"/>
            <w:vAlign w:val="bottom"/>
          </w:tcPr>
          <w:p>
            <w:pPr>
              <w:spacing w:after="0"/>
              <w:rPr>
                <w:sz w:val="19"/>
                <w:szCs w:val="19"/>
                <w:color w:val="auto"/>
              </w:rPr>
            </w:pPr>
          </w:p>
        </w:tc>
        <w:tc>
          <w:tcPr>
            <w:tcW w:w="5220" w:type="dxa"/>
            <w:vAlign w:val="bottom"/>
          </w:tcPr>
          <w:p>
            <w:pPr>
              <w:jc w:val="right"/>
              <w:ind w:right="3090"/>
              <w:spacing w:after="0"/>
              <w:rPr>
                <w:sz w:val="20"/>
                <w:szCs w:val="20"/>
                <w:color w:val="auto"/>
              </w:rPr>
            </w:pPr>
            <w:r>
              <w:rPr>
                <w:rFonts w:ascii="Arial" w:cs="Arial" w:eastAsia="Arial" w:hAnsi="Arial"/>
                <w:sz w:val="18"/>
                <w:szCs w:val="18"/>
                <w:color w:val="auto"/>
                <w:w w:val="99"/>
              </w:rPr>
              <w:t>Total debt, carrying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39,222</w:t>
            </w:r>
          </w:p>
        </w:tc>
      </w:tr>
      <w:tr>
        <w:trPr>
          <w:trHeight w:val="20"/>
        </w:trPr>
        <w:tc>
          <w:tcPr>
            <w:tcW w:w="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2022, the outstanding principal amount of our debt decreased by $12.4 billion to $27.2 billion as of January 28, 2022, primarily driven by net repayments of core debt.</w:t>
      </w:r>
    </w:p>
    <w:p>
      <w:pPr>
        <w:spacing w:after="0" w:line="19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define core debt as the total principal amount of our debt, less DFS related debt and other debt. Our core debt was $16.1 billion and $29.2 billion as of January 28, 2022 and January 29, 2021, respectively. The decrease in our core debt during Fiscal 2022 was driven by principal repayments which were primarily funded with the proceeds from the VMware Spin-off special dividend of $9.3 billion paid to Dell Technologies and, to a lesser extent, cash on hand. See Note 7 of the Notes to the Consolidated Financial Statements included in this report for more information about our debt.</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DFS related debt primarily represents debt from our securitization and structured financing programs. The majority of DFS debt represents borrowings under securitization programs and structured financing programs, for which our risk of loss is limited to transferred lease and loan payments and associated equipment, and under which the credit holders have no recourse to Dell Technologies.</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To fund expansion of the DFS business, we balance the use of the securitization and structured financing programs with other sources of liquidity. We approximate the amount of our debt used to fund the DFS business by applying a 7:1 debt to equity ratio to the sum of our financing receivables balance and equipment under our DFS operating leases, net. The debt to equity ratio is based on the underlying credit quality of the assets. See Note 5 of the Notes to the Consolidated Financial Statements included in this report for more information about our DFS debt.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have made steady progress in paying down debt and we will continue to pursue deleveraging as an important component of our overall strategy. As a result of our debt reduction and liability management strategy, we achieved an investment grade corporate family rating from three major credit rating agencies during Fiscal 2022.</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we will continue to be able to make our debt principal and interest payments, including the short-term maturities, from existing and expected sources of cash, primarily from operating cash flows. Cash used for debt principal and interest payments may include short-term borrowings under our revolving credit facility. Under our variable-rate debt, we could experience variations in our future interest expense from potential fluctuations in applicable reference rates, or from possible fluctuations in the level of DFS debt required to meet future demand for customer financing. For Fiscal 2023, there are no scheduled maturities related to our outstanding core debt. However, at our sole discretion, we may purchase, redeem, prepay, refinance, or otherwise retire any amount of our outstanding indebtedness under the terms of such indebtedness at any time and from time to time, in open market or negotiated transactions with the holders of such indebtedness or otherwise, as appropriate market conditions exist.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Consolidated Statements of Cash Flows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January 28, 2022</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29, 2021</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change in cash from:</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9,291</w:t>
            </w: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(4,604)</w:t>
            </w:r>
          </w:p>
        </w:tc>
      </w:tr>
      <w:tr>
        <w:trPr>
          <w:trHeight w:val="229"/>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5780" w:type="dxa"/>
            <w:vAlign w:val="bottom"/>
          </w:tcPr>
          <w:p>
            <w:pPr>
              <w:ind w:left="240"/>
              <w:spacing w:after="0"/>
              <w:rPr>
                <w:sz w:val="20"/>
                <w:szCs w:val="20"/>
                <w:color w:val="auto"/>
              </w:rPr>
            </w:pPr>
            <w:r>
              <w:rPr>
                <w:rFonts w:ascii="Arial" w:cs="Arial" w:eastAsia="Arial" w:hAnsi="Arial"/>
                <w:sz w:val="18"/>
                <w:szCs w:val="18"/>
                <w:color w:val="auto"/>
              </w:rPr>
              <w:t>Change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u w:val="single" w:color="auto"/>
          <w:color w:val="auto"/>
        </w:rPr>
        <w:t>Operating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Fiscal 2022 includes cash provided by operating activities related to VMware through the date of the VMware Spin-off. In</w:t>
      </w:r>
      <w:r>
        <w:rPr>
          <w:rFonts w:ascii="Arial" w:cs="Arial" w:eastAsia="Arial" w:hAnsi="Arial"/>
          <w:sz w:val="17"/>
          <w:szCs w:val="17"/>
          <w:i w:val="1"/>
          <w:iCs w:val="1"/>
          <w:color w:val="auto"/>
        </w:rPr>
        <w:t xml:space="preserve"> </w:t>
      </w:r>
      <w:r>
        <w:rPr>
          <w:rFonts w:ascii="Arial" w:cs="Arial" w:eastAsia="Arial" w:hAnsi="Arial"/>
          <w:sz w:val="17"/>
          <w:szCs w:val="17"/>
          <w:color w:val="auto"/>
        </w:rPr>
        <w:t>comparison, Fiscal 2021 and Fiscal 2020 reflect cash provided by operating activities related to VMware for the full fiscal year. Cash provided by operating activities was $10.3 billion during Fiscal 2022 and was primarily attributable to strong revenue growth throughout the year.</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provided by operating activities was $11.4 billion during Fiscal 2021 which was primarily driven by strong profitability, revenue growth and working capital dynamics as the impacts of COVID-19 began to normalize. During Fiscal 2020, cash provided by operating activities was $9.3 billion which was attributable to improved profitability and working capital discipline.</w:t>
      </w:r>
    </w:p>
    <w:p>
      <w:pPr>
        <w:spacing w:after="0" w:line="21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Investing Activities</w:t>
      </w:r>
      <w:r>
        <w:rPr>
          <w:rFonts w:ascii="Arial" w:cs="Arial" w:eastAsia="Arial" w:hAnsi="Arial"/>
          <w:sz w:val="17"/>
          <w:szCs w:val="17"/>
          <w:i w:val="1"/>
          <w:iCs w:val="1"/>
          <w:color w:val="auto"/>
        </w:rPr>
        <w:t xml:space="preserve"> — </w:t>
      </w:r>
      <w:r>
        <w:rPr>
          <w:rFonts w:ascii="Arial" w:cs="Arial" w:eastAsia="Arial" w:hAnsi="Arial"/>
          <w:sz w:val="17"/>
          <w:szCs w:val="17"/>
          <w:color w:val="auto"/>
        </w:rPr>
        <w:t>Investing activities primarily consist of cash used to fund capital expenditures for property, plant, and equipment, which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under DFS operating leases. Additional activities include capitalized software development costs, strategic investments, acquisitions of businesses by VMware, and the maturities, sales, and purchases of investments. During Fiscal 2022, cash provided by investing activities was $1.3 billion and was primarily driven by net cash proceeds from the divestiture of Boomi, partially offset by capital expenditures.</w:t>
      </w:r>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used in investing activities was $460 million during Fiscal 2021 and was primarily driven by capital expenditures and cash used in acquisition of businesses by VMware, largely offset by net cash proceeds from the divestiture of RSA Security. During Fiscal 2020, cash used in investing activities was $4.7 billion and was primarily driven by capital expenditures and acquisitions of businesses by VMware.</w:t>
      </w:r>
    </w:p>
    <w:p>
      <w:pPr>
        <w:spacing w:after="0" w:line="18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Financing activities primarily consist of the proceeds and repayments of debt and cash used to repurchase common stock.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VMware Spin-off, financing activities during Fiscal 2022 also include the net transfer of cash, cash equivalents, and restricted cash to VMware, and dividends paid by VMware to non-controlling interests. Cash used in financing activities of $16.6 billion during Fiscal 2022 primarily consisted of debt repayments and associated debt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extinguishment fees, as well as our financing activities related to the VMware Spin-off. The effect of these activities was partially offset by cash proceeds from the issuance of senior notes by Dell Technologies and VMware.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used in financing activities of $6.0 billion during Fiscal 2021 primarily consisted of debt repayments and repurchases of common stock by our public subsidiaries, partially offset by cash proceeds from the issuances of senior notes by Dell Technologies and VMware. During Fiscal 2020, cash used in financing activities of $4.6 billion primarily consisted of net debt repayments and repurchases of common stock by our public subsidiaries, primarily related to VMware Inc.’s acquisition of Pivotal Software, Inc.</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u w:val="single" w:color="auto"/>
          <w:color w:val="auto"/>
        </w:rPr>
        <w:t>DFS Cash Flow Impacts</w:t>
      </w:r>
      <w:r>
        <w:rPr>
          <w:rFonts w:ascii="Arial" w:cs="Arial" w:eastAsia="Arial" w:hAnsi="Arial"/>
          <w:sz w:val="16"/>
          <w:szCs w:val="16"/>
          <w:i w:val="1"/>
          <w:iCs w:val="1"/>
          <w:color w:val="auto"/>
        </w:rPr>
        <w:t xml:space="preserve"> </w:t>
      </w:r>
      <w:r>
        <w:rPr>
          <w:rFonts w:ascii="Arial" w:cs="Arial" w:eastAsia="Arial" w:hAnsi="Arial"/>
          <w:sz w:val="16"/>
          <w:szCs w:val="16"/>
          <w:color w:val="auto"/>
        </w:rPr>
        <w:t>— DFS offerings are initially funded through cash on hand at the time of origination, most of which is subsequently replaced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asset-backed financing. For DFS offerings that qualify as sales-type leases, the initial funding of financing receivables is reflected as an impact to cash flows from operations and is largely subsequently offset by cash proceeds from financing. For DFS operating leases, which have increased under the current lease accounting standard, the initial funding is classified as a capital expenditure and reflected as cash flows used in investing activities. DFS new financing originations were $8.5 billion, $8.9 billion, and $8.5 billion during Fiscal 2022, Fiscal 2021, and Fiscal 2020, respectively. As of January 28, 2022, DFS had $10.6 billion of total net financing receivables and $1.7 billion of equipment under DFS operating leases, 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2022 and Fiscal 2021, we spent $2.8 billion and $2.1 billion, respectively, on property, plant, and equipment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capitalized software development costs, of which the funding of equipment under DFS operating leases was $1.0 billion and $0.7 billion,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 demand, product mix, the use of contract manufacturers, and ongoing investments in operating and information technology infrastructure,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influence the level and prioritization of our capital expenditures. Aggregate capital expenditures for Fiscal 2023 are currently expected to total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billion and $3.0 billion, of which approximately $0.8 billion of expenditures are expected to be applied to equipment under DFS operating leases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$0.3 billion to capitalized software development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Dell Technologies Common Stock Repurchases by Dell Technologies during Fiscal 2022</w:t>
      </w:r>
    </w:p>
    <w:p>
      <w:pPr>
        <w:spacing w:after="0" w:line="2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Effective as of September 23, 2021, our board of directors approved a stock repurchase program with no established expiration date under which we are authorized to repurchase up to $5 billion of shares of the Company’s Class C Common Stock. During the fiscal year ended January 28, 2022, we repurchased approximately 12 million shares of Class C Common Stock for a total purchase price of approximately $659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Dell Technologies Common Stock Repurchases by Dell Technologies during Fiscal 2021</w:t>
      </w:r>
    </w:p>
    <w:p>
      <w:pPr>
        <w:spacing w:after="0" w:line="25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During the fiscal year ended January 29, 2021, we repurchased approximately 6 million shares of Class C Common Stock for a total purchase price of approximately $240 million under a previous stock repurchase program that was subsequently suspended and, in Fiscal 2022, terminated.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Payments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February 24, 2022, we announced that our board of directors has adopted a dividend policy under which we intend to pay quarterly cash dividends on its common stock, beginning in the first fiscal quarter of fiscal year 2023, at an initial rate of $0.33 per share per fiscal quarter. We also announced that our board has declared the initial quarterly dividend under the policy in the amount of $0.33 per share, which will be payable on April 29, 2022 to the holders of record of all of the issued and outstanding shares of common stock as of the close of business on April 20, 2022.</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dividend policy and the declaration and payment of each quarterly cash dividend will be subject to the board’s continuing determination that the policy and the declaration of dividends thereunder are in the best interests of our stockholders and are in compliance with applicable law. The board retains the power to modify, suspend, or cancel the dividend policy in any manner and at any time that it may deem necessary or appropriate.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Contractual Cash Obligations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7460" w:type="dxa"/>
            <w:vAlign w:val="bottom"/>
            <w:gridSpan w:val="7"/>
          </w:tcPr>
          <w:p>
            <w:pPr>
              <w:spacing w:after="0"/>
              <w:rPr>
                <w:sz w:val="20"/>
                <w:szCs w:val="20"/>
                <w:color w:val="auto"/>
              </w:rPr>
            </w:pPr>
            <w:r>
              <w:rPr>
                <w:rFonts w:ascii="Arial" w:cs="Arial" w:eastAsia="Arial" w:hAnsi="Arial"/>
                <w:sz w:val="18"/>
                <w:szCs w:val="18"/>
                <w:color w:val="auto"/>
                <w:w w:val="94"/>
              </w:rPr>
              <w:t>The following table presents a summary of our contractual cash obligations as of January 28, 2022: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Payments Due by Fiscal Year</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2024-2025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2026-2027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r>
      <w:tr>
        <w:trPr>
          <w:trHeight w:val="223"/>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Contractual cash obligations: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debt (a)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DFS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Total principal payments on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8,004</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obligations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Contractual cash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tab/>
        <w:t>Contractual cash obligations associated with core debt exclude DFS allocated debt.</w:t>
      </w:r>
    </w:p>
    <w:p>
      <w:pPr>
        <w:spacing w:after="0" w:line="234"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u w:val="single" w:color="auto"/>
          <w:color w:val="auto"/>
        </w:rPr>
        <w:t>Principal Payments on Debt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expected principal cash payments on borrowings are exclusive of discounts and premiums. We have outstanding long-term notes with varying maturities. For additional information about our debt, see Note 5 and Note 7 of the Notes to the Consolidated Financial Statements included in this report.</w:t>
      </w:r>
    </w:p>
    <w:p>
      <w:pPr>
        <w:spacing w:after="0" w:line="20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u w:val="single" w:color="auto"/>
          <w:color w:val="auto"/>
        </w:rPr>
        <w:t>Interest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total cash obligations for interest presented in the table above, the amounts related to our DFS debt were expected to be $78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2023 and $40 million in Fiscal 2024-2025. See Note 5 and Note 7 of the Notes to the Consolidated Financial Statements included in this report for further discussion of our debt and related interest expense.</w:t>
      </w:r>
    </w:p>
    <w:p>
      <w:pPr>
        <w:spacing w:after="0" w:line="203"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obligations are defined as contractual obligations to purchase goods or services that are enforceable and legally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201"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i w:val="1"/>
          <w:iCs w:val="1"/>
          <w:u w:val="single" w:color="auto"/>
          <w:color w:val="auto"/>
        </w:rPr>
        <w:t>Operating Leases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lease property and equipment, manufacturing facilities, and office space under non-cancelable leases. Certain of these leases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obligate us to pay taxes, maintenance, and repair costs. See Note 6 of the Notes to the Consolidated Financial Statements included in this report for additional information about our leasing transactions in which we are the lessee.</w:t>
      </w:r>
    </w:p>
    <w:p>
      <w:pPr>
        <w:spacing w:after="0" w:line="20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u w:val="single" w:color="auto"/>
          <w:color w:val="auto"/>
        </w:rPr>
        <w:t>Tax Obligations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Tax obligations represent a one-time mandatory deemed repatriation tax on undistributed earnings of foreign subsidiaries. Excluded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table above are $1.2 billion in additional liabilities associated with uncertain tax positions as of January 28, 2022. We are unable to reliably estimate the expected payment dates for any liabilities for uncertain tax positions. See Note 12 of the Notes to the Consolidated Financial Statements included in this report for more information on these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8 of the Notes to the Consolidated Financial Statements included in this report for more information about our use of derivative instruments.</w:t>
      </w:r>
    </w:p>
    <w:p>
      <w:pPr>
        <w:spacing w:after="0" w:line="2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exposed to interest rate risk related to our variable-rate debt portfolio. In the normal course of business, we follow established policies and procedures to manage this risk, including monitoring of our asset and liability mix. As a result, we do not anticipate any material losses from interest rate risk.</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impact of any credit adjustments related to our use of counterparties on our Consolidated Financial Statements included in this report has been immaterial.</w:t>
      </w:r>
    </w:p>
    <w:p>
      <w:pPr>
        <w:sectPr>
          <w:pgSz w:w="11900" w:h="16838" w:orient="portrait"/>
          <w:cols w:equalWidth="0" w:num="1">
            <w:col w:w="11100"/>
          </w:cols>
          <w:pgMar w:left="320" w:top="12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Guarantor Financial Information</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discussed in Note 7 of the Notes to the Consolidated Financial Statements included in this report, Dell International L.L.C. and EMC Corporation (the “Issuers”), both of which are wholly-owned subsidiaries of Dell Technologies, completed private offerings of multiple series of senior secured notes issued on June 1, 2016, March 20, 2019, and April 9, 2020 (the “First Lien Notes”). In June 2021, the Issuers completed an exchange offer and issued</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$18.4 billion aggregate principal amount of registered first lien notes under the Securities Act of 1933 in exchange for the same principal amount and substantially identical terms of the First Lien Notes. The aggregate principal amount of unregistered First Lien Notes remaining outstanding following the settlement of the exchange offer was approximately $0.1 billion. Such registered first lien notes, together with the remaining unregistered First Lien Notes, were previously referred to as “First Lien Notes.”</w:t>
      </w:r>
    </w:p>
    <w:p>
      <w:pPr>
        <w:spacing w:after="0" w:line="2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First Lien Notes were previously secured on a pari passu basis with the Senior Secured Credit Facilities, on a first-priority basis by substantially all of the tangible and intangible assets of the issuers and guarantors that secured obligations under the Senior Secured Credit Facilities, including pledges of all capital stock of the issuers, Dell, Inc. (“Dell”), a wholly-owned subsidiary of Dell Technologies, and certain wholly-owned material subsidiaries of the issuers and guarantors, subject to certain exceptions.</w:t>
      </w:r>
    </w:p>
    <w:p>
      <w:pPr>
        <w:spacing w:after="0" w:line="21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November 1, 2021, the Company entered into a new senior unsecured revolving credit facility to replace the previous senior secured revolving credit facility. Following the full redemption of the previously outstanding term loan facilities and replacement of the senior secured revolving credit facility, the credit agreement governing the former senior secured revolving credit facility was terminated. Subsequent to the termination of the previous credit agreement, and upon Dell Technologies receiving investment grade credit ratings, the tangible and intangible assets of the issuers and guarantors that secured obligations under the Senior Secured Credit Facilities were released as collateral. As a result, the First Lien Notes became fully unsecured and are collectively referred to as “Senior Notes.” In addition, all guarantees by Dell’s subsidiaries were released.</w:t>
      </w:r>
    </w:p>
    <w:p>
      <w:pPr>
        <w:spacing w:after="0" w:line="2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The Senior Notes are guaranteed on a joint and several unsecured basis by Dell Technologies and its wholly-owned subsidiaries, Denali</w:t>
      </w:r>
      <w:r>
        <w:rPr>
          <w:rFonts w:ascii="Arial" w:cs="Arial" w:eastAsia="Arial" w:hAnsi="Arial"/>
          <w:sz w:val="18"/>
          <w:szCs w:val="18"/>
          <w:i w:val="1"/>
          <w:iCs w:val="1"/>
          <w:color w:val="auto"/>
        </w:rPr>
        <w:t xml:space="preserve"> </w:t>
      </w:r>
      <w:r>
        <w:rPr>
          <w:rFonts w:ascii="Arial" w:cs="Arial" w:eastAsia="Arial" w:hAnsi="Arial"/>
          <w:sz w:val="18"/>
          <w:szCs w:val="18"/>
          <w:color w:val="auto"/>
        </w:rPr>
        <w:t>Intermediate, Inc., and Dell (collectively, the “Guarantors”).</w:t>
      </w:r>
    </w:p>
    <w:p>
      <w:pPr>
        <w:spacing w:after="0" w:line="19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 xml:space="preserve">Basis of Preparation of the Summarized Financial Information </w:t>
      </w:r>
      <w:r>
        <w:rPr>
          <w:rFonts w:ascii="Arial" w:cs="Arial" w:eastAsia="Arial" w:hAnsi="Arial"/>
          <w:sz w:val="17"/>
          <w:szCs w:val="17"/>
          <w:color w:val="auto"/>
        </w:rPr>
        <w:t>— The tables below are summarized financial information provided in conformity with</w:t>
      </w:r>
      <w:r>
        <w:rPr>
          <w:rFonts w:ascii="Arial" w:cs="Arial" w:eastAsia="Arial" w:hAnsi="Arial"/>
          <w:sz w:val="17"/>
          <w:szCs w:val="17"/>
          <w:i w:val="1"/>
          <w:iCs w:val="1"/>
          <w:color w:val="auto"/>
        </w:rPr>
        <w:t xml:space="preserve"> </w:t>
      </w:r>
      <w:r>
        <w:rPr>
          <w:rFonts w:ascii="Arial" w:cs="Arial" w:eastAsia="Arial" w:hAnsi="Arial"/>
          <w:sz w:val="17"/>
          <w:szCs w:val="17"/>
          <w:color w:val="auto"/>
        </w:rPr>
        <w:t>Rule 13-01 of the SEC’s Regulation S-X. The summarized financial information of the Issuers and Guarantors (collectively, the “Obligor Group”) is presented on a combined basis, excluding intercompany balances and transactions between entities in the Obligor Group. To the extent material, the Obligor Group’s amounts due from, amounts due to and transactions with Non-Obligor Subsidiaries and the Related Party have been presented separately. The Obligor Group’s investment balances in Non-Obligor Subsidiaries have been excluded.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w w:val="94"/>
              </w:rPr>
              <w:t>The following table presents summarized results of operations information for the Obligor Group for the period indicated:</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2"/>
        </w:trPr>
        <w:tc>
          <w:tcPr>
            <w:tcW w:w="9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Fiscal Year Ended</w:t>
            </w:r>
          </w:p>
        </w:tc>
      </w:tr>
      <w:tr>
        <w:trPr>
          <w:trHeight w:val="234"/>
        </w:trPr>
        <w:tc>
          <w:tcPr>
            <w:tcW w:w="9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January 28, 2022</w:t>
            </w:r>
          </w:p>
        </w:tc>
      </w:tr>
      <w:tr>
        <w:trPr>
          <w:trHeight w:val="223"/>
        </w:trPr>
        <w:tc>
          <w:tcPr>
            <w:tcW w:w="9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center"/>
              <w:ind w:right="150"/>
              <w:spacing w:after="0"/>
              <w:rPr>
                <w:sz w:val="20"/>
                <w:szCs w:val="20"/>
                <w:color w:val="auto"/>
              </w:rPr>
            </w:pPr>
            <w:r>
              <w:rPr>
                <w:rFonts w:ascii="Arial" w:cs="Arial" w:eastAsia="Arial" w:hAnsi="Arial"/>
                <w:sz w:val="18"/>
                <w:szCs w:val="18"/>
                <w:color w:val="auto"/>
                <w:w w:val="98"/>
              </w:rPr>
              <w:t>(in millions)</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Gross margin (b)</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3,948</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9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net (c)</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Net loss attributable to Obligor Group</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(2,379)</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63"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net revenue from services provided and product sales to Non-Guarantor Subsidiaries of $1,061 million and $185 million, respectively.</w:t>
      </w:r>
    </w:p>
    <w:p>
      <w:pPr>
        <w:spacing w:after="0" w:line="34" w:lineRule="exact"/>
        <w:rPr>
          <w:rFonts w:ascii="Arial" w:cs="Arial" w:eastAsia="Arial" w:hAnsi="Arial"/>
          <w:sz w:val="17"/>
          <w:szCs w:val="17"/>
          <w:color w:val="auto"/>
        </w:rPr>
      </w:pPr>
    </w:p>
    <w:p>
      <w:pPr>
        <w:ind w:left="340" w:right="380" w:hanging="332"/>
        <w:spacing w:after="0" w:line="265" w:lineRule="auto"/>
        <w:tabs>
          <w:tab w:leader="none" w:pos="271"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cost of net revenue from resale of solutions purchased from Non-Guarantor Subsidiaries and the Related Party of $1,132 million and $500 million, respectively. Includes costs of net revenue from shared services provided by Non-Guarantor Subsidiaries of $793 million.</w:t>
      </w:r>
    </w:p>
    <w:p>
      <w:pPr>
        <w:ind w:left="340" w:right="120" w:hanging="332"/>
        <w:spacing w:after="0" w:line="260"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interest expense on inter-company loan payables of $1,030 million and other expenses from services provided by Non-Guarantor Subsidiaries of $11 million.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balance sheet information for the Obligor Group as of the dates indicated:</w:t>
      </w:r>
    </w:p>
    <w:p>
      <w:pPr>
        <w:spacing w:after="0" w:line="46" w:lineRule="exact"/>
        <w:rPr>
          <w:sz w:val="20"/>
          <w:szCs w:val="20"/>
          <w:color w:val="auto"/>
        </w:rPr>
      </w:pPr>
    </w:p>
    <w:p>
      <w:pPr>
        <w:jc w:val="center"/>
        <w:ind w:left="9020"/>
        <w:spacing w:after="0"/>
        <w:rPr>
          <w:sz w:val="20"/>
          <w:szCs w:val="20"/>
          <w:color w:val="auto"/>
        </w:rPr>
      </w:pPr>
      <w:r>
        <w:rPr>
          <w:rFonts w:ascii="Arial" w:cs="Arial" w:eastAsia="Arial" w:hAnsi="Arial"/>
          <w:sz w:val="16"/>
          <w:szCs w:val="16"/>
          <w:b w:val="1"/>
          <w:bCs w:val="1"/>
          <w:color w:val="auto"/>
        </w:rPr>
        <w:t>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31750</wp:posOffset>
            </wp:positionV>
            <wp:extent cx="138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43" w:lineRule="exact"/>
        <w:rPr>
          <w:sz w:val="20"/>
          <w:szCs w:val="20"/>
          <w:color w:val="auto"/>
        </w:rPr>
      </w:pPr>
    </w:p>
    <w:p>
      <w:pPr>
        <w:jc w:val="center"/>
        <w:ind w:left="902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ectPr>
          <w:pgSz w:w="11900" w:h="16838" w:orient="portrait"/>
          <w:cols w:equalWidth="0" w:num="1">
            <w:col w:w="11240"/>
          </w:cols>
          <w:pgMar w:left="320" w:top="125"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Intercompany receivables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from related party,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from related party,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and 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jc w:val="right"/>
        <w:ind w:right="216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229"/>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30"/>
        </w:trPr>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4,153</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15,399</w:t>
            </w:r>
          </w:p>
        </w:tc>
      </w:tr>
      <w:tr>
        <w:trPr>
          <w:trHeight w:val="230"/>
        </w:trPr>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r>
      <w:tr>
        <w:trPr>
          <w:trHeight w:val="223"/>
        </w:trPr>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23,072</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to related party</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17,001</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loan payables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37,509</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r>
      <w:tr>
        <w:trPr>
          <w:trHeight w:val="248"/>
        </w:trPr>
        <w:tc>
          <w:tcPr>
            <w:tcW w:w="9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20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We sell a wide portfolio of products and services offerings to our customers. Our agreements have varying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goods and services being sold, the rights and obligations conveyed, and the legal jurisdiction of the arrangement.</w:t>
      </w:r>
    </w:p>
    <w:p>
      <w:pPr>
        <w:spacing w:after="0" w:line="173"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Our contracts with customers often include multiple performance obligations for various distinct goods and services such as hardware, software licenses, support and maintenance agreements, and other service offerings and solutions. We use significant judgment to assess whether these promises are distinct performance obligations that should be accounted for separately. In certain hardware solutions, the hardware is highly interdependent on, and interrelated with, the embedded software. In these offerings, the hardware and software licenses are accounted for as a single performance obligation.</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transaction price reflects the amount of consideration to which we expect to be entitled in exchange for transferring goods or services to the customer. If the consideration promised in a contract includes a variable amount, we estimate the amount to which we expect to be entitled using either the expected value or most likely amount method. Estimates are updated each reporting period as the variability is resolved or if additional information becomes available. Generally, volume discounts, rebates, and sales returns reduce the transaction price. When we determine the transaction price, we only include amounts that are not subject to significant future reversal.</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a contract includes multiple performance obligations, the transaction price is allocated to each performance obligation in proportion to the standalone selling price (“SSP”) of each performance obligation.</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Judgment is required when determining the SSP of our performance obligations. If the observable price is available, we utilize that price for the SSP. If the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 SSP for our performance obligations is periodically reassessed.</w:t>
      </w:r>
    </w:p>
    <w:p>
      <w:pPr>
        <w:spacing w:after="0" w:line="214"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i w:val="1"/>
          <w:iCs w:val="1"/>
          <w:color w:val="auto"/>
        </w:rPr>
        <w:t xml:space="preserve">Goodwill and Indefinite-Lived Intangible Assets Impairment Assessments </w:t>
      </w:r>
      <w:r>
        <w:rPr>
          <w:rFonts w:ascii="Arial" w:cs="Arial" w:eastAsia="Arial" w:hAnsi="Arial"/>
          <w:sz w:val="17"/>
          <w:szCs w:val="17"/>
          <w:color w:val="auto"/>
        </w:rPr>
        <w:t>— Goodwill and indefinite-lived intangible assets are tested for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annually during the third fiscal quarter and whenever events or circumstances may indicate that an impairment has occurred.</w:t>
      </w:r>
    </w:p>
    <w:p>
      <w:pPr>
        <w:spacing w:after="0" w:line="16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To determine whether goodwill is impaired, we first assess certain qualitative factors. Qualitative factors that may be assessed include but are not limited to macroeconomic conditions, industry and market considerations, cost factors, overall financial performance, or other relevant company-specific events. Based on this assessment, if it is determined more likely than not that the fair value of a goodwill reporting unit is less than its carrying amount, we perform the quantitative analysis of the goodwill impairment test. Alternatively, we may bypass the qualitative assessment and perform a quantitative impairment test.</w:t>
      </w:r>
    </w:p>
    <w:p>
      <w:pPr>
        <w:spacing w:after="0" w:line="2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Significant judgment is exercised in the identification of goodwill reporting units, assignment of assets and liabilities to goodwill reporting units, assignment of goodwill to reporting units, and determination of the fair value of each goodwill reporting unit. The fair value of each of our goodwill reporting units is generally estimated using a combination of public company multiples and discounted cash flow methodologies, and then compared to the carrying value of each goodwill reporting unit.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our business, and the determination of our weighted average cost of capital. Changes in these estimates and assumptions could materially affect the fair value of the goodwill reporting unit, potentially resulting in a non-cash impairment charge.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fair value of the indefinite-lived intangible assets is generally estimated using discounted cash flow methodologies. The discounted cash flow methodologies require significant judgment, including estimation of future revenue, the estimation of the long-term revenue growth rate of our business, and the determination of the weighted average cost of capital and royalty rates. Changes in these estimates and assumptions could materially affect the fair value of the indefinite-lived intangible assets, potentially resulting in a non-cash impairment charge.</w:t>
      </w:r>
    </w:p>
    <w:p>
      <w:pPr>
        <w:spacing w:after="0" w:line="19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We are subject to income tax in the United States and numerous foreign jurisdictions. Significant judgments are required in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spacing w:after="0" w:line="19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20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i w:val="1"/>
          <w:iCs w:val="1"/>
          <w:color w:val="auto"/>
        </w:rPr>
        <w:t xml:space="preserve">Legal and Other Contingencies </w:t>
      </w:r>
      <w:r>
        <w:rPr>
          <w:rFonts w:ascii="Arial" w:cs="Arial" w:eastAsia="Arial" w:hAnsi="Arial"/>
          <w:sz w:val="17"/>
          <w:szCs w:val="17"/>
          <w:color w:val="auto"/>
        </w:rPr>
        <w:t>— The outcomes of legal proceedings and claims brought against us are subject to significant uncertainty.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We state our inventory at the lower of cost or net realizable value. We record a write-down for inventories of components and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product pricing, and component cost trends. The industries in which we compete are subject to demand changes. If future demand or market conditions for our products are less favorable than forecasted or if unforeseen technological changes negatively impact the utility of component inventory, we may be required to record additional write-downs, which would adversely affect our gross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Note 2 of the Notes to the Consolidated Financial Statements included in this report for a summary of recently issued accounting pronouncements that are applicable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Fiscal 2022 and Fiscal 2021, the principal foreign currencies in which Dell Technologies transacted business were the Euro, Chinese Renminbi, Japanese Yen, British Pound, Indian Rupee, and Canadian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Based on the outstanding foreign currency hedge instruments of Dell Technologies, which include designated and non-designated instruments, there was a maximum potential one-day loss in fair value at a 95% confidence level of approximately $16 million as of January 28, 2022 and $15 million as of January 29, 2021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is primarily exposed to interest rate risk related to its variable-rate debt portfolio.</w:t>
      </w:r>
    </w:p>
    <w:p>
      <w:pPr>
        <w:spacing w:after="0" w:line="252"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i w:val="1"/>
          <w:iCs w:val="1"/>
          <w:color w:val="auto"/>
        </w:rPr>
        <w:t xml:space="preserve">Variable-Rate Debt </w:t>
      </w:r>
      <w:r>
        <w:rPr>
          <w:rFonts w:ascii="Arial" w:cs="Arial" w:eastAsia="Arial" w:hAnsi="Arial"/>
          <w:sz w:val="18"/>
          <w:szCs w:val="18"/>
          <w:color w:val="auto"/>
        </w:rPr>
        <w:t>— As of January 28, 2022, Dell Technologies’ variable-rate debt consisted of $0.9 billion of unhedged outstanding DFS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outstanding under these facilities generally bear interest at variable rates equal to applicable margins plus specified base rates or LIBOR-based rates. Accordingly, Dell Technologies is exposed to market risk based on fluctuations in interest rates on borrowings under the facilities where we do not mitigate the interest rate risk through the use of interest rate swaps. As of January 28, 2022, outstanding unhedged DFS borrowings accrued interest at an annual rate of between 1.30% and 2.05%.</w:t>
      </w:r>
    </w:p>
    <w:p>
      <w:pPr>
        <w:spacing w:after="0" w:line="215"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Based on the variable-rate debt outstanding as of January 28, 2022, a 100 basis point increase in interest rates would have resulted in an increase of approximately $9 million in annual interest expense. For more information about our debt, see Note 7 of the Notes to the Consolidated Financial Statements included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 comparison, as of January 29, 2021, Dell Technologies had $6.3 billion of outstanding borrowings under its Senior Secured Credit Facilities,</w:t>
      </w:r>
    </w:p>
    <w:p>
      <w:pPr>
        <w:spacing w:after="0" w:line="35"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$4.0 billion of outstanding borrowings under its Margin Loan Facility, and $1.0 billion of outstanding DFS borrowings. Based on this variable-rate debt outstanding as of January 29, 2021, a 100 basis point increase in interest rates would have resulted in an increase of approximately $93 million in annual interest expense.</w:t>
      </w:r>
    </w:p>
    <w:p>
      <w:pPr>
        <w:spacing w:after="0" w:line="2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Transition from LIBOR to Alternative Reference Rates </w:t>
      </w:r>
      <w:r>
        <w:rPr>
          <w:rFonts w:ascii="Arial" w:cs="Arial" w:eastAsia="Arial" w:hAnsi="Arial"/>
          <w:sz w:val="18"/>
          <w:szCs w:val="18"/>
          <w:color w:val="auto"/>
        </w:rPr>
        <w:t>— LIBOR is the subject of recent regulatory guidance and proposals for reform. As a result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reforms, the ICE Benchmark Administration Limited, the administrator of LIBOR, ceased publication for the one-week and two-month USD LIBOR settings on December 31, 2021 and is expected to to begin phasing out the remaining USD LIBOR settings on July 1, 2023. We have completed identification of impacted financial instruments and contracts and have been working to transition such contracts linked to LIBOR to alternative reference rates.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Strategic Investments </w:t>
      </w:r>
      <w:r>
        <w:rPr>
          <w:rFonts w:ascii="Arial" w:cs="Arial" w:eastAsia="Arial" w:hAnsi="Arial"/>
          <w:sz w:val="18"/>
          <w:szCs w:val="18"/>
          <w:color w:val="auto"/>
        </w:rPr>
        <w:t>— Our strategic investments include early-stage, privately-held companies that are considered to be in the start-up or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stages and are inherently risky. The technologies or products these companies have under development are typically in the early stages and may never materialize, which could result in a loss of a substantial part of our initial investment in the companies. We record these investments at cost, less impairment, adjusted for observable price changes. The evaluation is based on information provided by these companies, which are not subject to the same disclosure obligations as U.S. publicly-traded companies, and as such, the basis for these evaluations is subject to the timing and accuracy of the data provided. The carrying value of our strategic investments without readily determinable fair values was $1.4 billion and $0.9 billion as of January 28, 2022 and January 29, 2021, respectively.</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38"/>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 AND SUPPLEMENTARY DATA</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16"/>
          </w:tcPr>
          <w:p>
            <w:pPr>
              <w:ind w:left="640"/>
              <w:spacing w:after="0"/>
              <w:rPr>
                <w:sz w:val="20"/>
                <w:szCs w:val="20"/>
                <w:color w:val="auto"/>
              </w:rPr>
            </w:pPr>
            <w:r>
              <w:rPr>
                <w:rFonts w:ascii="Arial" w:cs="Arial" w:eastAsia="Arial" w:hAnsi="Arial"/>
                <w:sz w:val="18"/>
                <w:szCs w:val="18"/>
                <w:b w:val="1"/>
                <w:bCs w:val="1"/>
                <w:color w:val="auto"/>
              </w:rPr>
              <w:t>Index</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gridSpan w:val="4"/>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20" w:type="dxa"/>
            <w:vAlign w:val="bottom"/>
            <w:gridSpan w:val="32"/>
          </w:tcPr>
          <w:p>
            <w:pPr>
              <w:spacing w:after="0" w:line="190" w:lineRule="exact"/>
              <w:rPr>
                <w:rFonts w:ascii="Arial" w:cs="Arial" w:eastAsia="Arial" w:hAnsi="Arial"/>
                <w:sz w:val="18"/>
                <w:szCs w:val="18"/>
                <w:color w:val="0000FF"/>
                <w:w w:val="92"/>
              </w:rPr>
            </w:pPr>
            <w:hyperlink w:anchor="page76">
              <w:r>
                <w:rPr>
                  <w:rFonts w:ascii="Arial" w:cs="Arial" w:eastAsia="Arial" w:hAnsi="Arial"/>
                  <w:sz w:val="18"/>
                  <w:szCs w:val="18"/>
                  <w:color w:val="0000FF"/>
                  <w:w w:val="92"/>
                </w:rPr>
                <w:t xml:space="preserve">Report of Independent Registered Public Accounting Firm (Public Company Accounting Oversight Board ID: </w:t>
              </w:r>
            </w:hyperlink>
            <w:r>
              <w:rPr>
                <w:rFonts w:ascii="Arial" w:cs="Arial" w:eastAsia="Arial" w:hAnsi="Arial"/>
                <w:sz w:val="18"/>
                <w:szCs w:val="18"/>
                <w:color w:val="0000FF"/>
                <w:w w:val="92"/>
              </w:rPr>
              <w:t>238)</w:t>
            </w:r>
          </w:p>
        </w:tc>
        <w:tc>
          <w:tcPr>
            <w:tcW w:w="1920" w:type="dxa"/>
            <w:vAlign w:val="bottom"/>
            <w:gridSpan w:val="5"/>
          </w:tcPr>
          <w:p>
            <w:pPr>
              <w:spacing w:after="0"/>
              <w:rPr>
                <w:sz w:val="16"/>
                <w:szCs w:val="16"/>
                <w:color w:val="auto"/>
              </w:rPr>
            </w:pPr>
          </w:p>
        </w:tc>
        <w:tc>
          <w:tcPr>
            <w:tcW w:w="640" w:type="dxa"/>
            <w:vAlign w:val="bottom"/>
            <w:gridSpan w:val="3"/>
          </w:tcPr>
          <w:p>
            <w:pPr>
              <w:jc w:val="center"/>
              <w:ind w:left="290"/>
              <w:spacing w:after="0" w:line="190"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77</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gridSpan w:val="3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Consolidated Statements of Financial Position as of January 28, 2022 and January 29, 2021</w:t>
              </w:r>
            </w:hyperlink>
          </w:p>
        </w:tc>
        <w:tc>
          <w:tcPr>
            <w:tcW w:w="1920" w:type="dxa"/>
            <w:vAlign w:val="bottom"/>
            <w:gridSpan w:val="5"/>
          </w:tcPr>
          <w:p>
            <w:pPr>
              <w:spacing w:after="0"/>
              <w:rPr>
                <w:sz w:val="18"/>
                <w:szCs w:val="18"/>
                <w:color w:val="auto"/>
              </w:rPr>
            </w:pPr>
          </w:p>
        </w:tc>
        <w:tc>
          <w:tcPr>
            <w:tcW w:w="640" w:type="dxa"/>
            <w:vAlign w:val="bottom"/>
            <w:gridSpan w:val="3"/>
          </w:tcPr>
          <w:p>
            <w:pPr>
              <w:jc w:val="center"/>
              <w:ind w:left="29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gridSpan w:val="37"/>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 xml:space="preserve">Consolidated Statements of Income for the fiscal years ended </w:t>
              </w:r>
            </w:hyperlink>
            <w:hyperlink w:anchor="page79">
              <w:r>
                <w:rPr>
                  <w:rFonts w:ascii="Arial" w:cs="Arial" w:eastAsia="Arial" w:hAnsi="Arial"/>
                  <w:sz w:val="18"/>
                  <w:szCs w:val="18"/>
                  <w:color w:val="0000FF"/>
                </w:rPr>
                <w:t>January 28, 2022</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81">
              <w:r>
                <w:rPr>
                  <w:rFonts w:ascii="Arial" w:cs="Arial" w:eastAsia="Arial" w:hAnsi="Arial"/>
                  <w:sz w:val="18"/>
                  <w:szCs w:val="18"/>
                  <w:color w:val="0000FF"/>
                </w:rPr>
                <w:t>January 29, 2021, and January 31, 2020</w:t>
              </w:r>
            </w:hyperlink>
          </w:p>
        </w:tc>
        <w:tc>
          <w:tcPr>
            <w:tcW w:w="640" w:type="dxa"/>
            <w:vAlign w:val="bottom"/>
            <w:gridSpan w:val="3"/>
          </w:tcPr>
          <w:p>
            <w:pPr>
              <w:jc w:val="center"/>
              <w:ind w:left="29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82</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gridSpan w:val="37"/>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 xml:space="preserve">Consolidated Statements of Comprehensive Income for the fiscal years ended </w:t>
              </w:r>
            </w:hyperlink>
            <w:hyperlink w:anchor="page79">
              <w:r>
                <w:rPr>
                  <w:rFonts w:ascii="Arial" w:cs="Arial" w:eastAsia="Arial" w:hAnsi="Arial"/>
                  <w:sz w:val="18"/>
                  <w:szCs w:val="18"/>
                  <w:color w:val="0000FF"/>
                  <w:w w:val="92"/>
                </w:rPr>
                <w:t>January 28, 2022</w:t>
              </w:r>
            </w:hyperlink>
            <w:r>
              <w:rPr>
                <w:rFonts w:ascii="Arial" w:cs="Arial" w:eastAsia="Arial" w:hAnsi="Arial"/>
                <w:sz w:val="18"/>
                <w:szCs w:val="18"/>
                <w:color w:val="000000"/>
                <w:w w:val="92"/>
              </w:rPr>
              <w:t>,</w:t>
            </w:r>
            <w:r>
              <w:rPr>
                <w:rFonts w:ascii="Arial" w:cs="Arial" w:eastAsia="Arial" w:hAnsi="Arial"/>
                <w:sz w:val="18"/>
                <w:szCs w:val="18"/>
                <w:color w:val="0000FF"/>
                <w:w w:val="92"/>
              </w:rPr>
              <w:t xml:space="preserve"> </w:t>
            </w:r>
            <w:hyperlink w:anchor="page82">
              <w:r>
                <w:rPr>
                  <w:rFonts w:ascii="Arial" w:cs="Arial" w:eastAsia="Arial" w:hAnsi="Arial"/>
                  <w:sz w:val="18"/>
                  <w:szCs w:val="18"/>
                  <w:color w:val="0000FF"/>
                  <w:w w:val="92"/>
                </w:rPr>
                <w:t>January 29, 2021, and January 31, 2020</w:t>
              </w:r>
            </w:hyperlink>
          </w:p>
        </w:tc>
        <w:tc>
          <w:tcPr>
            <w:tcW w:w="640" w:type="dxa"/>
            <w:vAlign w:val="bottom"/>
            <w:gridSpan w:val="3"/>
          </w:tcPr>
          <w:p>
            <w:pPr>
              <w:jc w:val="center"/>
              <w:ind w:left="29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83</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40" w:type="dxa"/>
            <w:vAlign w:val="bottom"/>
            <w:gridSpan w:val="3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 xml:space="preserve">Consolidated Statements of Cash Flows for the fiscal years ended </w:t>
              </w:r>
            </w:hyperlink>
            <w:hyperlink w:anchor="page79">
              <w:r>
                <w:rPr>
                  <w:rFonts w:ascii="Arial" w:cs="Arial" w:eastAsia="Arial" w:hAnsi="Arial"/>
                  <w:sz w:val="18"/>
                  <w:szCs w:val="18"/>
                  <w:color w:val="0000FF"/>
                </w:rPr>
                <w:t>January 28, 2022</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83">
              <w:r>
                <w:rPr>
                  <w:rFonts w:ascii="Arial" w:cs="Arial" w:eastAsia="Arial" w:hAnsi="Arial"/>
                  <w:sz w:val="18"/>
                  <w:szCs w:val="18"/>
                  <w:color w:val="0000FF"/>
                </w:rPr>
                <w:t>January 29, 2021, and January 31, 2020</w:t>
              </w:r>
            </w:hyperlink>
          </w:p>
        </w:tc>
        <w:tc>
          <w:tcPr>
            <w:tcW w:w="640" w:type="dxa"/>
            <w:vAlign w:val="bottom"/>
            <w:gridSpan w:val="3"/>
          </w:tcPr>
          <w:p>
            <w:pPr>
              <w:jc w:val="center"/>
              <w:ind w:left="290"/>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84</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40" w:type="dxa"/>
            <w:vAlign w:val="bottom"/>
            <w:gridSpan w:val="37"/>
          </w:tcPr>
          <w:p>
            <w:pPr>
              <w:spacing w:after="0"/>
              <w:rPr>
                <w:rFonts w:ascii="Arial" w:cs="Arial" w:eastAsia="Arial" w:hAnsi="Arial"/>
                <w:sz w:val="18"/>
                <w:szCs w:val="18"/>
                <w:color w:val="0000FF"/>
                <w:w w:val="93"/>
              </w:rPr>
            </w:pPr>
            <w:hyperlink w:anchor="page85">
              <w:r>
                <w:rPr>
                  <w:rFonts w:ascii="Arial" w:cs="Arial" w:eastAsia="Arial" w:hAnsi="Arial"/>
                  <w:sz w:val="18"/>
                  <w:szCs w:val="18"/>
                  <w:color w:val="0000FF"/>
                  <w:w w:val="93"/>
                </w:rPr>
                <w:t>Consolidated Statements of Stockholders’ Equity (Deficit) for the fiscal years ended January 28, 2022</w:t>
              </w:r>
              <w:r>
                <w:rPr>
                  <w:rFonts w:ascii="Arial" w:cs="Arial" w:eastAsia="Arial" w:hAnsi="Arial"/>
                  <w:sz w:val="18"/>
                  <w:szCs w:val="18"/>
                  <w:color w:val="000000"/>
                  <w:w w:val="93"/>
                </w:rPr>
                <w:t>,</w:t>
              </w:r>
              <w:r>
                <w:rPr>
                  <w:rFonts w:ascii="Arial" w:cs="Arial" w:eastAsia="Arial" w:hAnsi="Arial"/>
                  <w:sz w:val="18"/>
                  <w:szCs w:val="18"/>
                  <w:color w:val="0000FF"/>
                  <w:w w:val="93"/>
                </w:rPr>
                <w:t xml:space="preserve"> January 29, 2021, and January 31,</w:t>
              </w:r>
            </w:hyperlink>
          </w:p>
        </w:tc>
        <w:tc>
          <w:tcPr>
            <w:tcW w:w="640" w:type="dxa"/>
            <w:vAlign w:val="bottom"/>
            <w:gridSpan w:val="3"/>
            <w:vMerge w:val="restart"/>
          </w:tcPr>
          <w:p>
            <w:pPr>
              <w:jc w:val="center"/>
              <w:ind w:left="29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86</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tcBorders>
            <w:gridSpan w:val="2"/>
          </w:tcPr>
          <w:p>
            <w:pPr>
              <w:spacing w:after="0" w:line="156" w:lineRule="exact"/>
              <w:rPr>
                <w:rFonts w:ascii="Arial" w:cs="Arial" w:eastAsia="Arial" w:hAnsi="Arial"/>
                <w:sz w:val="18"/>
                <w:szCs w:val="18"/>
                <w:color w:val="0000FF"/>
                <w:w w:val="84"/>
              </w:rPr>
            </w:pPr>
            <w:hyperlink w:anchor="page85">
              <w:r>
                <w:rPr>
                  <w:rFonts w:ascii="Arial" w:cs="Arial" w:eastAsia="Arial" w:hAnsi="Arial"/>
                  <w:sz w:val="18"/>
                  <w:szCs w:val="18"/>
                  <w:color w:val="0000FF"/>
                  <w:w w:val="84"/>
                </w:rPr>
                <w:t>2020</w:t>
              </w:r>
            </w:hyperlink>
          </w:p>
        </w:tc>
        <w:tc>
          <w:tcPr>
            <w:tcW w:w="9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98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17"/>
          </w:tcPr>
          <w:p>
            <w:pPr>
              <w:spacing w:after="0"/>
              <w:rPr>
                <w:rFonts w:ascii="Arial" w:cs="Arial" w:eastAsia="Arial" w:hAnsi="Arial"/>
                <w:sz w:val="18"/>
                <w:szCs w:val="18"/>
                <w:color w:val="0000FF"/>
                <w:w w:val="88"/>
              </w:rPr>
            </w:pPr>
            <w:hyperlink w:anchor="page88">
              <w:r>
                <w:rPr>
                  <w:rFonts w:ascii="Arial" w:cs="Arial" w:eastAsia="Arial" w:hAnsi="Arial"/>
                  <w:sz w:val="18"/>
                  <w:szCs w:val="18"/>
                  <w:color w:val="0000FF"/>
                  <w:w w:val="88"/>
                </w:rPr>
                <w:t>Notes to the Consolidated Financial Statements</w:t>
              </w:r>
            </w:hyperlink>
          </w:p>
        </w:tc>
        <w:tc>
          <w:tcPr>
            <w:tcW w:w="6820" w:type="dxa"/>
            <w:vAlign w:val="bottom"/>
            <w:gridSpan w:val="20"/>
          </w:tcPr>
          <w:p>
            <w:pPr>
              <w:spacing w:after="0"/>
              <w:rPr>
                <w:sz w:val="18"/>
                <w:szCs w:val="18"/>
                <w:color w:val="auto"/>
              </w:rPr>
            </w:pPr>
          </w:p>
        </w:tc>
        <w:tc>
          <w:tcPr>
            <w:tcW w:w="640" w:type="dxa"/>
            <w:vAlign w:val="bottom"/>
            <w:gridSpan w:val="3"/>
          </w:tcPr>
          <w:p>
            <w:pPr>
              <w:jc w:val="center"/>
              <w:ind w:left="290"/>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89</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98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1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Note 1 — Basis of Presentation</w:t>
              </w:r>
            </w:hyperlink>
          </w:p>
        </w:tc>
        <w:tc>
          <w:tcPr>
            <w:tcW w:w="6820" w:type="dxa"/>
            <w:vAlign w:val="bottom"/>
            <w:gridSpan w:val="20"/>
          </w:tcPr>
          <w:p>
            <w:pPr>
              <w:spacing w:after="0"/>
              <w:rPr>
                <w:sz w:val="18"/>
                <w:szCs w:val="18"/>
                <w:color w:val="auto"/>
              </w:rPr>
            </w:pPr>
          </w:p>
        </w:tc>
        <w:tc>
          <w:tcPr>
            <w:tcW w:w="640" w:type="dxa"/>
            <w:vAlign w:val="bottom"/>
            <w:gridSpan w:val="3"/>
          </w:tcPr>
          <w:p>
            <w:pPr>
              <w:jc w:val="center"/>
              <w:ind w:left="290"/>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89</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98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Note 2 — Description of Business and Summary of Significant Accounting Policies</w:t>
              </w:r>
            </w:hyperlink>
          </w:p>
        </w:tc>
        <w:tc>
          <w:tcPr>
            <w:tcW w:w="640" w:type="dxa"/>
            <w:vAlign w:val="bottom"/>
            <w:gridSpan w:val="3"/>
          </w:tcPr>
          <w:p>
            <w:pPr>
              <w:jc w:val="center"/>
              <w:ind w:left="290"/>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90</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10"/>
          </w:tcPr>
          <w:p>
            <w:pPr>
              <w:spacing w:after="0"/>
              <w:rPr>
                <w:rFonts w:ascii="Arial" w:cs="Arial" w:eastAsia="Arial" w:hAnsi="Arial"/>
                <w:sz w:val="18"/>
                <w:szCs w:val="18"/>
                <w:color w:val="0000FF"/>
                <w:w w:val="91"/>
              </w:rPr>
            </w:pPr>
            <w:hyperlink w:anchor="page99">
              <w:r>
                <w:rPr>
                  <w:rFonts w:ascii="Arial" w:cs="Arial" w:eastAsia="Arial" w:hAnsi="Arial"/>
                  <w:sz w:val="18"/>
                  <w:szCs w:val="18"/>
                  <w:color w:val="0000FF"/>
                  <w:w w:val="91"/>
                </w:rPr>
                <w:t>Note 3 — Discontinued Operations</w:t>
              </w:r>
            </w:hyperlink>
          </w:p>
        </w:tc>
        <w:tc>
          <w:tcPr>
            <w:tcW w:w="3500" w:type="dxa"/>
            <w:vAlign w:val="bottom"/>
            <w:gridSpan w:val="15"/>
          </w:tcPr>
          <w:p>
            <w:pPr>
              <w:spacing w:after="0"/>
              <w:rPr>
                <w:sz w:val="18"/>
                <w:szCs w:val="18"/>
                <w:color w:val="auto"/>
              </w:rPr>
            </w:pPr>
          </w:p>
        </w:tc>
        <w:tc>
          <w:tcPr>
            <w:tcW w:w="3980" w:type="dxa"/>
            <w:vAlign w:val="bottom"/>
            <w:gridSpan w:val="11"/>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99">
              <w:r>
                <w:rPr>
                  <w:rFonts w:ascii="Arial" w:cs="Arial" w:eastAsia="Arial" w:hAnsi="Arial"/>
                  <w:sz w:val="18"/>
                  <w:szCs w:val="18"/>
                  <w:color w:val="0000FF"/>
                  <w:w w:val="86"/>
                </w:rPr>
                <w:t>100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Note 4 — Fair Value Measurements and Investments</w:t>
              </w:r>
            </w:hyperlink>
          </w:p>
        </w:tc>
        <w:tc>
          <w:tcPr>
            <w:tcW w:w="700" w:type="dxa"/>
            <w:vAlign w:val="bottom"/>
            <w:gridSpan w:val="4"/>
          </w:tcPr>
          <w:p>
            <w:pPr>
              <w:jc w:val="center"/>
              <w:ind w:left="230"/>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17"/>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Note 5 — Financial Services</w:t>
              </w:r>
            </w:hyperlink>
          </w:p>
        </w:tc>
        <w:tc>
          <w:tcPr>
            <w:tcW w:w="6220" w:type="dxa"/>
            <w:vAlign w:val="bottom"/>
            <w:gridSpan w:val="19"/>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spacing w:after="0"/>
              <w:rPr>
                <w:rFonts w:ascii="Arial" w:cs="Arial" w:eastAsia="Arial" w:hAnsi="Arial"/>
                <w:sz w:val="18"/>
                <w:szCs w:val="18"/>
                <w:color w:val="0000FF"/>
                <w:w w:val="89"/>
              </w:rPr>
            </w:pPr>
            <w:hyperlink w:anchor="page113">
              <w:r>
                <w:rPr>
                  <w:rFonts w:ascii="Arial" w:cs="Arial" w:eastAsia="Arial" w:hAnsi="Arial"/>
                  <w:sz w:val="18"/>
                  <w:szCs w:val="18"/>
                  <w:color w:val="0000FF"/>
                  <w:w w:val="89"/>
                </w:rPr>
                <w:t>Note 6 — Leases</w:t>
              </w:r>
            </w:hyperlink>
          </w:p>
        </w:tc>
        <w:tc>
          <w:tcPr>
            <w:tcW w:w="820" w:type="dxa"/>
            <w:vAlign w:val="bottom"/>
            <w:gridSpan w:val="2"/>
          </w:tcPr>
          <w:p>
            <w:pPr>
              <w:spacing w:after="0"/>
              <w:rPr>
                <w:sz w:val="18"/>
                <w:szCs w:val="18"/>
                <w:color w:val="auto"/>
              </w:rPr>
            </w:pPr>
          </w:p>
        </w:tc>
        <w:tc>
          <w:tcPr>
            <w:tcW w:w="7960" w:type="dxa"/>
            <w:vAlign w:val="bottom"/>
            <w:gridSpan w:val="31"/>
          </w:tcPr>
          <w:p>
            <w:pPr>
              <w:spacing w:after="0"/>
              <w:rPr>
                <w:sz w:val="18"/>
                <w:szCs w:val="18"/>
                <w:color w:val="auto"/>
              </w:rPr>
            </w:pPr>
          </w:p>
        </w:tc>
        <w:tc>
          <w:tcPr>
            <w:tcW w:w="640" w:type="dxa"/>
            <w:vAlign w:val="bottom"/>
            <w:gridSpan w:val="3"/>
          </w:tcPr>
          <w:p>
            <w:pPr>
              <w:jc w:val="center"/>
              <w:ind w:left="290"/>
              <w:spacing w:after="0"/>
              <w:rPr>
                <w:rFonts w:ascii="Arial" w:cs="Arial" w:eastAsia="Arial" w:hAnsi="Arial"/>
                <w:sz w:val="18"/>
                <w:szCs w:val="18"/>
                <w:color w:val="0000FF"/>
                <w:w w:val="86"/>
              </w:rPr>
            </w:pPr>
            <w:hyperlink w:anchor="page113">
              <w:r>
                <w:rPr>
                  <w:rFonts w:ascii="Arial" w:cs="Arial" w:eastAsia="Arial" w:hAnsi="Arial"/>
                  <w:sz w:val="18"/>
                  <w:szCs w:val="18"/>
                  <w:color w:val="0000FF"/>
                  <w:w w:val="86"/>
                </w:rPr>
                <w:t>114</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rFonts w:ascii="Arial" w:cs="Arial" w:eastAsia="Arial" w:hAnsi="Arial"/>
                <w:sz w:val="18"/>
                <w:szCs w:val="18"/>
                <w:color w:val="0000FF"/>
                <w:w w:val="92"/>
              </w:rPr>
            </w:pPr>
            <w:hyperlink w:anchor="page115">
              <w:r>
                <w:rPr>
                  <w:rFonts w:ascii="Arial" w:cs="Arial" w:eastAsia="Arial" w:hAnsi="Arial"/>
                  <w:sz w:val="18"/>
                  <w:szCs w:val="18"/>
                  <w:color w:val="0000FF"/>
                  <w:w w:val="92"/>
                </w:rPr>
                <w:t>Note 7 — Debt</w:t>
              </w:r>
            </w:hyperlink>
          </w:p>
        </w:tc>
        <w:tc>
          <w:tcPr>
            <w:tcW w:w="140" w:type="dxa"/>
            <w:vAlign w:val="bottom"/>
          </w:tcPr>
          <w:p>
            <w:pPr>
              <w:spacing w:after="0"/>
              <w:rPr>
                <w:sz w:val="18"/>
                <w:szCs w:val="18"/>
                <w:color w:val="auto"/>
              </w:rPr>
            </w:pPr>
          </w:p>
        </w:tc>
        <w:tc>
          <w:tcPr>
            <w:tcW w:w="8780" w:type="dxa"/>
            <w:vAlign w:val="bottom"/>
            <w:gridSpan w:val="33"/>
          </w:tcPr>
          <w:p>
            <w:pPr>
              <w:spacing w:after="0"/>
              <w:rPr>
                <w:sz w:val="18"/>
                <w:szCs w:val="18"/>
                <w:color w:val="auto"/>
              </w:rPr>
            </w:pPr>
          </w:p>
        </w:tc>
        <w:tc>
          <w:tcPr>
            <w:tcW w:w="640" w:type="dxa"/>
            <w:vAlign w:val="bottom"/>
            <w:gridSpan w:val="3"/>
          </w:tcPr>
          <w:p>
            <w:pPr>
              <w:jc w:val="center"/>
              <w:ind w:left="290"/>
              <w:spacing w:after="0"/>
              <w:rPr>
                <w:rFonts w:ascii="Arial" w:cs="Arial" w:eastAsia="Arial" w:hAnsi="Arial"/>
                <w:sz w:val="18"/>
                <w:szCs w:val="18"/>
                <w:color w:val="0000FF"/>
                <w:w w:val="86"/>
              </w:rPr>
            </w:pPr>
            <w:hyperlink w:anchor="page115">
              <w:r>
                <w:rPr>
                  <w:rFonts w:ascii="Arial" w:cs="Arial" w:eastAsia="Arial" w:hAnsi="Arial"/>
                  <w:sz w:val="18"/>
                  <w:szCs w:val="18"/>
                  <w:color w:val="0000FF"/>
                  <w:w w:val="86"/>
                </w:rPr>
                <w:t>116</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18"/>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Note 8 — Derivative Instruments and Hedging Activities</w:t>
              </w:r>
            </w:hyperlink>
          </w:p>
        </w:tc>
        <w:tc>
          <w:tcPr>
            <w:tcW w:w="5900" w:type="dxa"/>
            <w:vAlign w:val="bottom"/>
            <w:gridSpan w:val="18"/>
          </w:tcPr>
          <w:p>
            <w:pPr>
              <w:spacing w:after="0"/>
              <w:rPr>
                <w:sz w:val="18"/>
                <w:szCs w:val="18"/>
                <w:color w:val="auto"/>
              </w:rPr>
            </w:pPr>
          </w:p>
        </w:tc>
        <w:tc>
          <w:tcPr>
            <w:tcW w:w="640" w:type="dxa"/>
            <w:vAlign w:val="bottom"/>
            <w:gridSpan w:val="3"/>
          </w:tcPr>
          <w:p>
            <w:pPr>
              <w:jc w:val="center"/>
              <w:ind w:left="290"/>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119</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15"/>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Note 9 — Goodwill and Intangible Assets</w:t>
              </w:r>
            </w:hyperlink>
          </w:p>
        </w:tc>
        <w:tc>
          <w:tcPr>
            <w:tcW w:w="1100" w:type="dxa"/>
            <w:vAlign w:val="bottom"/>
            <w:gridSpan w:val="3"/>
          </w:tcPr>
          <w:p>
            <w:pPr>
              <w:spacing w:after="0"/>
              <w:rPr>
                <w:sz w:val="18"/>
                <w:szCs w:val="18"/>
                <w:color w:val="auto"/>
              </w:rPr>
            </w:pPr>
          </w:p>
        </w:tc>
        <w:tc>
          <w:tcPr>
            <w:tcW w:w="5900" w:type="dxa"/>
            <w:vAlign w:val="bottom"/>
            <w:gridSpan w:val="18"/>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15"/>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Note 10 — Deferred Revenue</w:t>
              </w:r>
            </w:hyperlink>
          </w:p>
        </w:tc>
        <w:tc>
          <w:tcPr>
            <w:tcW w:w="7000" w:type="dxa"/>
            <w:vAlign w:val="bottom"/>
            <w:gridSpan w:val="21"/>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16"/>
          </w:tcPr>
          <w:p>
            <w:pPr>
              <w:spacing w:after="0"/>
              <w:rPr>
                <w:rFonts w:ascii="Arial" w:cs="Arial" w:eastAsia="Arial" w:hAnsi="Arial"/>
                <w:sz w:val="18"/>
                <w:szCs w:val="18"/>
                <w:color w:val="0000FF"/>
                <w:w w:val="89"/>
              </w:rPr>
            </w:pPr>
            <w:hyperlink w:anchor="page126">
              <w:r>
                <w:rPr>
                  <w:rFonts w:ascii="Arial" w:cs="Arial" w:eastAsia="Arial" w:hAnsi="Arial"/>
                  <w:sz w:val="18"/>
                  <w:szCs w:val="18"/>
                  <w:color w:val="0000FF"/>
                  <w:w w:val="89"/>
                </w:rPr>
                <w:t xml:space="preserve">Note </w:t>
              </w:r>
            </w:hyperlink>
            <w:r>
              <w:rPr>
                <w:rFonts w:ascii="Arial" w:cs="Arial" w:eastAsia="Arial" w:hAnsi="Arial"/>
                <w:sz w:val="18"/>
                <w:szCs w:val="18"/>
                <w:color w:val="0000FF"/>
                <w:w w:val="89"/>
              </w:rPr>
              <w:t xml:space="preserve">11 </w:t>
            </w:r>
            <w:hyperlink w:anchor="page126">
              <w:r>
                <w:rPr>
                  <w:rFonts w:ascii="Arial" w:cs="Arial" w:eastAsia="Arial" w:hAnsi="Arial"/>
                  <w:sz w:val="18"/>
                  <w:szCs w:val="18"/>
                  <w:color w:val="0000FF"/>
                  <w:w w:val="89"/>
                </w:rPr>
                <w:t>— Commitments and Contingencies</w:t>
              </w:r>
            </w:hyperlink>
          </w:p>
        </w:tc>
        <w:tc>
          <w:tcPr>
            <w:tcW w:w="6820" w:type="dxa"/>
            <w:vAlign w:val="bottom"/>
            <w:gridSpan w:val="20"/>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26">
              <w:r>
                <w:rPr>
                  <w:rFonts w:ascii="Arial" w:cs="Arial" w:eastAsia="Arial" w:hAnsi="Arial"/>
                  <w:sz w:val="18"/>
                  <w:szCs w:val="18"/>
                  <w:color w:val="0000FF"/>
                  <w:w w:val="86"/>
                </w:rPr>
                <w:t>127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11"/>
          </w:tcPr>
          <w:p>
            <w:pPr>
              <w:spacing w:after="0"/>
              <w:rPr>
                <w:rFonts w:ascii="Arial" w:cs="Arial" w:eastAsia="Arial" w:hAnsi="Arial"/>
                <w:sz w:val="18"/>
                <w:szCs w:val="18"/>
                <w:color w:val="0000FF"/>
                <w:w w:val="89"/>
              </w:rPr>
            </w:pPr>
            <w:hyperlink w:anchor="page129">
              <w:r>
                <w:rPr>
                  <w:rFonts w:ascii="Arial" w:cs="Arial" w:eastAsia="Arial" w:hAnsi="Arial"/>
                  <w:sz w:val="18"/>
                  <w:szCs w:val="18"/>
                  <w:color w:val="0000FF"/>
                  <w:w w:val="89"/>
                </w:rPr>
                <w:t xml:space="preserve">Note </w:t>
              </w:r>
            </w:hyperlink>
            <w:r>
              <w:rPr>
                <w:rFonts w:ascii="Arial" w:cs="Arial" w:eastAsia="Arial" w:hAnsi="Arial"/>
                <w:sz w:val="18"/>
                <w:szCs w:val="18"/>
                <w:color w:val="0000FF"/>
                <w:w w:val="89"/>
              </w:rPr>
              <w:t xml:space="preserve">12 </w:t>
            </w:r>
            <w:hyperlink w:anchor="page129">
              <w:r>
                <w:rPr>
                  <w:rFonts w:ascii="Arial" w:cs="Arial" w:eastAsia="Arial" w:hAnsi="Arial"/>
                  <w:sz w:val="18"/>
                  <w:szCs w:val="18"/>
                  <w:color w:val="0000FF"/>
                  <w:w w:val="89"/>
                </w:rPr>
                <w:t>— Income and Other Taxes</w:t>
              </w:r>
            </w:hyperlink>
          </w:p>
        </w:tc>
        <w:tc>
          <w:tcPr>
            <w:tcW w:w="600" w:type="dxa"/>
            <w:vAlign w:val="bottom"/>
            <w:gridSpan w:val="5"/>
          </w:tcPr>
          <w:p>
            <w:pPr>
              <w:spacing w:after="0"/>
              <w:rPr>
                <w:sz w:val="18"/>
                <w:szCs w:val="18"/>
                <w:color w:val="auto"/>
              </w:rPr>
            </w:pPr>
          </w:p>
        </w:tc>
        <w:tc>
          <w:tcPr>
            <w:tcW w:w="6820" w:type="dxa"/>
            <w:vAlign w:val="bottom"/>
            <w:gridSpan w:val="20"/>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130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gridSpan w:val="20"/>
          </w:tcPr>
          <w:p>
            <w:pPr>
              <w:spacing w:after="0"/>
              <w:rPr>
                <w:rFonts w:ascii="Arial" w:cs="Arial" w:eastAsia="Arial" w:hAnsi="Arial"/>
                <w:sz w:val="18"/>
                <w:szCs w:val="18"/>
                <w:color w:val="0000FF"/>
                <w:w w:val="91"/>
              </w:rPr>
            </w:pPr>
            <w:hyperlink w:anchor="page134">
              <w:r>
                <w:rPr>
                  <w:rFonts w:ascii="Arial" w:cs="Arial" w:eastAsia="Arial" w:hAnsi="Arial"/>
                  <w:sz w:val="18"/>
                  <w:szCs w:val="18"/>
                  <w:color w:val="0000FF"/>
                  <w:w w:val="91"/>
                </w:rPr>
                <w:t xml:space="preserve">Note </w:t>
              </w:r>
            </w:hyperlink>
            <w:r>
              <w:rPr>
                <w:rFonts w:ascii="Arial" w:cs="Arial" w:eastAsia="Arial" w:hAnsi="Arial"/>
                <w:sz w:val="18"/>
                <w:szCs w:val="18"/>
                <w:color w:val="0000FF"/>
                <w:w w:val="91"/>
              </w:rPr>
              <w:t xml:space="preserve">13 </w:t>
            </w:r>
            <w:hyperlink w:anchor="page134">
              <w:r>
                <w:rPr>
                  <w:rFonts w:ascii="Arial" w:cs="Arial" w:eastAsia="Arial" w:hAnsi="Arial"/>
                  <w:sz w:val="18"/>
                  <w:szCs w:val="18"/>
                  <w:color w:val="0000FF"/>
                  <w:w w:val="91"/>
                </w:rPr>
                <w:t>— Accumulated Other Comprehensive Income (Loss)</w:t>
              </w:r>
            </w:hyperlink>
          </w:p>
        </w:tc>
        <w:tc>
          <w:tcPr>
            <w:tcW w:w="5500" w:type="dxa"/>
            <w:vAlign w:val="bottom"/>
            <w:gridSpan w:val="16"/>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135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gridSpan w:val="20"/>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14 </w:t>
            </w:r>
            <w:hyperlink w:anchor="page136">
              <w:r>
                <w:rPr>
                  <w:rFonts w:ascii="Arial" w:cs="Arial" w:eastAsia="Arial" w:hAnsi="Arial"/>
                  <w:sz w:val="18"/>
                  <w:szCs w:val="18"/>
                  <w:color w:val="0000FF"/>
                </w:rPr>
                <w:t>— Capitalization</w:t>
              </w:r>
            </w:hyperlink>
          </w:p>
        </w:tc>
        <w:tc>
          <w:tcPr>
            <w:tcW w:w="5500" w:type="dxa"/>
            <w:vAlign w:val="bottom"/>
            <w:gridSpan w:val="16"/>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36">
              <w:r>
                <w:rPr>
                  <w:rFonts w:ascii="Arial" w:cs="Arial" w:eastAsia="Arial" w:hAnsi="Arial"/>
                  <w:sz w:val="18"/>
                  <w:szCs w:val="18"/>
                  <w:color w:val="0000FF"/>
                  <w:w w:val="86"/>
                </w:rPr>
                <w:t>137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7"/>
          </w:tcPr>
          <w:p>
            <w:pPr>
              <w:spacing w:after="0"/>
              <w:rPr>
                <w:rFonts w:ascii="Arial" w:cs="Arial" w:eastAsia="Arial" w:hAnsi="Arial"/>
                <w:sz w:val="18"/>
                <w:szCs w:val="18"/>
                <w:color w:val="0000FF"/>
                <w:w w:val="89"/>
              </w:rPr>
            </w:pPr>
            <w:hyperlink w:anchor="page138">
              <w:r>
                <w:rPr>
                  <w:rFonts w:ascii="Arial" w:cs="Arial" w:eastAsia="Arial" w:hAnsi="Arial"/>
                  <w:sz w:val="18"/>
                  <w:szCs w:val="18"/>
                  <w:color w:val="0000FF"/>
                  <w:w w:val="89"/>
                </w:rPr>
                <w:t xml:space="preserve">Note </w:t>
              </w:r>
            </w:hyperlink>
            <w:r>
              <w:rPr>
                <w:rFonts w:ascii="Arial" w:cs="Arial" w:eastAsia="Arial" w:hAnsi="Arial"/>
                <w:sz w:val="18"/>
                <w:szCs w:val="18"/>
                <w:color w:val="0000FF"/>
                <w:w w:val="89"/>
              </w:rPr>
              <w:t xml:space="preserve">15 </w:t>
            </w:r>
            <w:hyperlink w:anchor="page138">
              <w:r>
                <w:rPr>
                  <w:rFonts w:ascii="Arial" w:cs="Arial" w:eastAsia="Arial" w:hAnsi="Arial"/>
                  <w:sz w:val="18"/>
                  <w:szCs w:val="18"/>
                  <w:color w:val="0000FF"/>
                  <w:w w:val="89"/>
                </w:rPr>
                <w:t>— Earnings Per Share</w:t>
              </w:r>
            </w:hyperlink>
          </w:p>
        </w:tc>
        <w:tc>
          <w:tcPr>
            <w:tcW w:w="7800" w:type="dxa"/>
            <w:vAlign w:val="bottom"/>
            <w:gridSpan w:val="29"/>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38">
              <w:r>
                <w:rPr>
                  <w:rFonts w:ascii="Arial" w:cs="Arial" w:eastAsia="Arial" w:hAnsi="Arial"/>
                  <w:sz w:val="18"/>
                  <w:szCs w:val="18"/>
                  <w:color w:val="0000FF"/>
                  <w:w w:val="86"/>
                </w:rPr>
                <w:t>139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16 </w:t>
            </w:r>
            <w:hyperlink w:anchor="page139">
              <w:r>
                <w:rPr>
                  <w:rFonts w:ascii="Arial" w:cs="Arial" w:eastAsia="Arial" w:hAnsi="Arial"/>
                  <w:sz w:val="18"/>
                  <w:szCs w:val="18"/>
                  <w:color w:val="0000FF"/>
                </w:rPr>
                <w:t>— Stock-Based Compensation</w:t>
              </w:r>
            </w:hyperlink>
          </w:p>
        </w:tc>
        <w:tc>
          <w:tcPr>
            <w:tcW w:w="700" w:type="dxa"/>
            <w:vAlign w:val="bottom"/>
            <w:gridSpan w:val="4"/>
          </w:tcPr>
          <w:p>
            <w:pPr>
              <w:jc w:val="center"/>
              <w:ind w:left="230"/>
              <w:spacing w:after="0"/>
              <w:rPr>
                <w:rFonts w:ascii="Arial" w:cs="Arial" w:eastAsia="Arial" w:hAnsi="Arial"/>
                <w:sz w:val="18"/>
                <w:szCs w:val="18"/>
                <w:color w:val="0000FF"/>
                <w:w w:val="86"/>
              </w:rPr>
            </w:pPr>
            <w:hyperlink w:anchor="page139">
              <w:r>
                <w:rPr>
                  <w:rFonts w:ascii="Arial" w:cs="Arial" w:eastAsia="Arial" w:hAnsi="Arial"/>
                  <w:sz w:val="18"/>
                  <w:szCs w:val="18"/>
                  <w:color w:val="0000FF"/>
                  <w:w w:val="86"/>
                </w:rPr>
                <w:t>140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13"/>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17 </w:t>
            </w:r>
            <w:hyperlink w:anchor="page143">
              <w:r>
                <w:rPr>
                  <w:rFonts w:ascii="Arial" w:cs="Arial" w:eastAsia="Arial" w:hAnsi="Arial"/>
                  <w:sz w:val="18"/>
                  <w:szCs w:val="18"/>
                  <w:color w:val="0000FF"/>
                </w:rPr>
                <w:t>— Redeemable Shares</w:t>
              </w:r>
            </w:hyperlink>
          </w:p>
        </w:tc>
        <w:tc>
          <w:tcPr>
            <w:tcW w:w="7260" w:type="dxa"/>
            <w:vAlign w:val="bottom"/>
            <w:gridSpan w:val="23"/>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43">
              <w:r>
                <w:rPr>
                  <w:rFonts w:ascii="Arial" w:cs="Arial" w:eastAsia="Arial" w:hAnsi="Arial"/>
                  <w:sz w:val="18"/>
                  <w:szCs w:val="18"/>
                  <w:color w:val="0000FF"/>
                  <w:w w:val="86"/>
                </w:rPr>
                <w:t>144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18 </w:t>
            </w:r>
            <w:hyperlink w:anchor="page144">
              <w:r>
                <w:rPr>
                  <w:rFonts w:ascii="Arial" w:cs="Arial" w:eastAsia="Arial" w:hAnsi="Arial"/>
                  <w:sz w:val="18"/>
                  <w:szCs w:val="18"/>
                  <w:color w:val="0000FF"/>
                </w:rPr>
                <w:t>— Retirement Plan Benefits</w:t>
              </w:r>
            </w:hyperlink>
          </w:p>
        </w:tc>
        <w:tc>
          <w:tcPr>
            <w:tcW w:w="700" w:type="dxa"/>
            <w:vAlign w:val="bottom"/>
            <w:gridSpan w:val="4"/>
          </w:tcPr>
          <w:p>
            <w:pPr>
              <w:jc w:val="center"/>
              <w:ind w:left="230"/>
              <w:spacing w:after="0"/>
              <w:rPr>
                <w:rFonts w:ascii="Arial" w:cs="Arial" w:eastAsia="Arial" w:hAnsi="Arial"/>
                <w:sz w:val="18"/>
                <w:szCs w:val="18"/>
                <w:color w:val="0000FF"/>
                <w:w w:val="86"/>
              </w:rPr>
            </w:pPr>
            <w:hyperlink w:anchor="page144">
              <w:r>
                <w:rPr>
                  <w:rFonts w:ascii="Arial" w:cs="Arial" w:eastAsia="Arial" w:hAnsi="Arial"/>
                  <w:sz w:val="18"/>
                  <w:szCs w:val="18"/>
                  <w:color w:val="0000FF"/>
                  <w:w w:val="86"/>
                </w:rPr>
                <w:t>145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12"/>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Note 19 — Segment Information</w:t>
              </w:r>
            </w:hyperlink>
          </w:p>
        </w:tc>
        <w:tc>
          <w:tcPr>
            <w:tcW w:w="7380" w:type="dxa"/>
            <w:vAlign w:val="bottom"/>
            <w:gridSpan w:val="24"/>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46">
              <w:r>
                <w:rPr>
                  <w:rFonts w:ascii="Arial" w:cs="Arial" w:eastAsia="Arial" w:hAnsi="Arial"/>
                  <w:sz w:val="18"/>
                  <w:szCs w:val="18"/>
                  <w:color w:val="0000FF"/>
                  <w:w w:val="86"/>
                </w:rPr>
                <w:t>147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9"/>
          </w:tcPr>
          <w:p>
            <w:pPr>
              <w:spacing w:after="0"/>
              <w:rPr>
                <w:rFonts w:ascii="Arial" w:cs="Arial" w:eastAsia="Arial" w:hAnsi="Arial"/>
                <w:sz w:val="18"/>
                <w:szCs w:val="18"/>
                <w:color w:val="0000FF"/>
                <w:w w:val="91"/>
              </w:rPr>
            </w:pPr>
            <w:hyperlink w:anchor="page149">
              <w:r>
                <w:rPr>
                  <w:rFonts w:ascii="Arial" w:cs="Arial" w:eastAsia="Arial" w:hAnsi="Arial"/>
                  <w:sz w:val="18"/>
                  <w:szCs w:val="18"/>
                  <w:color w:val="0000FF"/>
                  <w:w w:val="91"/>
                </w:rPr>
                <w:t xml:space="preserve">Note </w:t>
              </w:r>
            </w:hyperlink>
            <w:r>
              <w:rPr>
                <w:rFonts w:ascii="Arial" w:cs="Arial" w:eastAsia="Arial" w:hAnsi="Arial"/>
                <w:sz w:val="18"/>
                <w:szCs w:val="18"/>
                <w:color w:val="0000FF"/>
                <w:w w:val="91"/>
              </w:rPr>
              <w:t xml:space="preserve">20 </w:t>
            </w:r>
            <w:hyperlink w:anchor="page149">
              <w:r>
                <w:rPr>
                  <w:rFonts w:ascii="Arial" w:cs="Arial" w:eastAsia="Arial" w:hAnsi="Arial"/>
                  <w:sz w:val="18"/>
                  <w:szCs w:val="18"/>
                  <w:color w:val="0000FF"/>
                  <w:w w:val="91"/>
                </w:rPr>
                <w:t>— Supplemental Consolidated Financial Information</w:t>
              </w:r>
            </w:hyperlink>
          </w:p>
        </w:tc>
        <w:tc>
          <w:tcPr>
            <w:tcW w:w="5580" w:type="dxa"/>
            <w:vAlign w:val="bottom"/>
            <w:gridSpan w:val="17"/>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49">
              <w:r>
                <w:rPr>
                  <w:rFonts w:ascii="Arial" w:cs="Arial" w:eastAsia="Arial" w:hAnsi="Arial"/>
                  <w:sz w:val="18"/>
                  <w:szCs w:val="18"/>
                  <w:color w:val="0000FF"/>
                  <w:w w:val="86"/>
                </w:rPr>
                <w:t>150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2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9"/>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21 </w:t>
            </w:r>
            <w:hyperlink w:anchor="page153">
              <w:r>
                <w:rPr>
                  <w:rFonts w:ascii="Arial" w:cs="Arial" w:eastAsia="Arial" w:hAnsi="Arial"/>
                  <w:sz w:val="18"/>
                  <w:szCs w:val="18"/>
                  <w:color w:val="0000FF"/>
                </w:rPr>
                <w:t>— Related Party Transactions</w:t>
              </w:r>
            </w:hyperlink>
          </w:p>
        </w:tc>
        <w:tc>
          <w:tcPr>
            <w:tcW w:w="5580" w:type="dxa"/>
            <w:vAlign w:val="bottom"/>
            <w:gridSpan w:val="17"/>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53">
              <w:r>
                <w:rPr>
                  <w:rFonts w:ascii="Arial" w:cs="Arial" w:eastAsia="Arial" w:hAnsi="Arial"/>
                  <w:sz w:val="18"/>
                  <w:szCs w:val="18"/>
                  <w:color w:val="0000FF"/>
                  <w:w w:val="86"/>
                </w:rPr>
                <w:t>154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2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20" w:type="dxa"/>
            <w:vAlign w:val="bottom"/>
            <w:gridSpan w:val="2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14"/>
          </w:tcPr>
          <w:p>
            <w:pPr>
              <w:spacing w:after="0"/>
              <w:rPr>
                <w:rFonts w:ascii="Arial" w:cs="Arial" w:eastAsia="Arial" w:hAnsi="Arial"/>
                <w:sz w:val="18"/>
                <w:szCs w:val="18"/>
                <w:color w:val="0000FF"/>
                <w:w w:val="91"/>
              </w:rPr>
            </w:pPr>
            <w:hyperlink w:anchor="page156">
              <w:r>
                <w:rPr>
                  <w:rFonts w:ascii="Arial" w:cs="Arial" w:eastAsia="Arial" w:hAnsi="Arial"/>
                  <w:sz w:val="18"/>
                  <w:szCs w:val="18"/>
                  <w:color w:val="0000FF"/>
                  <w:w w:val="91"/>
                </w:rPr>
                <w:t xml:space="preserve">Note </w:t>
              </w:r>
            </w:hyperlink>
            <w:r>
              <w:rPr>
                <w:rFonts w:ascii="Arial" w:cs="Arial" w:eastAsia="Arial" w:hAnsi="Arial"/>
                <w:sz w:val="18"/>
                <w:szCs w:val="18"/>
                <w:color w:val="0000FF"/>
                <w:w w:val="91"/>
              </w:rPr>
              <w:t xml:space="preserve">22 </w:t>
            </w:r>
            <w:hyperlink w:anchor="page156">
              <w:r>
                <w:rPr>
                  <w:rFonts w:ascii="Arial" w:cs="Arial" w:eastAsia="Arial" w:hAnsi="Arial"/>
                  <w:sz w:val="18"/>
                  <w:szCs w:val="18"/>
                  <w:color w:val="0000FF"/>
                  <w:w w:val="91"/>
                </w:rPr>
                <w:t>— Unaudited Quarterly Results</w:t>
              </w:r>
            </w:hyperlink>
          </w:p>
        </w:tc>
        <w:tc>
          <w:tcPr>
            <w:tcW w:w="7120" w:type="dxa"/>
            <w:vAlign w:val="bottom"/>
            <w:gridSpan w:val="22"/>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56">
              <w:r>
                <w:rPr>
                  <w:rFonts w:ascii="Arial" w:cs="Arial" w:eastAsia="Arial" w:hAnsi="Arial"/>
                  <w:sz w:val="18"/>
                  <w:szCs w:val="18"/>
                  <w:color w:val="0000FF"/>
                  <w:w w:val="86"/>
                </w:rPr>
                <w:t>157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760" w:type="dxa"/>
            <w:vAlign w:val="bottom"/>
            <w:tcBorders>
              <w:left w:val="single" w:sz="8" w:color="0000FF"/>
            </w:tcBorders>
            <w:gridSpan w:val="8"/>
            <w:shd w:val="clear" w:color="auto" w:fill="0000FF"/>
          </w:tcPr>
          <w:p>
            <w:pPr>
              <w:spacing w:after="0" w:line="20" w:lineRule="exact"/>
              <w:rPr>
                <w:sz w:val="1"/>
                <w:szCs w:val="1"/>
                <w:color w:val="auto"/>
              </w:rPr>
            </w:pPr>
          </w:p>
        </w:tc>
        <w:tc>
          <w:tcPr>
            <w:tcW w:w="7120" w:type="dxa"/>
            <w:vAlign w:val="bottom"/>
            <w:gridSpan w:val="2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6"/>
          </w:tcPr>
          <w:p>
            <w:pPr>
              <w:spacing w:after="0"/>
              <w:rPr>
                <w:rFonts w:ascii="Arial" w:cs="Arial" w:eastAsia="Arial" w:hAnsi="Arial"/>
                <w:sz w:val="18"/>
                <w:szCs w:val="18"/>
                <w:color w:val="0000FF"/>
                <w:w w:val="85"/>
              </w:rPr>
            </w:pPr>
            <w:hyperlink w:anchor="page157">
              <w:r>
                <w:rPr>
                  <w:rFonts w:ascii="Arial" w:cs="Arial" w:eastAsia="Arial" w:hAnsi="Arial"/>
                  <w:sz w:val="18"/>
                  <w:szCs w:val="18"/>
                  <w:color w:val="0000FF"/>
                  <w:w w:val="85"/>
                </w:rPr>
                <w:t xml:space="preserve">Note </w:t>
              </w:r>
            </w:hyperlink>
            <w:r>
              <w:rPr>
                <w:rFonts w:ascii="Arial" w:cs="Arial" w:eastAsia="Arial" w:hAnsi="Arial"/>
                <w:sz w:val="18"/>
                <w:szCs w:val="18"/>
                <w:color w:val="0000FF"/>
                <w:w w:val="85"/>
              </w:rPr>
              <w:t xml:space="preserve">23 </w:t>
            </w:r>
            <w:hyperlink w:anchor="page157">
              <w:r>
                <w:rPr>
                  <w:rFonts w:ascii="Arial" w:cs="Arial" w:eastAsia="Arial" w:hAnsi="Arial"/>
                  <w:sz w:val="18"/>
                  <w:szCs w:val="18"/>
                  <w:color w:val="0000FF"/>
                  <w:w w:val="85"/>
                </w:rPr>
                <w:t>— Subsequent Events</w:t>
              </w:r>
            </w:hyperlink>
          </w:p>
        </w:tc>
        <w:tc>
          <w:tcPr>
            <w:tcW w:w="760" w:type="dxa"/>
            <w:vAlign w:val="bottom"/>
            <w:gridSpan w:val="8"/>
          </w:tcPr>
          <w:p>
            <w:pPr>
              <w:spacing w:after="0"/>
              <w:rPr>
                <w:sz w:val="18"/>
                <w:szCs w:val="18"/>
                <w:color w:val="auto"/>
              </w:rPr>
            </w:pPr>
          </w:p>
        </w:tc>
        <w:tc>
          <w:tcPr>
            <w:tcW w:w="7120" w:type="dxa"/>
            <w:vAlign w:val="bottom"/>
            <w:gridSpan w:val="22"/>
          </w:tcPr>
          <w:p>
            <w:pPr>
              <w:spacing w:after="0"/>
              <w:rPr>
                <w:sz w:val="18"/>
                <w:szCs w:val="18"/>
                <w:color w:val="auto"/>
              </w:rPr>
            </w:pPr>
          </w:p>
        </w:tc>
        <w:tc>
          <w:tcPr>
            <w:tcW w:w="700" w:type="dxa"/>
            <w:vAlign w:val="bottom"/>
            <w:gridSpan w:val="4"/>
          </w:tcPr>
          <w:p>
            <w:pPr>
              <w:jc w:val="center"/>
              <w:ind w:left="230"/>
              <w:spacing w:after="0"/>
              <w:rPr>
                <w:rFonts w:ascii="Arial" w:cs="Arial" w:eastAsia="Arial" w:hAnsi="Arial"/>
                <w:sz w:val="18"/>
                <w:szCs w:val="18"/>
                <w:color w:val="0000FF"/>
                <w:w w:val="86"/>
              </w:rPr>
            </w:pPr>
            <w:hyperlink w:anchor="page157">
              <w:r>
                <w:rPr>
                  <w:rFonts w:ascii="Arial" w:cs="Arial" w:eastAsia="Arial" w:hAnsi="Arial"/>
                  <w:sz w:val="18"/>
                  <w:szCs w:val="18"/>
                  <w:color w:val="0000FF"/>
                  <w:w w:val="86"/>
                </w:rPr>
                <w:t>157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Dell Technologies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We have audited the accompanying consolidated statements of financial position of Dell Technologies Inc. and its subsidiaries (the “Company”) as of January 28, 2022 and January 29, 2021, and the related consolidated statements of income, of comprehensive income, of stockholders’ equity (deficit) and of cash flows for each of the three years in the period ended January 28, 2022, including the related notes (collectively referred to as the “consolidated financial statements”). We also have audited the Company's internal control over financial reporting as of January 28, 2022,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28, 2022 and January 29, 2021</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January 28, 2022 in conformity with accounting principles generally accepted in the United States of America. Also in our opinion, the Company maintained, in all material respects, effective internal control over financial reporting as of January 28,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February 2,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22222"/>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Revenue Recognition - Identification of Performance Obligations in Revenue Contracts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Notes 2 and 19 to the consolidated financial statements, the Company’s contracts with customers often include the promise to transfer multiple goods and services to a customer. Distinct promises within a contract are referred to as performance obligations and are accounted for as separate units of account. Management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The Company’s performance obligations include various distinct goods and services such as hardware, software licenses, support and maintenance agreements, and other service offerings and solutions. For the year ended January 28, 2022, a significant portion of the $34.4 billion Infrastructure Solutions Group (“ISG”) reportable segment net revenues relate to contracts with multiple performance obligations.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identification of performance obligations in revenue contracts is a critical audit matter are the significant judgment by management in identifying performance obligations in revenue contracts, which in turn led to a high degree of auditor judgment, subjectivity and effort in performing procedures to evaluate whether performance obligations in revenue contracts were appropriately identified by management.</w:t>
      </w:r>
    </w:p>
    <w:p>
      <w:pPr>
        <w:spacing w:after="0" w:line="21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proper identification of performance obligations in revenue contracts. These procedures also included, among others, testing the completeness and accuracy of management’s identification of performance obligations by examining revenue contracts on a test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Tax-free Determination of the Distribution of VMware Inc.</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222222"/>
        </w:rPr>
        <w:t>As described in Note 3 to the consolidated financial statements</w:t>
      </w:r>
      <w:r>
        <w:rPr>
          <w:rFonts w:ascii="Arial" w:cs="Arial" w:eastAsia="Arial" w:hAnsi="Arial"/>
          <w:sz w:val="18"/>
          <w:szCs w:val="18"/>
          <w:color w:val="000000"/>
        </w:rPr>
        <w:t>, management determined that the VMware Spin-off, and related distributions, qualified as</w:t>
      </w:r>
      <w:r>
        <w:rPr>
          <w:rFonts w:ascii="Arial" w:cs="Arial" w:eastAsia="Arial" w:hAnsi="Arial"/>
          <w:sz w:val="18"/>
          <w:szCs w:val="18"/>
          <w:color w:val="222222"/>
        </w:rPr>
        <w:t xml:space="preserve"> </w:t>
      </w:r>
      <w:r>
        <w:rPr>
          <w:rFonts w:ascii="Arial" w:cs="Arial" w:eastAsia="Arial" w:hAnsi="Arial"/>
          <w:sz w:val="18"/>
          <w:szCs w:val="18"/>
          <w:color w:val="000000"/>
        </w:rPr>
        <w:t>tax-free for U.S. federal income tax purposes, which required significant judgment. In making these determinations, management applied U.S. federal tax law to relevant facts and circumstances and obtained a favorable private letter ruling from the Internal Revenue Service, a tax opinion, and other external tax advice related to the concluded tax treatment. If the completed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21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The principal considerations for our determination that performing procedures relating to the </w:t>
      </w:r>
      <w:r>
        <w:rPr>
          <w:rFonts w:ascii="Arial" w:cs="Arial" w:eastAsia="Arial" w:hAnsi="Arial"/>
          <w:sz w:val="18"/>
          <w:szCs w:val="18"/>
          <w:color w:val="222222"/>
        </w:rPr>
        <w:t>tax-free determination of the distribution of VMware Inc.</w:t>
      </w:r>
      <w:r>
        <w:rPr>
          <w:rFonts w:ascii="Arial" w:cs="Arial" w:eastAsia="Arial" w:hAnsi="Arial"/>
          <w:sz w:val="18"/>
          <w:szCs w:val="18"/>
          <w:color w:val="auto"/>
        </w:rPr>
        <w:t xml:space="preserve"> is a critical audit matter are the significant judgment by management regarding the tax technical merits of the transaction and the application of the appropriate tax laws and regulations in determining that the distribution of VMware qualifies for tax-free status. This in turn led to a high degree of auditor judgment, subjectivity and effort in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performing procedures and evaluating audit evidence relating to the tax-free determination of the distribution of VMware. In addition, the audit effort involved the use of professionals with specialized skill and knowledge.</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Addressing the matter involved performing procedures and evaluating audit evidence in connection with forming our overall opinion on the </w:t>
      </w:r>
      <w:r>
        <w:rPr>
          <w:rFonts w:ascii="Arial" w:cs="Arial" w:eastAsia="Arial" w:hAnsi="Arial"/>
          <w:sz w:val="18"/>
          <w:szCs w:val="18"/>
          <w:color w:val="222222"/>
        </w:rPr>
        <w:t>consolidated</w:t>
      </w:r>
      <w:r>
        <w:rPr>
          <w:rFonts w:ascii="Arial" w:cs="Arial" w:eastAsia="Arial" w:hAnsi="Arial"/>
          <w:sz w:val="18"/>
          <w:szCs w:val="18"/>
          <w:color w:val="auto"/>
        </w:rPr>
        <w:t xml:space="preserve"> financial statements. These procedures included testing the effectiveness of controls relating to the key judgments and evaluation of the tax treatment relating to management’s determination of the tax-free nature of the transaction. These procedures also included, among others (i) testing management’s process for determining the tax-free treatment of the transaction, (ii) evaluating the information used in management’s determination, including tax rulings from relevant taxing authorities and supporting information, tax opinion, and relevant tax laws, and (iii) evaluating the reasonableness of management’s position that the transaction qualifies for tax-free status. Professionals with specialized skill and knowledge were used to assist in the evaluation of the transaction, related assumptions, private letter ruling and tax opinion, and certain representations from management, as well as the application of relevant tax laws.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rPr>
          <w:sz w:val="20"/>
          <w:szCs w:val="20"/>
          <w:color w:val="auto"/>
        </w:rPr>
      </w:pPr>
      <w:r>
        <w:rPr>
          <w:rFonts w:ascii="Arial" w:cs="Arial" w:eastAsia="Arial" w:hAnsi="Arial"/>
          <w:sz w:val="18"/>
          <w:szCs w:val="18"/>
          <w:color w:val="auto"/>
        </w:rPr>
        <w:t>March 24,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1986.</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jc w:val="center"/>
              <w:ind w:left="3610"/>
              <w:spacing w:after="0"/>
              <w:rPr>
                <w:sz w:val="20"/>
                <w:szCs w:val="20"/>
                <w:color w:val="auto"/>
              </w:rPr>
            </w:pPr>
            <w:r>
              <w:rPr>
                <w:rFonts w:ascii="Arial" w:cs="Arial" w:eastAsia="Arial" w:hAnsi="Arial"/>
                <w:sz w:val="18"/>
                <w:szCs w:val="18"/>
                <w:b w:val="1"/>
                <w:bCs w:val="1"/>
                <w:color w:val="auto"/>
              </w:rPr>
              <w:t>DELL TECHNOLOGIES INC.</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4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60" w:type="dxa"/>
            <w:vAlign w:val="bottom"/>
          </w:tcPr>
          <w:p>
            <w:pPr>
              <w:jc w:val="center"/>
              <w:ind w:left="3610"/>
              <w:spacing w:after="0"/>
              <w:rPr>
                <w:sz w:val="20"/>
                <w:szCs w:val="20"/>
                <w:color w:val="auto"/>
              </w:rPr>
            </w:pPr>
            <w:r>
              <w:rPr>
                <w:rFonts w:ascii="Arial" w:cs="Arial" w:eastAsia="Arial" w:hAnsi="Arial"/>
                <w:sz w:val="18"/>
                <w:szCs w:val="18"/>
                <w:color w:val="auto"/>
                <w:w w:val="92"/>
              </w:rPr>
              <w:t>(in millions; continued on next page)</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560" w:type="dxa"/>
            <w:vAlign w:val="bottom"/>
            <w:vMerge w:val="restart"/>
          </w:tcPr>
          <w:p>
            <w:pPr>
              <w:jc w:val="center"/>
              <w:ind w:left="359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Pr>
          <w:p>
            <w:pPr>
              <w:spacing w:after="0"/>
              <w:rPr>
                <w:sz w:val="22"/>
                <w:szCs w:val="22"/>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January 29, 2021</w:t>
            </w:r>
          </w:p>
        </w:tc>
        <w:tc>
          <w:tcPr>
            <w:tcW w:w="0" w:type="dxa"/>
            <w:vAlign w:val="bottom"/>
          </w:tcPr>
          <w:p>
            <w:pPr>
              <w:spacing w:after="0"/>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9,477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 of $90 and $99 (Note 20)</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Due from related party,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financing receivables, net of allowance of $142 and $228 (Note 5)</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29"/>
        </w:trPr>
        <w:tc>
          <w:tcPr>
            <w:tcW w:w="75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Current assets of discontinued operations (Note 3)</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43,567</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Long-term financing receivables, net of allowance of $47 and $93 (Note 5)</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related party,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 (Note 3)</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32,015</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92,735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123,415</w:t>
            </w:r>
          </w:p>
        </w:tc>
        <w:tc>
          <w:tcPr>
            <w:tcW w:w="0" w:type="dxa"/>
            <w:vAlign w:val="bottom"/>
          </w:tcPr>
          <w:p>
            <w:pPr>
              <w:spacing w:after="0"/>
              <w:rPr>
                <w:sz w:val="1"/>
                <w:szCs w:val="1"/>
                <w:color w:val="auto"/>
              </w:rPr>
            </w:pPr>
          </w:p>
        </w:tc>
      </w:tr>
      <w:tr>
        <w:trPr>
          <w:trHeight w:val="210"/>
        </w:trPr>
        <w:tc>
          <w:tcPr>
            <w:tcW w:w="9660" w:type="dxa"/>
            <w:vAlign w:val="bottom"/>
            <w:gridSpan w:val="5"/>
            <w:shd w:val="clear" w:color="auto" w:fill="CCEEFF"/>
          </w:tcPr>
          <w:p>
            <w:pPr>
              <w:jc w:val="center"/>
              <w:ind w:left="1490"/>
              <w:spacing w:after="0"/>
              <w:rPr>
                <w:sz w:val="20"/>
                <w:szCs w:val="20"/>
                <w:color w:val="auto"/>
              </w:rPr>
            </w:pPr>
            <w:r>
              <w:rPr>
                <w:rFonts w:ascii="Arial" w:cs="Arial" w:eastAsia="Arial" w:hAnsi="Arial"/>
                <w:sz w:val="18"/>
                <w:szCs w:val="18"/>
                <w:b w:val="1"/>
                <w:bCs w:val="1"/>
                <w:color w:val="auto"/>
                <w:w w:val="98"/>
              </w:rPr>
              <w:t>LIABILITIES, REDEEMABLE SHARES, AND STOCKHOLDERS’ EQUITY (continued on next page)</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21,572</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to related party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Accrued and other</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deferred revenue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Current liabilities of discontinued operations (Note 3)</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54,132</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32,865</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 of discontinued operations (Note 3)</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0" w:type="dxa"/>
            <w:vAlign w:val="bottom"/>
          </w:tcPr>
          <w:p>
            <w:pPr>
              <w:spacing w:after="0"/>
              <w:rPr>
                <w:sz w:val="1"/>
                <w:szCs w:val="1"/>
                <w:color w:val="auto"/>
              </w:rPr>
            </w:pPr>
          </w:p>
        </w:tc>
      </w:tr>
      <w:tr>
        <w:trPr>
          <w:trHeight w:val="223"/>
        </w:trPr>
        <w:tc>
          <w:tcPr>
            <w:tcW w:w="756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jc w:val="center"/>
              <w:ind w:left="3610"/>
              <w:spacing w:after="0"/>
              <w:rPr>
                <w:sz w:val="20"/>
                <w:szCs w:val="20"/>
                <w:color w:val="auto"/>
              </w:rPr>
            </w:pPr>
            <w:r>
              <w:rPr>
                <w:rFonts w:ascii="Arial" w:cs="Arial" w:eastAsia="Arial" w:hAnsi="Arial"/>
                <w:sz w:val="18"/>
                <w:szCs w:val="18"/>
                <w:b w:val="1"/>
                <w:bCs w:val="1"/>
                <w:color w:val="auto"/>
              </w:rPr>
              <w:t>DELL TECHNOLOGIES INC.</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4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jc w:val="center"/>
              <w:ind w:left="3610"/>
              <w:spacing w:after="0"/>
              <w:rPr>
                <w:sz w:val="20"/>
                <w:szCs w:val="20"/>
                <w:color w:val="auto"/>
              </w:rPr>
            </w:pPr>
            <w:r>
              <w:rPr>
                <w:rFonts w:ascii="Arial" w:cs="Arial" w:eastAsia="Arial" w:hAnsi="Arial"/>
                <w:sz w:val="18"/>
                <w:szCs w:val="18"/>
                <w:color w:val="auto"/>
                <w:w w:val="94"/>
              </w:rPr>
              <w:t>(continued; in millions)</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756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LIABILITIES, REDEEMABLE SHARES, AND STOCKHOLDERS’</w:t>
            </w:r>
          </w:p>
        </w:tc>
        <w:tc>
          <w:tcPr>
            <w:tcW w:w="16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29, 2021</w:t>
            </w:r>
          </w:p>
        </w:tc>
        <w:tc>
          <w:tcPr>
            <w:tcW w:w="0" w:type="dxa"/>
            <w:vAlign w:val="bottom"/>
          </w:tcPr>
          <w:p>
            <w:pPr>
              <w:spacing w:after="0"/>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EQUITY (continued)</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Redeemable shares (Note 17)</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Common stock and capital in excess of $0.01 par value (Note 14)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Total Dell Technologies Inc. stockholders’ equity (deficit)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Non-controlling interests of discontinued operations</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23"/>
        </w:trPr>
        <w:tc>
          <w:tcPr>
            <w:tcW w:w="7560" w:type="dxa"/>
            <w:vAlign w:val="bottom"/>
          </w:tcPr>
          <w:p>
            <w:pPr>
              <w:ind w:left="560"/>
              <w:spacing w:after="0"/>
              <w:rPr>
                <w:sz w:val="20"/>
                <w:szCs w:val="20"/>
                <w:color w:val="auto"/>
              </w:rPr>
            </w:pPr>
            <w:r>
              <w:rPr>
                <w:rFonts w:ascii="Arial" w:cs="Arial" w:eastAsia="Arial" w:hAnsi="Arial"/>
                <w:sz w:val="18"/>
                <w:szCs w:val="18"/>
                <w:color w:val="auto"/>
              </w:rPr>
              <w:t>Total liabilities, redeemable shares, and stockholders’ equity</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123,415</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4"/>
          </w:tcPr>
          <w:p>
            <w:pPr>
              <w:jc w:val="center"/>
              <w:ind w:left="3610"/>
              <w:spacing w:after="0"/>
              <w:rPr>
                <w:sz w:val="20"/>
                <w:szCs w:val="20"/>
                <w:color w:val="auto"/>
              </w:rPr>
            </w:pPr>
            <w:r>
              <w:rPr>
                <w:rFonts w:ascii="Arial" w:cs="Arial" w:eastAsia="Arial" w:hAnsi="Arial"/>
                <w:sz w:val="18"/>
                <w:szCs w:val="18"/>
                <w:b w:val="1"/>
                <w:bCs w:val="1"/>
                <w:color w:val="auto"/>
              </w:rPr>
              <w:t>DELL TECHNOLOGIES INC.</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56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rPr>
              <w:t>CONSOLIDATED STATEMENTS OF INCOME</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60" w:type="dxa"/>
            <w:vAlign w:val="bottom"/>
            <w:gridSpan w:val="4"/>
          </w:tcPr>
          <w:p>
            <w:pPr>
              <w:jc w:val="center"/>
              <w:ind w:left="3590"/>
              <w:spacing w:after="0"/>
              <w:rPr>
                <w:sz w:val="20"/>
                <w:szCs w:val="20"/>
                <w:color w:val="auto"/>
              </w:rPr>
            </w:pPr>
            <w:r>
              <w:rPr>
                <w:rFonts w:ascii="Arial" w:cs="Arial" w:eastAsia="Arial" w:hAnsi="Arial"/>
                <w:sz w:val="18"/>
                <w:szCs w:val="18"/>
                <w:color w:val="auto"/>
                <w:w w:val="90"/>
              </w:rPr>
              <w:t>(in millions, except per share amounts)</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5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 2020</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79,830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67,744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67,607</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net revenue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84,815</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Cost of net revenue (a):</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55,369</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cost of net revenue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64,176</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20,639</w:t>
            </w:r>
          </w:p>
        </w:tc>
        <w:tc>
          <w:tcPr>
            <w:tcW w:w="0" w:type="dxa"/>
            <w:vAlign w:val="bottom"/>
          </w:tcPr>
          <w:p>
            <w:pPr>
              <w:spacing w:after="0"/>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0" w:type="dxa"/>
            <w:vAlign w:val="bottom"/>
          </w:tcPr>
          <w:p>
            <w:pPr>
              <w:spacing w:after="0"/>
              <w:rPr>
                <w:sz w:val="1"/>
                <w:szCs w:val="1"/>
                <w:color w:val="auto"/>
              </w:rPr>
            </w:pPr>
          </w:p>
        </w:tc>
      </w:tr>
      <w:tr>
        <w:trPr>
          <w:trHeight w:val="223"/>
        </w:trPr>
        <w:tc>
          <w:tcPr>
            <w:tcW w:w="56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3"/>
        </w:trPr>
        <w:tc>
          <w:tcPr>
            <w:tcW w:w="568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5680" w:type="dxa"/>
            <w:vAlign w:val="bottom"/>
          </w:tcPr>
          <w:p>
            <w:pPr>
              <w:ind w:left="220"/>
              <w:spacing w:after="0"/>
              <w:rPr>
                <w:sz w:val="20"/>
                <w:szCs w:val="20"/>
                <w:color w:val="auto"/>
              </w:rPr>
            </w:pPr>
            <w:r>
              <w:rPr>
                <w:rFonts w:ascii="Arial" w:cs="Arial" w:eastAsia="Arial" w:hAnsi="Arial"/>
                <w:sz w:val="18"/>
                <w:szCs w:val="18"/>
                <w:color w:val="auto"/>
              </w:rPr>
              <w:t>Net income from continuing operations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discontinued operations, net of income taxes (Note 3)</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5680" w:type="dxa"/>
            <w:vAlign w:val="bottom"/>
          </w:tcPr>
          <w:p>
            <w:pPr>
              <w:ind w:left="220"/>
              <w:spacing w:after="0" w:line="176" w:lineRule="exact"/>
              <w:rPr>
                <w:sz w:val="20"/>
                <w:szCs w:val="20"/>
                <w:color w:val="auto"/>
              </w:rPr>
            </w:pPr>
            <w:r>
              <w:rPr>
                <w:rFonts w:ascii="Arial" w:cs="Arial" w:eastAsia="Arial" w:hAnsi="Arial"/>
                <w:sz w:val="18"/>
                <w:szCs w:val="18"/>
                <w:color w:val="auto"/>
                <w:w w:val="94"/>
              </w:rPr>
              <w:t>Less: Net income attributable to non-controlling interests of discontinued</w:t>
            </w: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Dell Technologies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 attributable to Dell Technologies Inc. — basic:</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 attributable to Dell Technologies Inc. — diluted: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Includes related party cost of net revenue as follows: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jc w:val="center"/>
              <w:ind w:left="4250"/>
              <w:spacing w:after="0"/>
              <w:rPr>
                <w:sz w:val="20"/>
                <w:szCs w:val="20"/>
                <w:color w:val="auto"/>
              </w:rPr>
            </w:pPr>
            <w:r>
              <w:rPr>
                <w:rFonts w:ascii="Arial" w:cs="Arial" w:eastAsia="Arial" w:hAnsi="Arial"/>
                <w:sz w:val="18"/>
                <w:szCs w:val="18"/>
                <w:b w:val="1"/>
                <w:bCs w:val="1"/>
                <w:color w:val="auto"/>
              </w:rPr>
              <w:t>DELL TECHNOLOGIES INC.</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40" w:type="dxa"/>
            <w:vAlign w:val="bottom"/>
            <w:gridSpan w:val="7"/>
          </w:tcPr>
          <w:p>
            <w:pPr>
              <w:jc w:val="center"/>
              <w:ind w:left="171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gridSpan w:val="2"/>
          </w:tcPr>
          <w:p>
            <w:pPr>
              <w:jc w:val="center"/>
              <w:ind w:left="425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57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860" w:type="dxa"/>
            <w:vAlign w:val="bottom"/>
            <w:gridSpan w:val="3"/>
          </w:tcPr>
          <w:p>
            <w:pPr>
              <w:ind w:left="22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29, 2021</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 2020</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comprehensive income (loss), net of tax</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flow hedges:</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40"/>
              <w:spacing w:after="0"/>
              <w:rPr>
                <w:sz w:val="20"/>
                <w:szCs w:val="20"/>
                <w:color w:val="auto"/>
              </w:rPr>
            </w:pPr>
            <w:r>
              <w:rPr>
                <w:rFonts w:ascii="Arial" w:cs="Arial" w:eastAsia="Arial" w:hAnsi="Arial"/>
                <w:sz w:val="18"/>
                <w:szCs w:val="18"/>
                <w:color w:val="auto"/>
              </w:rPr>
              <w:t>Change in unrealized gains (losses)</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Reclassification adjustment for net (gains) losses included in net income</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change in cash flow hedges</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plans: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440"/>
              <w:spacing w:after="0" w:line="176" w:lineRule="exact"/>
              <w:rPr>
                <w:sz w:val="20"/>
                <w:szCs w:val="20"/>
                <w:color w:val="auto"/>
              </w:rPr>
            </w:pPr>
            <w:r>
              <w:rPr>
                <w:rFonts w:ascii="Arial" w:cs="Arial" w:eastAsia="Arial" w:hAnsi="Arial"/>
                <w:sz w:val="18"/>
                <w:szCs w:val="18"/>
                <w:color w:val="auto"/>
                <w:w w:val="99"/>
              </w:rPr>
              <w:t>Recognition of actuarial net gains (losses) from pension and other</w:t>
            </w:r>
          </w:p>
        </w:tc>
        <w:tc>
          <w:tcPr>
            <w:tcW w:w="1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700" w:type="dxa"/>
            <w:vAlign w:val="bottom"/>
          </w:tcPr>
          <w:p>
            <w:pPr>
              <w:ind w:left="440"/>
              <w:spacing w:after="0"/>
              <w:rPr>
                <w:sz w:val="20"/>
                <w:szCs w:val="20"/>
                <w:color w:val="auto"/>
              </w:rPr>
            </w:pPr>
            <w:r>
              <w:rPr>
                <w:rFonts w:ascii="Arial" w:cs="Arial" w:eastAsia="Arial" w:hAnsi="Arial"/>
                <w:sz w:val="18"/>
                <w:szCs w:val="18"/>
                <w:color w:val="auto"/>
              </w:rPr>
              <w:t>postretirement plans</w:t>
            </w:r>
          </w:p>
        </w:tc>
        <w:tc>
          <w:tcPr>
            <w:tcW w:w="12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9"/>
              </w:rPr>
              <w:t>Reclassification adjustments for net losses from pension and other</w:t>
            </w:r>
          </w:p>
        </w:tc>
        <w:tc>
          <w:tcPr>
            <w:tcW w:w="1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postretirement plans</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700" w:type="dxa"/>
            <w:vAlign w:val="bottom"/>
          </w:tcPr>
          <w:p>
            <w:pPr>
              <w:ind w:left="680"/>
              <w:spacing w:after="0" w:line="156" w:lineRule="exact"/>
              <w:rPr>
                <w:sz w:val="20"/>
                <w:szCs w:val="20"/>
                <w:color w:val="auto"/>
              </w:rPr>
            </w:pPr>
            <w:r>
              <w:rPr>
                <w:rFonts w:ascii="Arial" w:cs="Arial" w:eastAsia="Arial" w:hAnsi="Arial"/>
                <w:sz w:val="18"/>
                <w:szCs w:val="18"/>
                <w:color w:val="auto"/>
                <w:w w:val="96"/>
              </w:rPr>
              <w:t>Net change in actuarial net gains (losses) from pension and other</w:t>
            </w:r>
          </w:p>
        </w:tc>
        <w:tc>
          <w:tcPr>
            <w:tcW w:w="1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postretirement plans</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700" w:type="dxa"/>
            <w:vAlign w:val="bottom"/>
          </w:tcPr>
          <w:p>
            <w:pPr>
              <w:ind w:left="220"/>
              <w:spacing w:after="0" w:line="176" w:lineRule="exact"/>
              <w:rPr>
                <w:sz w:val="20"/>
                <w:szCs w:val="20"/>
                <w:color w:val="auto"/>
              </w:rPr>
            </w:pPr>
            <w:r>
              <w:rPr>
                <w:rFonts w:ascii="Arial" w:cs="Arial" w:eastAsia="Arial" w:hAnsi="Arial"/>
                <w:sz w:val="18"/>
                <w:szCs w:val="18"/>
                <w:color w:val="auto"/>
                <w:w w:val="95"/>
              </w:rPr>
              <w:t>Total other comprehensive income (loss), net of tax expense (benefit) of</w:t>
            </w:r>
          </w:p>
        </w:tc>
        <w:tc>
          <w:tcPr>
            <w:tcW w:w="1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$30, $(18), and $(14), respectively</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net of tax</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Less: Net loss attributable to non-controlling interests</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Comprehensive income attributable to Dell Technologies Inc.</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5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rPr>
              <w:t>DELL TECHNOLOGIES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3440" w:type="dxa"/>
            <w:vAlign w:val="bottom"/>
          </w:tcPr>
          <w:p>
            <w:pPr>
              <w:spacing w:after="0"/>
              <w:rPr>
                <w:sz w:val="24"/>
                <w:szCs w:val="24"/>
                <w:color w:val="auto"/>
              </w:rPr>
            </w:pPr>
          </w:p>
        </w:tc>
        <w:tc>
          <w:tcPr>
            <w:tcW w:w="4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3440" w:type="dxa"/>
            <w:vAlign w:val="bottom"/>
          </w:tcPr>
          <w:p>
            <w:pPr>
              <w:spacing w:after="0"/>
              <w:rPr>
                <w:sz w:val="23"/>
                <w:szCs w:val="23"/>
                <w:color w:val="auto"/>
              </w:rPr>
            </w:pPr>
          </w:p>
        </w:tc>
        <w:tc>
          <w:tcPr>
            <w:tcW w:w="352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(in millions; continued on next page)</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51"/>
        </w:trPr>
        <w:tc>
          <w:tcPr>
            <w:tcW w:w="3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Fiscal Year Ended</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80" w:type="dxa"/>
            <w:vAlign w:val="bottom"/>
            <w:gridSpan w:val="3"/>
          </w:tcPr>
          <w:p>
            <w:pPr>
              <w:ind w:left="240"/>
              <w:spacing w:after="0"/>
              <w:rPr>
                <w:sz w:val="20"/>
                <w:szCs w:val="20"/>
                <w:color w:val="auto"/>
              </w:rPr>
            </w:pPr>
            <w:r>
              <w:rPr>
                <w:rFonts w:ascii="Arial" w:cs="Arial" w:eastAsia="Arial" w:hAnsi="Arial"/>
                <w:sz w:val="18"/>
                <w:szCs w:val="18"/>
                <w:b w:val="1"/>
                <w:bCs w:val="1"/>
                <w:color w:val="auto"/>
              </w:rPr>
              <w:t>January 28, 2022</w:t>
            </w:r>
          </w:p>
        </w:tc>
        <w:tc>
          <w:tcPr>
            <w:tcW w:w="14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29, 2021</w:t>
            </w: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January 31, 2020</w:t>
            </w: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52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5,529</w:t>
            </w:r>
          </w:p>
        </w:tc>
      </w:tr>
      <w:tr>
        <w:trPr>
          <w:trHeight w:val="176"/>
        </w:trPr>
        <w:tc>
          <w:tcPr>
            <w:tcW w:w="696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34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6,143</w:t>
            </w:r>
          </w:p>
        </w:tc>
      </w:tr>
      <w:tr>
        <w:trPr>
          <w:trHeight w:val="229"/>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29"/>
        </w:trPr>
        <w:tc>
          <w:tcPr>
            <w:tcW w:w="34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(6,339)</w:t>
            </w:r>
          </w:p>
        </w:tc>
      </w:tr>
      <w:tr>
        <w:trPr>
          <w:trHeight w:val="230"/>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 (a)</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175"/>
        </w:trPr>
        <w:tc>
          <w:tcPr>
            <w:tcW w:w="696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Changes in assets and liabilities, net of effects from acquisitions and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3440" w:type="dxa"/>
            <w:vAlign w:val="bottom"/>
          </w:tcPr>
          <w:p>
            <w:pPr>
              <w:ind w:left="240"/>
              <w:spacing w:after="0"/>
              <w:rPr>
                <w:sz w:val="20"/>
                <w:szCs w:val="20"/>
                <w:color w:val="auto"/>
              </w:rPr>
            </w:pPr>
            <w:r>
              <w:rPr>
                <w:rFonts w:ascii="Arial" w:cs="Arial" w:eastAsia="Arial" w:hAnsi="Arial"/>
                <w:sz w:val="18"/>
                <w:szCs w:val="18"/>
                <w:color w:val="auto"/>
              </w:rPr>
              <w:t>dispositions:</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3440" w:type="dxa"/>
            <w:vAlign w:val="bottom"/>
          </w:tcPr>
          <w:p>
            <w:pPr>
              <w:ind w:left="360"/>
              <w:spacing w:after="0"/>
              <w:rPr>
                <w:sz w:val="20"/>
                <w:szCs w:val="20"/>
                <w:color w:val="auto"/>
              </w:rPr>
            </w:pPr>
            <w:r>
              <w:rPr>
                <w:rFonts w:ascii="Arial" w:cs="Arial" w:eastAsia="Arial" w:hAnsi="Arial"/>
                <w:sz w:val="18"/>
                <w:szCs w:val="18"/>
                <w:color w:val="auto"/>
              </w:rPr>
              <w:t>Financing receivables</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29"/>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344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30"/>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from/to related party, net</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29"/>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3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r>
      <w:tr>
        <w:trPr>
          <w:trHeight w:val="223"/>
        </w:trPr>
        <w:tc>
          <w:tcPr>
            <w:tcW w:w="34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2"/>
              </w:rPr>
              <w:t>Change in cash from operating activities</w:t>
            </w:r>
          </w:p>
        </w:tc>
        <w:tc>
          <w:tcPr>
            <w:tcW w:w="23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9,291</w:t>
            </w:r>
          </w:p>
        </w:tc>
      </w:tr>
      <w:tr>
        <w:trPr>
          <w:trHeight w:val="21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3440" w:type="dxa"/>
            <w:vAlign w:val="bottom"/>
          </w:tcPr>
          <w:p>
            <w:pPr>
              <w:ind w:left="120"/>
              <w:spacing w:after="0"/>
              <w:rPr>
                <w:sz w:val="20"/>
                <w:szCs w:val="20"/>
                <w:color w:val="auto"/>
              </w:rPr>
            </w:pPr>
            <w:r>
              <w:rPr>
                <w:rFonts w:ascii="Arial" w:cs="Arial" w:eastAsia="Arial" w:hAnsi="Arial"/>
                <w:sz w:val="18"/>
                <w:szCs w:val="18"/>
                <w:color w:val="auto"/>
              </w:rPr>
              <w:t>Purchases of investments</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Maturities and sales of investments</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6960" w:type="dxa"/>
            <w:vAlign w:val="bottom"/>
            <w:gridSpan w:val="3"/>
          </w:tcPr>
          <w:p>
            <w:pPr>
              <w:ind w:left="140"/>
              <w:spacing w:after="0"/>
              <w:rPr>
                <w:sz w:val="20"/>
                <w:szCs w:val="20"/>
                <w:color w:val="auto"/>
              </w:rPr>
            </w:pPr>
            <w:r>
              <w:rPr>
                <w:rFonts w:ascii="Arial" w:cs="Arial" w:eastAsia="Arial" w:hAnsi="Arial"/>
                <w:sz w:val="18"/>
                <w:szCs w:val="18"/>
                <w:color w:val="auto"/>
              </w:rPr>
              <w:t>Capital expenditures and capitalized software development costs</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(2,576)</w:t>
            </w:r>
          </w:p>
        </w:tc>
      </w:tr>
      <w:tr>
        <w:trPr>
          <w:trHeight w:val="230"/>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Acquisition of businesses and assets, net</w:t>
            </w:r>
          </w:p>
        </w:tc>
        <w:tc>
          <w:tcPr>
            <w:tcW w:w="2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w w:val="97"/>
              </w:rPr>
              <w:t>Divestitures of businesses and assets, net</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4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3"/>
              </w:rPr>
              <w:t>Change in cash from investing activities</w:t>
            </w:r>
          </w:p>
        </w:tc>
        <w:tc>
          <w:tcPr>
            <w:tcW w:w="23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bl>
    <w:p>
      <w:pPr>
        <w:spacing w:after="0" w:line="80"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40"/>
        <w:spacing w:after="0"/>
        <w:rPr>
          <w:sz w:val="20"/>
          <w:szCs w:val="20"/>
          <w:color w:val="auto"/>
        </w:rPr>
      </w:pPr>
      <w:r>
        <w:rPr>
          <w:rFonts w:ascii="Arial" w:cs="Arial" w:eastAsia="Arial" w:hAnsi="Arial"/>
          <w:sz w:val="18"/>
          <w:szCs w:val="18"/>
          <w:color w:val="auto"/>
        </w:rPr>
        <w:t>Dividends paid by VMware, Inc.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the issuance of common stock</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Repurchases of parent common stock</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Repurchases of subsidiary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transfer of cash, cash equivalents, and restricted cash to 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debt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Repayments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related costs and other, net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550"/>
              <w:spacing w:after="0"/>
              <w:rPr>
                <w:sz w:val="20"/>
                <w:szCs w:val="20"/>
                <w:color w:val="auto"/>
              </w:rPr>
            </w:pPr>
            <w:r>
              <w:rPr>
                <w:rFonts w:ascii="Arial" w:cs="Arial" w:eastAsia="Arial" w:hAnsi="Arial"/>
                <w:sz w:val="18"/>
                <w:szCs w:val="18"/>
                <w:color w:val="auto"/>
              </w:rPr>
              <w:t>(2,240)</w:t>
            </w:r>
          </w:p>
        </w:tc>
        <w:tc>
          <w:tcPr>
            <w:tcW w:w="1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1260" w:type="dxa"/>
            <w:vAlign w:val="bottom"/>
          </w:tcPr>
          <w:p>
            <w:pPr>
              <w:jc w:val="right"/>
              <w:ind w:right="590"/>
              <w:spacing w:after="0"/>
              <w:rPr>
                <w:sz w:val="20"/>
                <w:szCs w:val="20"/>
                <w:color w:val="auto"/>
              </w:rPr>
            </w:pPr>
            <w:r>
              <w:rPr>
                <w:rFonts w:ascii="Arial" w:cs="Arial" w:eastAsia="Arial" w:hAnsi="Arial"/>
                <w:sz w:val="18"/>
                <w:szCs w:val="18"/>
                <w:color w:val="auto"/>
              </w:rPr>
              <w:t>334</w:t>
            </w:r>
          </w:p>
        </w:tc>
        <w:tc>
          <w:tcPr>
            <w:tcW w:w="1860" w:type="dxa"/>
            <w:vAlign w:val="bottom"/>
          </w:tcPr>
          <w:p>
            <w:pPr>
              <w:jc w:val="right"/>
              <w:ind w:right="570"/>
              <w:spacing w:after="0"/>
              <w:rPr>
                <w:sz w:val="20"/>
                <w:szCs w:val="20"/>
                <w:color w:val="auto"/>
              </w:rPr>
            </w:pPr>
            <w:r>
              <w:rPr>
                <w:rFonts w:ascii="Arial" w:cs="Arial" w:eastAsia="Arial" w:hAnsi="Arial"/>
                <w:sz w:val="18"/>
                <w:szCs w:val="18"/>
                <w:color w:val="auto"/>
              </w:rPr>
              <w:t>452</w:t>
            </w:r>
          </w:p>
        </w:tc>
        <w:tc>
          <w:tcPr>
            <w:tcW w:w="122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404"/>
        </w:trPr>
        <w:tc>
          <w:tcPr>
            <w:tcW w:w="1260" w:type="dxa"/>
            <w:vAlign w:val="bottom"/>
          </w:tcPr>
          <w:p>
            <w:pPr>
              <w:jc w:val="right"/>
              <w:ind w:right="550"/>
              <w:spacing w:after="0"/>
              <w:rPr>
                <w:sz w:val="20"/>
                <w:szCs w:val="20"/>
                <w:color w:val="auto"/>
              </w:rPr>
            </w:pPr>
            <w:r>
              <w:rPr>
                <w:rFonts w:ascii="Arial" w:cs="Arial" w:eastAsia="Arial" w:hAnsi="Arial"/>
                <w:sz w:val="18"/>
                <w:szCs w:val="18"/>
                <w:color w:val="auto"/>
              </w:rPr>
              <w:t>(663)</w:t>
            </w:r>
          </w:p>
        </w:tc>
        <w:tc>
          <w:tcPr>
            <w:tcW w:w="1860" w:type="dxa"/>
            <w:vAlign w:val="bottom"/>
          </w:tcPr>
          <w:p>
            <w:pPr>
              <w:jc w:val="right"/>
              <w:ind w:right="510"/>
              <w:spacing w:after="0"/>
              <w:rPr>
                <w:sz w:val="20"/>
                <w:szCs w:val="20"/>
                <w:color w:val="auto"/>
              </w:rPr>
            </w:pPr>
            <w:r>
              <w:rPr>
                <w:rFonts w:ascii="Arial" w:cs="Arial" w:eastAsia="Arial" w:hAnsi="Arial"/>
                <w:sz w:val="18"/>
                <w:szCs w:val="18"/>
                <w:color w:val="auto"/>
              </w:rPr>
              <w:t>(241)</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260" w:type="dxa"/>
            <w:vAlign w:val="bottom"/>
          </w:tcPr>
          <w:p>
            <w:pPr>
              <w:jc w:val="right"/>
              <w:ind w:right="550"/>
              <w:spacing w:after="0"/>
              <w:rPr>
                <w:sz w:val="20"/>
                <w:szCs w:val="20"/>
                <w:color w:val="auto"/>
              </w:rPr>
            </w:pPr>
            <w:r>
              <w:rPr>
                <w:rFonts w:ascii="Arial" w:cs="Arial" w:eastAsia="Arial" w:hAnsi="Arial"/>
                <w:sz w:val="18"/>
                <w:szCs w:val="18"/>
                <w:color w:val="auto"/>
              </w:rPr>
              <w:t>(1,175)</w:t>
            </w:r>
          </w:p>
        </w:tc>
        <w:tc>
          <w:tcPr>
            <w:tcW w:w="1860" w:type="dxa"/>
            <w:vAlign w:val="bottom"/>
          </w:tcPr>
          <w:p>
            <w:pPr>
              <w:jc w:val="right"/>
              <w:ind w:right="510"/>
              <w:spacing w:after="0"/>
              <w:rPr>
                <w:sz w:val="20"/>
                <w:szCs w:val="20"/>
                <w:color w:val="auto"/>
              </w:rPr>
            </w:pPr>
            <w:r>
              <w:rPr>
                <w:rFonts w:ascii="Arial" w:cs="Arial" w:eastAsia="Arial" w:hAnsi="Arial"/>
                <w:sz w:val="18"/>
                <w:szCs w:val="18"/>
                <w:color w:val="auto"/>
              </w:rPr>
              <w:t>(1,363)</w:t>
            </w:r>
          </w:p>
        </w:tc>
        <w:tc>
          <w:tcPr>
            <w:tcW w:w="1220" w:type="dxa"/>
            <w:vAlign w:val="bottom"/>
          </w:tcPr>
          <w:p>
            <w:pPr>
              <w:jc w:val="right"/>
              <w:spacing w:after="0"/>
              <w:rPr>
                <w:sz w:val="20"/>
                <w:szCs w:val="20"/>
                <w:color w:val="auto"/>
              </w:rPr>
            </w:pPr>
            <w:r>
              <w:rPr>
                <w:rFonts w:ascii="Arial" w:cs="Arial" w:eastAsia="Arial" w:hAnsi="Arial"/>
                <w:sz w:val="18"/>
                <w:szCs w:val="18"/>
                <w:color w:val="auto"/>
              </w:rPr>
              <w:t>(3,547)</w:t>
            </w:r>
          </w:p>
        </w:tc>
      </w:tr>
      <w:tr>
        <w:trPr>
          <w:trHeight w:val="230"/>
        </w:trPr>
        <w:tc>
          <w:tcPr>
            <w:tcW w:w="1260" w:type="dxa"/>
            <w:vAlign w:val="bottom"/>
          </w:tcPr>
          <w:p>
            <w:pPr>
              <w:jc w:val="right"/>
              <w:ind w:right="550"/>
              <w:spacing w:after="0"/>
              <w:rPr>
                <w:sz w:val="20"/>
                <w:szCs w:val="20"/>
                <w:color w:val="auto"/>
              </w:rPr>
            </w:pPr>
            <w:r>
              <w:rPr>
                <w:rFonts w:ascii="Arial" w:cs="Arial" w:eastAsia="Arial" w:hAnsi="Arial"/>
                <w:sz w:val="18"/>
                <w:szCs w:val="18"/>
                <w:color w:val="auto"/>
              </w:rPr>
              <w:t>(5,052)</w:t>
            </w:r>
          </w:p>
        </w:tc>
        <w:tc>
          <w:tcPr>
            <w:tcW w:w="1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tcPr>
          <w:p>
            <w:pPr>
              <w:jc w:val="right"/>
              <w:ind w:right="590"/>
              <w:spacing w:after="0"/>
              <w:rPr>
                <w:sz w:val="20"/>
                <w:szCs w:val="20"/>
                <w:color w:val="auto"/>
              </w:rPr>
            </w:pPr>
            <w:r>
              <w:rPr>
                <w:rFonts w:ascii="Arial" w:cs="Arial" w:eastAsia="Arial" w:hAnsi="Arial"/>
                <w:sz w:val="18"/>
                <w:szCs w:val="18"/>
                <w:color w:val="auto"/>
              </w:rPr>
              <w:t>20,425</w:t>
            </w:r>
          </w:p>
        </w:tc>
        <w:tc>
          <w:tcPr>
            <w:tcW w:w="1860" w:type="dxa"/>
            <w:vAlign w:val="bottom"/>
          </w:tcPr>
          <w:p>
            <w:pPr>
              <w:jc w:val="right"/>
              <w:ind w:right="570"/>
              <w:spacing w:after="0"/>
              <w:rPr>
                <w:sz w:val="20"/>
                <w:szCs w:val="20"/>
                <w:color w:val="auto"/>
              </w:rPr>
            </w:pPr>
            <w:r>
              <w:rPr>
                <w:rFonts w:ascii="Arial" w:cs="Arial" w:eastAsia="Arial" w:hAnsi="Arial"/>
                <w:sz w:val="18"/>
                <w:szCs w:val="18"/>
                <w:color w:val="auto"/>
              </w:rPr>
              <w:t>16,391</w:t>
            </w:r>
          </w:p>
        </w:tc>
        <w:tc>
          <w:tcPr>
            <w:tcW w:w="1220" w:type="dxa"/>
            <w:vAlign w:val="bottom"/>
          </w:tcPr>
          <w:p>
            <w:pPr>
              <w:jc w:val="right"/>
              <w:spacing w:after="0"/>
              <w:rPr>
                <w:sz w:val="20"/>
                <w:szCs w:val="20"/>
                <w:color w:val="auto"/>
              </w:rPr>
            </w:pPr>
            <w:r>
              <w:rPr>
                <w:rFonts w:ascii="Arial" w:cs="Arial" w:eastAsia="Arial" w:hAnsi="Arial"/>
                <w:sz w:val="18"/>
                <w:szCs w:val="18"/>
                <w:color w:val="auto"/>
              </w:rPr>
              <w:t>20,481</w:t>
            </w:r>
          </w:p>
        </w:tc>
      </w:tr>
      <w:tr>
        <w:trPr>
          <w:trHeight w:val="229"/>
        </w:trPr>
        <w:tc>
          <w:tcPr>
            <w:tcW w:w="1260" w:type="dxa"/>
            <w:vAlign w:val="bottom"/>
          </w:tcPr>
          <w:p>
            <w:pPr>
              <w:jc w:val="right"/>
              <w:ind w:right="550"/>
              <w:spacing w:after="0"/>
              <w:rPr>
                <w:sz w:val="20"/>
                <w:szCs w:val="20"/>
                <w:color w:val="auto"/>
              </w:rPr>
            </w:pPr>
            <w:r>
              <w:rPr>
                <w:rFonts w:ascii="Arial" w:cs="Arial" w:eastAsia="Arial" w:hAnsi="Arial"/>
                <w:sz w:val="18"/>
                <w:szCs w:val="18"/>
                <w:color w:val="auto"/>
                <w:w w:val="89"/>
              </w:rPr>
              <w:t>(26,723)</w:t>
            </w:r>
          </w:p>
        </w:tc>
        <w:tc>
          <w:tcPr>
            <w:tcW w:w="1860" w:type="dxa"/>
            <w:vAlign w:val="bottom"/>
          </w:tcPr>
          <w:p>
            <w:pPr>
              <w:jc w:val="right"/>
              <w:ind w:right="510"/>
              <w:spacing w:after="0"/>
              <w:rPr>
                <w:sz w:val="20"/>
                <w:szCs w:val="20"/>
                <w:color w:val="auto"/>
              </w:rPr>
            </w:pPr>
            <w:r>
              <w:rPr>
                <w:rFonts w:ascii="Arial" w:cs="Arial" w:eastAsia="Arial" w:hAnsi="Arial"/>
                <w:sz w:val="18"/>
                <w:szCs w:val="18"/>
                <w:color w:val="auto"/>
              </w:rPr>
              <w:t>(20,919)</w:t>
            </w:r>
          </w:p>
        </w:tc>
        <w:tc>
          <w:tcPr>
            <w:tcW w:w="1220" w:type="dxa"/>
            <w:vAlign w:val="bottom"/>
          </w:tcPr>
          <w:p>
            <w:pPr>
              <w:jc w:val="right"/>
              <w:spacing w:after="0"/>
              <w:rPr>
                <w:sz w:val="20"/>
                <w:szCs w:val="20"/>
                <w:color w:val="auto"/>
              </w:rPr>
            </w:pPr>
            <w:r>
              <w:rPr>
                <w:rFonts w:ascii="Arial" w:cs="Arial" w:eastAsia="Arial" w:hAnsi="Arial"/>
                <w:sz w:val="18"/>
                <w:szCs w:val="18"/>
                <w:color w:val="auto"/>
              </w:rPr>
              <w:t>(22,117)</w:t>
            </w:r>
          </w:p>
        </w:tc>
      </w:tr>
      <w:tr>
        <w:trPr>
          <w:trHeight w:val="230"/>
        </w:trPr>
        <w:tc>
          <w:tcPr>
            <w:tcW w:w="1260" w:type="dxa"/>
            <w:vAlign w:val="bottom"/>
          </w:tcPr>
          <w:p>
            <w:pPr>
              <w:jc w:val="right"/>
              <w:ind w:right="550"/>
              <w:spacing w:after="0"/>
              <w:rPr>
                <w:sz w:val="20"/>
                <w:szCs w:val="20"/>
                <w:color w:val="auto"/>
              </w:rPr>
            </w:pPr>
            <w:r>
              <w:rPr>
                <w:rFonts w:ascii="Arial" w:cs="Arial" w:eastAsia="Arial" w:hAnsi="Arial"/>
                <w:sz w:val="18"/>
                <w:szCs w:val="18"/>
                <w:color w:val="auto"/>
              </w:rPr>
              <w:t>(1,515)</w:t>
            </w:r>
          </w:p>
        </w:tc>
        <w:tc>
          <w:tcPr>
            <w:tcW w:w="1860" w:type="dxa"/>
            <w:vAlign w:val="bottom"/>
          </w:tcPr>
          <w:p>
            <w:pPr>
              <w:jc w:val="right"/>
              <w:ind w:right="510"/>
              <w:spacing w:after="0"/>
              <w:rPr>
                <w:sz w:val="20"/>
                <w:szCs w:val="20"/>
                <w:color w:val="auto"/>
              </w:rPr>
            </w:pPr>
            <w:r>
              <w:rPr>
                <w:rFonts w:ascii="Arial" w:cs="Arial" w:eastAsia="Arial" w:hAnsi="Arial"/>
                <w:sz w:val="18"/>
                <w:szCs w:val="18"/>
                <w:color w:val="auto"/>
              </w:rPr>
              <w:t>(270)</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 w:lineRule="exact"/>
        <w:rPr>
          <w:sz w:val="20"/>
          <w:szCs w:val="20"/>
          <w:color w:val="auto"/>
        </w:rPr>
      </w:pPr>
    </w:p>
    <w:p>
      <w:pPr>
        <w:sectPr>
          <w:pgSz w:w="11900" w:h="16838" w:orient="portrait"/>
          <w:cols w:equalWidth="0" w:num="2">
            <w:col w:w="6160" w:space="720"/>
            <w:col w:w="43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Change in cash from financing activities</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(16,609)</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Effect of exchange rate changes on cash, cash equivalents, and restricted cash</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(5,102)</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2420" w:right="2320" w:hanging="2412"/>
        <w:spacing w:after="0" w:line="534" w:lineRule="auto"/>
        <w:tabs>
          <w:tab w:leader="none" w:pos="3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fiscal year ended January 28, 2022, other, net, includes a $4.0 billion pre-tax gain on the sale of Boomi, Inc. The accompanying notes are an integral part of these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Fiscal Year Ended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28, 2022</w:t>
            </w:r>
          </w:p>
        </w:tc>
        <w:tc>
          <w:tcPr>
            <w:tcW w:w="14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29, 2021</w:t>
            </w: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January 31, 2020</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including cash attributable to discontinued operations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Cash, cash equivalents, and restricted cash at end of the period, including cash</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740" w:type="dxa"/>
            <w:vAlign w:val="bottom"/>
          </w:tcPr>
          <w:p>
            <w:pPr>
              <w:ind w:left="140"/>
              <w:spacing w:after="0" w:line="156" w:lineRule="exact"/>
              <w:rPr>
                <w:sz w:val="20"/>
                <w:szCs w:val="20"/>
                <w:color w:val="auto"/>
              </w:rPr>
            </w:pPr>
            <w:r>
              <w:rPr>
                <w:rFonts w:ascii="Arial" w:cs="Arial" w:eastAsia="Arial" w:hAnsi="Arial"/>
                <w:sz w:val="18"/>
                <w:szCs w:val="18"/>
                <w:color w:val="auto"/>
                <w:w w:val="90"/>
              </w:rPr>
              <w:t>Less: Cash, cash equivalents, and restricted cash attributable to discontinued</w:t>
            </w:r>
          </w:p>
        </w:tc>
        <w:tc>
          <w:tcPr>
            <w:tcW w:w="180" w:type="dxa"/>
            <w:vAlign w:val="bottom"/>
          </w:tcPr>
          <w:p>
            <w:pPr>
              <w:spacing w:after="0"/>
              <w:rPr>
                <w:sz w:val="13"/>
                <w:szCs w:val="13"/>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from continuing operations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paid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1,257</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1,421</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Arial" w:cs="Arial" w:eastAsia="Arial" w:hAnsi="Arial"/>
                <w:sz w:val="16"/>
                <w:szCs w:val="16"/>
                <w:b w:val="1"/>
                <w:bCs w:val="1"/>
                <w:color w:val="auto"/>
              </w:rPr>
              <w:t>Common Stock and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820" w:type="dxa"/>
            <w:vAlign w:val="bottom"/>
            <w:gridSpan w:val="5"/>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Capital in Excess of Par</w:t>
            </w:r>
          </w:p>
        </w:tc>
        <w:tc>
          <w:tcPr>
            <w:tcW w:w="18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3"/>
              </w:rPr>
              <w:t>Value</w:t>
            </w:r>
          </w:p>
        </w:tc>
        <w:tc>
          <w:tcPr>
            <w:tcW w:w="182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5"/>
              </w:rPr>
              <w:t>Dell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5"/>
              </w:rPr>
              <w:t>Technologies</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Issued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Other</w:t>
            </w:r>
          </w:p>
        </w:tc>
        <w:tc>
          <w:tcPr>
            <w:tcW w:w="116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Stockholders</w:t>
            </w: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3"/>
            <w:vMerge w:val="continue"/>
          </w:tcPr>
          <w:p>
            <w:pPr>
              <w:spacing w:after="0"/>
              <w:rPr>
                <w:sz w:val="14"/>
                <w:szCs w:val="14"/>
                <w:color w:val="auto"/>
              </w:rPr>
            </w:pPr>
          </w:p>
        </w:tc>
        <w:tc>
          <w:tcPr>
            <w:tcW w:w="120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6"/>
              </w:rPr>
              <w:t>Comprehensive</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4"/>
                <w:szCs w:val="14"/>
                <w:color w:val="auto"/>
              </w:rPr>
            </w:pPr>
          </w:p>
        </w:tc>
        <w:tc>
          <w:tcPr>
            <w:tcW w:w="9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Income/(Loss)</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45"/>
        </w:trPr>
        <w:tc>
          <w:tcPr>
            <w:tcW w:w="188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w w:val="99"/>
              </w:rPr>
              <w:t>Balances as of February</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16,114</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(21,349)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(5,765)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4,823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1, 2019</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Adjustment for adoption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of accounting standards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5,529</w:t>
            </w: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Foreign currency</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Cash flow hedges, net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Pension and other post-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retirement</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common</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Stock-based</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compensation expense</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Treasury stock</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Revaluation of</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redeemable shares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Impact from equity</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transactions of non-</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controlling interests</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8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Balances as of January</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16,091</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(16,891)</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(709)</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(1,574)</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4,729</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194"/>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31, 2020</w:t>
            </w: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Arial" w:cs="Arial" w:eastAsia="Arial" w:hAnsi="Arial"/>
                <w:sz w:val="16"/>
                <w:szCs w:val="16"/>
                <w:b w:val="1"/>
                <w:bCs w:val="1"/>
                <w:color w:val="auto"/>
              </w:rPr>
              <w:t>Common Stock and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820" w:type="dxa"/>
            <w:vAlign w:val="bottom"/>
            <w:gridSpan w:val="5"/>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Capital in Excess of Par</w:t>
            </w:r>
          </w:p>
        </w:tc>
        <w:tc>
          <w:tcPr>
            <w:tcW w:w="18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3"/>
              </w:rPr>
              <w:t>Value</w:t>
            </w:r>
          </w:p>
        </w:tc>
        <w:tc>
          <w:tcPr>
            <w:tcW w:w="182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5"/>
              </w:rPr>
              <w:t>Dell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5"/>
              </w:rPr>
              <w:t>Technologies</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Issued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Other</w:t>
            </w:r>
          </w:p>
        </w:tc>
        <w:tc>
          <w:tcPr>
            <w:tcW w:w="116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3"/>
            <w:vMerge w:val="continue"/>
          </w:tcPr>
          <w:p>
            <w:pPr>
              <w:spacing w:after="0"/>
              <w:rPr>
                <w:sz w:val="14"/>
                <w:szCs w:val="14"/>
                <w:color w:val="auto"/>
              </w:rPr>
            </w:pP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4"/>
                <w:szCs w:val="14"/>
                <w:color w:val="auto"/>
              </w:rPr>
            </w:pPr>
          </w:p>
        </w:tc>
        <w:tc>
          <w:tcPr>
            <w:tcW w:w="9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Income/(Loss)</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45"/>
        </w:trPr>
        <w:tc>
          <w:tcPr>
            <w:tcW w:w="188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Balances as of</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16,091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(16,891)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4,729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January 31, 2020</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Adjustment for adoption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of accounting standards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Foreign currency</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Cash flow hedges, net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Pension and other post-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retirement</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common</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Stock-based</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462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compensation expense</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Treasury stock</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Revaluation of</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redeemable shares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Impact from equity</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transactions of non-</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controlling interests</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8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Balances as of</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761</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16,849</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(13,751)</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2,479</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5,074</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7,553</w:t>
            </w:r>
          </w:p>
        </w:tc>
        <w:tc>
          <w:tcPr>
            <w:tcW w:w="0" w:type="dxa"/>
            <w:vAlign w:val="bottom"/>
          </w:tcPr>
          <w:p>
            <w:pPr>
              <w:spacing w:after="0"/>
              <w:rPr>
                <w:sz w:val="1"/>
                <w:szCs w:val="1"/>
                <w:color w:val="auto"/>
              </w:rPr>
            </w:pPr>
          </w:p>
        </w:tc>
      </w:tr>
      <w:tr>
        <w:trPr>
          <w:trHeight w:val="194"/>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January 29, 2021</w:t>
            </w: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Arial" w:cs="Arial" w:eastAsia="Arial" w:hAnsi="Arial"/>
                <w:sz w:val="16"/>
                <w:szCs w:val="16"/>
                <w:b w:val="1"/>
                <w:bCs w:val="1"/>
                <w:color w:val="auto"/>
              </w:rPr>
              <w:t>Common Stock and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820" w:type="dxa"/>
            <w:vAlign w:val="bottom"/>
            <w:gridSpan w:val="5"/>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Capital in Excess of Par</w:t>
            </w:r>
          </w:p>
        </w:tc>
        <w:tc>
          <w:tcPr>
            <w:tcW w:w="18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3"/>
              </w:rPr>
              <w:t>Value</w:t>
            </w:r>
          </w:p>
        </w:tc>
        <w:tc>
          <w:tcPr>
            <w:tcW w:w="182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5"/>
              </w:rPr>
              <w:t>Dell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5"/>
              </w:rPr>
              <w:t>Technologies</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Issued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Other</w:t>
            </w:r>
          </w:p>
        </w:tc>
        <w:tc>
          <w:tcPr>
            <w:tcW w:w="116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3"/>
            <w:vMerge w:val="continue"/>
          </w:tcPr>
          <w:p>
            <w:pPr>
              <w:spacing w:after="0"/>
              <w:rPr>
                <w:sz w:val="14"/>
                <w:szCs w:val="14"/>
                <w:color w:val="auto"/>
              </w:rPr>
            </w:pPr>
          </w:p>
        </w:tc>
        <w:tc>
          <w:tcPr>
            <w:tcW w:w="1200" w:type="dxa"/>
            <w:vAlign w:val="bottom"/>
            <w:gridSpan w:val="3"/>
          </w:tcPr>
          <w:p>
            <w:pPr>
              <w:jc w:val="right"/>
              <w:ind w:right="10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4"/>
                <w:szCs w:val="14"/>
                <w:color w:val="auto"/>
              </w:rPr>
            </w:pPr>
          </w:p>
        </w:tc>
        <w:tc>
          <w:tcPr>
            <w:tcW w:w="9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2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Income/(Loss)</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45"/>
        </w:trPr>
        <w:tc>
          <w:tcPr>
            <w:tcW w:w="188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Balances as of</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16,849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6"/>
                <w:szCs w:val="16"/>
                <w:color w:val="auto"/>
                <w:w w:val="96"/>
              </w:rPr>
              <w:t>(305)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(13,751)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5,074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January 29, 2021</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5,707</w:t>
            </w: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Foreign currency</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adjustments</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Cash flow hedges, net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change</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Pension and other post-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retirement</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Issuance of common</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stock</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Stock-based</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expense</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Treasury stock</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ind w:left="340"/>
              <w:spacing w:after="0"/>
              <w:rPr>
                <w:sz w:val="20"/>
                <w:szCs w:val="20"/>
                <w:color w:val="auto"/>
              </w:rPr>
            </w:pPr>
            <w:r>
              <w:rPr>
                <w:rFonts w:ascii="Arial" w:cs="Arial" w:eastAsia="Arial" w:hAnsi="Arial"/>
                <w:sz w:val="16"/>
                <w:szCs w:val="16"/>
                <w:color w:val="auto"/>
                <w:w w:val="96"/>
              </w:rPr>
              <w:t>(659)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repurchases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Revaluation of</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redeemable shares</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line="166" w:lineRule="exact"/>
              <w:rPr>
                <w:sz w:val="20"/>
                <w:szCs w:val="20"/>
                <w:color w:val="auto"/>
              </w:rPr>
            </w:pPr>
            <w:r>
              <w:rPr>
                <w:rFonts w:ascii="Arial" w:cs="Arial" w:eastAsia="Arial" w:hAnsi="Arial"/>
                <w:sz w:val="16"/>
                <w:szCs w:val="16"/>
                <w:color w:val="auto"/>
              </w:rPr>
              <w:t>Impact from equity</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40"/>
              <w:spacing w:after="0" w:line="162" w:lineRule="exact"/>
              <w:rPr>
                <w:sz w:val="20"/>
                <w:szCs w:val="20"/>
                <w:color w:val="auto"/>
              </w:rPr>
            </w:pPr>
            <w:r>
              <w:rPr>
                <w:rFonts w:ascii="Arial" w:cs="Arial" w:eastAsia="Arial" w:hAnsi="Arial"/>
                <w:sz w:val="16"/>
                <w:szCs w:val="16"/>
                <w:color w:val="auto"/>
              </w:rPr>
              <w:t>transactions of non-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controlling interests</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Dividends paid by</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VMware, Inc. to non-</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controlling interests</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140"/>
              <w:spacing w:after="0"/>
              <w:rPr>
                <w:sz w:val="20"/>
                <w:szCs w:val="20"/>
                <w:color w:val="auto"/>
              </w:rPr>
            </w:pPr>
            <w:r>
              <w:rPr>
                <w:rFonts w:ascii="Arial" w:cs="Arial" w:eastAsia="Arial" w:hAnsi="Arial"/>
                <w:sz w:val="16"/>
                <w:szCs w:val="16"/>
                <w:color w:val="auto"/>
              </w:rPr>
              <w:t>Spin-off of VMware, Inc.</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(10,162)</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(13,049)</w:t>
            </w:r>
          </w:p>
        </w:tc>
        <w:tc>
          <w:tcPr>
            <w:tcW w:w="0" w:type="dxa"/>
            <w:vAlign w:val="bottom"/>
          </w:tcPr>
          <w:p>
            <w:pPr>
              <w:spacing w:after="0"/>
              <w:rPr>
                <w:sz w:val="1"/>
                <w:szCs w:val="1"/>
                <w:color w:val="auto"/>
              </w:rPr>
            </w:pPr>
          </w:p>
        </w:tc>
      </w:tr>
      <w:tr>
        <w:trPr>
          <w:trHeight w:val="145"/>
        </w:trPr>
        <w:tc>
          <w:tcPr>
            <w:tcW w:w="188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Balances as of</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7,898</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6"/>
                <w:szCs w:val="16"/>
                <w:color w:val="auto"/>
                <w:w w:val="96"/>
              </w:rPr>
              <w:t>(964)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(8,188)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January 28, 2022</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OVERVIEW AND BASIS OF PRESENTATION</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References in these Notes to the Consolidated Financial Statements to the “Company” or “Dell Technologies” mean Dell Technologies Inc. individually and together with its consolidated subsidiaries.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These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(“GAAP”).</w:t>
      </w:r>
    </w:p>
    <w:p>
      <w:pPr>
        <w:spacing w:after="0" w:line="19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Spin-Off of VMware, Inc. </w:t>
      </w:r>
      <w:r>
        <w:rPr>
          <w:rFonts w:ascii="Arial" w:cs="Arial" w:eastAsia="Arial" w:hAnsi="Arial"/>
          <w:sz w:val="18"/>
          <w:szCs w:val="18"/>
          <w:color w:val="auto"/>
        </w:rPr>
        <w:t>— On November 1, 2021, the Company completed its previously announced spin-off of VMware, Inc. (NYSE: VMW)</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(individually and together with its consolidated subsidiaries, “VMware”) by means of a special stock dividend (the “VMware Spin-off”). The VMware Spin-off was effectuated pursuant to a Separation and Distribution Agreement, dated as of April 14, 2021 between Dell Technologies and VMware (the “Separation and Distribution Agreement”).</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the Commercial Framework Agreement (the “CFA”) entered in to between Dell Technologies and VMware, Dell Technologies will continue to act as a distributor of VMware’s standalone products and services and purchase such products and services for resale to customers. Dell Technologies will also continue to integrate VMware’s products and services with Dell Technologies’ offerings and sell them to customers. The results of such operations are presented as continuing operations within the Company’s Consolidated Statements of Income. See Note 3 of the Notes to the Consolidated Financial Statements for additional information on the VMware Spin-off.</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accordance with applicable accounting guidance, the results of VMware, excluding Dell's resale of VMware offerings, are presented as discontinued operations in the Consolidated Statements of Income and, as such, have been excluded from both continuing operations and segment results for all periods presented. Further, the Company reclassified the assets and liabilities of VMware as assets and liabilities of discontinued operations in the Consolidated Statements of Financial Position as of January 29, 2021. The Consolidated Statements of Cash Flows are presented on a consolidated basis for both continuing operations and discontinued operations.</w:t>
      </w:r>
    </w:p>
    <w:p>
      <w:pPr>
        <w:spacing w:after="0" w:line="2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Boomi Divestiture </w:t>
      </w:r>
      <w:r>
        <w:rPr>
          <w:rFonts w:ascii="Arial" w:cs="Arial" w:eastAsia="Arial" w:hAnsi="Arial"/>
          <w:sz w:val="17"/>
          <w:szCs w:val="17"/>
          <w:color w:val="auto"/>
        </w:rPr>
        <w:t>— On October 1, 2021, Dell Technologies completed the sale of Boomi, Inc. (“Boomi”) and certain related assets to Francisco Partners</w:t>
      </w:r>
      <w:r>
        <w:rPr>
          <w:rFonts w:ascii="Arial" w:cs="Arial" w:eastAsia="Arial" w:hAnsi="Arial"/>
          <w:sz w:val="17"/>
          <w:szCs w:val="17"/>
          <w:i w:val="1"/>
          <w:iCs w:val="1"/>
          <w:color w:val="auto"/>
        </w:rPr>
        <w:t xml:space="preserve"> </w:t>
      </w:r>
      <w:r>
        <w:rPr>
          <w:rFonts w:ascii="Arial" w:cs="Arial" w:eastAsia="Arial" w:hAnsi="Arial"/>
          <w:sz w:val="17"/>
          <w:szCs w:val="17"/>
          <w:color w:val="auto"/>
        </w:rPr>
        <w:t>and TPG Capital. At the completion of the sale, the Company received total cash consideration of approximately $4.0 billion, resulting in a pre-tax gain on sale of $4.0 billion recognized in interest and other, net on the Consolidated Statements of Income. The Company ultimately recorded a $3.0 billion gain, net of $1.0 billion in tax expense. The transaction was intended to support the Company’s focus on fueling growth initiatives through targeted investments to modernize Dell Technologies’ core infrastructure and by expanding in high-priority areas, including hybrid and private cloud, edge, telecommunications solutions, and the Company’s APEX offerings. Prior to the divestiture, Boomi’s operating results were included within other businesses and the divestiture did not qualify for presentation as a discontinued operation.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RSA Security Divestiture </w:t>
      </w:r>
      <w:r>
        <w:rPr>
          <w:rFonts w:ascii="Arial" w:cs="Arial" w:eastAsia="Arial" w:hAnsi="Arial"/>
          <w:sz w:val="18"/>
          <w:szCs w:val="18"/>
          <w:color w:val="auto"/>
        </w:rPr>
        <w:t>— On September 1, 2020, Dell Technologies completed the sale of RSA Security LLC (“RSA Security”) to a consortium led by</w:t>
      </w:r>
      <w:r>
        <w:rPr>
          <w:rFonts w:ascii="Arial" w:cs="Arial" w:eastAsia="Arial" w:hAnsi="Arial"/>
          <w:sz w:val="18"/>
          <w:szCs w:val="18"/>
          <w:i w:val="1"/>
          <w:iCs w:val="1"/>
          <w:color w:val="auto"/>
        </w:rPr>
        <w:t xml:space="preserve"> </w:t>
      </w:r>
      <w:r>
        <w:rPr>
          <w:rFonts w:ascii="Arial" w:cs="Arial" w:eastAsia="Arial" w:hAnsi="Arial"/>
          <w:sz w:val="18"/>
          <w:szCs w:val="18"/>
          <w:color w:val="auto"/>
        </w:rPr>
        <w:t>Symphony Technology Group, Ontario Teachers’ Pension Plan Board and AlpInvest Partners for total cash consideration of approximately $2.1 billion, resulting in a pre-tax gain on sale of $338 million. The Company ultimately recorded a $21 million loss, net of $359 million in tax expense due to the relatively low tax basis for the assets sold, particularly goodwill. The transaction included the sale of RSA Archer, RSA NetWitness Platform, RSA SecurID, RSA Fraud and Risk Intelligence, and RSA Conference and was intended to further simplify Dell Technologies’ product portfolio and corporate structure. Prior to the divestiture, RSA Security’s operating results were included within other businesses and the divestiture did not qualify for presentation as a discontinued operation.</w:t>
      </w:r>
    </w:p>
    <w:p>
      <w:pPr>
        <w:spacing w:after="0" w:line="22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Secureworks </w:t>
      </w:r>
      <w:r>
        <w:rPr>
          <w:rFonts w:ascii="Arial" w:cs="Arial" w:eastAsia="Arial" w:hAnsi="Arial"/>
          <w:sz w:val="16"/>
          <w:szCs w:val="16"/>
          <w:color w:val="auto"/>
        </w:rPr>
        <w:t>— As of January 28, 2022 and January 29, 2021, the Company held approximately 83.9% and 85.7%, respectively, of the outstanding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SecureWorks Corp. (“Secureworks”), excluding restricted stock awards (“RSAs”), and approximately 83.1% and 84.9%, respectively, of the equity interest, including RSAs. The portion of the results of operations of Secureworks allocable to its other owners is shown as net income attributable to the non-controlling interests in the Consolidated Statements of Income, as an adjustment to net income attributable to Dell Technologies stockholders. The non-controlling interests’ share of equity in Secureworks is reflected as a component of the non-controlling interests in the Consolidated Statements of Financial Position and was $105 million and $96 million as of January 28, 2022 and January 29,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DESCRIPTION OF BUSINESS AND SUMMARY OF SIGNIFICANT ACCOUNTING POLICIES</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Description of Business </w:t>
      </w:r>
      <w:r>
        <w:rPr>
          <w:rFonts w:ascii="Arial" w:cs="Arial" w:eastAsia="Arial" w:hAnsi="Arial"/>
          <w:sz w:val="18"/>
          <w:szCs w:val="18"/>
          <w:color w:val="auto"/>
        </w:rPr>
        <w:t>— The Company is a leading global end-to-end technology provider that offers a broad range of comprehensive and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which include servers and networking products, storage products, cloud solutions products, desktops, notebooks, services, software, and third-party software and peripherals.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fiscal year is the 52- or 53-week period ending on the Friday nearest January 31. The fiscal years ended January 28, 2022, January 29, 2021, and January 31, 2020 were 52-week periods.</w:t>
      </w:r>
    </w:p>
    <w:p>
      <w:pPr>
        <w:spacing w:after="0" w:line="19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Consolidated Financial Statements include the accounts of Dell Technologies and its wholly-owned subsidiaries,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the accounts of Secureworks, which, as indicated above, is majority-owned by Dell Technologies and VMware through the date of the VMware Spin-off. All intercompany transactions have been eliminated.</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also consolidates Variable Interest Entities ("VIEs") where it has been determined that the Company is the primary 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5 of the Notes to the Consolidated Financial Statements for more information regarding consolidated VIEs.</w:t>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accordance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amounts reported in the Consolidated Financial Statements and the accompanying Notes. Management has considered the actual and potential impacts of the coronavirus disease 2019 (“COVID-19”) pandemic on the Company’s critical and significant accounting estimates. Actual results could differ materially from those estimates.</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All highly liquid investments, including credit card receivables due from banks, with original maturities of 90 days or less at</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are reported at fair value and are considered to be cash equivalents. All other investments not considered to be cash equivalents are separately categorized as investments.</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 has strategic investments in equity securities as well as investments in fixed-income debt securities. All equity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recorded as long-term investments in the Consolidated Statements of Financial Position.</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Strategic investments in marketable equity and other securities are recorded at fair value based on quoted prices in active markets. Strategic investments in non-marketable equity and other securities without readily determinable fair values are recorded at cost, less impairment, and are adjusted for observable price changes. Fair value measurements and impairments for strategic investments are recognized in interest and other, net in the Consolidated Statements of Income.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Fixed-income debt securities are carried at amortized cost. The Company intends to hold the fixed-income debt securities to maturity.</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Allowance for Expected Credit Losses </w:t>
      </w:r>
      <w:r>
        <w:rPr>
          <w:rFonts w:ascii="Arial" w:cs="Arial" w:eastAsia="Arial" w:hAnsi="Arial"/>
          <w:sz w:val="16"/>
          <w:szCs w:val="16"/>
          <w:color w:val="auto"/>
        </w:rPr>
        <w:t>— The Company recognizes an allowance for losses on accounts receivable in an amount equal to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Company’s policy for estimating this allowance is based on an expected loss model and reflects the adoption of the accounting standard related to current expected credit losses in the fiscal year ended January 29, 2021. See “Recently Adopted Accounting Pronouncements” in this Note for more information. In prior periods, this allowance was estimated using an incurred loss model, which did not require the consideration of forward-looking information and conditions in the reserve calculation.</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Accounting for Operating Leases as a Lessee — </w:t>
      </w:r>
      <w:r>
        <w:rPr>
          <w:rFonts w:ascii="Arial" w:cs="Arial" w:eastAsia="Arial" w:hAnsi="Arial"/>
          <w:sz w:val="17"/>
          <w:szCs w:val="17"/>
          <w:color w:val="auto"/>
        </w:rPr>
        <w:t>In its ordinary course of business, the Company enters into leases as a lessee for office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warehouses, employee vehicles, and equipment. The Company determines if an arrangement is a lease or contains a lease at inception.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commencement,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w:t>
      </w:r>
    </w:p>
    <w:p>
      <w:pPr>
        <w:spacing w:after="0" w:line="20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lease term may include options to extend or to terminate the lease that the Company is reasonably certain to exercise. . The Company has elected not to record leases with an initial term of 12 months or less on the Consolidated Statements of Financial Position. Lease expense is recognized on a straight-line basis over the lease term in most instances. The Company does not generate material sublease income and has no material related party leases. The Company’s lease agreements do not contain any material residual value guarantees or material restrictive covenants.</w:t>
      </w:r>
    </w:p>
    <w:p>
      <w:pPr>
        <w:spacing w:after="0" w:line="1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office building agreements contain costs such as common area maintenance and other executory costs that may be either fixed or variable in nature. Variable lease costs are expensed as incurred. The Company combines lease and non-lease components, including fixed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6 of the Notes to the Consolidated Financial Statements for additional information.</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Accounting for Leases as a Lessor — </w:t>
      </w:r>
      <w:r>
        <w:rPr>
          <w:rFonts w:ascii="Arial" w:cs="Arial" w:eastAsia="Arial" w:hAnsi="Arial"/>
          <w:sz w:val="16"/>
          <w:szCs w:val="16"/>
          <w:color w:val="auto"/>
        </w:rPr>
        <w:t>The Company’s wholly-owned subsidiary Dell Financial Services and its affiliates (“DFS”) act as a lessor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financing to customers through a variety of lease arrangements (“DFS leases”). The Company’s leases are classified as sales-type leases, direct financing leases, or operating leases. Direct financing leases are immaterial. Leases that commenced prior to the adoption of the current lease standard were not reassessed or restated pursuant to the practical expedients elected and continue to be accounted for under previous lease accounting guidance.</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also offers alternative payment structures and “as-a-Service” offerings that are assessed to determine whether an embedded lease arrangement exists. The Company accounts for those contracts as a lease arrangement if it is determined that the contract contains an identified asset and that control of that asset has transferred to the customer.</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When a contract includes lease and non-lease components, the Company allocates consideration under the contract to each component based on relative standalone selling price and subsequently assesses lease classification for each lease component within a contract. DFS provides lessees with the option to extend the lease or purchase the underlying asset at the end of the lease term, which is considered when evaluating lease classification. In general, DFS’s lease arrangements do not have variable payment terms and are typically non-cancelable.</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commencement of sales-type leases, the Company recognizes profit up-front, and amounts due from the customer under the lease contract are recognized as financing receivables on the Consolidated Statements of Financial Position. Interest income is recognized as net product revenue over the term of the lease based on the effective interest method. The Company has elected not to include sales and other taxes collected from the lessee as part of lease revenue.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All other leases that do not meet the definition of a sales-type lease or direct financing lease are classified as operating leases. The underlying asset in an operating lease arrangement is carried at depreciated cost as “Equipment under operating leases”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residual value is based upon estimates of the value of the equipment at the end of the lease term using historical studies, industry data, and future value-at-risk demand valuation methods. The Company recognizes operating lease income to product revenue generally on a straight-line basis over the lease term and expenses deferred initial direct costs on the same basis. The Company recognizes variable operating lease income to product revenue generally as earned. Impairment of equipment under operating leases is assessed on the same basis as other long-lived assets.</w:t>
      </w:r>
    </w:p>
    <w:p>
      <w:pPr>
        <w:spacing w:after="0" w:line="2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Financing Receivables </w:t>
      </w:r>
      <w:r>
        <w:rPr>
          <w:rFonts w:ascii="Arial" w:cs="Arial" w:eastAsia="Arial" w:hAnsi="Arial"/>
          <w:sz w:val="17"/>
          <w:szCs w:val="17"/>
          <w:color w:val="auto"/>
        </w:rPr>
        <w:t>— Financing receivables are presented net of allowance for losses and consist of customer receivables and residual interest. Gross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receivables include amounts due from customers under revolving loans, fixed-term loans, fixed-term sales-type or direct financing leases, and accrued interest. The Company has two portfolios, consisting of (i) fixed-term leases and loans and (ii) revolving loans, and assesses risk at the portfolio level to determine the appropriate allowance levels. The portfolio segments are further segregated into classes based on products, customer type, and credit risk evaluation: (i) Revolving — Dell Preferred Account (“DPA”); (ii) Revolving — Dell Business Credit (“DBC”); and (iii) Fixed-term — Consumer and Commercial. Fixed-term leases and loans are offered to qualified small and medium-sized businesses, large commercial accounts, governmental organizations, and educational entities. Fixed-term loans are also offered to qualified individual consumers. Revolving loans are offered under private label credit financing programs. The DPA revolving loan programs are primarily offered to individual consumers and the DBC revolving loan programs are primarily offered to small and medium-sized business customers.</w:t>
      </w:r>
    </w:p>
    <w:p>
      <w:pPr>
        <w:spacing w:after="0" w:line="2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w:t>
      </w:r>
    </w:p>
    <w:p>
      <w:pPr>
        <w:spacing w:after="0" w:line="21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Allowance for Financing Receivables Losses </w:t>
      </w:r>
      <w:r>
        <w:rPr>
          <w:rFonts w:ascii="Arial" w:cs="Arial" w:eastAsia="Arial" w:hAnsi="Arial"/>
          <w:sz w:val="16"/>
          <w:szCs w:val="16"/>
          <w:color w:val="auto"/>
        </w:rPr>
        <w:t>— The Company recognizes an allowance for financing receivable losses, including both the lease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and unguaranteed residual, in an amount equal to the probable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Both fixed and revolving financing receivable loss rates are affected by macroeconomic conditions, including the level of gross domestic product (“GDP”) growth, the level of commercial capital equipment investment, unemployment rates, and the credit quality of the borrower.</w:t>
      </w:r>
    </w:p>
    <w:p>
      <w:pPr>
        <w:spacing w:after="0" w:line="19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Generally, expected credit losses as a result of residual value risk on equipment under lease are not considered to be significant primarily because of the existence of a secondary market with respect to the equipment. The lease agreement also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an account is deemed to be uncollectible, customer account principal and interest are charged off to the allowance for losses.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w:t>
      </w:r>
    </w:p>
    <w:p>
      <w:pPr>
        <w:spacing w:after="0" w:line="21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Asset Securitization </w:t>
      </w:r>
      <w:r>
        <w:rPr>
          <w:rFonts w:ascii="Arial" w:cs="Arial" w:eastAsia="Arial" w:hAnsi="Arial"/>
          <w:sz w:val="16"/>
          <w:szCs w:val="16"/>
          <w:color w:val="auto"/>
        </w:rPr>
        <w:t>— The Company transfers certain U.S. and European customer loan and lease payments and associated equipment to Special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loan and lease payments and associated equipment in the capital markets. Some of these SPEs have entered into financing arrangements with multi-seller conduits that, in turn, issue asset-backed debt securities in the capital markets. The asset securitizations in the SPEs are accounted for as secured borrowings.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net realizable value, with cost being determined on a first-in, first-out basis. Adjustments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cost of inventory to its net realizable value are made, if required, for estimated excess, obsolescence, or impaired balances. At the point of the loss recognition, a new, lower cost basis for that inventory is established, and subsequent changes in facts and circumstances do not result in the restoration or increase in the newly established cost basis.</w:t>
      </w:r>
    </w:p>
    <w:p>
      <w:pPr>
        <w:spacing w:after="0" w:line="21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carried at depreciated cost. Depreciation is determined using the straight-line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shorter of the estimated useful lives of the assets or the lease term, as applicable. The estimated useful lives of the Company’s property, plant, and equipment are generally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40" w:type="dxa"/>
            <w:vAlign w:val="bottom"/>
            <w:tcBorders>
              <w:bottom w:val="single" w:sz="8" w:color="CCEEFF"/>
            </w:tcBorders>
          </w:tcPr>
          <w:p>
            <w:pPr>
              <w:spacing w:after="0"/>
              <w:rPr>
                <w:sz w:val="20"/>
                <w:szCs w:val="20"/>
                <w:color w:val="auto"/>
              </w:rPr>
            </w:pPr>
          </w:p>
        </w:tc>
        <w:tc>
          <w:tcPr>
            <w:tcW w:w="644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Estimated Useful Life</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 years</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Equipment under operating leases</w:t>
            </w:r>
          </w:p>
        </w:tc>
        <w:tc>
          <w:tcPr>
            <w:tcW w:w="6440" w:type="dxa"/>
            <w:vAlign w:val="bottom"/>
          </w:tcPr>
          <w:p>
            <w:pPr>
              <w:ind w:left="20"/>
              <w:spacing w:after="0"/>
              <w:rPr>
                <w:sz w:val="20"/>
                <w:szCs w:val="20"/>
                <w:color w:val="auto"/>
              </w:rPr>
            </w:pPr>
            <w:r>
              <w:rPr>
                <w:rFonts w:ascii="Arial" w:cs="Arial" w:eastAsia="Arial" w:hAnsi="Arial"/>
                <w:sz w:val="18"/>
                <w:szCs w:val="18"/>
                <w:color w:val="auto"/>
              </w:rPr>
              <w:t>Term of underlying lease contract</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10-30 years or term of underlying land lease</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440" w:type="dxa"/>
            <w:vAlign w:val="bottom"/>
          </w:tcPr>
          <w:p>
            <w:pPr>
              <w:ind w:left="20"/>
              <w:spacing w:after="0"/>
              <w:rPr>
                <w:sz w:val="20"/>
                <w:szCs w:val="20"/>
                <w:color w:val="auto"/>
              </w:rPr>
            </w:pPr>
            <w:r>
              <w:rPr>
                <w:rFonts w:ascii="Arial" w:cs="Arial" w:eastAsia="Arial" w:hAnsi="Arial"/>
                <w:sz w:val="18"/>
                <w:szCs w:val="18"/>
                <w:color w:val="auto"/>
              </w:rPr>
              <w:t>5 years or contract term</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 years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related to retirements or dispositions of fixed assets are recognized in the period during which the retirement or disposition occurs.</w:t>
      </w:r>
    </w:p>
    <w:p>
      <w:pPr>
        <w:spacing w:after="0" w:line="26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Capitalized Software Development Costs </w:t>
      </w:r>
      <w:r>
        <w:rPr>
          <w:rFonts w:ascii="Arial" w:cs="Arial" w:eastAsia="Arial" w:hAnsi="Arial"/>
          <w:sz w:val="18"/>
          <w:szCs w:val="18"/>
          <w:color w:val="auto"/>
        </w:rPr>
        <w:t>— Software development costs related to the development of new product offerings are capitalized subsequent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establishment of technological feasibility, which is demonstrated by the completion of a detailed program design or working model, if no program design is completed. The Company amortizes capitalized costs on a straight-line basis over the estimated useful lives of the products, which generally range from two to four years.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January 28, 2022 and January 29, 2021, capitalized software development costs were $672 million and $610 million, respectively, and are included in other non-current assets, net in the accompanying Consolidated Statements of Financial Position. Amortization expense for the fiscal years ended January 28, 2022, January 29, 2021, and January 31, 2020 was $263 million, $315 million, and $273 million, respectively.</w:t>
      </w:r>
    </w:p>
    <w:p>
      <w:pPr>
        <w:spacing w:after="0" w:line="192"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 Company capitalizes certain internal and external costs to acquire or create internal use software which are incurred subsequent to the completion of the preliminary project stage. Development costs are generally amortized on a straight-line basis over five years. Costs associated with maintenance and minor enhancements to the features and functionality of the Company’s internal use software, including its website, are expensed as incurred.</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The Company reviews long-lived assets for impairment when events or changes in circumstances indicate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an asset may not be recoverable. The Company assesses the recoverability of the assets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spacing w:after="0" w:line="2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Intangible Assets Including Goodwill </w:t>
      </w:r>
      <w:r>
        <w:rPr>
          <w:rFonts w:ascii="Arial" w:cs="Arial" w:eastAsia="Arial" w:hAnsi="Arial"/>
          <w:sz w:val="18"/>
          <w:szCs w:val="18"/>
          <w:color w:val="auto"/>
        </w:rPr>
        <w:t>— Identifiable intangible assets with finite lives are amortized over their estimated useful lives.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are not amortized. Definite-lived intangible assets are 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majority of the Company’s international sales are made by international subsidiaries, some of which have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 as their functional currency. The Company’s subsidiaries that do not use the U.S. Dollar as their functional currency translate assets and liabilities at current exchange rates in effect at the balance sheet date. Revenue and expenses from these international subsidiaries are translated using either the monthly average exchange rates in effect for the period in which the activity was recognized or the specific daily exchange rate associated with the date the transactions actually occur. Foreign currency translation adjustments are included as a component of accumulated other comprehensive income (loss) (“AOCI”) in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Local currency transactions of international subsidiaries that have the U.S. Dollar as their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 on the Consolidated Statements of Income. See Note 20 of the Notes to the Consolidated Financial Statements for amounts recognized from remeasurement during the periods presented.</w:t>
      </w:r>
    </w:p>
    <w:p>
      <w:pPr>
        <w:spacing w:after="0" w:line="198"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i w:val="1"/>
          <w:iCs w:val="1"/>
          <w:color w:val="auto"/>
        </w:rPr>
        <w:t xml:space="preserve">Hedging Instruments </w:t>
      </w:r>
      <w:r>
        <w:rPr>
          <w:rFonts w:ascii="Arial" w:cs="Arial" w:eastAsia="Arial" w:hAnsi="Arial"/>
          <w:sz w:val="16"/>
          <w:szCs w:val="16"/>
          <w:color w:val="auto"/>
        </w:rPr>
        <w:t>— The Company uses derivative financial instruments, primarily forward contracts, options, and swaps, to hedge certain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w:t>
      </w:r>
    </w:p>
    <w:p>
      <w:pPr>
        <w:spacing w:after="0" w:line="184"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Company’s hedge portfolio includes non-designated derivatives and derivatives designated as cash flow hedges. For derivative instruments that are designated as cash flow hedges, the Company assesses hedge effectiveness at the onset of the hedge, then performs qualitative assessments at regular intervals throughout the life of the derivative. The gain or loss on cash flow hedges is recorded in accumulated other comprehensive income (loss), as a separate component of stockholders’ equity (deficit), and reclassified into earnings in the period during which the hedged transaction is recognized in earnings. For derivatives that are not designated as hedges or do not qualify for hedge accounting treatment, the Company recognizes the change in the instrument’s fair value currently in earnings as a component of interest and other, net.</w:t>
      </w:r>
    </w:p>
    <w:p>
      <w:pPr>
        <w:spacing w:after="0" w:line="20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Cash flows from derivative instruments are presented in the same category on the Consolidated Statements of Cash Flows as the cash flows from the underlying hedged items. See Note 8 of the Notes to the Consolidated Financial Statements for a description of the Company’s derivative financial instrument activities.</w:t>
      </w:r>
    </w:p>
    <w:p>
      <w:pPr>
        <w:spacing w:after="0" w:line="211" w:lineRule="exact"/>
        <w:rPr>
          <w:sz w:val="20"/>
          <w:szCs w:val="20"/>
          <w:color w:val="auto"/>
        </w:rPr>
      </w:pPr>
    </w:p>
    <w:p>
      <w:pPr>
        <w:jc w:val="both"/>
        <w:ind w:right="800"/>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sells a wide portfolio of products and services to its customers. The Company’s agreements have varying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depending on the goods and services being sold, the rights and obligations conveyed, and the legal jurisdiction of the arrangement.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for these arrangements based on the following five steps:</w:t>
      </w:r>
    </w:p>
    <w:p>
      <w:pPr>
        <w:spacing w:after="0" w:line="252" w:lineRule="exact"/>
        <w:rPr>
          <w:sz w:val="20"/>
          <w:szCs w:val="20"/>
          <w:color w:val="auto"/>
        </w:rPr>
      </w:pPr>
    </w:p>
    <w:p>
      <w:pPr>
        <w:jc w:val="both"/>
        <w:ind w:left="660" w:right="120" w:hanging="328"/>
        <w:spacing w:after="0" w:line="291" w:lineRule="auto"/>
        <w:tabs>
          <w:tab w:leader="none" w:pos="726"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Identify the contract with a customer. </w:t>
      </w:r>
      <w:r>
        <w:rPr>
          <w:rFonts w:ascii="Arial" w:cs="Arial" w:eastAsia="Arial" w:hAnsi="Arial"/>
          <w:sz w:val="16"/>
          <w:szCs w:val="16"/>
          <w:color w:val="auto"/>
        </w:rPr>
        <w:t>The Company evaluates facts and circumstances regarding sales transactions in order to identify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its customers. An agreement must meet all of the following criteria to qualify as a contract eligible for revenue recognition under the model:</w:t>
      </w:r>
    </w:p>
    <w:p>
      <w:pPr>
        <w:ind w:left="660" w:right="60"/>
        <w:spacing w:after="0" w:line="292" w:lineRule="auto"/>
        <w:rPr>
          <w:rFonts w:ascii="Arial" w:cs="Arial" w:eastAsia="Arial" w:hAnsi="Arial"/>
          <w:sz w:val="16"/>
          <w:szCs w:val="16"/>
          <w:i w:val="1"/>
          <w:iCs w:val="1"/>
          <w:color w:val="auto"/>
        </w:rPr>
      </w:pPr>
      <w:r>
        <w:rPr>
          <w:rFonts w:ascii="Arial" w:cs="Arial" w:eastAsia="Arial" w:hAnsi="Arial"/>
          <w:sz w:val="16"/>
          <w:szCs w:val="16"/>
          <w:color w:val="auto"/>
        </w:rPr>
        <w:t>(i)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162" w:lineRule="exact"/>
        <w:rPr>
          <w:rFonts w:ascii="Arial" w:cs="Arial" w:eastAsia="Arial" w:hAnsi="Arial"/>
          <w:sz w:val="16"/>
          <w:szCs w:val="16"/>
          <w:i w:val="1"/>
          <w:iCs w:val="1"/>
          <w:color w:val="auto"/>
        </w:rPr>
      </w:pPr>
    </w:p>
    <w:p>
      <w:pPr>
        <w:ind w:left="660" w:right="40" w:hanging="328"/>
        <w:spacing w:after="0" w:line="286" w:lineRule="auto"/>
        <w:tabs>
          <w:tab w:leader="none" w:pos="726"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Identify the performance obligations in the contract. </w:t>
      </w:r>
      <w:r>
        <w:rPr>
          <w:rFonts w:ascii="Arial" w:cs="Arial" w:eastAsia="Arial" w:hAnsi="Arial"/>
          <w:sz w:val="16"/>
          <w:szCs w:val="16"/>
          <w:color w:val="auto"/>
        </w:rPr>
        <w:t>The Company’s contracts with customers often include the promise to transfer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goods and services to the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support and maintenance agreements,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line="257" w:lineRule="auto"/>
        <w:tabs>
          <w:tab w:leader="none" w:pos="726"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Determine the transaction price. </w:t>
      </w:r>
      <w:r>
        <w:rPr>
          <w:rFonts w:ascii="Arial" w:cs="Arial" w:eastAsia="Arial" w:hAnsi="Arial"/>
          <w:sz w:val="18"/>
          <w:szCs w:val="18"/>
          <w:color w:val="auto"/>
        </w:rPr>
        <w:t>The transaction price reflects the amount of consideration to which the Company expects to be entitled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spacing w:after="0" w:line="214" w:lineRule="exact"/>
        <w:rPr>
          <w:rFonts w:ascii="Arial" w:cs="Arial" w:eastAsia="Arial" w:hAnsi="Arial"/>
          <w:sz w:val="18"/>
          <w:szCs w:val="18"/>
          <w:i w:val="1"/>
          <w:iCs w:val="1"/>
          <w:color w:val="auto"/>
        </w:rPr>
      </w:pPr>
    </w:p>
    <w:p>
      <w:pPr>
        <w:ind w:left="660" w:right="160" w:hanging="328"/>
        <w:spacing w:after="0" w:line="279" w:lineRule="auto"/>
        <w:tabs>
          <w:tab w:leader="none" w:pos="722"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Allocate the transaction price to performance obligations in the contract. </w:t>
      </w:r>
      <w:r>
        <w:rPr>
          <w:rFonts w:ascii="Arial" w:cs="Arial" w:eastAsia="Arial" w:hAnsi="Arial"/>
          <w:sz w:val="17"/>
          <w:szCs w:val="17"/>
          <w:color w:val="auto"/>
        </w:rPr>
        <w:t>When a contract includes multiple performance obligations,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198" w:lineRule="exact"/>
        <w:rPr>
          <w:sz w:val="20"/>
          <w:szCs w:val="20"/>
          <w:color w:val="auto"/>
        </w:rPr>
      </w:pPr>
    </w:p>
    <w:p>
      <w:pPr>
        <w:ind w:left="660" w:right="440"/>
        <w:spacing w:after="0" w:line="257" w:lineRule="auto"/>
        <w:rPr>
          <w:sz w:val="20"/>
          <w:szCs w:val="20"/>
          <w:color w:val="auto"/>
        </w:rPr>
      </w:pPr>
      <w:r>
        <w:rPr>
          <w:rFonts w:ascii="Arial" w:cs="Arial" w:eastAsia="Arial" w:hAnsi="Arial"/>
          <w:sz w:val="18"/>
          <w:szCs w:val="18"/>
          <w:color w:val="auto"/>
        </w:rPr>
        <w:t>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215" w:lineRule="exact"/>
        <w:rPr>
          <w:sz w:val="20"/>
          <w:szCs w:val="20"/>
          <w:color w:val="auto"/>
        </w:rPr>
      </w:pPr>
    </w:p>
    <w:p>
      <w:pPr>
        <w:ind w:left="660" w:right="60" w:hanging="328"/>
        <w:spacing w:after="0" w:line="255" w:lineRule="auto"/>
        <w:tabs>
          <w:tab w:leader="none" w:pos="726"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Recognize revenue when (or as) the performance obligation is satisfied. </w:t>
      </w:r>
      <w:r>
        <w:rPr>
          <w:rFonts w:ascii="Arial" w:cs="Arial" w:eastAsia="Arial" w:hAnsi="Arial"/>
          <w:sz w:val="18"/>
          <w:szCs w:val="18"/>
          <w:color w:val="auto"/>
        </w:rPr>
        <w:t>Revenue is recognized when obligations under the terms of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w:t>
      </w: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concurrently with specific revenue-producing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the following practical expedients:</w:t>
      </w:r>
    </w:p>
    <w:p>
      <w:pPr>
        <w:spacing w:after="0" w:line="252" w:lineRule="exact"/>
        <w:rPr>
          <w:sz w:val="20"/>
          <w:szCs w:val="20"/>
          <w:color w:val="auto"/>
        </w:rPr>
      </w:pPr>
    </w:p>
    <w:p>
      <w:pPr>
        <w:ind w:left="660" w:right="2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does not account for significant financing components if the period between revenue recognition and when the customer pays for the product or service will be one year or less.</w:t>
      </w:r>
    </w:p>
    <w:p>
      <w:pPr>
        <w:spacing w:after="0" w:line="197"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recognizes revenue equal to the amount it has a right to invoice when the amount corresponds directly with the value to the customer of the Company’s performance to date.</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does not account for shipping and handling activities as a separate performance obligation, but rather as an activity performed to transfer the promised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nature of revenue recognized and the manner in which the Company accounts for sales transactions.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Products</w:t>
      </w:r>
    </w:p>
    <w:p>
      <w:pPr>
        <w:spacing w:after="0" w:line="252" w:lineRule="exact"/>
        <w:rPr>
          <w:sz w:val="20"/>
          <w:szCs w:val="20"/>
          <w:color w:val="auto"/>
        </w:rPr>
      </w:pPr>
    </w:p>
    <w:p>
      <w:pPr>
        <w:ind w:left="340" w:right="460"/>
        <w:spacing w:after="0" w:line="263" w:lineRule="auto"/>
        <w:rPr>
          <w:sz w:val="20"/>
          <w:szCs w:val="20"/>
          <w:color w:val="auto"/>
        </w:rPr>
      </w:pPr>
      <w:r>
        <w:rPr>
          <w:rFonts w:ascii="Arial" w:cs="Arial" w:eastAsia="Arial" w:hAnsi="Arial"/>
          <w:sz w:val="18"/>
          <w:szCs w:val="18"/>
          <w:color w:val="auto"/>
        </w:rPr>
        <w:t>Product revenue consists of revenue from sales of hardware products, including notebooks and desktop PCs, servers, storage hardware, and other hardware-related devices, as well as revenue from software license sales, including non-essential software applications and third-party software licenses.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Revenue from sales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occur over time.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Services</w:t>
      </w:r>
    </w:p>
    <w:p>
      <w:pPr>
        <w:spacing w:after="0" w:line="252"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w:t>
      </w:r>
    </w:p>
    <w:p>
      <w:pPr>
        <w:spacing w:after="0" w:line="252" w:lineRule="exact"/>
        <w:rPr>
          <w:sz w:val="20"/>
          <w:szCs w:val="20"/>
          <w:color w:val="auto"/>
        </w:rPr>
      </w:pPr>
    </w:p>
    <w:p>
      <w:pPr>
        <w:ind w:left="340" w:right="120"/>
        <w:spacing w:after="0" w:line="272" w:lineRule="auto"/>
        <w:rPr>
          <w:sz w:val="20"/>
          <w:szCs w:val="20"/>
          <w:color w:val="auto"/>
        </w:rPr>
      </w:pPr>
      <w:r>
        <w:rPr>
          <w:rFonts w:ascii="Arial" w:cs="Arial" w:eastAsia="Arial" w:hAnsi="Arial"/>
          <w:sz w:val="17"/>
          <w:szCs w:val="17"/>
          <w:color w:val="auto"/>
        </w:rPr>
        <w:t>Revenue from leasing arrangements is not subject to the revenue standard for contracts with customers and remains separately accounted for under lease accounting guidance. The Company records operating lease rental revenue as product revenue on a straight-line basis over the lease term. The Company records revenue from the sale of equipment under sales-type leases as product revenue in an amount equal to the present value of minimum lease payments at the inception of the lease. Sales-type leases also produce financing income, which is included in product net revenue in the Consolidated Statements of Income and is recognized at effective rates of return over the lease term. The Company also offers qualified customers fixed-term loans and revolving credit lines for the purchase of products and services offered by the Company. Financing income attributable to these loans is recognized in product net revenue on an accrual basis.</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Principal versus Agent </w:t>
      </w:r>
      <w:r>
        <w:rPr>
          <w:rFonts w:ascii="Arial" w:cs="Arial" w:eastAsia="Arial" w:hAnsi="Arial"/>
          <w:sz w:val="17"/>
          <w:szCs w:val="17"/>
          <w:color w:val="auto"/>
        </w:rPr>
        <w:t>— For transactions that involve a third party, the Company evaluates whether it is acting as the principal or the agent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This determination requires significant judgement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Conversely, if the Company determines that it does not control the good or service before it is transferred to the customer, the Company is acting as an agent in the transaction. As an agent, the Company is arranging for the good or service to be provided by another party and recognizes revenue at the net amount of consideration retained.</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 xml:space="preserve">Disaggregation of Revenue </w:t>
      </w:r>
      <w:r>
        <w:rPr>
          <w:rFonts w:ascii="Arial" w:cs="Arial" w:eastAsia="Arial" w:hAnsi="Arial"/>
          <w:sz w:val="17"/>
          <w:szCs w:val="17"/>
          <w:color w:val="auto"/>
        </w:rPr>
        <w:t>— The Company’s revenue is presented on a disaggregated basis on the Consolidated Statements of Income and in Note 19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the Company’s financial performance or make resource allocations. This information includes revenue from products and services, revenue from reportable segments, and revenue by major product categories within the segments.</w:t>
      </w: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are rights to consideration in exchange for goods or services that the Company has transferred to a customer when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a right is conditional on something other than the passage of time. Such amounts have been insignificant to date.</w:t>
      </w:r>
    </w:p>
    <w:p>
      <w:pPr>
        <w:spacing w:after="0" w:line="19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 xml:space="preserve">Contract Liabilities </w:t>
      </w:r>
      <w:r>
        <w:rPr>
          <w:rFonts w:ascii="Arial" w:cs="Arial" w:eastAsia="Arial" w:hAnsi="Arial"/>
          <w:sz w:val="16"/>
          <w:szCs w:val="16"/>
          <w:color w:val="auto"/>
        </w:rPr>
        <w:t>— Contract liabilities primarily consist of deferred revenue. Deferred revenue is recorded when the Company has invoiced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have been received for undelivered products or services, or in situations where revenue recognition criteria have not been met. Deferred revenue primarily includes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when the Company’s performance obligations under the contract are completed. See Note 10 of the Notes to the Consolidated Financial Statements for additional information about deferred revenue.</w:t>
      </w:r>
    </w:p>
    <w:p>
      <w:pPr>
        <w:spacing w:after="0" w:line="19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Costs to Obtain a Contract </w:t>
      </w:r>
      <w:r>
        <w:rPr>
          <w:rFonts w:ascii="Arial" w:cs="Arial" w:eastAsia="Arial" w:hAnsi="Arial"/>
          <w:sz w:val="16"/>
          <w:szCs w:val="16"/>
          <w:color w:val="auto"/>
        </w:rPr>
        <w:t>— The Company capitalizes incremental direct costs to obtain a contract, primarily sales commissions and employer taxes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commission payments, if the costs are deemed to be recoverable. The Company has elected, as a practical expedient, to expense as incurred costs to obtain a contract equal to or less than one year in duration. Capitalized costs are deferred and amortized over the period of contract performance or the estimated life of the customer relationship, if renewals are expected, and are typically amortized over an average period of three to five years. Amortization expense is recognized on a straight-line basis and included in selling, general, and administrative expenses in the Consolidated Statements of Income.</w:t>
      </w:r>
    </w:p>
    <w:p>
      <w:pPr>
        <w:spacing w:after="0" w:line="188"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Company periodically reviews these deferred costs to determine whether events or changes in circumstances have occurred that could impact the carrying value or period of benefit of the deferred sales commissions. There were no material impairment losses for deferred costs to obtain a contract during the fiscal years ended January 28, 2022, January 29, 2021, and January 31, 2020.</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costs to obtain a contract as of January 28, 2022 and January 29, 2021 were $734 million and $737 million, respectively. Deferred costs to obtain a contract are classified as current assets and other non-current assets on the Consolidated Statements of Financial Position, based on when the expense is expected to be recognized. Amortization of costs to obtain a contract during the fiscal years ended January 28, 2022, January 29, 2021, and January 31, 2020 was $380 million, $385 million, and $376 million, respectively.</w:t>
      </w:r>
    </w:p>
    <w:p>
      <w:pPr>
        <w:spacing w:after="0" w:line="21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Standard Warranty Liabilities </w:t>
      </w:r>
      <w:r>
        <w:rPr>
          <w:rFonts w:ascii="Arial" w:cs="Arial" w:eastAsia="Arial" w:hAnsi="Arial"/>
          <w:sz w:val="16"/>
          <w:szCs w:val="16"/>
          <w:color w:val="auto"/>
        </w:rPr>
        <w:t>— The Company records warranty liabilities for estimated costs of fulfilling its obligations under standard limited hardware</w:t>
      </w:r>
      <w:r>
        <w:rPr>
          <w:rFonts w:ascii="Arial" w:cs="Arial" w:eastAsia="Arial" w:hAnsi="Arial"/>
          <w:sz w:val="16"/>
          <w:szCs w:val="16"/>
          <w:i w:val="1"/>
          <w:iCs w:val="1"/>
          <w:color w:val="auto"/>
        </w:rPr>
        <w:t xml:space="preserve"> </w:t>
      </w:r>
      <w:r>
        <w:rPr>
          <w:rFonts w:ascii="Arial" w:cs="Arial" w:eastAsia="Arial" w:hAnsi="Arial"/>
          <w:sz w:val="16"/>
          <w:szCs w:val="16"/>
          <w:color w:val="auto"/>
        </w:rPr>
        <w:t>and software warranties at the time of sale. The liabilities for standard warranties are included in accrued and other current and other non-current liabilities in the Consolidated Statements of Financial Position. The specific warranty terms and conditions vary depending upon the product sold and the country in which the Company does business, but generally includes technical support, parts, and labor over a period ranging from one to three years. Factors that affect the Company’s warranty liabilities include the number of installed units currently under warranty, historical and anticipated rates of warranty claims on those units, and cost per claim to satisfy the Company’s warranty obligation. The anticipated rate of warranty claims is the primary factor impacting the estimated warranty obligation. The other factors are less significant due to the fact that the average remaining aggregate warranty period of the covered installed base is approximately 18 months, repair parts are generally already in stock or available at pre-determined prices, and labor rates are generally arranged at preestablished amounts with service providers. Warranty claims are relatively predictable based on historical experience of failure rates. If actual results differ from the estimates, the Company revises its estimated warranty liability. Each quarter, the Company reevaluates its estimates to assess the adequacy of its recorded warranty liabilities and adjusts the amounts as necessary.</w:t>
      </w:r>
    </w:p>
    <w:p>
      <w:pPr>
        <w:spacing w:after="0" w:line="19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Vendor Rebates and Settlements </w:t>
      </w:r>
      <w:r>
        <w:rPr>
          <w:rFonts w:ascii="Arial" w:cs="Arial" w:eastAsia="Arial" w:hAnsi="Arial"/>
          <w:sz w:val="16"/>
          <w:szCs w:val="16"/>
          <w:color w:val="auto"/>
        </w:rPr>
        <w:t>— The Company may receive consideration from vendors in the normal course of business. Certain of these funds are</w:t>
      </w:r>
      <w:r>
        <w:rPr>
          <w:rFonts w:ascii="Arial" w:cs="Arial" w:eastAsia="Arial" w:hAnsi="Arial"/>
          <w:sz w:val="16"/>
          <w:szCs w:val="16"/>
          <w:i w:val="1"/>
          <w:iCs w:val="1"/>
          <w:color w:val="auto"/>
        </w:rPr>
        <w:t xml:space="preserve"> </w:t>
      </w:r>
      <w:r>
        <w:rPr>
          <w:rFonts w:ascii="Arial" w:cs="Arial" w:eastAsia="Arial" w:hAnsi="Arial"/>
          <w:sz w:val="16"/>
          <w:szCs w:val="16"/>
          <w:color w:val="auto"/>
        </w:rPr>
        <w:t>rebates of purchase price paid and others are related to reimbursement of costs incurred by the Company to sell the vendor’s products. The Company recognizes a reduction of cost of goods sold if the funds are determined to be a reduction of the price of the vendor’s products. If the consideration is a reimbursement of costs incurred by the Company to sell or develop the vendor’s products, then the consideration is classified as a reduction of such costs, most often operating expenses, in the Consolidated Statements of Income. In order to be recognized as a reduction of operating expenses, the reimbursement must be for a specific, incremental, and identifiable cost incurred by the Company in selling the vendor’s products or services.</w:t>
      </w:r>
    </w:p>
    <w:p>
      <w:pPr>
        <w:spacing w:after="0" w:line="19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the Company may settle commercial disputes with vendors from time to time. Claims for loss recoveries are recognized when a loss event has occurred, recovery is considered probable, the agreement is finalized, and collectibility is assured. Amounts received by the Company from vendors for loss recoveries are generally recorded as a reduction of cost of goods sold.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The Company is subject to the possibility of various losses arising in the ordinary course of business. The Company considers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of loss or impairment of an asset or the incurrence of a liability, as well as the Company’s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Shipping Costs </w:t>
      </w:r>
      <w:r>
        <w:rPr>
          <w:rFonts w:ascii="Arial" w:cs="Arial" w:eastAsia="Arial" w:hAnsi="Arial"/>
          <w:sz w:val="17"/>
          <w:szCs w:val="17"/>
          <w:color w:val="auto"/>
        </w:rPr>
        <w:t>— The Company’s shipping and handling costs are included in cost of net revenue in the Consolidated Statements of Income.</w:t>
      </w:r>
    </w:p>
    <w:p>
      <w:pPr>
        <w:spacing w:after="0" w:line="2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 Selling expenses include items such as sales salaries and commissions, marketing and advertising costs, contractor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allowance for expected credit losses. Advertising costs are expensed as incurred in selling, general, and administrative expenses in the Consolidated Statements of Income. For the fiscal years ended January 28, 2022, January 29, 2021, and January 31, 2020, advertising expenses were $1.3 billion, $1.0 billion, and $1.1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spacing w:after="0" w:line="19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Research and development (“R&amp;D”) costs are expensed as incurred. As noted in Capitalized Software Development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Note, qualifying software development costs are capitalized and amortized over time. R&amp;D costs include salaries and benefits and other personnel-related costs associated with product development. Also included in R&amp;D expenses are infrastructure costs, which consist of equipment and material costs, facilities-related costs, and depreciation expense.</w:t>
      </w: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tax assets and liabilities are recorded based on the difference between the financial statement and tax basis of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using enacted tax rates in effect for the year in which the differences are expected to reverse. The Company calculates a provision for income taxes using the asset and liability method, under which deferred tax assets and liabilities are recognized by identifying the temporary differences arising from the different treatment of items for tax and accounting purposes.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will be charged to earnings in the period in which such a determination is made.</w:t>
      </w:r>
    </w:p>
    <w:p>
      <w:pPr>
        <w:spacing w:after="0" w:line="2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measures stock-based compensation expense for all share-based awards granted based on the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those awards at grant date. To estimate the fair value of performance-based awards containing a market condition, the Company uses the Monte Carlo valuation model. The fair value of all other share-based awards is generally based on the closing price of the Class C Common Stock as reported on the New York Stock Exchange (“NYSE”) on the date of grant.</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Accounting for Contract Assets and Contract Liabilities from Contracts with Customers — </w:t>
      </w:r>
      <w:r>
        <w:rPr>
          <w:rFonts w:ascii="Arial" w:cs="Arial" w:eastAsia="Arial" w:hAnsi="Arial"/>
          <w:sz w:val="18"/>
          <w:szCs w:val="18"/>
          <w:color w:val="auto"/>
        </w:rPr>
        <w:t>In October 2021,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issued guidance which requires companies to apply Topic 606, Revenue from Contracts with Customers, to recognize and measure contract assets and contract liabilities from contracts with customers acquired in a business combination. Public entities must adopt the new guidance for fiscal years beginning after December 15, 2022 and interim periods within those fiscal years, with early adoption permitted. The Company is currently evaluating the impact and timing of adoption of this guidance.</w:t>
      </w:r>
    </w:p>
    <w:p>
      <w:pPr>
        <w:spacing w:after="0" w:line="21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 In March 2020, the FASB issued guidance which provides temporary optional expedients and exceptions to GAAP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modifications and certain hedging relationships to ease the financial reporting burdens related to the expected market transition from the London Interbank Offered Rate to alternative reference rates. The Company may elect to apply the amendments prospectively through December 31, 2022. Adoption of the new guidance is not expected to have a material impact on the Company’s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5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i w:val="1"/>
          <w:iCs w:val="1"/>
          <w:color w:val="auto"/>
        </w:rPr>
        <w:t xml:space="preserve">Accounting for Convertible Instruments and Contracts in an Entity’s Own Equity </w:t>
      </w:r>
      <w:r>
        <w:rPr>
          <w:rFonts w:ascii="Arial" w:cs="Arial" w:eastAsia="Arial" w:hAnsi="Arial"/>
          <w:sz w:val="16"/>
          <w:szCs w:val="16"/>
          <w:color w:val="auto"/>
        </w:rPr>
        <w:t>— In August 2020, the FASB issued guidance to simplify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convertible debt instruments and convertible preferred stock, and the derivatives scope exception for contracts in an entity's own equity. In addition, the guidance on calculating diluted earnings per share has been simplified and made more internally consistent. The Company early adopted this standard as of January 30, 2021. There was no impact on the Consolidated Financial Statements or to diluted earnings per share as of the adoption date.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Simplifying Accounting for Income Taxes — </w:t>
      </w:r>
      <w:r>
        <w:rPr>
          <w:rFonts w:ascii="Arial" w:cs="Arial" w:eastAsia="Arial" w:hAnsi="Arial"/>
          <w:sz w:val="18"/>
          <w:szCs w:val="18"/>
          <w:color w:val="auto"/>
        </w:rPr>
        <w:t>In December 2019, the FASB issued guidance to simplify the accounting for income taxes by removing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to the general principles in Topic 740, Income Taxes, and by clarifying and amending existing guidance in order to improve consistent application of GAAP for other areas of Topic 740. The Company adopted the standard as of April 30, 2021. The impact of the adoption of this standard was immaterial to the Consolidated Financial Statements.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Measurement of Credit Losses on Financial Instruments — </w:t>
      </w:r>
      <w:r>
        <w:rPr>
          <w:rFonts w:ascii="Arial" w:cs="Arial" w:eastAsia="Arial" w:hAnsi="Arial"/>
          <w:sz w:val="18"/>
          <w:szCs w:val="18"/>
          <w:color w:val="auto"/>
        </w:rPr>
        <w:t>In June 2016, the FASB issued amended guidance which replaced the incurred loss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for measurement of credit losses on financial instruments with a methodology (the “current expected credit losses model” or “CECL model”) that reflects expected credit losses and requires consideration of a broader range of reasonable and supportable information to inform credit loss estimates. Under the CECL model, the allowance for losses on financial assets, measured at amortized cost, reflects management’s estimate of credit losses over the remaining expected life of such assets.</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adopted the standard (the “CECL standard”) as of February 1, 2020 using the modified retrospective method, with the cumulative-effect adjustment to the opening balance of stockholders’ equity (deficit) as of the adoption date. The cumulative effect of adopting the CECL standard resulted in an increase of $111 million and $27 million to the allowance for expected credit losses within financing receivables, net and accounts receivable, net, respectively, on the Consolidated Statements of Financial Position, and a corresponding decrease of $28 million to other non-current liabilities related to deferred taxes and $110 million to stockholders’ equity (deficit) as of February 1, 2020. See Note 5 and Note 20 of the Notes to the Consolidated Financial Statements for additional information about the Company’s allowance for financing receivables losses and allowance for expected credit losses of accounts receivable.</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amended guidance on the accounting for leasing transactions. The Company adopted the new lease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as of February 2, 2019 using the modified retrospective approach, with the cumulative-effect adjustment to the opening balance of stockholders’ equity (deficit) as of the adoption date. The Company recorded an immaterial adjustment to stockholders’ equity (deficit) as of February 2, 2019 to reflect the cumulative effect of adoption of the new lease standard.</w:t>
      </w: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5 and Note 6 of the Notes to the Consolidated Financial Statements for additional information about the Company’s leases from a lessor and lessee perspective,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VMware Spin-Off </w:t>
      </w:r>
      <w:r>
        <w:rPr>
          <w:rFonts w:ascii="Arial" w:cs="Arial" w:eastAsia="Arial" w:hAnsi="Arial"/>
          <w:sz w:val="18"/>
          <w:szCs w:val="18"/>
          <w:color w:val="auto"/>
        </w:rPr>
        <w:t>— As disclosed in Note 1 of the Notes to the Consolidated Financial Statements, on November 1, 2021, the Company completed its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announced spin-off of VMware by means of a special stock dividend of 30,678,605 shares of Class A common stock and 307,221,836 shares of Class B common stock of VMware to Dell Technologies stockholders of record as of October 29, 2021.</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Prior to receipt of the VMware common stock by the Company’s stockholders, each share of VMware Class B common stock automatically converted into one share of VMware Class A common stock. As a result of these transactions, each holder of record of shares of Dell Technologies common stock as of the distribution record date received approximately 0.440626 of a share of VMware Class A common stock for each share of Dell Technologies common stock held as of such date, based on shares outstanding as of the completion of the VMware Spin-off. The pre-transaction stockholders of Dell Technologies owned shares in two separate public companies, consisting of (1) VMware, which continues to own the businesses of VMware, Inc. and its subsidiaries, and (2) Dell Technologies, which continues to own Dell Technologies’ other businesses and subsidiaries. After the separation, Dell Technologies does not beneficially own any shares of VMware common stock.</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VMware paid a cash dividend, pro rata, to each of the holders of VMware common stock in an aggregate amount equal to $11.5 billion, of which Dell Technologies received $9.3 billion. Following the payment by VMware to its stockholders, the separation of VMware from Dell Technologies occurred, including the termination or settlement of certain intercompany accounts and intercompany contracts. Dell Technologies used the net proceeds from its pro rata share of the cash dividend to repay a portion of its outstanding debt.</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Dell Technologies determined that the VMware Spin-off, and related distributions, qualified as tax-free for U.S. federal income tax purposes, which required significant judgment by management. In making these determinations, Dell Technologies applied U.S. federal tax law to relevant facts and circumstances and obtained a favorable private letter ruling from the Internal Revenue Service, a tax opinion, and other external tax advice related to the concluded tax treatment. If the completed transactions were to fail to qualify for tax-free treatment for U.S. federal income tax purposes, the Company could be subject to significant liabilities, and there could be material adverse impacts on the Company’s business, financial condition, results of operations and cash flows in future reporting periods.</w:t>
      </w:r>
    </w:p>
    <w:p>
      <w:pPr>
        <w:spacing w:after="0" w:line="21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connection with and upon completion of the VMware Spin-off, Dell Technologies and VMware entered into various agreements that provide a framework for the relationship between the companies after the transaction, including, among others, a commercial framework agreement, a tax matters agreement, and a transition services agreement.</w:t>
      </w:r>
    </w:p>
    <w:p>
      <w:pPr>
        <w:spacing w:after="0" w:line="211"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The CFA referred to in Note 1 to the Notes to the Consolidated Financial Statements provides a framework under which the Company and VMware will continue their commercial relationship after the transaction, particularly with respect to projects mutually agreed by the parties as having the potential to accelerate the growth of an industry, product, service, or platform that may provide one or both companies with a strategic market opportunity. The CFA has an initial term of five years, with automatic one-year renewals occurring annually thereafter, subject to certain terms and conditions.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CFA, Dell Technologies will continue to act as a distributor of VMware’s standalone products and services and purchase such products and services for resale to end-user customers. Dell Technologies will also continue to integrate VMware’s products and services with Dell Technologies’ offerings and sell them to end users. The Company has determined that it is generally acting as principal in such transactions. The results of such operations are classified as continuing operations within the Company’s Consolidated Statements of Income.</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accordance with applicable accounting guidance, the results of VMware, excluding Dell's resale of VMware offerings, are presented as discontinued operations in the Consolidated Statements of Income and, as such, have been excluded from both continuing operations and segment results for all periods presented. Further, the Company reclassified the assets and liabilities of VMware as assets and liabilities of discontinued operations in the Consolidated Statements of Financial Position as of January 29, 2021. The Consolidated Statements of Cash Flows are presented on a consolidated basis for both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tax matters agreement between the Company and VMware governs the respective rights, responsibilities, and obligations of Dell Technologies and VMware with respect to tax liabilities (including taxes, if any, incurred as a result of any failure of the VMware Spin-off to qualify for tax-free treatment for U.S. federal income tax purposes) and benefits, tax attributes, the preparation and filing of tax returns, the control of audits and other tax proceedings, cooperation, and other matters regarding tax.</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transition services agreement between the Company and VMware governs the various administrative services which the Company will provide to VMware on an interim transitional basis. Transition services may be provided for up to one year.</w:t>
      </w:r>
    </w:p>
    <w:p>
      <w:pPr>
        <w:spacing w:after="0" w:line="1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Dell Technologies has continuing involvement with VMware due to the activities supported under the CFA. Cash flows between Dell and VMware primarily relate to Dell’s purchase of VMware products and services for resale. See Note 21 of the Notes to the Consolidated Financial Statements for additional information regarding transactions between Dell Technologies and VMware.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key components of “Income from discontinued operations, net of income taxes” for the fiscal years ended January 28,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29, 2021, and January 31,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1"/>
              </w:rPr>
              <w:t>Fiscal Year Ended (a)</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29, 2021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Cost of net revenue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net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780" w:hanging="332"/>
        <w:spacing w:after="0" w:line="260" w:lineRule="auto"/>
        <w:tabs>
          <w:tab w:leader="none" w:pos="3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table above reflects the offsetting effects of historical intercompany transactions which are presented on a gross basis within continuing operations on the Consolidated Statements of Income.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assets and liabilities that are classified as discontinued operations on the Consolidated Statements of Financial Position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29, 2021: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January 29, 2021 (a)</w:t>
            </w: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5300" w:type="dxa"/>
            <w:vAlign w:val="bottom"/>
            <w:gridSpan w:val="2"/>
            <w:vMerge w:val="restart"/>
          </w:tcPr>
          <w:p>
            <w:pPr>
              <w:jc w:val="right"/>
              <w:ind w:right="3170"/>
              <w:spacing w:after="0"/>
              <w:rPr>
                <w:sz w:val="20"/>
                <w:szCs w:val="20"/>
                <w:color w:val="auto"/>
              </w:rPr>
            </w:pPr>
            <w:r>
              <w:rPr>
                <w:rFonts w:ascii="Arial" w:cs="Arial" w:eastAsia="Arial" w:hAnsi="Arial"/>
                <w:sz w:val="18"/>
                <w:szCs w:val="18"/>
                <w:b w:val="1"/>
                <w:bCs w:val="1"/>
                <w:color w:val="auto"/>
              </w:rPr>
              <w:t>ASSETS</w:t>
            </w:r>
          </w:p>
        </w:tc>
        <w:tc>
          <w:tcPr>
            <w:tcW w:w="2020" w:type="dxa"/>
            <w:vAlign w:val="bottom"/>
          </w:tcPr>
          <w:p>
            <w:pPr>
              <w:jc w:val="right"/>
              <w:ind w:right="5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530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5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5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current assets</w:t>
            </w:r>
          </w:p>
        </w:tc>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5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5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20,801</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5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8" w:lineRule="exact"/>
        <w:rPr>
          <w:sz w:val="20"/>
          <w:szCs w:val="20"/>
          <w:color w:val="auto"/>
        </w:rPr>
      </w:pPr>
    </w:p>
    <w:p>
      <w:pPr>
        <w:jc w:val="right"/>
        <w:ind w:right="210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Accrued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Short-term deferred revenue</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liabilities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30"/>
        </w:trPr>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r>
      <w:tr>
        <w:trPr>
          <w:trHeight w:val="222"/>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4,375</w:t>
            </w:r>
          </w:p>
        </w:tc>
      </w:tr>
      <w:tr>
        <w:trPr>
          <w:trHeight w:val="229"/>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8,757</w:t>
            </w:r>
          </w:p>
        </w:tc>
      </w:tr>
      <w:tr>
        <w:trPr>
          <w:trHeight w:val="230"/>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30"/>
        </w:trPr>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2">
            <w:col w:w="8280" w:space="720"/>
            <w:col w:w="224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780" w:hanging="332"/>
        <w:spacing w:after="0" w:line="260" w:lineRule="auto"/>
        <w:tabs>
          <w:tab w:leader="none" w:pos="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table above reflects the offsetting effects of historical intercompany transactions which are presented on a gross basis within continuing operations on the Consolidated Statements of Financial Position.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significant cash flow items from discontinued operations for the fiscal years ended January 28, 2022, January 29,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 included within the Consolidated Statements of Cash Flows: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Fiscal Year Ended (a)</w:t>
            </w: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January 28, 2022</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January 29, 2021</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 AND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hierarchy for its assets and liabilities measured at fair value on a recurring basis as of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January 28, 2022</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January 29, 2021</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4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40" w:type="dxa"/>
            <w:vAlign w:val="bottom"/>
          </w:tcPr>
          <w:p>
            <w:pPr>
              <w:spacing w:after="0"/>
              <w:rPr>
                <w:sz w:val="19"/>
                <w:szCs w:val="19"/>
                <w:color w:val="auto"/>
              </w:rPr>
            </w:pPr>
          </w:p>
        </w:tc>
        <w:tc>
          <w:tcPr>
            <w:tcW w:w="660" w:type="dxa"/>
            <w:vAlign w:val="bottom"/>
          </w:tcPr>
          <w:p>
            <w:pPr>
              <w:jc w:val="right"/>
              <w:ind w:right="114"/>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5"/>
                <w:szCs w:val="15"/>
                <w:b w:val="1"/>
                <w:bCs w:val="1"/>
                <w:color w:val="auto"/>
                <w:w w:val="91"/>
              </w:rPr>
              <w:t>Quoted</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78"/>
              <w:spacing w:after="0" w:line="142" w:lineRule="exact"/>
              <w:rPr>
                <w:sz w:val="20"/>
                <w:szCs w:val="20"/>
                <w:color w:val="auto"/>
              </w:rPr>
            </w:pPr>
            <w:r>
              <w:rPr>
                <w:rFonts w:ascii="Arial" w:cs="Arial" w:eastAsia="Arial" w:hAnsi="Arial"/>
                <w:sz w:val="15"/>
                <w:szCs w:val="15"/>
                <w:b w:val="1"/>
                <w:bCs w:val="1"/>
                <w:color w:val="auto"/>
                <w:w w:val="91"/>
              </w:rPr>
              <w:t>Quoted</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89"/>
              </w:rPr>
              <w:t>Prices in</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89"/>
              </w:rPr>
              <w:t>Prices in</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93"/>
              </w:rPr>
              <w:t>Active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93"/>
              </w:rPr>
              <w:t>Active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5"/>
                <w:szCs w:val="15"/>
                <w:b w:val="1"/>
                <w:bCs w:val="1"/>
                <w:color w:val="auto"/>
                <w:w w:val="96"/>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5"/>
                <w:szCs w:val="15"/>
                <w:b w:val="1"/>
                <w:bCs w:val="1"/>
                <w:color w:val="auto"/>
                <w:w w:val="96"/>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95"/>
              </w:rPr>
              <w:t>Identical</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95"/>
              </w:rPr>
              <w:t>Identical</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81"/>
              </w:rPr>
              <w:t>Assets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81"/>
              </w:rPr>
              <w:t>Assets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5"/>
          </w:tcPr>
          <w:p>
            <w:pPr>
              <w:ind w:left="26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5,109</w:t>
            </w:r>
          </w:p>
        </w:tc>
        <w:tc>
          <w:tcPr>
            <w:tcW w:w="0" w:type="dxa"/>
            <w:vAlign w:val="bottom"/>
          </w:tcPr>
          <w:p>
            <w:pPr>
              <w:spacing w:after="0"/>
              <w:rPr>
                <w:sz w:val="1"/>
                <w:szCs w:val="1"/>
                <w:color w:val="auto"/>
              </w:rPr>
            </w:pPr>
          </w:p>
        </w:tc>
      </w:tr>
      <w:tr>
        <w:trPr>
          <w:trHeight w:val="176"/>
        </w:trPr>
        <w:tc>
          <w:tcPr>
            <w:tcW w:w="2400" w:type="dxa"/>
            <w:vAlign w:val="bottom"/>
          </w:tcPr>
          <w:p>
            <w:pPr>
              <w:ind w:left="140"/>
              <w:spacing w:after="0" w:line="176" w:lineRule="exact"/>
              <w:rPr>
                <w:sz w:val="20"/>
                <w:szCs w:val="20"/>
                <w:color w:val="auto"/>
              </w:rPr>
            </w:pPr>
            <w:r>
              <w:rPr>
                <w:rFonts w:ascii="Arial" w:cs="Arial" w:eastAsia="Arial" w:hAnsi="Arial"/>
                <w:sz w:val="18"/>
                <w:szCs w:val="18"/>
                <w:color w:val="auto"/>
              </w:rPr>
              <w:t>Marketable equity and other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9"/>
        </w:trPr>
        <w:tc>
          <w:tcPr>
            <w:tcW w:w="24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5,396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5,491</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35"/>
        </w:trPr>
        <w:tc>
          <w:tcPr>
            <w:tcW w:w="2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5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i w:val="1"/>
          <w:iCs w:val="1"/>
          <w:color w:val="auto"/>
        </w:rPr>
        <w:t xml:space="preserve">Money Market Funds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w:t>
      </w:r>
    </w:p>
    <w:p>
      <w:pPr>
        <w:spacing w:after="0" w:line="19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Marketable Equity and Other Securities </w:t>
      </w:r>
      <w:r>
        <w:rPr>
          <w:rFonts w:ascii="Arial" w:cs="Arial" w:eastAsia="Arial" w:hAnsi="Arial"/>
          <w:sz w:val="16"/>
          <w:szCs w:val="16"/>
          <w:color w:val="auto"/>
        </w:rPr>
        <w:t>— The majority of the Company’s investments in equity and other securities that are measured at fair value on a</w:t>
      </w:r>
      <w:r>
        <w:rPr>
          <w:rFonts w:ascii="Arial" w:cs="Arial" w:eastAsia="Arial" w:hAnsi="Arial"/>
          <w:sz w:val="16"/>
          <w:szCs w:val="16"/>
          <w:i w:val="1"/>
          <w:iCs w:val="1"/>
          <w:color w:val="auto"/>
        </w:rPr>
        <w:t xml:space="preserve"> </w:t>
      </w:r>
      <w:r>
        <w:rPr>
          <w:rFonts w:ascii="Arial" w:cs="Arial" w:eastAsia="Arial" w:hAnsi="Arial"/>
          <w:sz w:val="16"/>
          <w:szCs w:val="16"/>
          <w:color w:val="auto"/>
        </w:rPr>
        <w:t>recurring basis consist of strategic investments in publicly-traded companies. The valuation of these securities is based on quoted prices in active markets.</w:t>
      </w:r>
    </w:p>
    <w:p>
      <w:pPr>
        <w:spacing w:after="0" w:line="1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 The Company’s derivative financial instruments consist primarily of foreign currency forward and purchased option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8 of the Notes to the Consolidated Financial Statements for a description of the Company’s derivative financial instrument activities.</w:t>
      </w:r>
    </w:p>
    <w:p>
      <w:pPr>
        <w:spacing w:after="0" w:line="21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Deferred Compensation Plans </w:t>
      </w:r>
      <w:r>
        <w:rPr>
          <w:rFonts w:ascii="Arial" w:cs="Arial" w:eastAsia="Arial" w:hAnsi="Arial"/>
          <w:sz w:val="16"/>
          <w:szCs w:val="16"/>
          <w:color w:val="auto"/>
        </w:rPr>
        <w:t>—The Company offers deferred compensation plans for eligible employees, which allow participants to defer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compensation. Assets were the same as liabilities associated with the plans at approximately $192 million and $168 million as of January 28, 2022 and January 29, 2021, respectively, and are included in other assets and other liabilities on the Consolidated Statements of Financial Position. The net impact to the Consolidated Statements of Income is not material since changes in the fair value of the assets substantially offset changes in the fair value of the liabilities. As such, assets and liabilities associated with these plans have not been included in the recurring fair value table above.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Assets and Liabilities Measured at Fair Value on a Nonrecurring Basis </w:t>
      </w:r>
      <w:r>
        <w:rPr>
          <w:rFonts w:ascii="Arial" w:cs="Arial" w:eastAsia="Arial" w:hAnsi="Arial"/>
          <w:sz w:val="18"/>
          <w:szCs w:val="18"/>
          <w:color w:val="auto"/>
        </w:rPr>
        <w:t>— Certain assets are measured at fair value on a nonrecurring basis and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included in the recurring fair value table above. These assets consist primarily of non-</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financial assets such as goodwill and intangible assets. See Note 9 of the Notes to the Consolidated Financial Statements for additional information about goodwill and intangible assets.</w:t>
      </w:r>
    </w:p>
    <w:p>
      <w:pPr>
        <w:spacing w:after="0" w:line="19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January 28, 2022 and January 29, 2021, the Company held strategic investments in non-marketable equity and other securities of $1.4 billion and $0.9 billion, respectively. As these investments represent early-stage companies without readily determinable fair values, they are not included in the recurring fair value table above.</w:t>
      </w:r>
    </w:p>
    <w:p>
      <w:pPr>
        <w:spacing w:after="0" w:line="21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Carrying Value and Estimated Fair Value of Outstanding Debt </w:t>
      </w:r>
      <w:r>
        <w:rPr>
          <w:rFonts w:ascii="Arial" w:cs="Arial" w:eastAsia="Arial" w:hAnsi="Arial"/>
          <w:sz w:val="18"/>
          <w:szCs w:val="18"/>
          <w:color w:val="auto"/>
        </w:rPr>
        <w:t>— The following table presents the carrying value and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debt as described in Note 7 of the Notes to the Consolidated Financial Statements, including the current portion,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4"/>
          </w:tcPr>
          <w:p>
            <w:pPr>
              <w:ind w:left="82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Pr>
          <w:p>
            <w:pPr>
              <w:spacing w:after="0"/>
              <w:rPr>
                <w:sz w:val="20"/>
                <w:szCs w:val="20"/>
                <w:color w:val="auto"/>
              </w:rPr>
            </w:pPr>
          </w:p>
        </w:tc>
        <w:tc>
          <w:tcPr>
            <w:tcW w:w="31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January 29, 2021</w:t>
            </w:r>
          </w:p>
        </w:tc>
      </w:tr>
      <w:tr>
        <w:trPr>
          <w:trHeight w:val="223"/>
        </w:trPr>
        <w:tc>
          <w:tcPr>
            <w:tcW w:w="4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Carrying Value</w:t>
            </w: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4"/>
          </w:tcPr>
          <w:p>
            <w:pPr>
              <w:jc w:val="right"/>
              <w:ind w:right="1150"/>
              <w:spacing w:after="0"/>
              <w:rPr>
                <w:sz w:val="20"/>
                <w:szCs w:val="20"/>
                <w:color w:val="auto"/>
              </w:rPr>
            </w:pPr>
            <w:r>
              <w:rPr>
                <w:rFonts w:ascii="Arial" w:cs="Arial" w:eastAsia="Arial" w:hAnsi="Arial"/>
                <w:sz w:val="18"/>
                <w:szCs w:val="18"/>
                <w:color w:val="auto"/>
              </w:rPr>
              <w:t>(in billions)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Notes and Debentures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EMC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32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fair values of the outstanding debt shown in the table above, as well as the DFS debt described in Note 5 of the Notes to the Consolidated Financial Statements, were determined based on observable market prices in a less active market or based on valuation methodologies using observable inputs and were categorized as Level 2 in the fair value hierarchy. The carrying value of DFS debt approximates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The Company has strategic investments in equity and other securities as well as investments in fixed-income debt securities. As of January 28, 2022 and January 29, 2021, total investments were $1.8 billion and $1.3 billion,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Other Securities</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Equity and other securities include strategic investments in marketable and non-marketable securities. Investments in marketable securities are measured at fair value on a recurring basis. The Company has elected to apply the measurement alternative for non-marketable securities. Under the alternative, the Company measures investments without readily determinable fair values at cost, less impairment, adjusted by observable price changes. The Company makes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Carrying Value of Equity and Other Securities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amortized cost, cumulative unrealized gains, cumulative unrealized losses, and carrying value of the Company's strategic investments in marketable and non-marketable equity securities as of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January 29, 2021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3"/>
                <w:szCs w:val="13"/>
                <w:color w:val="auto"/>
              </w:rPr>
            </w:pPr>
          </w:p>
        </w:tc>
        <w:tc>
          <w:tcPr>
            <w:tcW w:w="920" w:type="dxa"/>
            <w:vAlign w:val="bottom"/>
          </w:tcPr>
          <w:p>
            <w:pPr>
              <w:jc w:val="center"/>
              <w:ind w:right="78"/>
              <w:spacing w:after="0" w:line="155" w:lineRule="exact"/>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3"/>
                <w:szCs w:val="13"/>
                <w:color w:val="auto"/>
              </w:rPr>
            </w:pPr>
          </w:p>
        </w:tc>
        <w:tc>
          <w:tcPr>
            <w:tcW w:w="94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Gain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Gain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5"/>
          </w:tcPr>
          <w:p>
            <w:pPr>
              <w:ind w:left="52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Non-marketable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156"/>
        </w:trPr>
        <w:tc>
          <w:tcPr>
            <w:tcW w:w="178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3"/>
              </w:rPr>
              <w:t>Total equity and other</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on Equity and Other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unrealized gains and losses on marketable and non-marketable equity and other securities for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January 29, 2021</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b w:val="1"/>
                <w:bCs w:val="1"/>
                <w:color w:val="auto"/>
                <w:w w:val="98"/>
              </w:rPr>
              <w:t>January 31, 2020</w:t>
            </w:r>
          </w:p>
        </w:tc>
      </w:tr>
      <w:tr>
        <w:trPr>
          <w:trHeight w:val="20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 millions)</w:t>
            </w: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Marketable securities</w:t>
            </w: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Unrealized gain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ind w:left="152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6"/>
                <w:szCs w:val="16"/>
                <w:color w:val="auto"/>
                <w:w w:val="98"/>
              </w:rPr>
              <w:t>(45)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unrealized gain (loss)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520"/>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Non-marketable securities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Unrealized gain</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ind w:left="152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6"/>
                <w:szCs w:val="16"/>
                <w:color w:val="auto"/>
                <w:w w:val="98"/>
              </w:rPr>
              <w:t>(59)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unrealized gain (a)</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52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34"/>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gain on equity and other securities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700" w:hanging="332"/>
        <w:spacing w:after="0" w:line="260" w:lineRule="auto"/>
        <w:tabs>
          <w:tab w:leader="none" w:pos="3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all periods presented, net gains on non-marketable securities are due to upward adjustments for observable price changes offset by losses primarily attributable to impairments.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Fixed Income Debt Securities</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fixed income debt securities carried at amortized cost which are held as collateral for borrowings. The Company intends to hold the investments to maturity.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debt securities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8"/>
                <w:szCs w:val="18"/>
                <w:b w:val="1"/>
                <w:bCs w:val="1"/>
                <w:color w:val="auto"/>
              </w:rPr>
              <w:t>January 29, 2021</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55"/>
        </w:trPr>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000" w:type="dxa"/>
            <w:vAlign w:val="bottom"/>
          </w:tcPr>
          <w:p>
            <w:pPr>
              <w:jc w:val="center"/>
              <w:ind w:right="97"/>
              <w:spacing w:after="0" w:line="155" w:lineRule="exact"/>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3"/>
                <w:szCs w:val="13"/>
                <w:color w:val="auto"/>
              </w:rPr>
            </w:pPr>
          </w:p>
        </w:tc>
        <w:tc>
          <w:tcPr>
            <w:tcW w:w="10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3"/>
                <w:szCs w:val="13"/>
                <w:color w:val="auto"/>
              </w:rPr>
            </w:pPr>
          </w:p>
        </w:tc>
        <w:tc>
          <w:tcPr>
            <w:tcW w:w="88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000" w:type="dxa"/>
            <w:vAlign w:val="bottom"/>
          </w:tcPr>
          <w:p>
            <w:pPr>
              <w:jc w:val="center"/>
              <w:ind w:right="97"/>
              <w:spacing w:after="0" w:line="155" w:lineRule="exact"/>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3"/>
                <w:szCs w:val="13"/>
                <w:color w:val="auto"/>
              </w:rPr>
            </w:pPr>
          </w:p>
        </w:tc>
        <w:tc>
          <w:tcPr>
            <w:tcW w:w="104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3"/>
                <w:szCs w:val="13"/>
                <w:color w:val="auto"/>
              </w:rPr>
            </w:pPr>
          </w:p>
        </w:tc>
        <w:tc>
          <w:tcPr>
            <w:tcW w:w="88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7"/>
              </w:rPr>
              <w:t>Carrying</w:t>
            </w:r>
          </w:p>
        </w:tc>
      </w:tr>
      <w:tr>
        <w:trPr>
          <w:trHeight w:val="213"/>
        </w:trPr>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4"/>
              </w:rPr>
              <w:t>Gains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4"/>
              </w:rPr>
              <w:t>Gains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Value</w:t>
            </w:r>
          </w:p>
        </w:tc>
      </w:tr>
      <w:tr>
        <w:trPr>
          <w:trHeight w:val="209"/>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699"/>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9"/>
        </w:trPr>
        <w:tc>
          <w:tcPr>
            <w:tcW w:w="176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Fixed income debt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9"/>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SERVICES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offers or arranges various financing options and services, and alternative payment structures for its customers globally. The Company also arranges financing for some of its customers in various countries where DFS does not currently operate as a captive enterprise. The Company further strengthens customer relationships through flexible consumption models, which enable the Company to offer its customers the option to pay over time and, in certain cases, based on utilization, to provide them with financial flexibility to meet their changing technological requirements. The key activities of DFS include originating, collecting, and servicing customer financing arrangements primarily related to the purchase or use of Dell Technologies products and services. In some cases, DFS also offers financing for the purchase of third-party technology products that complement the Dell Technologies portfolio of products and services. New financing originations were $8.5 billion, $8.9 billion, and $8.5 billion for the fiscal years ended January 28, 2022, January 29, 2021, and January 31, 2020,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and loan arrangements with customers are aggregated primarily into the following categories:</w:t>
      </w:r>
    </w:p>
    <w:p>
      <w:pPr>
        <w:spacing w:after="0" w:line="252"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i w:val="1"/>
          <w:iCs w:val="1"/>
          <w:color w:val="auto"/>
        </w:rPr>
        <w:t xml:space="preserve">Revolving loans </w:t>
      </w:r>
      <w:r>
        <w:rPr>
          <w:rFonts w:ascii="Arial" w:cs="Arial" w:eastAsia="Arial" w:hAnsi="Arial"/>
          <w:sz w:val="16"/>
          <w:szCs w:val="16"/>
          <w:color w:val="auto"/>
        </w:rPr>
        <w:t>— Revolving loans offered under private label credit financing programs provide qualified customers with a revolving credit line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19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 xml:space="preserve">Fixed-term leases and loans </w:t>
      </w:r>
      <w:r>
        <w:rPr>
          <w:rFonts w:ascii="Arial" w:cs="Arial" w:eastAsia="Arial" w:hAnsi="Arial"/>
          <w:sz w:val="18"/>
          <w:szCs w:val="18"/>
          <w:color w:val="auto"/>
        </w:rPr>
        <w:t>— The Company enters into financing arrangements with customers who seek lease financing for equipment. DFS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are classified as sales-type leases, direct financing leases, or operating leases. Direct financing leases are immaterial. Leases that commenced prior to the effective date of the current lease accounting standard continue to be accounted for under previous lease accounting guidance. Leases with business customers have fixed terms of generally two to four years.</w:t>
      </w:r>
    </w:p>
    <w:p>
      <w:pPr>
        <w:spacing w:after="0" w:line="214"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the Company’s financing receivables segregated by portfolio segment as of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1"/>
              </w:rPr>
              <w:t>January 28, 2022</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1"/>
              </w:rPr>
              <w:t>January 29, 2021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Revolving</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Revolving</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right"/>
              <w:ind w:right="71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Financing receivables,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Customer receivables, gross (a)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10,384</w:t>
            </w: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for losses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Customer receivables,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10,063</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Residual interest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Financing receivables,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5,339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240" w:hanging="332"/>
        <w:spacing w:after="0" w:line="260" w:lineRule="auto"/>
        <w:tabs>
          <w:tab w:leader="none" w:pos="3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receivables, gross include amounts due from customers under revolving loans, fixed-term loans, fixed-term sales-type or direct financing leases, and accrued interest.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allowance for financing receivable losses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Revolving</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Fixed-term</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Allowance for financing receivable losses:</w:t>
            </w: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Balances as of February 1, 2019</w:t>
            </w: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0" w:type="dxa"/>
            <w:vAlign w:val="bottom"/>
          </w:tcPr>
          <w:p>
            <w:pPr>
              <w:jc w:val="right"/>
              <w:ind w:right="14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Charge-offs, net of recoveries</w:t>
            </w: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charged to income statement</w:t>
            </w:r>
          </w:p>
        </w:tc>
        <w:tc>
          <w:tcPr>
            <w:tcW w:w="1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January 31, 2020</w:t>
            </w: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Adjustment for adoption of accounting standard (Note 2)</w:t>
            </w:r>
          </w:p>
        </w:tc>
        <w:tc>
          <w:tcPr>
            <w:tcW w:w="1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Charge-offs, net of recoveries</w:t>
            </w: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charged to income statement</w:t>
            </w:r>
          </w:p>
        </w:tc>
        <w:tc>
          <w:tcPr>
            <w:tcW w:w="1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January 29, 2021</w:t>
            </w: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Charge-offs, net of recoveries</w:t>
            </w:r>
          </w:p>
        </w:tc>
        <w:tc>
          <w:tcPr>
            <w:tcW w:w="1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charged to income statement</w:t>
            </w:r>
          </w:p>
        </w:tc>
        <w:tc>
          <w:tcPr>
            <w:tcW w:w="15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Balances as of January 28, 2022</w:t>
            </w:r>
          </w:p>
        </w:tc>
        <w:tc>
          <w:tcPr>
            <w:tcW w:w="15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4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04"/>
        </w:trPr>
        <w:tc>
          <w:tcPr>
            <w:tcW w:w="4860" w:type="dxa"/>
            <w:vAlign w:val="bottom"/>
          </w:tcPr>
          <w:p>
            <w:pPr>
              <w:spacing w:after="0"/>
              <w:rPr>
                <w:sz w:val="24"/>
                <w:szCs w:val="24"/>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8"/>
        </w:trPr>
        <w:tc>
          <w:tcPr>
            <w:tcW w:w="48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Aging</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the aging of the Company’s customer financing receivables, gross, including accrued interest, segregated by class, as of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January 29, 2021</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Past Due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1 — 90</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5"/>
                <w:szCs w:val="15"/>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1 — 90</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Days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&gt;90 Days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Days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&gt;90 Days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5"/>
          </w:tcPr>
          <w:p>
            <w:pPr>
              <w:ind w:left="3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 DPA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Revolving — DBC</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Fixed-term — Consumer and Commercial</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23"/>
        </w:trPr>
        <w:tc>
          <w:tcPr>
            <w:tcW w:w="3120" w:type="dxa"/>
            <w:vAlign w:val="bottom"/>
          </w:tcPr>
          <w:p>
            <w:pPr>
              <w:ind w:left="140"/>
              <w:spacing w:after="0"/>
              <w:rPr>
                <w:sz w:val="20"/>
                <w:szCs w:val="20"/>
                <w:color w:val="auto"/>
              </w:rPr>
            </w:pPr>
            <w:r>
              <w:rPr>
                <w:rFonts w:ascii="Arial" w:cs="Arial" w:eastAsia="Arial" w:hAnsi="Arial"/>
                <w:sz w:val="18"/>
                <w:szCs w:val="18"/>
                <w:color w:val="auto"/>
              </w:rPr>
              <w:t>Total customer receivables, gross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Aging is likely to fluctuate as a result of the variability in volume of large transactions entered into over the period, and the administrative processes that accompany those transactions. Aging is also impacted by the timing of the Dell Technologies fiscal period end date relative to calendar month-end customer payment due dates. As a result of these factors, fluctuations in aging from period to period do not necessarily indicate a material change in the collectibility of the portfolio.</w:t>
      </w:r>
    </w:p>
    <w:p>
      <w:pPr>
        <w:spacing w:after="0" w:line="21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Fixed-term consumer and commercial customer receivables are placed on non-accrual status if principal or interest is past due and considered delinquent, or if there is concern about collectibility of a specific customer receivable. These receivables identified as doubtful for collectibility may be classified as current for aging purposes. Aged revolving portfolio customer receivables identified as delinquent are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tables present customer receivables, gross, including accrued interest, by credit quality indicator segregated by class, as of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January 28, 2022</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11"/>
          </w:tcPr>
          <w:p>
            <w:pPr>
              <w:jc w:val="center"/>
              <w:ind w:right="280"/>
              <w:spacing w:after="0"/>
              <w:rPr>
                <w:sz w:val="20"/>
                <w:szCs w:val="20"/>
                <w:color w:val="auto"/>
              </w:rPr>
            </w:pPr>
            <w:r>
              <w:rPr>
                <w:rFonts w:ascii="Arial" w:cs="Arial" w:eastAsia="Arial" w:hAnsi="Arial"/>
                <w:sz w:val="18"/>
                <w:szCs w:val="18"/>
                <w:b w:val="1"/>
                <w:bCs w:val="1"/>
                <w:color w:val="auto"/>
                <w:w w:val="92"/>
              </w:rPr>
              <w:t>Fixed-term — Consumer and Commercial</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8"/>
                <w:szCs w:val="18"/>
                <w:b w:val="1"/>
                <w:bCs w:val="1"/>
                <w:color w:val="auto"/>
                <w:w w:val="90"/>
              </w:rPr>
              <w:t>Fiscal Year of Origination</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1"/>
              </w:rPr>
              <w:t>Revolving —</w:t>
            </w: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1"/>
              </w:rPr>
              <w:t>Revolving —</w:t>
            </w:r>
          </w:p>
        </w:tc>
        <w:tc>
          <w:tcPr>
            <w:tcW w:w="200" w:type="dxa"/>
            <w:vAlign w:val="bottom"/>
          </w:tcPr>
          <w:p>
            <w:pPr>
              <w:spacing w:after="0"/>
              <w:rPr>
                <w:sz w:val="14"/>
                <w:szCs w:val="14"/>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Prior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4"/>
              </w:rPr>
              <w:t>DPA</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7"/>
              </w:rPr>
              <w:t>DBC</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5"/>
          </w:tcPr>
          <w:p>
            <w:pPr>
              <w:ind w:left="3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29"/>
        </w:trPr>
        <w:tc>
          <w:tcPr>
            <w:tcW w:w="1420" w:type="dxa"/>
            <w:vAlign w:val="bottom"/>
          </w:tcPr>
          <w:p>
            <w:pPr>
              <w:ind w:left="20"/>
              <w:spacing w:after="0"/>
              <w:rPr>
                <w:sz w:val="20"/>
                <w:szCs w:val="20"/>
                <w:color w:val="auto"/>
              </w:rPr>
            </w:pPr>
            <w:r>
              <w:rPr>
                <w:rFonts w:ascii="Arial" w:cs="Arial" w:eastAsia="Arial" w:hAnsi="Arial"/>
                <w:sz w:val="18"/>
                <w:szCs w:val="18"/>
                <w:color w:val="auto"/>
              </w:rPr>
              <w:t>Mid</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Lower</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23"/>
        </w:trPr>
        <w:tc>
          <w:tcPr>
            <w:tcW w:w="142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1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January 29, 2021</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11"/>
          </w:tcPr>
          <w:p>
            <w:pPr>
              <w:jc w:val="center"/>
              <w:ind w:right="280"/>
              <w:spacing w:after="0"/>
              <w:rPr>
                <w:sz w:val="20"/>
                <w:szCs w:val="20"/>
                <w:color w:val="auto"/>
              </w:rPr>
            </w:pPr>
            <w:r>
              <w:rPr>
                <w:rFonts w:ascii="Arial" w:cs="Arial" w:eastAsia="Arial" w:hAnsi="Arial"/>
                <w:sz w:val="18"/>
                <w:szCs w:val="18"/>
                <w:b w:val="1"/>
                <w:bCs w:val="1"/>
                <w:color w:val="auto"/>
                <w:w w:val="92"/>
              </w:rPr>
              <w:t>Fixed-term — Consumer and Commercial</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8"/>
                <w:szCs w:val="18"/>
                <w:b w:val="1"/>
                <w:bCs w:val="1"/>
                <w:color w:val="auto"/>
                <w:w w:val="90"/>
              </w:rPr>
              <w:t>Fiscal Year of Origination</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1"/>
              </w:rPr>
              <w:t>Revolving —</w:t>
            </w: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1"/>
              </w:rPr>
              <w:t>Revolving —</w:t>
            </w:r>
          </w:p>
        </w:tc>
        <w:tc>
          <w:tcPr>
            <w:tcW w:w="200" w:type="dxa"/>
            <w:vAlign w:val="bottom"/>
          </w:tcPr>
          <w:p>
            <w:pPr>
              <w:spacing w:after="0"/>
              <w:rPr>
                <w:sz w:val="14"/>
                <w:szCs w:val="14"/>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Prior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4"/>
              </w:rPr>
              <w:t>DPA</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7"/>
              </w:rPr>
              <w:t>DBC</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5"/>
          </w:tcPr>
          <w:p>
            <w:pPr>
              <w:ind w:left="3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Mid</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Lower</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142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categories shown in the tables above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DPA revolving receivables shown in the table above,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on sales-type lease receivables was $246 million, $270 million, and $259 million for the fiscal years ended January 28, 2022, January 29, 2021, and January 31, 2020, respectively.</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the net revenue, cost of net revenue, and gross margin recognized at the commencement date of sales-type leases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28, 2022</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0"/>
              </w:rPr>
              <w:t>January 29, 2021</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January 31, 2020</w:t>
            </w:r>
          </w:p>
        </w:tc>
      </w:tr>
      <w:tr>
        <w:trPr>
          <w:trHeight w:val="223"/>
        </w:trPr>
        <w:tc>
          <w:tcPr>
            <w:tcW w:w="4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(in millions)</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Cost of net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1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48"/>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1780" w:type="dxa"/>
            <w:vAlign w:val="bottom"/>
            <w:tcBorders>
              <w:bottom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The following table presents the future maturity of the Company’s fixed-term customer leases and associated financing payments, and reconciles the undiscounted cash flows to the customer receivables, gross recognized on the Consolidated Statements of Financial Position as of the date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January 28, 2022</w:t>
            </w:r>
          </w:p>
        </w:tc>
      </w:tr>
      <w:tr>
        <w:trPr>
          <w:trHeight w:val="223"/>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 and beyond</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9060" w:type="dxa"/>
            <w:vAlign w:val="bottom"/>
          </w:tcPr>
          <w:p>
            <w:pPr>
              <w:ind w:left="140"/>
              <w:spacing w:after="0"/>
              <w:rPr>
                <w:sz w:val="20"/>
                <w:szCs w:val="20"/>
                <w:color w:val="auto"/>
              </w:rPr>
            </w:pPr>
            <w:r>
              <w:rPr>
                <w:rFonts w:ascii="Arial" w:cs="Arial" w:eastAsia="Arial" w:hAnsi="Arial"/>
                <w:sz w:val="18"/>
                <w:szCs w:val="18"/>
                <w:color w:val="auto"/>
              </w:rPr>
              <w:t>Total undiscounted cash flows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5,524</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Fixed-term loans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Revolving loans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unearned income</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3"/>
        </w:trPr>
        <w:tc>
          <w:tcPr>
            <w:tcW w:w="9060" w:type="dxa"/>
            <w:vAlign w:val="bottom"/>
          </w:tcPr>
          <w:p>
            <w:pPr>
              <w:ind w:left="140"/>
              <w:spacing w:after="0"/>
              <w:rPr>
                <w:sz w:val="20"/>
                <w:szCs w:val="20"/>
                <w:color w:val="auto"/>
              </w:rPr>
            </w:pPr>
            <w:r>
              <w:rPr>
                <w:rFonts w:ascii="Arial" w:cs="Arial" w:eastAsia="Arial" w:hAnsi="Arial"/>
                <w:sz w:val="18"/>
                <w:szCs w:val="18"/>
                <w:color w:val="auto"/>
              </w:rPr>
              <w:t>Total customer receivables, gross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10,583</w:t>
            </w:r>
          </w:p>
        </w:tc>
      </w:tr>
      <w:tr>
        <w:trPr>
          <w:trHeight w:val="20"/>
        </w:trPr>
        <w:tc>
          <w:tcPr>
            <w:tcW w:w="9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components of the Company’s operating lease portfolio included in Property, plant, and equipment, net as of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January 28, 2022</w:t>
            </w: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1"/>
              </w:rPr>
              <w:t>January 29, 2021</w:t>
            </w:r>
          </w:p>
        </w:tc>
      </w:tr>
      <w:tr>
        <w:trPr>
          <w:trHeight w:val="223"/>
        </w:trPr>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80" w:type="dxa"/>
            <w:vAlign w:val="bottom"/>
          </w:tcPr>
          <w:p>
            <w:pPr>
              <w:spacing w:after="0"/>
              <w:rPr>
                <w:sz w:val="19"/>
                <w:szCs w:val="19"/>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under operating lease, gross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48"/>
        </w:trPr>
        <w:tc>
          <w:tcPr>
            <w:tcW w:w="6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Equipment under operating lease,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Operating lease income relating to lease payments was $717 million, $452 million, and $169 million for the fiscal years ended January 28, 2022, January 29, 2021, and January 31, 2020, respectively. Depreciation expense was $536 million, $334 million, and $115 million for the fiscal years ended January 28, 2022, January 29, 2021, and January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future payments to be received by the Company as lessor in operating lease contracts as of the date indicated: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January 28, 2022</w:t>
            </w:r>
          </w:p>
        </w:tc>
      </w:tr>
      <w:tr>
        <w:trPr>
          <w:trHeight w:val="223"/>
        </w:trPr>
        <w:tc>
          <w:tcPr>
            <w:tcW w:w="9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2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Fiscal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Fiscal 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2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Fiscal 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Fiscal 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Fiscal 2027 and beyond</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900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r>
      <w:tr>
        <w:trPr>
          <w:trHeight w:val="21"/>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loan and lease payments and associated equipment. The following table presents DFS debt as of the dates indicated. The table excludes the allocated portion of the Company’s other borrowings, which represents the additional amount considered to fund the DFS business.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January 28, 2022</w:t>
            </w: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January 29, 2021</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DFS debt</w:t>
            </w:r>
          </w:p>
        </w:tc>
        <w:tc>
          <w:tcPr>
            <w:tcW w:w="260" w:type="dxa"/>
            <w:vAlign w:val="bottom"/>
          </w:tcPr>
          <w:p>
            <w:pPr>
              <w:spacing w:after="0"/>
              <w:rPr>
                <w:sz w:val="19"/>
                <w:szCs w:val="19"/>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60" w:type="dxa"/>
            <w:vAlign w:val="bottom"/>
          </w:tcPr>
          <w:p>
            <w:pPr>
              <w:spacing w:after="0"/>
              <w:rPr>
                <w:sz w:val="19"/>
                <w:szCs w:val="19"/>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DFS U.S.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Asset-based financing and securitization facilities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3,311</w:t>
            </w: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Fixed-term securitization offerings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DFS U.S.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i w:val="1"/>
                <w:iCs w:val="1"/>
                <w:color w:val="auto"/>
              </w:rPr>
              <w:t>DFS international debt:</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 facility</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Other borrowings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payable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Dell Bank Senior Unsecured Eurobonds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r>
      <w:tr>
        <w:trPr>
          <w:trHeight w:val="223"/>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DFS international debt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b w:val="1"/>
                <w:bCs w:val="1"/>
                <w:color w:val="auto"/>
              </w:rPr>
              <w:t>Total DFS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6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short-term DFS debt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r>
      <w:tr>
        <w:trPr>
          <w:trHeight w:val="234"/>
        </w:trPr>
        <w:tc>
          <w:tcPr>
            <w:tcW w:w="6780" w:type="dxa"/>
            <w:vAlign w:val="bottom"/>
          </w:tcPr>
          <w:p>
            <w:pPr>
              <w:ind w:left="480"/>
              <w:spacing w:after="0"/>
              <w:rPr>
                <w:sz w:val="20"/>
                <w:szCs w:val="20"/>
                <w:color w:val="auto"/>
              </w:rPr>
            </w:pPr>
            <w:r>
              <w:rPr>
                <w:rFonts w:ascii="Arial" w:cs="Arial" w:eastAsia="Arial" w:hAnsi="Arial"/>
                <w:sz w:val="18"/>
                <w:szCs w:val="18"/>
                <w:b w:val="1"/>
                <w:bCs w:val="1"/>
                <w:color w:val="auto"/>
              </w:rPr>
              <w:t>Total long-term DFS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4,778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U.S. Debt</w:t>
      </w:r>
    </w:p>
    <w:p>
      <w:pPr>
        <w:spacing w:after="0" w:line="24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Asset-Based Financing and Securitization Facilities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separate asset-based financing facilities and a securitization facility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which are revolving facilities for fixed-term leases and loans and for revolving loans, respectively. This debt is collateralized solely by the U.S. loan and lease payments and associated equipment in the facilities. The debt has a variable interest rate and the duration of the debt is based on the terms of the underlying loan and lease payment streams. As of January 28, 2022, the total debt capacity related to the U.S. asset-based financing and securitization facilities was $4.5 billion. The Company enters into interest swap agreements to effectively convert a portion of this debt from a floating rate to a fixed rate. See Note 8 of the Notes to the Consolidated Financial Statements for additional information about interest rate swaps.</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U.S. securitization facility for revolving loans is effective through June 25, 2022. The Company’s two U.S. asset-based financing facilities for fixed-term leases and loans are effective through July 10, 2023 and July 26, 2022, respectively.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asset-based financing and securitization facilities contain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January 28, 2022, these criteria were met.</w:t>
      </w:r>
    </w:p>
    <w:p>
      <w:pPr>
        <w:spacing w:after="0" w:line="194"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i w:val="1"/>
          <w:iCs w:val="1"/>
          <w:color w:val="auto"/>
        </w:rPr>
        <w:t xml:space="preserve">Fixed-Term Securitization Offerings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periodically issues asset-backed debt securities under fixed-term securitization programs to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The asset-backed debt securities are collateralized solely by the U.S. fixed-term leases and loans in the offerings, which are held by Special Purpose Entities (“SPEs”), as discussed below. The interest rate on these securities is fixed and ranges from 0.18% to 5.92% per annum, and the duration of these securities is based on the terms of the underlying lease and loan payment streams.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International Debt</w:t>
      </w:r>
    </w:p>
    <w:p>
      <w:pPr>
        <w:spacing w:after="0" w:line="24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Securitization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securitization facility in Europe for fixed-term leases and loans. This facility is effective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21, 2022 and had a total debt capacity of $892 million as of January 28, 2022.</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January 28, 2022, these criteria were met.</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Borrowings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Company’s international financing operations, the Company has entered into revolving structured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programs related to its fixed-term lease and loan products sold in Canada, Europe, Australia, and New Zealand. The Canadian facility, which is collateralized solely by Canadian loan and lease payments and associated equipment, had a total debt capacity of $353 million as of January 28, 2022, and is effective through January 16, 2025. The European facility, which is collateralized solely by European loan and lease payments and associated equipment, had a total debt capacity of $669 million as of January 28, 2022, and is effective through December 14, 2023. The Australia and New Zealand facility, which is collateralized solely by Australia and New Zealand loan and lease payments and associated equipment, had a total debt capacity of $316 million as of January 28, 2022, and is effective through April 20, 2023.</w:t>
      </w:r>
    </w:p>
    <w:p>
      <w:pPr>
        <w:spacing w:after="0" w:line="19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 xml:space="preserve">Note Payable </w:t>
      </w:r>
      <w:r>
        <w:rPr>
          <w:rFonts w:ascii="Arial" w:cs="Arial" w:eastAsia="Arial" w:hAnsi="Arial"/>
          <w:sz w:val="18"/>
          <w:szCs w:val="18"/>
          <w:b w:val="1"/>
          <w:bCs w:val="1"/>
          <w:color w:val="auto"/>
        </w:rPr>
        <w:t>—</w:t>
      </w:r>
      <w:r>
        <w:rPr>
          <w:rFonts w:ascii="Arial" w:cs="Arial" w:eastAsia="Arial" w:hAnsi="Arial"/>
          <w:sz w:val="18"/>
          <w:szCs w:val="18"/>
          <w:color w:val="auto"/>
        </w:rPr>
        <w:t>On August 7, 2020, the Company entered into two new unsecured credit agreements to fund receivables in Mexico. As of January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principal amount of the notes payable was $250 million. The notes bear interest at an annual rate of 3.37% and will mature on June 1, 2022.</w:t>
      </w:r>
    </w:p>
    <w:p>
      <w:pPr>
        <w:spacing w:after="0" w:line="203"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i w:val="1"/>
          <w:iCs w:val="1"/>
          <w:color w:val="auto"/>
        </w:rPr>
        <w:t xml:space="preserve">Dell Bank Senior Unsecured Eurobonds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17, 2019, Dell Bank International D.A.C. issued 500 million Euro of 0.625% senior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 eurobonds due October 2022. On June 24, 2020, Dell Bank International D.A.C. issued an additional 500 million Euro of 1.625% senior unsecured four year eurobonds due June 2024. On October 27, 2021, Dell Bank International D.A.C issued 500 million Euro of 0.5% senior unsecured five years eurobonds due October 2026. The issuance of the senior unsecured eurobonds support the expansion of the financing operations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connection with the asset-based financing facilities, securitization facilities, and fixed-term securitization offerings discussed above, the Company transfers certain U.S. and European loan and lease payments and associated equipment to SPEs that meet the definition of a Variable Interest Entity (“VIE”) and are consolidated, along with the associated debt detailed above, into the Consolidated Financial Statements, as the Company is the primary beneficiary of the VIEs. The SPEs are bankruptcy-remote legal entities with separate assets and liabilities. The purpose of the SPEs is to facilitate the funding of customer loan and lease payments and associated equipment in the capital markets.</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Some of the SPEs have entered into financing arrangements with multi-seller conduits that, in turn, issue asset-backed debt securities in the capital markets. DFS debt outstanding held by the consolidated VIEs is collateralized by the loan and lease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the assets and liabilities held by the consolidated VIEs as of the dates indicated, which are included in the Consolidated Statements of Financial Position: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January 28, 2022</w:t>
            </w:r>
          </w:p>
        </w:tc>
        <w:tc>
          <w:tcPr>
            <w:tcW w:w="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January 29, 2021</w:t>
            </w:r>
          </w:p>
        </w:tc>
      </w:tr>
      <w:tr>
        <w:trPr>
          <w:trHeight w:val="223"/>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(in millions)</w:t>
            </w:r>
          </w:p>
        </w:tc>
        <w:tc>
          <w:tcPr>
            <w:tcW w:w="1760" w:type="dxa"/>
            <w:vAlign w:val="bottom"/>
          </w:tcPr>
          <w:p>
            <w:pPr>
              <w:spacing w:after="0"/>
              <w:rPr>
                <w:sz w:val="19"/>
                <w:szCs w:val="19"/>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by consolidated VIEs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receivables, net of allowance</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Short-term</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3,368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3,534</w:t>
            </w: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held by consolidated VIEs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Debt, net of unamortized debt issuance costs</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4,560</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Long-term</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2,235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2,841</w:t>
            </w:r>
          </w:p>
        </w:tc>
      </w:tr>
    </w:tbl>
    <w:p>
      <w:pPr>
        <w:spacing w:after="0" w:line="32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Loan and lease payments and associated equipment transferred via securitization through SPEs were $5.3 billion and $6.1 billion for the fiscal years ended January 28, 2022 and January 29,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Receivable Sales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manage certain concentrations of customer credit exposure, the Company may sell selected fixed-term customer receivables to unrelated third parties on a periodic basis, without recourse. The amount of customer receivables sold for this purpose was $201 million, $648 million, and $538 million for the fiscal years ended January 28, 2022, January 29, 2021, and January 31, 2020, respectively. The Company’s continuing involvement in these customer receivables is primarily limited to servicing arrangements.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56"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January 28, 2022, the remaining terms of the Company’s leases range from less than two months to eleven years.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also enters into leasing transactions in which the Company is the lessor, primarily through customer financing arrangements offered through DFS. DFS originates leases that are primarily classified as either sales-type leases or operating leases. See Note 5 of the Notes to the Consolidated Financial Statements for more information on the DFS lease portfolio and related lease disclosures.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Financial information associated with the Company’s leases in which the Company is the lessee is contained in this Note. As of January 28, 2022 and January 29, 2021, there were no material finance leases for which the Company was a lessee.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lease costs included in the Consolidated Statements of Income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408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Fiscal Year Ended</w:t>
            </w:r>
          </w:p>
        </w:tc>
        <w:tc>
          <w:tcPr>
            <w:tcW w:w="38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28, 2022</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29, 2021</w:t>
            </w:r>
          </w:p>
        </w:tc>
        <w:tc>
          <w:tcPr>
            <w:tcW w:w="380" w:type="dxa"/>
            <w:vAlign w:val="bottom"/>
            <w:tcBorders>
              <w:bottom w:val="single" w:sz="8" w:color="auto"/>
            </w:tcBorders>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320" w:type="dxa"/>
            <w:vAlign w:val="bottom"/>
            <w:gridSpan w:val="3"/>
          </w:tcPr>
          <w:p>
            <w:pPr>
              <w:jc w:val="right"/>
              <w:ind w:right="131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19"/>
                <w:szCs w:val="19"/>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76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w:t>
            </w:r>
          </w:p>
        </w:tc>
      </w:tr>
      <w:tr>
        <w:trPr>
          <w:trHeight w:val="230"/>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Variable costs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costs</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years ended January 28, 2022 and January 29, 2021, sublease income, finance lease costs, and short-term lease costs were immaterial.</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supplemental information related to operating leases included in the Consolidated Statements of Financial Position as of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2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Classification</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January 28, 2022</w:t>
            </w: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January 29, 2021</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60" w:type="dxa"/>
            <w:vAlign w:val="bottom"/>
            <w:gridSpan w:val="4"/>
          </w:tcPr>
          <w:p>
            <w:pPr>
              <w:jc w:val="right"/>
              <w:ind w:right="550"/>
              <w:spacing w:after="0"/>
              <w:rPr>
                <w:sz w:val="20"/>
                <w:szCs w:val="20"/>
                <w:color w:val="auto"/>
              </w:rPr>
            </w:pPr>
            <w:r>
              <w:rPr>
                <w:rFonts w:ascii="Arial" w:cs="Arial" w:eastAsia="Arial" w:hAnsi="Arial"/>
                <w:sz w:val="18"/>
                <w:szCs w:val="18"/>
                <w:color w:val="auto"/>
              </w:rPr>
              <w:t>(in millions, except for term and discount rate)</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3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Weighted-average remaining lease term (in</w:t>
            </w:r>
          </w:p>
        </w:tc>
        <w:tc>
          <w:tcPr>
            <w:tcW w:w="3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leases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40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b w:val="1"/>
                <w:bCs w:val="1"/>
                <w:color w:val="auto"/>
              </w:rPr>
              <w:t>Fiscal Year Ended</w:t>
            </w: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28, 2022</w:t>
            </w:r>
          </w:p>
        </w:tc>
        <w:tc>
          <w:tcPr>
            <w:tcW w:w="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29, 2021</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320" w:type="dxa"/>
            <w:vAlign w:val="bottom"/>
            <w:gridSpan w:val="2"/>
          </w:tcPr>
          <w:p>
            <w:pPr>
              <w:jc w:val="right"/>
              <w:ind w:right="131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paid for amounts included in the measurement of lease liabilities —</w:t>
            </w:r>
          </w:p>
        </w:tc>
        <w:tc>
          <w:tcPr>
            <w:tcW w:w="1760" w:type="dxa"/>
            <w:vAlign w:val="bottom"/>
            <w:vMerge w:val="restart"/>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880" w:type="dxa"/>
            <w:vAlign w:val="bottom"/>
            <w:vMerge w:val="restart"/>
            <w:shd w:val="clear" w:color="auto" w:fill="CCEEFF"/>
          </w:tcPr>
          <w:p>
            <w:pPr>
              <w:jc w:val="right"/>
              <w:ind w:right="161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523</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 (a)</w:t>
            </w:r>
          </w:p>
        </w:tc>
        <w:tc>
          <w:tcPr>
            <w:tcW w:w="17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76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88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w:t>
            </w:r>
          </w:p>
        </w:tc>
        <w:tc>
          <w:tcPr>
            <w:tcW w:w="0" w:type="dxa"/>
            <w:vAlign w:val="bottom"/>
          </w:tcPr>
          <w:p>
            <w:pPr>
              <w:spacing w:after="0"/>
              <w:rPr>
                <w:sz w:val="1"/>
                <w:szCs w:val="1"/>
                <w:color w:val="auto"/>
              </w:rPr>
            </w:pPr>
          </w:p>
        </w:tc>
      </w:tr>
      <w:tr>
        <w:trPr>
          <w:trHeight w:val="311"/>
        </w:trPr>
        <w:tc>
          <w:tcPr>
            <w:tcW w:w="6780" w:type="dxa"/>
            <w:vAlign w:val="bottom"/>
          </w:tcPr>
          <w:p>
            <w:pPr>
              <w:spacing w:after="0"/>
              <w:rPr>
                <w:sz w:val="20"/>
                <w:szCs w:val="20"/>
                <w:color w:val="auto"/>
              </w:rPr>
            </w:pPr>
            <w:r>
              <w:rPr>
                <w:rFonts w:ascii="Arial" w:cs="Arial" w:eastAsia="Arial" w:hAnsi="Arial"/>
                <w:sz w:val="18"/>
                <w:szCs w:val="18"/>
                <w:color w:val="auto"/>
              </w:rPr>
              <w:t>____________________</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320" w:firstLine="8"/>
        <w:spacing w:after="0" w:line="290"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Cash paid for amounts included in the measurement of lease liabilities - operating cash outflows from operating leases from discontinued operations was $135 million and $174 million for the fiscal years ended January 28, 2022 and January 29, 2021 respectively.</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 presents the future maturity of the Company’s operating lease liabilities under non-cancelable leases and reconciles the undiscounted cash flows for these leases to the lease liability recognized on the Consolidated Statements of Financial Position as of the date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January 28, 2022</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8"/>
                <w:szCs w:val="18"/>
                <w:color w:val="auto"/>
              </w:rPr>
              <w:t>Current operating lease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6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line="203"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2022, the Company’s undiscounted operating leases that had not yet commenced were immaterial.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7 — DEBT</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tcPr>
          <w:p>
            <w:pPr>
              <w:spacing w:after="0"/>
              <w:rPr>
                <w:sz w:val="20"/>
                <w:szCs w:val="20"/>
                <w:color w:val="auto"/>
              </w:rPr>
            </w:pPr>
            <w:r>
              <w:rPr>
                <w:rFonts w:ascii="Arial" w:cs="Arial" w:eastAsia="Arial" w:hAnsi="Arial"/>
                <w:sz w:val="18"/>
                <w:szCs w:val="18"/>
                <w:color w:val="auto"/>
              </w:rPr>
              <w:t>The following table summarizes the Company’s outstanding debt as of the dates indicated:</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January 29, 2021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gridSpan w:val="4"/>
          </w:tcPr>
          <w:p>
            <w:pPr>
              <w:jc w:val="right"/>
              <w:ind w:right="13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2.00% Term Loan B-1 Facility due September 2025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1.84% Term Loan A-6 Facility due March 2024</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5.88% due June 2021</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5.45% due June 2023</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7.13% due June 2024</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4.00% due July 2024</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5.85% due July 2025</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6.02% due June 2026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4.90% due October 2026</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6.10% due July 2027</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5.30% due October 2029</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6.20% due July 2030</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8.10% due July 2036</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3.38% due December 2041</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8.35% due July 2046</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3.45% due December 2051</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Notes and Debentures: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4.63% due April 2021</w:t>
            </w: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7.10% due April 2028</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6.50% due April 2038</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5.40% due September 2040</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EMC Notes: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3.38% due June 2023</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DFS Debt (Note 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7440" w:type="dxa"/>
            <w:vAlign w:val="bottom"/>
          </w:tcPr>
          <w:p>
            <w:pPr>
              <w:ind w:left="240"/>
              <w:spacing w:after="0"/>
              <w:rPr>
                <w:sz w:val="20"/>
                <w:szCs w:val="20"/>
                <w:color w:val="auto"/>
              </w:rPr>
            </w:pPr>
            <w:r>
              <w:rPr>
                <w:rFonts w:ascii="Arial" w:cs="Arial" w:eastAsia="Arial" w:hAnsi="Arial"/>
                <w:sz w:val="18"/>
                <w:szCs w:val="18"/>
                <w:b w:val="1"/>
                <w:bCs w:val="1"/>
                <w:color w:val="auto"/>
              </w:rPr>
              <w:t>Total debt, principal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39,675</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discount, net of unamortized premium</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debt, carrying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color w:val="auto"/>
              </w:rPr>
              <w:t>Total short-term debt, carrying value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5,823</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long-term debt, carrying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fiscal year ended January 28, 2022, total outstanding debt decreased by $12.3 billion primarily as a result of principal repayments funded by proceeds from the VMware Spin-off special dividend of $9.3 billion and cash on hand. The net decrease in the Company’s debt balance was attributable to repayments of $7.2 billion principal amount of Senior Notes, $6.3 billion principal amount of Senior Secured Credit Facilities, $1.0 billion principal amount of EMC Notes, and $0.4 billion principal amount of Legacy Notes and Debentures. These decreases were partially offset by the issuance of $2.3 billion in aggregate principal amount of Senior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Debt Tender Offers</w:t>
      </w:r>
    </w:p>
    <w:p>
      <w:pPr>
        <w:spacing w:after="0" w:line="2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December 21, 2021, the Company completed tender offers for outstanding Senior Notes. The transaction was funded with the net proceeds received from the December 13, 2021 issuance of $1.0 billion aggregate principal amount of 3.38% Senior Notes due December 15, 2041 and $1.3 billion aggregate principal amount of 3.45% Senior Notes due December 15, 2051, as well as $0.7 billion of cash and cash equivalents.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result of the transaction, the Company retired $1.2 billion in aggregate principal amount of 8.35% Senior Notes due 2046 and $0.5 billion in aggregate principal amount of 8.10% Senior Notes due 2036. The Company incurred $1.2 billion in debt extinguishment fees recognized in interest and other, net in the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Revolving Credit Facility</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1, 2021, the Company entered into a new senior unsecured Revolving Credit Facility (the “2021 Revolving Credit Facility”) to replace the previous senior secured Revolving Credit Facility (the “Revolving Credit Facility”). Following the full redemption of the outstanding term loan facilities and replacement of the Revolving Credit Facility, the credit agreement governing the Revolving Credit Facility (the “Previous Credit Agreement”) was terminated.</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2021 Revolving Credit Facility, which matures on November 1, 2026, provides the Company with revolving commitments in an aggregate principal amount of $5.0 billion for general corporate purposes and includes a letter of credit sub-facility of up to $0.5 billion and a swing-line loan sub-facility of up to $0.5 billion. The 2021 Revolving Credit Facility also allows the Company to request incremental commitments on one or more occasions in minimum amounts of $10 million.</w:t>
      </w:r>
    </w:p>
    <w:p>
      <w:pPr>
        <w:spacing w:after="0" w:line="20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Company may conduct borrowings under the 2021 Revolving Credit Facility through London Interbank Offered Rate (“LIBOR”) borrowings or Base Rate Loan borrowings. LIBOR borrowings bear interest at a rate per annum equal to the LIBOR, plus an applicable rate that varies based upon the Company’s existing debt ratings (the “applicable rate”). Base Rate Loan borrowings bear interest at a rate per annum equal to the base rate plus the applicable rate. The base rate is calculated based upon the greatest of the specified prime rate, the specified federal reserve bank rate, or LIBOR plus 1%.</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borrowers may voluntarily repay outstanding loans under the 2021 Revolving Credit Facility at any time without premium or penalty, other than customary breakage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2022, available borrowings under the 2021 Revolving Credit Facility totaled $5.0 billion.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The Company completed private offerings of multiple series of senior notes which were issued on June 1, 2016, June 22, 2016, March 20,</w:t>
      </w:r>
      <w:r>
        <w:rPr>
          <w:rFonts w:ascii="Arial" w:cs="Arial" w:eastAsia="Arial" w:hAnsi="Arial"/>
          <w:sz w:val="16"/>
          <w:szCs w:val="16"/>
          <w:i w:val="1"/>
          <w:iCs w:val="1"/>
          <w:color w:val="auto"/>
        </w:rPr>
        <w:t xml:space="preserve"> </w:t>
      </w:r>
      <w:r>
        <w:rPr>
          <w:rFonts w:ascii="Arial" w:cs="Arial" w:eastAsia="Arial" w:hAnsi="Arial"/>
          <w:sz w:val="16"/>
          <w:szCs w:val="16"/>
          <w:color w:val="auto"/>
        </w:rPr>
        <w:t>2019, April 9, 2020, and December 13, 2021 in aggregate principal amounts of $20.0 billion, $3.3 billion, $4.5 billion, $2.3 billion, and $2.3 billion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“Senior Notes”). Interest on these borrowings is payable semiannually.</w:t>
      </w:r>
    </w:p>
    <w:p>
      <w:pPr>
        <w:spacing w:after="0" w:line="224"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In June 2021, Dell International L.L.C and EMC Corporation (the “Issuers”), wholly-owned subsidiaries of Dell Technologies, completed offers to exchange any and all outstanding Senior Notes issued on June 1,2016, March 20, 2019, and April 9, 2020 (the “First Lien Notes”) for first lien notes registered under the Securities Act of 1933 having terms substantially identical to the terms of the outstanding First Lien Notes. The Issuers issued $18.4 billion aggregate principal amount of registered first lien notes in exchange for the same aggregate principal amount of First Lien Notes. The aggregate principal amount of unregistered First Lien Notes remaining outstanding following the settlement of the exchange offers was approximately $0.1 billion.</w:t>
      </w:r>
    </w:p>
    <w:p>
      <w:pPr>
        <w:spacing w:after="0" w:line="20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Such registered first lien notes, together with the remaining unregistered First Lien Notes, were previously secured on a pari passu basis with the Senior Secured Credit Facilities, on a first-priority basis by substantially all of the tangible and intangible assets of the issuers and guarantors that secured obligations under the Previous Credit Agreement, including pledges of all capital stock of the issuers, Dell Inc., a wholly-owned subsidiary of Dell Technologies Inc., and certain wholly-owned material subsidiaries of the issuers and the guarantors,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the termination of the Previous Credit Agreement, and upon Dell Technologies receiving investment grade credit ratings, the tangible and intangible assets of the issuers and guarantors that secured obligations under the Senior Secured Credit Facilities were released as collateral. As a result, the registered first lien notes and the remaining unregistered First Lien Notes are fully unsecured and are collectively referred to as “Senior Notes” in these Notes to the Consolidated Financial Statements.</w:t>
      </w:r>
    </w:p>
    <w:p>
      <w:pPr>
        <w:spacing w:after="0" w:line="21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Legacy Notes and Debentures </w:t>
      </w:r>
      <w:r>
        <w:rPr>
          <w:rFonts w:ascii="Arial" w:cs="Arial" w:eastAsia="Arial" w:hAnsi="Arial"/>
          <w:sz w:val="18"/>
          <w:szCs w:val="18"/>
          <w:color w:val="auto"/>
        </w:rPr>
        <w:t>— The Company has outstanding unsecured notes and debentures (collectively, the “Legacy Notes and Debentures”)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issued by Dell prior to the acquisition of Dell Inc. by Dell Technologies Inc. in the going-private transaction that closed in October 2013. Interest on these borrowings is payable semiannually.</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DFS Debt </w:t>
      </w:r>
      <w:r>
        <w:rPr>
          <w:rFonts w:ascii="Arial" w:cs="Arial" w:eastAsia="Arial" w:hAnsi="Arial"/>
          <w:sz w:val="18"/>
          <w:szCs w:val="18"/>
          <w:color w:val="auto"/>
        </w:rPr>
        <w:t>— See Note 5 and Note 8 of the Notes to the Consolidated Financial Statements, respectively, for discussion of DFS debt and the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swap agreements that hedge a portion of that debt.</w:t>
      </w:r>
    </w:p>
    <w:p>
      <w:pPr>
        <w:spacing w:after="0" w:line="18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 The credit agreement governing the 2021 Revolving Credit Facility and the indentures governing the Senior Notes and the Legacy Notes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Debentures variously impose limitations, subject to exceptions, on creating certain liens and entering into sale and lease-back transactions. The foregoing credit agreement and indentures contain customary events of default, including failure to make required payments, failure to comply with covenants, and the occurrence of certain events of bankruptcy and insolvency. The 2021 Revolving Credit Facility is also subject to an interest coverage ratio covenant that is tested at the end of each fiscal quarter with respect to the Company’s preceding four fiscal quarters. The Company was in compliance with financial covenants as of January 28,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Future Maturities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the aggregate future maturities of the Company’s debt as of January 28, 2022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w w:val="91"/>
              </w:rPr>
              <w:t>Maturities by Fiscal Year</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Legacy Notes and Debentures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DFS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r>
      <w:tr>
        <w:trPr>
          <w:trHeight w:val="22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maturities, principal amount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27,235</w:t>
            </w:r>
          </w:p>
        </w:tc>
      </w:tr>
      <w:tr>
        <w:trPr>
          <w:trHeight w:val="229"/>
        </w:trPr>
        <w:tc>
          <w:tcPr>
            <w:tcW w:w="3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7"/>
              </w:rPr>
              <w:t>Associated carrying value adjustments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48"/>
        </w:trPr>
        <w:tc>
          <w:tcPr>
            <w:tcW w:w="3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Total maturities, carrying value amount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798"/>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8"/>
        </w:trPr>
        <w:tc>
          <w:tcPr>
            <w:tcW w:w="3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INSTRUMENTS AND HEDGING ACTIVITIES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9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derivative. The Company does not have any derivatives designated as fair value hedges.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fiscal years ended January 28, 2022, January 29, 2021, and January 31, 2020, the Company did not discontinue any cash flow hedges related to foreign exchange contracts that had a material impact on the Company’s results of operations due to the probability that the forecasted cash flows would not occur.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connection with expanded offerings of DFS in Europe, forward contracts are used to hedge financing receivables denominated in foreign currencies other than Euro. These contracts are not designated for hedge accounting and most expire within three years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four years or less.</w:t>
      </w:r>
    </w:p>
    <w:p>
      <w:pPr>
        <w:spacing w:after="0" w:line="1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rate swaps are utilized to manage the interest rate risk, at a portfolio level, associated with DFS operations in Europe. The interest rate swaps economically convert the fixed rate on financing receivables to a three-month Euribor floating rate in order to match the floating rate nature of the banks’ funding pool. These contracts are not designated for hedge accounting and most expire within five years or less.</w:t>
      </w:r>
    </w:p>
    <w:p>
      <w:pPr>
        <w:spacing w:after="0" w:line="21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0D0D0D"/>
        </w:rPr>
        <w:t xml:space="preserve">The Company utilizes cross-currency amortizing swaps to hedge the currency and interest rate risk exposure associated with the European securitization program. The cross currency swaps combine a Euro-based interest rate swap with a British Pound or U.S. Dollar foreign exchange forward contract in which the Company pays a fixed British Pound or U.S. Dollar amount and receives a floating amount in Euros linked to the one-month Euribor. The notional value of the swaps amortizes in line with the expected cash flows and run-off of the securitized assets. The swaps are not designated for hedge accounting and expire within </w:t>
      </w:r>
      <w:r>
        <w:rPr>
          <w:rFonts w:ascii="Arial" w:cs="Arial" w:eastAsia="Arial" w:hAnsi="Arial"/>
          <w:sz w:val="18"/>
          <w:szCs w:val="18"/>
          <w:color w:val="000000"/>
        </w:rPr>
        <w:t>five years</w:t>
      </w:r>
      <w:r>
        <w:rPr>
          <w:rFonts w:ascii="Arial" w:cs="Arial" w:eastAsia="Arial" w:hAnsi="Arial"/>
          <w:sz w:val="18"/>
          <w:szCs w:val="18"/>
          <w:color w:val="0D0D0D"/>
        </w:rPr>
        <w:t xml:space="preserve"> or less.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Derivative Instruments</w:t>
            </w: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Notional Amounts of Outstanding Derivative Instruments</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85"/>
        </w:trPr>
        <w:tc>
          <w:tcPr>
            <w:tcW w:w="414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January 28, 2022</w:t>
            </w: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January 29, 2021</w:t>
            </w:r>
          </w:p>
        </w:tc>
      </w:tr>
      <w:tr>
        <w:trPr>
          <w:trHeight w:val="223"/>
        </w:trPr>
        <w:tc>
          <w:tcPr>
            <w:tcW w:w="4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60" w:type="dxa"/>
            <w:vAlign w:val="bottom"/>
          </w:tcPr>
          <w:p>
            <w:pPr>
              <w:spacing w:after="0"/>
              <w:rPr>
                <w:sz w:val="19"/>
                <w:szCs w:val="19"/>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contracts: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Designated as cash flow hedging instruments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6,840</w:t>
            </w:r>
          </w:p>
        </w:tc>
      </w:tr>
      <w:tr>
        <w:trPr>
          <w:trHeight w:val="229"/>
        </w:trPr>
        <w:tc>
          <w:tcPr>
            <w:tcW w:w="6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Non-designated as hedging instruments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23"/>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Total (a)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Interest rate contracts: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Non-designated as hedging instruments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5,859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tab/>
        <w:t>Total foreign exchange contracts attributable to discontinued operations was $1.7 billion as of January 29, 2021.</w:t>
      </w:r>
    </w:p>
    <w:p>
      <w:pPr>
        <w:spacing w:after="0" w:line="23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u w:val="single" w:color="auto"/>
          <w:color w:val="auto"/>
        </w:rPr>
        <w:t>Effect of Derivative Instruments Designated as Hedging Instruments on the Consolidated Statements of Financial Position and the 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Derivatives in Cash Flow Hedging</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Gain (Loss) Recognized in</w:t>
            </w:r>
          </w:p>
        </w:tc>
        <w:tc>
          <w:tcPr>
            <w:tcW w:w="100" w:type="dxa"/>
            <w:vAlign w:val="bottom"/>
          </w:tcPr>
          <w:p>
            <w:pPr>
              <w:spacing w:after="0"/>
              <w:rPr>
                <w:sz w:val="17"/>
                <w:szCs w:val="17"/>
                <w:color w:val="auto"/>
              </w:rPr>
            </w:pPr>
          </w:p>
        </w:tc>
        <w:tc>
          <w:tcPr>
            <w:tcW w:w="34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3"/>
              </w:rPr>
              <w:t>Location of Gain (Loss) Reclassified from</w:t>
            </w:r>
          </w:p>
        </w:tc>
        <w:tc>
          <w:tcPr>
            <w:tcW w:w="140" w:type="dxa"/>
            <w:vAlign w:val="bottom"/>
          </w:tcPr>
          <w:p>
            <w:pPr>
              <w:spacing w:after="0"/>
              <w:rPr>
                <w:sz w:val="17"/>
                <w:szCs w:val="17"/>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Gain (Loss) Reclassified</w:t>
            </w:r>
          </w:p>
        </w:tc>
        <w:tc>
          <w:tcPr>
            <w:tcW w:w="0" w:type="dxa"/>
            <w:vAlign w:val="bottom"/>
          </w:tcPr>
          <w:p>
            <w:pPr>
              <w:spacing w:after="0"/>
              <w:rPr>
                <w:sz w:val="1"/>
                <w:szCs w:val="1"/>
                <w:color w:val="auto"/>
              </w:rPr>
            </w:pPr>
          </w:p>
        </w:tc>
      </w:tr>
      <w:tr>
        <w:trPr>
          <w:trHeight w:val="176"/>
        </w:trPr>
        <w:tc>
          <w:tcPr>
            <w:tcW w:w="3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2"/>
              </w:rPr>
              <w:t>Accumulated OCI, Net of</w:t>
            </w:r>
          </w:p>
        </w:tc>
        <w:tc>
          <w:tcPr>
            <w:tcW w:w="10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from Accumulated OCI</w:t>
            </w:r>
          </w:p>
        </w:tc>
        <w:tc>
          <w:tcPr>
            <w:tcW w:w="0" w:type="dxa"/>
            <w:vAlign w:val="bottom"/>
          </w:tcPr>
          <w:p>
            <w:pPr>
              <w:spacing w:after="0"/>
              <w:rPr>
                <w:sz w:val="1"/>
                <w:szCs w:val="1"/>
                <w:color w:val="auto"/>
              </w:rPr>
            </w:pPr>
          </w:p>
        </w:tc>
      </w:tr>
      <w:tr>
        <w:trPr>
          <w:trHeight w:val="229"/>
        </w:trPr>
        <w:tc>
          <w:tcPr>
            <w:tcW w:w="3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Relationships</w:t>
            </w:r>
          </w:p>
        </w:tc>
        <w:tc>
          <w:tcPr>
            <w:tcW w:w="100" w:type="dxa"/>
            <w:vAlign w:val="bottom"/>
          </w:tcPr>
          <w:p>
            <w:pPr>
              <w:spacing w:after="0"/>
              <w:rPr>
                <w:sz w:val="19"/>
                <w:szCs w:val="19"/>
                <w:color w:val="auto"/>
              </w:rPr>
            </w:pPr>
          </w:p>
        </w:tc>
        <w:tc>
          <w:tcPr>
            <w:tcW w:w="20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Tax, on Derivatives</w:t>
            </w:r>
          </w:p>
        </w:tc>
        <w:tc>
          <w:tcPr>
            <w:tcW w:w="100" w:type="dxa"/>
            <w:vAlign w:val="bottom"/>
          </w:tcPr>
          <w:p>
            <w:pPr>
              <w:spacing w:after="0"/>
              <w:rPr>
                <w:sz w:val="19"/>
                <w:szCs w:val="19"/>
                <w:color w:val="auto"/>
              </w:rPr>
            </w:pPr>
          </w:p>
        </w:tc>
        <w:tc>
          <w:tcPr>
            <w:tcW w:w="3400" w:type="dxa"/>
            <w:vAlign w:val="bottom"/>
            <w:gridSpan w:val="2"/>
          </w:tcPr>
          <w:p>
            <w:pPr>
              <w:ind w:left="480"/>
              <w:spacing w:after="0"/>
              <w:rPr>
                <w:sz w:val="20"/>
                <w:szCs w:val="20"/>
                <w:color w:val="auto"/>
              </w:rPr>
            </w:pPr>
            <w:r>
              <w:rPr>
                <w:rFonts w:ascii="Arial" w:cs="Arial" w:eastAsia="Arial" w:hAnsi="Arial"/>
                <w:sz w:val="18"/>
                <w:szCs w:val="18"/>
                <w:b w:val="1"/>
                <w:bCs w:val="1"/>
                <w:color w:val="auto"/>
              </w:rPr>
              <w:t>Accumulated OCI into Income</w:t>
            </w:r>
          </w:p>
        </w:tc>
        <w:tc>
          <w:tcPr>
            <w:tcW w:w="140" w:type="dxa"/>
            <w:vAlign w:val="bottom"/>
          </w:tcPr>
          <w:p>
            <w:pPr>
              <w:spacing w:after="0"/>
              <w:rPr>
                <w:sz w:val="19"/>
                <w:szCs w:val="19"/>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into Income</w:t>
            </w:r>
          </w:p>
        </w:tc>
        <w:tc>
          <w:tcPr>
            <w:tcW w:w="0" w:type="dxa"/>
            <w:vAlign w:val="bottom"/>
          </w:tcPr>
          <w:p>
            <w:pPr>
              <w:spacing w:after="0"/>
              <w:rPr>
                <w:sz w:val="1"/>
                <w:szCs w:val="1"/>
                <w:color w:val="auto"/>
              </w:rPr>
            </w:pPr>
          </w:p>
        </w:tc>
      </w:tr>
      <w:tr>
        <w:trPr>
          <w:trHeight w:val="223"/>
        </w:trPr>
        <w:tc>
          <w:tcPr>
            <w:tcW w:w="3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9"/>
                <w:szCs w:val="19"/>
                <w:color w:val="auto"/>
              </w:rPr>
            </w:pPr>
          </w:p>
        </w:tc>
        <w:tc>
          <w:tcPr>
            <w:tcW w:w="3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w w:val="98"/>
              </w:rPr>
              <w:t>For the fiscal year ended January 28, 2022</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rate contracts</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and other, net</w:t>
            </w:r>
          </w:p>
        </w:tc>
        <w:tc>
          <w:tcPr>
            <w:tcW w:w="14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4"/>
                <w:szCs w:val="24"/>
                <w:color w:val="auto"/>
              </w:rPr>
            </w:pP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33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0" w:type="dxa"/>
            <w:vAlign w:val="bottom"/>
            <w:tcBorders>
              <w:top w:val="single" w:sz="8" w:color="CCEEFF"/>
            </w:tcBorders>
            <w:gridSpan w:val="2"/>
          </w:tcPr>
          <w:p>
            <w:pPr>
              <w:ind w:left="60"/>
              <w:spacing w:after="0" w:line="190"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i w:val="1"/>
                <w:iCs w:val="1"/>
                <w:color w:val="auto"/>
                <w:w w:val="98"/>
              </w:rPr>
              <w:t>For the fiscal year ended January 29, 2021</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cost of net revenue</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5"/>
        </w:trPr>
        <w:tc>
          <w:tcPr>
            <w:tcW w:w="3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0" w:type="dxa"/>
            <w:vAlign w:val="bottom"/>
            <w:tcBorders>
              <w:top w:val="single" w:sz="8" w:color="CCEEFF"/>
              <w:bottom w:val="single" w:sz="8" w:color="CCEEFF"/>
            </w:tcBorders>
            <w:gridSpan w:val="2"/>
            <w:shd w:val="clear" w:color="auto" w:fill="CCEEFF"/>
          </w:tcPr>
          <w:p>
            <w:pPr>
              <w:ind w:left="60"/>
              <w:spacing w:after="0" w:line="190"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9"/>
              </w:rPr>
              <w:t>$</w:t>
            </w:r>
          </w:p>
        </w:tc>
        <w:tc>
          <w:tcPr>
            <w:tcW w:w="20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w w:val="98"/>
              </w:rPr>
              <w:t>For the fiscal year ended January 31, 2020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net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 of net revenue</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rate contracts</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and other, net</w:t>
            </w:r>
          </w:p>
        </w:tc>
        <w:tc>
          <w:tcPr>
            <w:tcW w:w="14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4"/>
                <w:szCs w:val="24"/>
                <w:color w:val="auto"/>
              </w:rPr>
            </w:pP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0"/>
        </w:trPr>
        <w:tc>
          <w:tcPr>
            <w:tcW w:w="33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0" w:type="dxa"/>
            <w:vAlign w:val="bottom"/>
            <w:tcBorders>
              <w:top w:val="single" w:sz="8" w:color="CCEEFF"/>
            </w:tcBorders>
            <w:gridSpan w:val="2"/>
          </w:tcPr>
          <w:p>
            <w:pPr>
              <w:ind w:left="60"/>
              <w:spacing w:after="0" w:line="190"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Derivative Instruments Not Designated as Hedging Instruments on the Consolidated Statements of Income</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Location of Gain (Loss)</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Pr>
          <w:p>
            <w:pPr>
              <w:spacing w:after="0"/>
              <w:rPr>
                <w:sz w:val="13"/>
                <w:szCs w:val="13"/>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January 29, 2021</w:t>
            </w:r>
          </w:p>
        </w:tc>
        <w:tc>
          <w:tcPr>
            <w:tcW w:w="200" w:type="dxa"/>
            <w:vAlign w:val="bottom"/>
          </w:tcPr>
          <w:p>
            <w:pPr>
              <w:spacing w:after="0"/>
              <w:rPr>
                <w:sz w:val="13"/>
                <w:szCs w:val="13"/>
                <w:color w:val="auto"/>
              </w:rPr>
            </w:pPr>
          </w:p>
        </w:tc>
        <w:tc>
          <w:tcPr>
            <w:tcW w:w="17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January 31, 2020</w:t>
            </w:r>
          </w:p>
        </w:tc>
        <w:tc>
          <w:tcPr>
            <w:tcW w:w="100" w:type="dxa"/>
            <w:vAlign w:val="bottom"/>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Recognized</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Interest and other, net</w:t>
            </w:r>
          </w:p>
        </w:tc>
        <w:tc>
          <w:tcPr>
            <w:tcW w:w="0" w:type="dxa"/>
            <w:vAlign w:val="bottom"/>
          </w:tcPr>
          <w:p>
            <w:pPr>
              <w:spacing w:after="0"/>
              <w:rPr>
                <w:sz w:val="1"/>
                <w:szCs w:val="1"/>
                <w:color w:val="auto"/>
              </w:rPr>
            </w:pPr>
          </w:p>
        </w:tc>
      </w:tr>
      <w:tr>
        <w:trPr>
          <w:trHeight w:val="176"/>
        </w:trPr>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from discontinued</w:t>
            </w:r>
          </w:p>
        </w:tc>
        <w:tc>
          <w:tcPr>
            <w:tcW w:w="0" w:type="dxa"/>
            <w:vAlign w:val="bottom"/>
          </w:tcPr>
          <w:p>
            <w:pPr>
              <w:spacing w:after="0"/>
              <w:rPr>
                <w:sz w:val="1"/>
                <w:szCs w:val="1"/>
                <w:color w:val="auto"/>
              </w:rPr>
            </w:pPr>
          </w:p>
        </w:tc>
      </w:tr>
      <w:tr>
        <w:trPr>
          <w:trHeight w:val="229"/>
        </w:trPr>
        <w:tc>
          <w:tcPr>
            <w:tcW w:w="256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56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Consolidated Statements of Financial Position</w:t>
      </w:r>
    </w:p>
    <w:p>
      <w:pPr>
        <w:spacing w:after="0" w:line="25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presents its foreign exchange derivative instruments on a net basis in the Consolidated Statements of Financial Position due to the right of offset by its counterparties under master netting arrangements. The following tables present the fair value of those derivative instruments presented on a gross basis as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January 28, 2022</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6"/>
              </w:rPr>
              <w:t>Other Current</w:t>
            </w:r>
          </w:p>
        </w:tc>
        <w:tc>
          <w:tcPr>
            <w:tcW w:w="14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5"/>
              </w:rPr>
              <w:t>Other Non-</w:t>
            </w:r>
          </w:p>
        </w:tc>
        <w:tc>
          <w:tcPr>
            <w:tcW w:w="10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4"/>
              </w:rPr>
              <w:t>Other Current</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3"/>
              </w:rPr>
              <w:t>Other Non-</w:t>
            </w:r>
          </w:p>
        </w:tc>
        <w:tc>
          <w:tcPr>
            <w:tcW w:w="160" w:type="dxa"/>
            <w:vAlign w:val="bottom"/>
          </w:tcPr>
          <w:p>
            <w:pPr>
              <w:spacing w:after="0"/>
              <w:rPr>
                <w:sz w:val="14"/>
                <w:szCs w:val="14"/>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Current Assets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January 29, 2021</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6"/>
              </w:rPr>
              <w:t>Other Current</w:t>
            </w:r>
          </w:p>
        </w:tc>
        <w:tc>
          <w:tcPr>
            <w:tcW w:w="14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5"/>
              </w:rPr>
              <w:t>Other Non-</w:t>
            </w:r>
          </w:p>
        </w:tc>
        <w:tc>
          <w:tcPr>
            <w:tcW w:w="10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4"/>
              </w:rPr>
              <w:t>Other Current</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3"/>
              </w:rPr>
              <w:t>Other Non-</w:t>
            </w:r>
          </w:p>
        </w:tc>
        <w:tc>
          <w:tcPr>
            <w:tcW w:w="160" w:type="dxa"/>
            <w:vAlign w:val="bottom"/>
          </w:tcPr>
          <w:p>
            <w:pPr>
              <w:spacing w:after="0"/>
              <w:rPr>
                <w:sz w:val="14"/>
                <w:szCs w:val="14"/>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Current Assets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gross amounts of the Company’s derivative instruments, amounts offset due to master netting agreements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counterparties, and the net amounts recognized in the Consolidated Statements of Financial Position as of the dates indicated: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liabilities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liabilities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derivative instruments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54006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Net Amounts of</w:t>
            </w:r>
          </w:p>
        </w:tc>
        <w:tc>
          <w:tcPr>
            <w:tcW w:w="18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20" w:type="dxa"/>
            <w:vAlign w:val="bottom"/>
          </w:tcPr>
          <w:p>
            <w:pPr>
              <w:spacing w:after="0"/>
              <w:rPr>
                <w:sz w:val="16"/>
                <w:szCs w:val="16"/>
                <w:color w:val="auto"/>
              </w:rPr>
            </w:pPr>
          </w:p>
        </w:tc>
        <w:tc>
          <w:tcPr>
            <w:tcW w:w="118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92"/>
              </w:rPr>
              <w:t>Net Amount of</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72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84"/>
              </w:rPr>
              <w:t>Assets/</w:t>
            </w: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5"/>
              <w:spacing w:after="0" w:line="142" w:lineRule="exact"/>
              <w:rPr>
                <w:sz w:val="20"/>
                <w:szCs w:val="20"/>
                <w:color w:val="auto"/>
              </w:rPr>
            </w:pPr>
            <w:r>
              <w:rPr>
                <w:rFonts w:ascii="Arial" w:cs="Arial" w:eastAsia="Arial" w:hAnsi="Arial"/>
                <w:sz w:val="16"/>
                <w:szCs w:val="16"/>
                <w:b w:val="1"/>
                <w:bCs w:val="1"/>
                <w:color w:val="auto"/>
                <w:w w:val="84"/>
              </w:rPr>
              <w:t>Assets/</w:t>
            </w:r>
          </w:p>
        </w:tc>
        <w:tc>
          <w:tcPr>
            <w:tcW w:w="0" w:type="dxa"/>
            <w:vAlign w:val="bottom"/>
          </w:tcPr>
          <w:p>
            <w:pPr>
              <w:spacing w:after="0"/>
              <w:rPr>
                <w:sz w:val="1"/>
                <w:szCs w:val="1"/>
                <w:color w:val="auto"/>
              </w:rPr>
            </w:pPr>
          </w:p>
        </w:tc>
      </w:tr>
      <w:tr>
        <w:trPr>
          <w:trHeight w:val="142"/>
        </w:trPr>
        <w:tc>
          <w:tcPr>
            <w:tcW w:w="14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7"/>
              </w:rPr>
              <w:t>Gross Amounts of</w:t>
            </w:r>
          </w:p>
        </w:tc>
        <w:tc>
          <w:tcPr>
            <w:tcW w:w="100" w:type="dxa"/>
            <w:vAlign w:val="bottom"/>
          </w:tcPr>
          <w:p>
            <w:pPr>
              <w:spacing w:after="0"/>
              <w:rPr>
                <w:sz w:val="12"/>
                <w:szCs w:val="12"/>
                <w:color w:val="auto"/>
              </w:rPr>
            </w:pPr>
          </w:p>
        </w:tc>
        <w:tc>
          <w:tcPr>
            <w:tcW w:w="128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88"/>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4"/>
              </w:rPr>
              <w:t>(Liabilities)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20" w:type="dxa"/>
            <w:vAlign w:val="bottom"/>
          </w:tcPr>
          <w:p>
            <w:pPr>
              <w:spacing w:after="0"/>
              <w:rPr>
                <w:sz w:val="12"/>
                <w:szCs w:val="12"/>
                <w:color w:val="auto"/>
              </w:rPr>
            </w:pPr>
          </w:p>
        </w:tc>
        <w:tc>
          <w:tcPr>
            <w:tcW w:w="1180" w:type="dxa"/>
            <w:vAlign w:val="bottom"/>
          </w:tcPr>
          <w:p>
            <w:pPr>
              <w:jc w:val="center"/>
              <w:ind w:right="55"/>
              <w:spacing w:after="0" w:line="142" w:lineRule="exact"/>
              <w:rPr>
                <w:sz w:val="20"/>
                <w:szCs w:val="20"/>
                <w:color w:val="auto"/>
              </w:rPr>
            </w:pPr>
            <w:r>
              <w:rPr>
                <w:rFonts w:ascii="Arial" w:cs="Arial" w:eastAsia="Arial" w:hAnsi="Arial"/>
                <w:sz w:val="16"/>
                <w:szCs w:val="16"/>
                <w:b w:val="1"/>
                <w:bCs w:val="1"/>
                <w:color w:val="auto"/>
                <w:w w:val="94"/>
              </w:rPr>
              <w:t>(Liabilities)</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4"/>
                <w:szCs w:val="14"/>
                <w:color w:val="auto"/>
              </w:rPr>
            </w:pPr>
          </w:p>
        </w:tc>
        <w:tc>
          <w:tcPr>
            <w:tcW w:w="128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Offset in the</w:t>
            </w:r>
          </w:p>
        </w:tc>
        <w:tc>
          <w:tcPr>
            <w:tcW w:w="14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8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Recognized in the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0"/>
              </w:rPr>
              <w:t>Assets/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Statement of</w:t>
            </w: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Received or</w:t>
            </w:r>
          </w:p>
        </w:tc>
        <w:tc>
          <w:tcPr>
            <w:tcW w:w="12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Statement of</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(Liabilities)</w:t>
            </w: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7"/>
              </w:rPr>
              <w:t>Financial Position</w:t>
            </w: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Financial Position</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0"/>
              </w:rPr>
              <w:t>January 29, 2021</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Net Amounts of</w:t>
            </w:r>
          </w:p>
        </w:tc>
        <w:tc>
          <w:tcPr>
            <w:tcW w:w="180" w:type="dxa"/>
            <w:vAlign w:val="bottom"/>
          </w:tcPr>
          <w:p>
            <w:pPr>
              <w:spacing w:after="0"/>
              <w:rPr>
                <w:sz w:val="21"/>
                <w:szCs w:val="21"/>
                <w:color w:val="auto"/>
              </w:rPr>
            </w:pPr>
          </w:p>
        </w:tc>
        <w:tc>
          <w:tcPr>
            <w:tcW w:w="282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20" w:type="dxa"/>
            <w:vAlign w:val="bottom"/>
          </w:tcPr>
          <w:p>
            <w:pPr>
              <w:spacing w:after="0"/>
              <w:rPr>
                <w:sz w:val="21"/>
                <w:szCs w:val="21"/>
                <w:color w:val="auto"/>
              </w:rPr>
            </w:pPr>
          </w:p>
        </w:tc>
        <w:tc>
          <w:tcPr>
            <w:tcW w:w="118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92"/>
              </w:rPr>
              <w:t>Net Amount of</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72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84"/>
              </w:rPr>
              <w:t>Assets/</w:t>
            </w: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5"/>
              <w:spacing w:after="0" w:line="142" w:lineRule="exact"/>
              <w:rPr>
                <w:sz w:val="20"/>
                <w:szCs w:val="20"/>
                <w:color w:val="auto"/>
              </w:rPr>
            </w:pPr>
            <w:r>
              <w:rPr>
                <w:rFonts w:ascii="Arial" w:cs="Arial" w:eastAsia="Arial" w:hAnsi="Arial"/>
                <w:sz w:val="16"/>
                <w:szCs w:val="16"/>
                <w:b w:val="1"/>
                <w:bCs w:val="1"/>
                <w:color w:val="auto"/>
                <w:w w:val="84"/>
              </w:rPr>
              <w:t>Assets/</w:t>
            </w:r>
          </w:p>
        </w:tc>
        <w:tc>
          <w:tcPr>
            <w:tcW w:w="0" w:type="dxa"/>
            <w:vAlign w:val="bottom"/>
          </w:tcPr>
          <w:p>
            <w:pPr>
              <w:spacing w:after="0"/>
              <w:rPr>
                <w:sz w:val="1"/>
                <w:szCs w:val="1"/>
                <w:color w:val="auto"/>
              </w:rPr>
            </w:pPr>
          </w:p>
        </w:tc>
      </w:tr>
      <w:tr>
        <w:trPr>
          <w:trHeight w:val="142"/>
        </w:trPr>
        <w:tc>
          <w:tcPr>
            <w:tcW w:w="14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7"/>
              </w:rPr>
              <w:t>Gross Amounts of</w:t>
            </w:r>
          </w:p>
        </w:tc>
        <w:tc>
          <w:tcPr>
            <w:tcW w:w="100" w:type="dxa"/>
            <w:vAlign w:val="bottom"/>
          </w:tcPr>
          <w:p>
            <w:pPr>
              <w:spacing w:after="0"/>
              <w:rPr>
                <w:sz w:val="12"/>
                <w:szCs w:val="12"/>
                <w:color w:val="auto"/>
              </w:rPr>
            </w:pPr>
          </w:p>
        </w:tc>
        <w:tc>
          <w:tcPr>
            <w:tcW w:w="128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88"/>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4"/>
              </w:rPr>
              <w:t>(Liabilities)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20" w:type="dxa"/>
            <w:vAlign w:val="bottom"/>
          </w:tcPr>
          <w:p>
            <w:pPr>
              <w:spacing w:after="0"/>
              <w:rPr>
                <w:sz w:val="12"/>
                <w:szCs w:val="12"/>
                <w:color w:val="auto"/>
              </w:rPr>
            </w:pPr>
          </w:p>
        </w:tc>
        <w:tc>
          <w:tcPr>
            <w:tcW w:w="1180" w:type="dxa"/>
            <w:vAlign w:val="bottom"/>
          </w:tcPr>
          <w:p>
            <w:pPr>
              <w:jc w:val="center"/>
              <w:ind w:right="55"/>
              <w:spacing w:after="0" w:line="142" w:lineRule="exact"/>
              <w:rPr>
                <w:sz w:val="20"/>
                <w:szCs w:val="20"/>
                <w:color w:val="auto"/>
              </w:rPr>
            </w:pPr>
            <w:r>
              <w:rPr>
                <w:rFonts w:ascii="Arial" w:cs="Arial" w:eastAsia="Arial" w:hAnsi="Arial"/>
                <w:sz w:val="16"/>
                <w:szCs w:val="16"/>
                <w:b w:val="1"/>
                <w:bCs w:val="1"/>
                <w:color w:val="auto"/>
                <w:w w:val="94"/>
              </w:rPr>
              <w:t>(Liabilities)</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4"/>
                <w:szCs w:val="14"/>
                <w:color w:val="auto"/>
              </w:rPr>
            </w:pPr>
          </w:p>
        </w:tc>
        <w:tc>
          <w:tcPr>
            <w:tcW w:w="128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Offset in the</w:t>
            </w:r>
          </w:p>
        </w:tc>
        <w:tc>
          <w:tcPr>
            <w:tcW w:w="14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Presented in the</w:t>
            </w:r>
          </w:p>
        </w:tc>
        <w:tc>
          <w:tcPr>
            <w:tcW w:w="18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Recognized in the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0"/>
              </w:rPr>
              <w:t>Assets/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Statement of</w:t>
            </w: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Received or</w:t>
            </w:r>
          </w:p>
        </w:tc>
        <w:tc>
          <w:tcPr>
            <w:tcW w:w="12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Statement of</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(Liabilities)</w:t>
            </w: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7"/>
              </w:rPr>
              <w:t>Financial Position</w:t>
            </w: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Financial Position</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-2459355</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-2167890</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-624840</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-333375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80"/>
            <w:col w:w="85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Infrastructure Solutions Group and Client Solutions Group reporting units are consistent with the reportable segments identified in Note 19 of the Notes to the Consolidated Financial Statements. Other businesses consists of VMware Resale, Secureworks and Virtustream which each represent separate reporting units.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goodwill allocated to the Company’s reportable segments and changes in the carrying amount of goodwill as of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Infrastructure</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Client Solutions</w:t>
            </w:r>
          </w:p>
        </w:tc>
        <w:tc>
          <w:tcPr>
            <w:tcW w:w="15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5"/>
              </w:rPr>
              <w:t>Other Businesses</w:t>
            </w:r>
          </w:p>
        </w:tc>
        <w:tc>
          <w:tcPr>
            <w:tcW w:w="320" w:type="dxa"/>
            <w:vAlign w:val="bottom"/>
          </w:tcPr>
          <w:p>
            <w:pPr>
              <w:spacing w:after="0"/>
              <w:rPr>
                <w:sz w:val="17"/>
                <w:szCs w:val="17"/>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Solutions Group</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2"/>
              </w:rPr>
              <w:t>Group</w:t>
            </w:r>
          </w:p>
        </w:tc>
        <w:tc>
          <w:tcPr>
            <w:tcW w:w="158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3"/>
          </w:tcPr>
          <w:p>
            <w:pPr>
              <w:jc w:val="right"/>
              <w:ind w:right="170"/>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January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Goodwill divested (a)</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January 29, 2021</w:t>
            </w: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divested (b)</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i w:val="1"/>
                <w:iCs w:val="1"/>
                <w:color w:val="auto"/>
              </w:rPr>
              <w:t>Balances as of January 28,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19,770</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140" w:hanging="332"/>
        <w:spacing w:after="0" w:line="250" w:lineRule="auto"/>
        <w:tabs>
          <w:tab w:leader="none" w:pos="3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fiscal year ended January 29, 2021, Dell Technologies completed its sale of RSA Security. Prior to the divestiture, RSA Security was included within other businesses. See Note 1 of the Notes to the Consolidated Financial Statements for additional information about the divestiture of RSA Security.</w:t>
      </w:r>
    </w:p>
    <w:p>
      <w:pPr>
        <w:spacing w:after="0" w:line="1" w:lineRule="exact"/>
        <w:rPr>
          <w:rFonts w:ascii="Arial" w:cs="Arial" w:eastAsia="Arial" w:hAnsi="Arial"/>
          <w:sz w:val="18"/>
          <w:szCs w:val="18"/>
          <w:color w:val="auto"/>
        </w:rPr>
      </w:pPr>
    </w:p>
    <w:p>
      <w:pPr>
        <w:ind w:left="340" w:right="280" w:hanging="332"/>
        <w:spacing w:after="0" w:line="323" w:lineRule="auto"/>
        <w:tabs>
          <w:tab w:leader="none" w:pos="40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fiscal year ended January 28, 2022, Dell Technologies completed its sale of Boomi. Prior to the divestiture, Boomi was included within other businesses. See Note 1 of the Notes to the Consolidated Financial Statements for additional information about the divestiture of Boomi.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1"/>
              </w:rPr>
              <w:t>January 28, 2022</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1"/>
              </w:rPr>
              <w:t>January 29, 2021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4"/>
                <w:szCs w:val="14"/>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rPr>
              <w:t>Definite-lived 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trade names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23"/>
        </w:trPr>
        <w:tc>
          <w:tcPr>
            <w:tcW w:w="348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Amortization expense related to definite-lived intangible assets was approximately $1.6 billion, $2.1 billion, and $3.0 billion for the fiscal years ended January 28, 2022, January 29, 2021, and January 31, 2020, respectively. There were no material impairment charges related to intangible assets during the fiscal years ended January 28, 2022 and January 29, 2021. During the fiscal year ended January 31, 2020, the Company recognized an impairment charge of approximately $266 million related to Virtustream intangible assets, net and within in Selling, general, and administrative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fiscal year ended January 29, 2021, the Company recognized proceeds and a gain of $120 million from the sale of certain internally developed intellectual property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estimated future annual pre-tax amortization expense of definite-lived intangible assets as of the date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January 28, 2022</w:t>
            </w:r>
          </w:p>
        </w:tc>
      </w:tr>
      <w:tr>
        <w:trPr>
          <w:trHeight w:val="223"/>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r>
      <w:tr>
        <w:trPr>
          <w:trHeight w:val="248"/>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 Impairment Testing</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during the third fiscal quarter and whenever events or circumstances may indicate that an impairment has occurred.</w:t>
      </w:r>
    </w:p>
    <w:p>
      <w:pPr>
        <w:spacing w:after="0" w:line="19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For the annual impairment review in the third quarter of Fiscal 2022,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 a quantitative goodwill impairment test to measure the fair value of each goodwill reporting unit relative to its carrying amount, and to determine the amount of goodwill impairment loss to be recognized, if any.</w:t>
      </w:r>
    </w:p>
    <w:p>
      <w:pPr>
        <w:spacing w:after="0" w:line="18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except with respect to Secureworks, which is a publicly-traded entity, in which case the fair value is determined based primarily on the public company market valuation.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the indefinite-lived trade names is generally estimated using discounted cash flow methodologies. The discounted cash flow methodology requires significant judgment, including estimation of future revenue,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spacing w:after="0" w:line="19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Based on the results of the annual impairment test performed during the fiscal year ended January 28, 2022, the fair values of each of the reporting units exceeded their carrying values. No impairment test was performed during the fiscal year ended January 28, 2022 other than the Company’s annual impairment review.</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DEFERRED REVENUE</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 Deferred revenue is recorded for support and deployment services, software maintenance, professional services, training,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Software-as-a-Service when the Company has invoiced or payments have been received for undelivered products or services where transfer of control has not occurred.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is recognized as the Company’s performance obligations under the contract are completed.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Company’s deferred revenue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6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January 28, 2022</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January 29, 2021</w:t>
            </w:r>
          </w:p>
        </w:tc>
      </w:tr>
      <w:tr>
        <w:trPr>
          <w:trHeight w:val="223"/>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6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Deferred revenue: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Deferred revenue at beginning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25,592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22,539</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deferrals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(18,843)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(17,098)</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Deferred revenue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deferred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Long-term deferred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12,391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jc w:val="both"/>
        <w:ind w:left="340" w:right="80" w:hanging="332"/>
        <w:spacing w:after="0" w:line="255" w:lineRule="auto"/>
        <w:tabs>
          <w:tab w:leader="none" w:pos="3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fiscal year ended January 28, 2022, Other consists of divested deferred revenue from the sale of Boomi. For the fiscal year ended January 29, 2021, Other consists of divested deferred revenue from the sale of RSA Security. See Note 1 of the Notes to the Consolidated Financial Statements for more information about the divestitures of Boomi and RSA Security.</w:t>
      </w:r>
    </w:p>
    <w:p>
      <w:pPr>
        <w:spacing w:after="0" w:line="2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Remaining Performance Obligations </w:t>
      </w:r>
      <w:r>
        <w:rPr>
          <w:rFonts w:ascii="Arial" w:cs="Arial" w:eastAsia="Arial" w:hAnsi="Arial"/>
          <w:sz w:val="18"/>
          <w:szCs w:val="18"/>
          <w:color w:val="auto"/>
        </w:rPr>
        <w:t>— Remaining performance obligations represent the aggregate amount of the transaction price allocated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January 28, 2022 was approximately $42 billion. The Company expects to recognize approximately 62% of remaining performance obligations as revenue in the next twelve months, and the remainder thereafter.</w:t>
      </w:r>
    </w:p>
    <w:p>
      <w:pPr>
        <w:spacing w:after="0" w:line="21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contractual obligations to purchase goods or services, which specify significant terms, (including fixed or minimum quantities to be purchased), fixed, minimum, or variable price provisions; and the approximate timing of the transaction. As of January 28, 2022, such purchase obligations were $5.6 billion, $0.3 billion, and $0.4 billion for fiscal 2023, fiscal 2024, and fiscal 2025 and thereafter,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 Pursuant to the Separation and Distribution Agreement referred to below, Dell Technologies shares responsibility with VMware for certain matters, as indicated below, and VMware has agreed to indemnify Dell Technologies in whole or in part with respect to certain matters.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are recorded in the period in which such a determination is made. For some matters, the amount of liability is not probable or the amount cannot be reasonably estimated and therefore accruals have not been made.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Company’s significant legal matters and other proceedings:</w:t>
      </w:r>
    </w:p>
    <w:p>
      <w:pPr>
        <w:spacing w:after="0" w:line="252"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i w:val="1"/>
          <w:iCs w:val="1"/>
          <w:color w:val="auto"/>
        </w:rPr>
        <w:t xml:space="preserve">Class Actions Related to the Class V Transaction </w:t>
      </w:r>
      <w:r>
        <w:rPr>
          <w:rFonts w:ascii="Arial" w:cs="Arial" w:eastAsia="Arial" w:hAnsi="Arial"/>
          <w:sz w:val="16"/>
          <w:szCs w:val="16"/>
          <w:color w:val="auto"/>
        </w:rPr>
        <w:t>— On December 28, 2018, the Company completed a transaction (the “Class V transaction”)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it paid $14.0 billion in cash and issued 149,387,617 shares of its Class C Common Stock to holders of its Class V Common Stock in exchange for all outstanding shares of Class V Common Stock. As a result of the Class V transaction, the tracking stock feature of the Company’s capital structure associated with the Class V Common Stock was terminated. In November 2018, four purported stockholders brought putative class action complaints arising out of the Class V transaction. The actions were captioned Hallandale Beach Police and Fire Retirement Plan v. Michael Dell et al. (Civil Action No. 2018-0816-JTL), Howard Karp v. Michael Dell et al. (Civil Action No. 2019-0032-JTL), Miramar Police Officers’ Retirement Plan v. Michael Dell et al. (Civil Action No. 2019-0049-JTL), and Steamfitters Local 449 Pension Plan v. Michael Dell et al. (Civil Action No. 2019-0115-JTL). The four actions were consolidated in the Delaware Chancery Court into In Re Dell Class V Litigation (Consol. C.A. No. 2018-0816-JTL). The suit currently names as defendants certain of the directors serving on the board of directors at the time of the Class V transaction, certain stockholders of the Company, consisting of Michael S. Dell and Silver Lake Group LLC and certain of its affiliated funds, and Goldman Sachs &amp; Co. LLC (“Goldman Sachs”), which served as financial advisor to the Company in connection with the Class V transaction. In an amended complaint filed in August 2019, the plaintiffs generally alleged that the director and stockholder defendants breached their fiduciary duties under Delaware law to the former holders of Class V Common Stock in connection with the Class V transaction by allegedly causing the Company to enter into a transaction that favored the interests of the controlling stockholders at the expense of such former stockholders, thereby depriving the former stockholders of the fair value of their shares. On August 20, 2021, the plaintiffs added Goldman Sachs as a defendant and alleged that it had aided and abetted the alleged primary violations. In the complaint, the plaintiffs seek, among other remedies, a judicial declaration that the director and stockholder defendants breached their fiduciary duties. The plaintiffs also seek disgorgement of all profits, benefits, and other compensation obtained by the defendants as a result of such alleged conduct and an award of unspecified damages, fees, and costs. The defendants filed a motion to dismiss the action in September 2019. The court denied the motion in June 2020 and the case is currently in the discovery phase. Trial is scheduled to begin on December 5, 2022. The Company is not a defendant in this action but is subject to director indemnification provisions under its certificate of incorporation and bylaws, and is a party to agreements with the defendants that contain indemnification obligations of the Company, conditioned on the satisfaction of the requirements set forth in such agreements, relating to service as a director, ownership of the Company’s securities, and provision of services, as applicable.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i w:val="1"/>
          <w:iCs w:val="1"/>
          <w:color w:val="auto"/>
        </w:rPr>
        <w:t xml:space="preserve">Class Actions Related to VMware, Inc.’s Acquisition of Pivotal </w:t>
      </w:r>
      <w:r>
        <w:rPr>
          <w:rFonts w:ascii="Arial" w:cs="Arial" w:eastAsia="Arial" w:hAnsi="Arial"/>
          <w:sz w:val="17"/>
          <w:szCs w:val="17"/>
          <w:color w:val="auto"/>
        </w:rPr>
        <w:t>— Two purported stockholders brought putative class action complaints arising out</w:t>
      </w:r>
      <w:r>
        <w:rPr>
          <w:rFonts w:ascii="Arial" w:cs="Arial" w:eastAsia="Arial" w:hAnsi="Arial"/>
          <w:sz w:val="17"/>
          <w:szCs w:val="17"/>
          <w:i w:val="1"/>
          <w:iCs w:val="1"/>
          <w:color w:val="auto"/>
        </w:rPr>
        <w:t xml:space="preserve"> </w:t>
      </w:r>
      <w:r>
        <w:rPr>
          <w:rFonts w:ascii="Arial" w:cs="Arial" w:eastAsia="Arial" w:hAnsi="Arial"/>
          <w:sz w:val="17"/>
          <w:szCs w:val="17"/>
          <w:color w:val="auto"/>
        </w:rPr>
        <w:t>of VMware, Inc.’s acquisition of Pivotal Software, Inc. on December 30, 2019. The two actions were consolidated in the Delaware Chancery Court into In re: Pivotal Software, Inc. Stockholders Litigation (Civil Action No. 2020-0440-KSJM). The complaint names as defendants the Company, VMware, Inc., Michael S. Dell, and certain officers of Pivotal. The plaintiffs generally allege that the defendants breached their fiduciary duties to the former holders of Pivotal Class A Common Stock in connection with VMware, Inc.’s acquisition of Pivotal by allegedly causing Pivotal to enter into a transaction that favored the interests of Pivotal’s controlling stockholders at the expense of such former stockholders. The plaintiffs seek, among other remedies, a judicial declaration that the defendants breached their fiduciary duties and an award of damages, fees, and costs. Trial is scheduled to begin on July 6, 2022.</w:t>
      </w:r>
    </w:p>
    <w:p>
      <w:pPr>
        <w:spacing w:after="0" w:line="20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Dell does not currently anticipate that any of the other various legal proceedings it is involved in will have a material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its business, financial condition, results of operations, or cash flows.</w:t>
      </w:r>
    </w:p>
    <w:p>
      <w:pPr>
        <w:spacing w:after="0" w:line="1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accordance with the relevant accounting guidance, the Company provides disclosures of matters where it is at least reasonably possible that the Company could experience a material loss exceeding the amounts already accrued for these or other proceedings or matters. In addition, the Company also discloses matters based on its consideration of other matters and qualitative factors, including the experience of other companies in the industry, and investor, customer, and employee relations considerations. As of January 28, 2022,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factors, including the nature, timing, and amount of any associated expenses, amounts paid in settlement, damages, or other remedies or consequences.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 Obligations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 obligations have not been material to the Company.</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Separation and Distribution Agreement described in Note 3 of the Notes to the Consolidated Financial Statements, Dell Technologies has agreed to indemnify VMware, Inc., each of its subsidiaries and each of their respective directors, officers and employees from and against all liabilities relating to, arising out of or resulting from, among other matters, the liabilities allocated to Dell Technologies as part of the separation of Dell Technologies and VMware and their respective businesses as a result of the VMware Spin-off (the “Separation”). VMware similarly has agreed to indemnify Dell Technologies, Inc., each of its subsidiaries and each of their respective directors, officers, and employees from and against all liabilities relating to, arising out of or resulting from, among other matters, the liabilities allocated to VMware as part of the Separation. Dell Technologies expects VMware to fully perform under the terms of the Separation and Distribution Agreement.</w:t>
      </w:r>
    </w:p>
    <w:p>
      <w:pPr>
        <w:spacing w:after="0" w:line="19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For information on the cross-indemnifications related to the tax matters agreement between the Company and VMware described in Note 3 of the Notes to the Consolidated Financial Statements effective upon the Separation on November 1, 2021, see Note 3 and Note 21 of the Notes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Concentrations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markets and sells its products and services to large corporate clients, governments, and health care and education accounts, as well as to small and medium-sized businesses and individuals. No single customer accounted for more than 10%</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consolidated net revenue during the fiscal year ended January 28, 2022, January 29, 2021, or January 31, 2020.</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utilizes a limited number of contract manufacturers that assemble a portion of its products. The Company may purchase components from suppliers and sell those components to such contract manufacturers, thereby creating receivables balances from the contract manufacturers. The agreements with the majority of the contract manufacturers permit the Company to offset its payables against these receivables, thus mitigating the credit risk wholly or in part. Receivables from the Company’s four largest contract manufacturers represented the majority of the Company’s gross non-trade receivables of $5.7 billion and $4.1 billion as of January 28, 2022 and January 29, 2021, respectively, of which $4.2 billion and $3.1 billion as of January 28, 2022 and January 29, 2021, respectively, have been offset against the corresponding payables. The portion of receivables not offset against payables is included in other current assets in the Consolidated Statements of Financial Position. The Company does not reflect the sale of the components in revenue and does not recognize any profit on the component sales until the related products are sold.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AND OTHER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the income tax expense (benefit) for continuing operations recognized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29, 2021</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January 31, 2020</w:t>
            </w:r>
          </w:p>
        </w:tc>
      </w:tr>
      <w:tr>
        <w:trPr>
          <w:trHeight w:val="223"/>
        </w:trPr>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Current: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State/local</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Deferred:</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State/local</w:t>
            </w:r>
          </w:p>
        </w:tc>
        <w:tc>
          <w:tcPr>
            <w:tcW w:w="2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3"/>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income (loss) before income taxes for continuing operations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January 29, 2021</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January 31, 2020</w:t>
            </w:r>
          </w:p>
        </w:tc>
      </w:tr>
      <w:tr>
        <w:trPr>
          <w:trHeight w:val="223"/>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 millions)</w:t>
            </w: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1"/>
              </w:rPr>
              <w:t>(1,361)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2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color w:val="auto"/>
                <w:w w:val="88"/>
              </w:rPr>
              <w:t>3,707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48"/>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center"/>
              <w:ind w:left="1210"/>
              <w:spacing w:after="0"/>
              <w:rPr>
                <w:sz w:val="20"/>
                <w:szCs w:val="20"/>
                <w:color w:val="auto"/>
              </w:rPr>
            </w:pPr>
            <w:r>
              <w:rPr>
                <w:rFonts w:ascii="Arial" w:cs="Arial" w:eastAsia="Arial" w:hAnsi="Arial"/>
                <w:sz w:val="18"/>
                <w:szCs w:val="18"/>
                <w:color w:val="auto"/>
                <w:w w:val="88"/>
              </w:rPr>
              <w:t>2,346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a reconciliation of the Company’s effective tax rate to the statutory U.S. federal tax rate for continuing operations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216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2240" w:type="dxa"/>
            <w:vAlign w:val="bottom"/>
            <w:gridSpan w:val="2"/>
          </w:tcPr>
          <w:p>
            <w:pPr>
              <w:ind w:left="420"/>
              <w:spacing w:after="0"/>
              <w:rPr>
                <w:sz w:val="20"/>
                <w:szCs w:val="20"/>
                <w:color w:val="auto"/>
              </w:rPr>
            </w:pPr>
            <w:r>
              <w:rPr>
                <w:rFonts w:ascii="Arial" w:cs="Arial" w:eastAsia="Arial" w:hAnsi="Arial"/>
                <w:sz w:val="18"/>
                <w:szCs w:val="18"/>
                <w:b w:val="1"/>
                <w:bCs w:val="1"/>
                <w:color w:val="auto"/>
              </w:rPr>
              <w:t>January 28, 2022</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January 29, 2021</w:t>
            </w:r>
          </w:p>
        </w:tc>
        <w:tc>
          <w:tcPr>
            <w:tcW w:w="2160" w:type="dxa"/>
            <w:vAlign w:val="bottom"/>
          </w:tcPr>
          <w:p>
            <w:pPr>
              <w:jc w:val="right"/>
              <w:ind w:right="330"/>
              <w:spacing w:after="0"/>
              <w:rPr>
                <w:sz w:val="20"/>
                <w:szCs w:val="20"/>
                <w:color w:val="auto"/>
              </w:rPr>
            </w:pPr>
            <w:r>
              <w:rPr>
                <w:rFonts w:ascii="Arial" w:cs="Arial" w:eastAsia="Arial" w:hAnsi="Arial"/>
                <w:sz w:val="18"/>
                <w:szCs w:val="18"/>
                <w:b w:val="1"/>
                <w:bCs w:val="1"/>
                <w:color w:val="auto"/>
              </w:rPr>
              <w:t>January 31, 2020</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45.1</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impact of foreign operations</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(274.5)</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Impact of intangible property transfers</w:t>
            </w:r>
          </w:p>
        </w:tc>
        <w:tc>
          <w:tcPr>
            <w:tcW w:w="2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794.1</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U.S. tax audit settlement</w:t>
            </w:r>
          </w:p>
        </w:tc>
        <w:tc>
          <w:tcPr>
            <w:tcW w:w="2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598.0</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transaction-related costs</w:t>
            </w: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1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243.1</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R&amp;D tax credits</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121.6</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Legal entity restructuring</w:t>
            </w:r>
          </w:p>
        </w:tc>
        <w:tc>
          <w:tcPr>
            <w:tcW w:w="216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RSA Security divestiture</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(158.2)</w:t>
            </w:r>
          </w:p>
        </w:tc>
      </w:tr>
      <w:tr>
        <w:trPr>
          <w:trHeight w:val="248"/>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changes in the Company’s effective tax rates for all periods presented were primarily driven by discrete tax items and a change in the Company’s jurisdictional mix of income.</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effective tax rate for the fiscal year ended January 28, 2022 includes tax expense of $1.0 billion on a pre-tax gain of $4.0 billion related to the divestiture of Boomi during the period, as well as tax benefits of $367 million on $1.6 billion of debt extinguishment fees and $244 million related to the restructuring of certain legal entities. The Company’s effective tax rate for the fiscal year ended January 29, 2021 includes tax benefits of $746 million related to an audit settlement and tax expense of $359 million on pre-tax gain of $338 million relating to the divestiture of RSA Security during the period. The Company’s effective tax rate for the fiscal year ended January 31, 2020 includes tax benefits of $405 million related to an intra-entity asset transfer and $305 million related to an audit settlement. The intra-entity asset transfer was of certain intellectual property to an Irish subsidiary.</w:t>
      </w:r>
    </w:p>
    <w:p>
      <w:pPr>
        <w:spacing w:after="0" w:line="19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differences between the Company’s effective income tax rates and the U.S. federal statutory rate of 21% principally result from the geographical distribution of income, differences between the book and tax treatment of certain items, and the discrete tax items discussed above. In certain jurisdictions, the Company’s tax rate is significantly less than the applicable statutory rate as a result of tax holidays. The majority of the Company’s foreign income that is subject to these tax holidays is attributable to Singapore and China. A significant portion of these income tax benefits relate to a tax holiday that will be effective until January 31, 2029. The Company’s other tax holidays will expire in whole or in part during fiscal years 2030 through 2031. Many of these tax holidays and reduced tax rates may be extended when certain conditions are met or may be terminated early if certain conditions are not met. As of January 28, 2022, the Company was not aware of any matters of noncompliance related to these tax holidays. For the fiscal years ended January 28, 2022, January 29, 2021, and January 31, 2020, the income tax benefits attributable to the tax status of the affected subsidiaries were estimated to be approximately $466 million ($0.59 per share), $359 million ($0.47 per share), and $444 million ($0.59 per share), respectively. These income tax benefits are included in tax impact of foreign operations in the table above.</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believes that a significant portion of the Company’s undistributed earnings as of January 28, 2022 will not be subject to further U.S. federal taxation. As of January 28, 2022, the Company has undistributed earnings of certain foreign subsidiaries of approximately $36.5 billion that remain indefinitely reinvested, and as such has not recognized a deferred tax liability. Determination of the amount of unrecognized deferred income tax liability related to these undistributed earnings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the Company’s net deferred tax assets (liabilities)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January 29, 2021</w:t>
            </w:r>
          </w:p>
        </w:tc>
      </w:tr>
      <w:tr>
        <w:trPr>
          <w:trHeight w:val="223"/>
        </w:trPr>
        <w:tc>
          <w:tcPr>
            <w:tcW w:w="7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4"/>
          </w:tcPr>
          <w:p>
            <w:pPr>
              <w:jc w:val="right"/>
              <w:ind w:right="1270"/>
              <w:spacing w:after="0"/>
              <w:rPr>
                <w:sz w:val="20"/>
                <w:szCs w:val="20"/>
                <w:color w:val="auto"/>
              </w:rPr>
            </w:pPr>
            <w:r>
              <w:rPr>
                <w:rFonts w:ascii="Arial" w:cs="Arial" w:eastAsia="Arial" w:hAnsi="Arial"/>
                <w:sz w:val="18"/>
                <w:szCs w:val="18"/>
                <w:color w:val="auto"/>
              </w:rPr>
              <w:t>(in millions)</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Deferred tax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Deferred revenue and warranty provisions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Provisions for product returns and doubtful accounts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Credit carryforwards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carryforwards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Operating and compensation related accruals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7600" w:type="dxa"/>
            <w:vAlign w:val="bottom"/>
          </w:tcPr>
          <w:p>
            <w:pPr>
              <w:ind w:left="48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3,822</w:t>
            </w: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23"/>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tax assets, net of valuation allowance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Deferred tax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Leasing and financing</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3"/>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r>
      <w:tr>
        <w:trPr>
          <w:trHeight w:val="248"/>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the net operating loss carryforwards, tax credit carryforwards, and other deferred tax assets with related valuation allowances recognized as of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28, 2022</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8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8"/>
              </w:rPr>
              <w:t>Deferred Tax Assets</w:t>
            </w:r>
          </w:p>
        </w:tc>
        <w:tc>
          <w:tcPr>
            <w:tcW w:w="18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Valuation Allowance</w:t>
            </w:r>
          </w:p>
        </w:tc>
        <w:tc>
          <w:tcPr>
            <w:tcW w:w="16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4"/>
              </w:rPr>
              <w:t>Net Deferred Tax</w:t>
            </w:r>
          </w:p>
        </w:tc>
        <w:tc>
          <w:tcPr>
            <w:tcW w:w="100" w:type="dxa"/>
            <w:vAlign w:val="bottom"/>
          </w:tcPr>
          <w:p>
            <w:pPr>
              <w:spacing w:after="0"/>
              <w:rPr>
                <w:sz w:val="14"/>
                <w:szCs w:val="14"/>
                <w:color w:val="auto"/>
              </w:rPr>
            </w:pPr>
          </w:p>
        </w:tc>
        <w:tc>
          <w:tcPr>
            <w:tcW w:w="17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First Year Expiring</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carryforwards</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Fiscal 2023</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Loss carryforwards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Fiscal 2023</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deferred tax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8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8"/>
              </w:rPr>
              <w:t>Deferred Tax Assets</w:t>
            </w:r>
          </w:p>
        </w:tc>
        <w:tc>
          <w:tcPr>
            <w:tcW w:w="18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Valuation Allowance</w:t>
            </w:r>
          </w:p>
        </w:tc>
        <w:tc>
          <w:tcPr>
            <w:tcW w:w="16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4"/>
              </w:rPr>
              <w:t>Net Deferred Tax</w:t>
            </w:r>
          </w:p>
        </w:tc>
        <w:tc>
          <w:tcPr>
            <w:tcW w:w="100" w:type="dxa"/>
            <w:vAlign w:val="bottom"/>
          </w:tcPr>
          <w:p>
            <w:pPr>
              <w:spacing w:after="0"/>
              <w:rPr>
                <w:sz w:val="14"/>
                <w:szCs w:val="14"/>
                <w:color w:val="auto"/>
              </w:rPr>
            </w:pPr>
          </w:p>
        </w:tc>
        <w:tc>
          <w:tcPr>
            <w:tcW w:w="17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First Year Expiring</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carryforwards</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Fiscal 2022</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Loss carryforwards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Fiscal 2022</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deferred tax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Company’s credit carryforwards as of January 28, 2022 and January 29, 2021 relate primarily to U.S. tax credits and include state and federal tax credits associated with research and development, as well as foreign tax credits associated with the U.S. Tax Cuts and Jobs Act enacted in December 2017 (“U.S. Tax Reform”). The more significant amounts of the Company’s carryforwards begin expiring in fiscal year 2028. The Company assessed the realizability of these U.S. tax credits and has recorded a valuation allowance against the credits it does not expect to utilize. The change in the valuation allowance against these credits is included in change in valuation allowance in the Company’s effective tax reconciliation. The Company’s loss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carryforwards as of January 28, 2022 and January 29, 2021 include net operating loss carryforwards from federal, state, and foreign jurisdictions. The valuation allowances for other deferred tax assets as of January 28, 2022 and January 29, 2021 primarily relate to foreign jurisdictions, the changes in which are included in tax impact of foreign operations in the Company’s effective tax reconciliation. The Company has determined that it will be able to realize the remainder of its deferred tax assets, based on the future reversal of deferred tax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Company’s beginning and ending balances of unrecognized tax benefits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January 31, 2020</w:t>
            </w:r>
          </w:p>
        </w:tc>
      </w:tr>
      <w:tr>
        <w:trPr>
          <w:trHeight w:val="223"/>
        </w:trPr>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Increases related to tax positions of the current year</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Increases related to tax position of prior years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of statute of limitations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Audit settlements</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table does not include accrued interest and penalties of $383 million, $404 million, and $721 million as of January 28, 2022, January 29, 2021, and January 31, 2020, respectively. Additionally, the table does not include certain tax benefits associated with interest and state tax deductions and other indirect jurisdictional effects of uncertain tax positions, which were $817 million, $835 million, and $601 million as of January 28, 2022, January 29, 2021, and January 31, 2020, respectively. After taking these items into account, the Company’s net unrecognized tax benefits were $1.2 billion, $1.2 billion, and $2.4 billion as of January 28, 2022, January 29, 2021, and January 31, 2020, respectively, and are included in accrued and other and other non-current liabilities in the Consolidated Statements of Financial Position.</w:t>
      </w:r>
    </w:p>
    <w:p>
      <w:pPr>
        <w:spacing w:after="0" w:line="21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unrecognized tax benefits in the table above include $0.9 billion, $0.9 billion, and $1.8 billion as of January 28, 2022, January 29, 2021, and January 31, 2020, respectively, that, if recognized, would have impacted income tax expense. Interest and penalties related to income tax liabilities are included in income tax expense. The Company recorded tax benefits for interest and penalties of $14 million and $247 million for the fiscal years ended January 28, 2022 and January 29, 2021, respectively, and tax expense of $179 million for the fiscal year ended January 31, 2020.</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Internal Revenue Service is currently conducting tax examinations of the Company for fiscal years 2015 through 2019. The Company is also currently under income tax audits in various state and foreign taxing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the fiscal year ended January 29, 2010.</w:t>
      </w:r>
    </w:p>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Judgment is required in evaluating the Company’s uncertain tax positions and determining the Company’s provision for income taxes. The Company does not expect a significant change to the total amount of unrecognized tax benefits within the next twelve months.</w:t>
      </w:r>
    </w:p>
    <w:p>
      <w:pPr>
        <w:spacing w:after="0" w:line="19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Company is required in certain situations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ACCUMULATED OTHER COMPREHENSIVE INCOME (LOSS)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Accumulated other comprehensive income (loss) is presented in stockholders’ equity (deficit) in the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net of tax, by the following components as of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3"/>
              </w:rPr>
              <w:t>Foreign Currency</w:t>
            </w:r>
          </w:p>
        </w:tc>
        <w:tc>
          <w:tcPr>
            <w:tcW w:w="200" w:type="dxa"/>
            <w:vAlign w:val="bottom"/>
          </w:tcPr>
          <w:p>
            <w:pPr>
              <w:spacing w:after="0"/>
              <w:rPr>
                <w:sz w:val="16"/>
                <w:szCs w:val="16"/>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1"/>
              </w:rPr>
              <w:t>Cash Flow</w:t>
            </w:r>
          </w:p>
        </w:tc>
        <w:tc>
          <w:tcPr>
            <w:tcW w:w="16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1"/>
              </w:rPr>
              <w:t>Pension and Other</w:t>
            </w:r>
          </w:p>
        </w:tc>
        <w:tc>
          <w:tcPr>
            <w:tcW w:w="16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Accumulated Other</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1"/>
              </w:rPr>
              <w:t>Translation</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1"/>
              </w:rPr>
              <w:t>Postretirement</w:t>
            </w:r>
          </w:p>
        </w:tc>
        <w:tc>
          <w:tcPr>
            <w:tcW w:w="180" w:type="dxa"/>
            <w:vAlign w:val="bottom"/>
          </w:tcPr>
          <w:p>
            <w:pPr>
              <w:spacing w:after="0"/>
              <w:rPr>
                <w:sz w:val="14"/>
                <w:szCs w:val="14"/>
                <w:color w:val="auto"/>
              </w:rPr>
            </w:pPr>
          </w:p>
        </w:tc>
        <w:tc>
          <w:tcPr>
            <w:tcW w:w="1460" w:type="dxa"/>
            <w:vAlign w:val="bottom"/>
          </w:tcPr>
          <w:p>
            <w:pPr>
              <w:jc w:val="center"/>
              <w:ind w:right="71"/>
              <w:spacing w:after="0" w:line="162" w:lineRule="exact"/>
              <w:rPr>
                <w:sz w:val="20"/>
                <w:szCs w:val="20"/>
                <w:color w:val="auto"/>
              </w:rPr>
            </w:pPr>
            <w:r>
              <w:rPr>
                <w:rFonts w:ascii="Arial" w:cs="Arial" w:eastAsia="Arial" w:hAnsi="Arial"/>
                <w:sz w:val="17"/>
                <w:szCs w:val="17"/>
                <w:b w:val="1"/>
                <w:bCs w:val="1"/>
                <w:color w:val="auto"/>
                <w:w w:val="89"/>
              </w:rPr>
              <w:t>Comprehensive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9"/>
              </w:rPr>
              <w:t>Adjustments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7"/>
              </w:rPr>
              <w:t>Hedges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3"/>
              </w:rPr>
              <w:t>Plans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1"/>
              <w:spacing w:after="0"/>
              <w:rPr>
                <w:sz w:val="20"/>
                <w:szCs w:val="20"/>
                <w:color w:val="auto"/>
              </w:rPr>
            </w:pPr>
            <w:r>
              <w:rPr>
                <w:rFonts w:ascii="Arial" w:cs="Arial" w:eastAsia="Arial" w:hAnsi="Arial"/>
                <w:sz w:val="17"/>
                <w:szCs w:val="17"/>
                <w:b w:val="1"/>
                <w:bCs w:val="1"/>
                <w:color w:val="auto"/>
                <w:w w:val="90"/>
              </w:rPr>
              <w:t>Income (Loss)</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5"/>
          </w:tcPr>
          <w:p>
            <w:pPr>
              <w:ind w:left="96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February 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Amounts reclassified from accumulated other comprehensive</w:t>
            </w: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change for the period</w:t>
            </w: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January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Amounts reclassified from accumulated other comprehensive</w:t>
            </w: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change for the period</w:t>
            </w: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Balances as of January 29,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374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Amounts reclassified from accumulated other comprehensive</w:t>
            </w: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Spin-off of VMware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change for the period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Balances as of January 28,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Amounts related to investments are reclassified to net income (loss) when gains and losses are realized. See Note 4 of the Notes to the Consolidated Financial Statements for more information on the Company’s investments. Amounts related to the Company’s cash flow hedges are reclassified to net income during the same period in which the items being hedged are recognized in earnings. See Note 8 of the Notes to the Consolidated Financial Statements for more information on the Company’s derivative instruments.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reclassifications out of accumulated other comprehensive income (loss), net of tax, to net income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Fiscal Year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2"/>
              </w:rPr>
              <w:t>January 28, 2022</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January 29, 2021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1"/>
              </w:rPr>
              <w:t>Cash Flow</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Pensions</w:t>
            </w: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4"/>
                <w:szCs w:val="14"/>
                <w:color w:val="auto"/>
              </w:rPr>
            </w:pPr>
          </w:p>
        </w:tc>
        <w:tc>
          <w:tcPr>
            <w:tcW w:w="104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3"/>
              </w:rPr>
              <w:t>Cash Flow</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Pensions</w:t>
            </w:r>
          </w:p>
        </w:tc>
        <w:tc>
          <w:tcPr>
            <w:tcW w:w="240" w:type="dxa"/>
            <w:vAlign w:val="bottom"/>
          </w:tcPr>
          <w:p>
            <w:pPr>
              <w:spacing w:after="0"/>
              <w:rPr>
                <w:sz w:val="14"/>
                <w:szCs w:val="14"/>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Hedges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Hedges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4"/>
          </w:tcPr>
          <w:p>
            <w:pPr>
              <w:jc w:val="right"/>
              <w:ind w:right="69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Total reclassifications, net of tax:</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net revenue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620" w:type="dxa"/>
            <w:vAlign w:val="bottom"/>
          </w:tcPr>
          <w:p>
            <w:pPr>
              <w:ind w:left="220"/>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NOTE 14 — CAPITALIZATION</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9420" w:type="dxa"/>
            <w:vAlign w:val="bottom"/>
            <w:gridSpan w:val="5"/>
          </w:tcPr>
          <w:p>
            <w:pPr>
              <w:spacing w:after="0"/>
              <w:rPr>
                <w:sz w:val="20"/>
                <w:szCs w:val="20"/>
                <w:color w:val="auto"/>
              </w:rPr>
            </w:pPr>
            <w:r>
              <w:rPr>
                <w:rFonts w:ascii="Arial" w:cs="Arial" w:eastAsia="Arial" w:hAnsi="Arial"/>
                <w:sz w:val="18"/>
                <w:szCs w:val="18"/>
                <w:color w:val="auto"/>
                <w:w w:val="97"/>
              </w:rPr>
              <w:t>The following table presents the Company’s authorized, issued, and outstanding common stock as of the dates indicated:</w:t>
            </w:r>
          </w:p>
        </w:tc>
        <w:tc>
          <w:tcPr>
            <w:tcW w:w="1820" w:type="dxa"/>
            <w:vAlign w:val="bottom"/>
          </w:tcPr>
          <w:p>
            <w:pPr>
              <w:spacing w:after="0"/>
              <w:rPr>
                <w:sz w:val="24"/>
                <w:szCs w:val="24"/>
                <w:color w:val="auto"/>
              </w:rPr>
            </w:pPr>
          </w:p>
        </w:tc>
      </w:tr>
      <w:tr>
        <w:trPr>
          <w:trHeight w:val="364"/>
        </w:trPr>
        <w:tc>
          <w:tcPr>
            <w:tcW w:w="5580" w:type="dxa"/>
            <w:vAlign w:val="bottom"/>
          </w:tcPr>
          <w:p>
            <w:pPr>
              <w:spacing w:after="0"/>
              <w:rPr>
                <w:sz w:val="24"/>
                <w:szCs w:val="24"/>
                <w:color w:val="auto"/>
              </w:rPr>
            </w:pPr>
          </w:p>
        </w:tc>
        <w:tc>
          <w:tcPr>
            <w:tcW w:w="192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Authorized</w:t>
            </w:r>
          </w:p>
        </w:tc>
        <w:tc>
          <w:tcPr>
            <w:tcW w:w="1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7"/>
              </w:rPr>
              <w:t>Issued</w:t>
            </w: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5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82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Common stock as of January 28, 2022</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Class A</w:t>
            </w:r>
          </w:p>
        </w:tc>
        <w:tc>
          <w:tcPr>
            <w:tcW w:w="18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Class C</w:t>
            </w:r>
          </w:p>
        </w:tc>
        <w:tc>
          <w:tcPr>
            <w:tcW w:w="1820" w:type="dxa"/>
            <w:vAlign w:val="bottom"/>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Class V</w:t>
            </w:r>
          </w:p>
        </w:tc>
        <w:tc>
          <w:tcPr>
            <w:tcW w:w="18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58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Common stock as of January 29, 2021</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Class A</w:t>
            </w:r>
          </w:p>
        </w:tc>
        <w:tc>
          <w:tcPr>
            <w:tcW w:w="18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Class C</w:t>
            </w:r>
          </w:p>
        </w:tc>
        <w:tc>
          <w:tcPr>
            <w:tcW w:w="1820" w:type="dxa"/>
            <w:vAlign w:val="bottom"/>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Class V</w:t>
            </w:r>
          </w:p>
        </w:tc>
        <w:tc>
          <w:tcPr>
            <w:tcW w:w="18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58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Under the Company’s certificate of incorporation, the Company is prohibited from issuing any of the authorized shares of Class V Common Stock.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authorized to issue one million shares of preferred stock, par value $0.01 per share. As of January 28, 2022 and January 29, 2021, no shares of preferred stock were issued or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Dell Technologies Common Stock </w:t>
      </w:r>
      <w:r>
        <w:rPr>
          <w:rFonts w:ascii="Arial" w:cs="Arial" w:eastAsia="Arial" w:hAnsi="Arial"/>
          <w:sz w:val="17"/>
          <w:szCs w:val="17"/>
          <w:color w:val="auto"/>
        </w:rPr>
        <w:t>— The Class A Common Stock, the Class B Common Stock, the Class C Common Stock, and the Class D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are collectively referred to as Dell Technologies Common Stock. The par value for all classes of Dell Technologies Common Stock is $0.01 per share. The Class A Common Stock, the Class B Common Stock, the Class C Common Stock, and the Class D Common Stock share equally in dividends declared or accumulated and have equal participation rights in undistributed earnings.</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Each holder of record of (a) Class A Common Stock is entitled to ten votes per share of Class A Common Stock; (b)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spacing w:after="0" w:line="21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Under the Company’s certificate of incorporation, at any time and from time to time, any holder of Class A Common Stock or Class</w:t>
      </w:r>
      <w:r>
        <w:rPr>
          <w:rFonts w:ascii="Arial" w:cs="Arial" w:eastAsia="Arial" w:hAnsi="Arial"/>
          <w:sz w:val="18"/>
          <w:szCs w:val="18"/>
          <w:i w:val="1"/>
          <w:iCs w:val="1"/>
          <w:color w:val="auto"/>
        </w:rPr>
        <w:t xml:space="preserve"> </w:t>
      </w:r>
      <w:r>
        <w:rPr>
          <w:rFonts w:ascii="Arial" w:cs="Arial" w:eastAsia="Arial" w:hAnsi="Arial"/>
          <w:sz w:val="18"/>
          <w:szCs w:val="18"/>
          <w:color w:val="auto"/>
        </w:rPr>
        <w:t>B Common Stock has the right to convert all or any of the shares of Class A Common Stock or Class B Common Stock, as applicable, held by such holder into shares of Class C Common Stock on a one-to-one basis.</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fiscal year ended January 28, 2022, the Company issued an aggregate of 5,985,573 shares of Class C Common Stock to stockholders upon their conversion of the same number of shares of Class A Common Stock into Class C Common Stock in accordance with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the fiscal year ended January 28, 2022, the Company issued 6,334,990 shares of Class C Common Stock to stockholders upon their conversion of the same number of shares of Class B Common Stock into Class C Common Stock in accordance with the Company’s certificate of incorporation.</w:t>
      </w:r>
    </w:p>
    <w:p>
      <w:pPr>
        <w:spacing w:after="0" w:line="15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the fiscal year ended January 29, 2021, the Company issued an aggregate of 72,727 shares of Class C Common Stock to stockholders upon their conversion of the same number of shares of Class A Common Stock into Class C Common Stock in accordance with the Company’s certificate of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 and Treasury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Dell Technologies Common Stock Repurchases by Dell Technologies during Fiscal 2022</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Effective as of September 23, 2021, the Company’s Board of Directors terminated the Company’s previous stock repurchase program and approved a new stock repurchase program (the “2021 Stock Repurchase Program”) under which the Company is authorized to use assets to repurchase up to $5 billion of shares of the Company’s Class C Common Stock with no established expiration date. During the fiscal year ended January 28, 2022, the Company repurchased approximately 12 million shares of Class C Common Stock for a total purchase price of approximately $659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Dell Technologies Common Stock Repurchases by Dell Technologies during Fiscal 2021</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fiscal year ended January 29, 2021, the Company repurchased approximately 6 million shares of Class C Common Stock for a total purchase price of approximately $240 million under a previous stock repurchase program that was subsequently suspended and, in the fiscal year ended January 28, 2022, terminated.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retired, shares repurchased under the repurchase program are placed in the Company’s treasury.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per share is based on the weighted-average effect of all common shares issued and outstanding and is calculated by dividing net income by the weighted-average shares outstanding during the period. Diluted earnings per share is calculated by dividing net income by the weighted-average number of common shares used in the basic earnings per share calculation plus the number of common shares that would be issued assuming exercise or conversion of all potentially dilutive instruments. The Company excludes equity instruments from the calculation of diluted earnings per share if the effect of including such instruments is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basic and diluted earnings per share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January 29, 2021</w:t>
            </w:r>
          </w:p>
        </w:tc>
        <w:tc>
          <w:tcPr>
            <w:tcW w:w="180" w:type="dxa"/>
            <w:vAlign w:val="bottom"/>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 attributable to Dell Technologies Inc. - basic</w:t>
            </w: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 attributable to Dell Technologies Inc. — diluted</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per share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January 28, 2022</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January 29, 2021</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January 31, 2020</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 Continuing operations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line="176" w:lineRule="exact"/>
              <w:rPr>
                <w:sz w:val="20"/>
                <w:szCs w:val="20"/>
                <w:color w:val="auto"/>
              </w:rPr>
            </w:pPr>
            <w:r>
              <w:rPr>
                <w:rFonts w:ascii="Arial" w:cs="Arial" w:eastAsia="Arial" w:hAnsi="Arial"/>
                <w:sz w:val="18"/>
                <w:szCs w:val="18"/>
                <w:color w:val="auto"/>
                <w:w w:val="95"/>
              </w:rPr>
              <w:t>Net income attributable to Dell Technologies Inc. from continuing operations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2,249</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4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Numerator: Discontinued operations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 net of income taxes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Incremental dilution from VMware (a)</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55"/>
        </w:trPr>
        <w:tc>
          <w:tcPr>
            <w:tcW w:w="60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5"/>
              </w:rPr>
              <w:t>Income from discontinued operations, net of income taxes, attributable to Dell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35"/>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Technologies Inc. - diluted</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Denominator: Dell Technologies Common Stock weighted-average shares</w:t>
            </w: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outstanding</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Dilutive effect of options, restricted stock units, restricted stock, and other</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antidilutive</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60" w:hanging="332"/>
        <w:spacing w:after="0" w:line="255" w:lineRule="auto"/>
        <w:tabs>
          <w:tab w:leader="none" w:pos="3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incremental dilution from VMware represents the impact of VMware’s dilutive securities on diluted earnings per share of Dell Technologies Common Stock, and is calculated by multiplying the difference between VMware’s basic and diluted earnings (loss) per share by the number of shares of VMware common stock held by 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stock-based compensation expense recognized in the Consolidated Statements of Income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29, 2021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January 31, 2020</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Stock-based compensation expense: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20"/>
              <w:spacing w:after="0"/>
              <w:rPr>
                <w:sz w:val="20"/>
                <w:szCs w:val="20"/>
                <w:color w:val="auto"/>
              </w:rPr>
            </w:pPr>
            <w:r>
              <w:rPr>
                <w:rFonts w:ascii="Arial" w:cs="Arial" w:eastAsia="Arial" w:hAnsi="Arial"/>
                <w:sz w:val="18"/>
                <w:szCs w:val="18"/>
                <w:color w:val="auto"/>
              </w:rPr>
              <w:t>Cost of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56"/>
        </w:trPr>
        <w:tc>
          <w:tcPr>
            <w:tcW w:w="5700" w:type="dxa"/>
            <w:vAlign w:val="bottom"/>
          </w:tcPr>
          <w:p>
            <w:pPr>
              <w:ind w:left="480"/>
              <w:spacing w:after="0" w:line="156" w:lineRule="exact"/>
              <w:rPr>
                <w:sz w:val="20"/>
                <w:szCs w:val="20"/>
                <w:color w:val="auto"/>
              </w:rPr>
            </w:pPr>
            <w:r>
              <w:rPr>
                <w:rFonts w:ascii="Arial" w:cs="Arial" w:eastAsia="Arial" w:hAnsi="Arial"/>
                <w:sz w:val="18"/>
                <w:szCs w:val="18"/>
                <w:color w:val="auto"/>
                <w:w w:val="92"/>
              </w:rPr>
              <w:t>Stock-based compensation expense from continuing operations before</w:t>
            </w:r>
          </w:p>
        </w:tc>
        <w:tc>
          <w:tcPr>
            <w:tcW w:w="18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89"/>
              </w:rPr>
              <w:t>Stock-based compensation expense from discontinued operations before</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 (a)</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Arial" w:cs="Arial" w:eastAsia="Arial" w:hAnsi="Arial"/>
                <w:sz w:val="18"/>
                <w:szCs w:val="18"/>
                <w:color w:val="auto"/>
              </w:rPr>
              <w:t>Total stock-based compensation expense before taxes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5700" w:type="dxa"/>
            <w:vAlign w:val="bottom"/>
          </w:tcPr>
          <w:p>
            <w:pPr>
              <w:ind w:left="480"/>
              <w:spacing w:after="0"/>
              <w:rPr>
                <w:sz w:val="20"/>
                <w:szCs w:val="20"/>
                <w:color w:val="auto"/>
              </w:rPr>
            </w:pPr>
            <w:r>
              <w:rPr>
                <w:rFonts w:ascii="Arial" w:cs="Arial" w:eastAsia="Arial" w:hAnsi="Arial"/>
                <w:sz w:val="18"/>
                <w:szCs w:val="18"/>
                <w:color w:val="auto"/>
              </w:rPr>
              <w:t>Total stock-based compensation expense, net of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80" w:hanging="332"/>
        <w:spacing w:after="0" w:line="260" w:lineRule="auto"/>
        <w:tabs>
          <w:tab w:leader="none" w:pos="3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Stock-based compensation expense from discontinued operations before taxes represents VMware stock-based compensation expense and is included in Income from discontinued operations, net of taxes, on the Consolidated Statements of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Inc. Stock-Based Compensation Plan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Dell Technologies Inc. 2013 Stock Incentive Plan </w:t>
      </w:r>
      <w:r>
        <w:rPr>
          <w:rFonts w:ascii="Arial" w:cs="Arial" w:eastAsia="Arial" w:hAnsi="Arial"/>
          <w:sz w:val="18"/>
          <w:szCs w:val="18"/>
          <w:color w:val="auto"/>
        </w:rPr>
        <w:t>— Employees, consultants, non-employee directors, and other service providers of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are eligible to participate in the Dell Technologies Inc. 2013 Stock Incentive Plan, as amended and restated as of July 9, 2019, (the “2013 Plan”). The 2013 Plan authorizes the Company to grant stock options, restricted stock units (“RSUs”), stock appreciation rights (“SARs”), restricted stock awards, and dividend equivalents. Stock options have been granted with option exercise prices equal to the fair market value of the Company’s Class C Common Stock and expire ten years after the grant date.</w:t>
      </w:r>
    </w:p>
    <w:p>
      <w:pPr>
        <w:spacing w:after="0" w:line="2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2013 Plan provides for an equitable adjustment of the share pool authorized under the 2013 Plan and outstanding awards in the event of a corporate restructuring event. In connection with the VMware Spin-off, the authorized share pool under the 2013 Plan and stock awards that were outstanding at the time of the VMware Spin-off were adjusted using a conversion ratio of approximately 1.97 to 1. The conversion ratio was based on the Company’s pre-VMware Spin-off closing stock price on November 1, 2021 and post-VMware Spin-off opening stock price on November 2, 2021. The adjustment resulted in an increase of approximately 30 million restricted stock units and 2 million stock options. The exercise price of unexercised stock options was also adjusted in accordance with the terms of the 2013 Plan using the conversion ratio of approximately 1.97 to 1. The adjustment did not result in material incremental stock-based compensation expense for the fiscal year ended January 28, 2022 as the adjustment was required by the 2013 Plan.</w:t>
      </w:r>
    </w:p>
    <w:p>
      <w:pPr>
        <w:spacing w:after="0" w:line="19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2013 Plan authorizes the issuance of an aggregate of 165.5 million shares of the Company’s Class C Common Stock, including 55.0 million shares automatically added to the share pool pursuant to the equitable adjustment provisions relating to the VMware Spin-off. As of January 28, 2022, there were approximately 46 million shares of Class C Common Stock available for future grants under the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Stock Option Activity </w:t>
      </w:r>
      <w:r>
        <w:rPr>
          <w:rFonts w:ascii="Arial" w:cs="Arial" w:eastAsia="Arial" w:hAnsi="Arial"/>
          <w:sz w:val="17"/>
          <w:szCs w:val="17"/>
          <w:color w:val="auto"/>
        </w:rPr>
        <w:t>— The following table presents stock option activity settled in Dell Technologies Common Stock for the periods indicated:</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Weighted-Average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Weighted-Average</w:t>
            </w:r>
          </w:p>
        </w:tc>
        <w:tc>
          <w:tcPr>
            <w:tcW w:w="15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 Contractual</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Term</w:t>
            </w: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Value (a)</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8"/>
              </w:rPr>
              <w:t>(per share)</w:t>
            </w:r>
          </w:p>
        </w:tc>
        <w:tc>
          <w:tcPr>
            <w:tcW w:w="12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Options outstanding as of February 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Canceled/expired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Options outstanding as of January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Options outstanding as of January 29,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VMware Spin-off adjustment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Options outstanding as of January 28, 2022 (b)</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as of January 28,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203"/>
        </w:trPr>
        <w:tc>
          <w:tcPr>
            <w:tcW w:w="4260" w:type="dxa"/>
            <w:vAlign w:val="bottom"/>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24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Vested and expected to vest (net of estimated forfeitures)</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January 28, 2022</w:t>
            </w:r>
          </w:p>
        </w:tc>
        <w:tc>
          <w:tcPr>
            <w:tcW w:w="14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100" w:hanging="332"/>
        <w:spacing w:after="0" w:line="250" w:lineRule="auto"/>
        <w:tabs>
          <w:tab w:leader="none" w:pos="3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intrinsic values represent the total pre-tax intrinsic values based on the closing price of $56.24 of the Company’s Class C Common Stock on January 28, 2022 as reported on the NYSE that would have been received by the option holders had all in-the-money options been exercised as of that date.</w:t>
      </w:r>
    </w:p>
    <w:p>
      <w:pPr>
        <w:spacing w:after="0" w:line="1" w:lineRule="exact"/>
        <w:rPr>
          <w:rFonts w:ascii="Arial" w:cs="Arial" w:eastAsia="Arial" w:hAnsi="Arial"/>
          <w:sz w:val="18"/>
          <w:szCs w:val="18"/>
          <w:color w:val="auto"/>
        </w:rPr>
      </w:pPr>
    </w:p>
    <w:p>
      <w:pPr>
        <w:ind w:left="340" w:hanging="332"/>
        <w:spacing w:after="0" w:line="253" w:lineRule="auto"/>
        <w:tabs>
          <w:tab w:leader="none" w:pos="4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connection with the VMware Spin-off, Dell Technologies made certain adjustments to the number of stock options to preserve the intrinsic value of the awards prior to the VMware Spin-off. The ending weighted-average exercise price was calculated based on underlying options outstanding as of January 28, 2022. Of the 3 million stock options outstanding on January 28, 2022, 2 million stock options related to performance-based awards and 1 million stock options related to service-based awards.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fair value of options vested was not material for the fiscal years ended January 28, 2022, January 29, 2021, and January 31, 2020. The pre-tax intrinsic value of the options exercised was $340 million, $591 million, and $835 million for the fiscal years ended January 28, 2022, January 29, 2021, and January 31, 2020, respectively. Cash proceeds from the exercise of stock options was $62 million, $179 million, and $350 million for the fiscal years ended January 28, 2022, January 29, 2021, and January 31, 2020, respectively.</w:t>
      </w: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tax benefit realized from the exercise of stock options was $76 million, $139 million, and $197 million for the fiscal years ended January 28, 2022, January 29, 2021, and January 31, 2020, respectively.</w:t>
      </w:r>
    </w:p>
    <w:p>
      <w:pPr>
        <w:spacing w:after="0" w:line="197"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 The Company’s restricted stock primarily consists of RSUs granted to employees. During the fiscal year ended January 28, 2022,</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29, 2021, and January 31, 2020, the Company granted long-term incentive awards in the form of service-based RSUs and performance-based RSUs (“PSUs”) in order to align critical talent retention programs with the interests of holders of the Class C Common Stock.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Service-based RSUs have a fair value based on the closing price of the Class C Common Stock price as reported on the NYSE on the grant date or the trade day immediately preceding the grant date, if the grant date falls on a non-trading day. Most of such RSUs vest ratably over a three-year period. Each service-based RSU represents the right to acquire one share of Class C Common Stock upon vesting.</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PSUs granted during the periods presented are reflected as target units for performance periods not yet complete. The actual number of units that ultimately vest will range from 0% to 200% of target, based on the level of achievement of the performance goals and continued employment with the Company over a three-year performance period. Approximately half of the PSUs granted are subject to achievement of market-based performance goals based on relative total shareholder return and were valued utilizing a Monte Carlo valuation model to simulate the probabilities of achievement. The remaining PSUs are subject to internal financial measures and have fair values based on the closing price of the Class C Common Stock as reported on the NYSE on the accounting grant date.</w:t>
      </w: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Prior to the Class V transaction, the Company granted market-based PSUs to certain members of the Company’s senior leadership team, which were also valued using the Monte Carlo model. The vesting and payout of the PSU awards depended upon the return on equity achieved on various measurement dates through the five-year anniversary of the Company’s acquisition of EMC Corporation in a transaction that closed in September 2016 (the “EMC merger transaction”) or specified liquidity events.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assumptions utilized in the Monte Carlo valuation model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28, 2022</w:t>
            </w:r>
          </w:p>
        </w:tc>
        <w:tc>
          <w:tcPr>
            <w:tcW w:w="220" w:type="dxa"/>
            <w:vAlign w:val="bottom"/>
          </w:tcPr>
          <w:p>
            <w:pPr>
              <w:spacing w:after="0"/>
              <w:rPr>
                <w:sz w:val="19"/>
                <w:szCs w:val="19"/>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January 29, 2021</w:t>
            </w:r>
          </w:p>
        </w:tc>
        <w:tc>
          <w:tcPr>
            <w:tcW w:w="260" w:type="dxa"/>
            <w:vAlign w:val="bottom"/>
          </w:tcPr>
          <w:p>
            <w:pPr>
              <w:spacing w:after="0"/>
              <w:rPr>
                <w:sz w:val="19"/>
                <w:szCs w:val="19"/>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January 31, 2020</w:t>
            </w: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134.01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87.17</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Term (in years)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(U.S. Government Treasury Note)</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restricted stock and restricted stock units activity settled in Dell Technologies Common Stock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880" w:type="dxa"/>
            <w:vAlign w:val="bottom"/>
            <w:vMerge w:val="restart"/>
          </w:tcPr>
          <w:p>
            <w:pPr>
              <w:jc w:val="center"/>
              <w:ind w:left="310"/>
              <w:spacing w:after="0"/>
              <w:rPr>
                <w:sz w:val="20"/>
                <w:szCs w:val="20"/>
                <w:color w:val="auto"/>
              </w:rPr>
            </w:pPr>
            <w:r>
              <w:rPr>
                <w:rFonts w:ascii="Arial" w:cs="Arial" w:eastAsia="Arial" w:hAnsi="Arial"/>
                <w:sz w:val="18"/>
                <w:szCs w:val="18"/>
                <w:b w:val="1"/>
                <w:bCs w:val="1"/>
                <w:color w:val="auto"/>
                <w:w w:val="91"/>
              </w:rPr>
              <w:t>Number of Units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Weighted-Average Grant</w:t>
            </w:r>
          </w:p>
        </w:tc>
        <w:tc>
          <w:tcPr>
            <w:tcW w:w="2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1"/>
              </w:rPr>
              <w:t>Aggregate Intrinsic Value (a)</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2"/>
              </w:rPr>
              <w:t>Date Fair Value</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880" w:type="dxa"/>
            <w:vAlign w:val="bottom"/>
          </w:tcPr>
          <w:p>
            <w:pPr>
              <w:jc w:val="center"/>
              <w:ind w:left="310"/>
              <w:spacing w:after="0"/>
              <w:rPr>
                <w:sz w:val="20"/>
                <w:szCs w:val="20"/>
                <w:color w:val="auto"/>
              </w:rPr>
            </w:pPr>
            <w:r>
              <w:rPr>
                <w:rFonts w:ascii="Arial" w:cs="Arial" w:eastAsia="Arial" w:hAnsi="Arial"/>
                <w:sz w:val="18"/>
                <w:szCs w:val="18"/>
                <w:color w:val="auto"/>
                <w:w w:val="96"/>
              </w:rPr>
              <w:t>(in millions)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center"/>
              <w:ind w:left="410"/>
              <w:spacing w:after="0"/>
              <w:rPr>
                <w:sz w:val="20"/>
                <w:szCs w:val="20"/>
                <w:color w:val="auto"/>
              </w:rPr>
            </w:pPr>
            <w:r>
              <w:rPr>
                <w:rFonts w:ascii="Arial" w:cs="Arial" w:eastAsia="Arial" w:hAnsi="Arial"/>
                <w:sz w:val="18"/>
                <w:szCs w:val="18"/>
                <w:color w:val="auto"/>
                <w:w w:val="94"/>
              </w:rPr>
              <w:t>(per unit)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Outstanding, February 1, 2019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900" w:type="dxa"/>
            <w:vAlign w:val="bottom"/>
            <w:gridSpan w:val="2"/>
            <w:shd w:val="clear" w:color="auto" w:fill="CCEEFF"/>
          </w:tcPr>
          <w:p>
            <w:pPr>
              <w:jc w:val="right"/>
              <w:ind w:right="15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18.90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60.55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30.24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46.50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Outstanding, January 31, 2020</w:t>
            </w:r>
          </w:p>
        </w:tc>
        <w:tc>
          <w:tcPr>
            <w:tcW w:w="18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900" w:type="dxa"/>
            <w:vAlign w:val="bottom"/>
            <w:tcBorders>
              <w:top w:val="single" w:sz="8" w:color="CCEEFF"/>
            </w:tcBorders>
            <w:gridSpan w:val="2"/>
            <w:shd w:val="clear" w:color="auto" w:fill="CCEEFF"/>
          </w:tcPr>
          <w:p>
            <w:pPr>
              <w:jc w:val="right"/>
              <w:ind w:right="159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50.78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39.14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48.15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41.56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Outstanding, January 29, 2021</w:t>
            </w:r>
          </w:p>
        </w:tc>
        <w:tc>
          <w:tcPr>
            <w:tcW w:w="18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900" w:type="dxa"/>
            <w:vAlign w:val="bottom"/>
            <w:tcBorders>
              <w:top w:val="single" w:sz="8" w:color="CCEEFF"/>
            </w:tcBorders>
            <w:gridSpan w:val="2"/>
            <w:shd w:val="clear" w:color="auto" w:fill="CCEEFF"/>
          </w:tcPr>
          <w:p>
            <w:pPr>
              <w:jc w:val="right"/>
              <w:ind w:right="159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43.09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88.13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VMware Spin-off adjustment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Vested</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39.33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46.27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i w:val="1"/>
                <w:iCs w:val="1"/>
                <w:color w:val="auto"/>
              </w:rPr>
              <w:t>Outstanding, January 28, 2022(b)</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1900" w:type="dxa"/>
            <w:vAlign w:val="bottom"/>
            <w:gridSpan w:val="2"/>
          </w:tcPr>
          <w:p>
            <w:pPr>
              <w:jc w:val="right"/>
              <w:ind w:right="15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31.67</w:t>
            </w:r>
          </w:p>
        </w:tc>
        <w:tc>
          <w:tcPr>
            <w:tcW w:w="8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Vested and expected to vest, January 28, 2022</w:t>
            </w:r>
          </w:p>
        </w:tc>
        <w:tc>
          <w:tcPr>
            <w:tcW w:w="1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900" w:type="dxa"/>
            <w:vAlign w:val="bottom"/>
            <w:gridSpan w:val="2"/>
            <w:shd w:val="clear" w:color="auto" w:fill="CCEEFF"/>
          </w:tcPr>
          <w:p>
            <w:pPr>
              <w:jc w:val="right"/>
              <w:ind w:right="15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31.30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Arial" w:cs="Arial" w:eastAsia="Arial" w:hAnsi="Arial"/>
                <w:sz w:val="18"/>
                <w:szCs w:val="18"/>
                <w:color w:val="auto"/>
              </w:rPr>
              <w:t>____________________</w:t>
            </w: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280" w:hanging="332"/>
        <w:spacing w:after="0" w:line="250" w:lineRule="auto"/>
        <w:tabs>
          <w:tab w:leader="none" w:pos="3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values based on the closing price of $56.24 of the Company’s Class C Common Stock on January 28, 2022 as reported on the NYSE that would have been received by the RSU holders had the RSUs been issued as of January 28, 2022.</w:t>
      </w:r>
    </w:p>
    <w:p>
      <w:pPr>
        <w:spacing w:after="0" w:line="1" w:lineRule="exact"/>
        <w:rPr>
          <w:rFonts w:ascii="Arial" w:cs="Arial" w:eastAsia="Arial" w:hAnsi="Arial"/>
          <w:sz w:val="18"/>
          <w:szCs w:val="18"/>
          <w:color w:val="auto"/>
        </w:rPr>
      </w:pPr>
    </w:p>
    <w:p>
      <w:pPr>
        <w:ind w:left="340" w:right="160" w:hanging="332"/>
        <w:spacing w:after="0" w:line="277" w:lineRule="auto"/>
        <w:tabs>
          <w:tab w:leader="none" w:pos="40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connection with the VMware Spin-off, Dell Technologies made certain adjustments to the number of RSUs to preserve the intrinsic value of the awards prior to the VMware Spin-off. The ending weighted-average grant date fair value was calculated based on underlying RSUs outstanding as of January 28, 2022. As of January 28, 2022, the 59 million units outstanding included 48 million RSUs and 11 million PSUs.</w:t>
      </w:r>
    </w:p>
    <w:p>
      <w:pPr>
        <w:spacing w:after="0" w:line="20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total fair value of restricted stock that vested during the fiscal years ended January 28, 2022, January 29, 2021, and January 31, 2020 was $493 million, $235 million, and $27 million, respectively, with a pre-tax intrinsic value was $1,097 million, $226 million, and $47 million, respectively.</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January 28, 2022, there was $963 million of unrecognized stock-based compensation expense, net of estimated forfeitures, related to these awards expected to be recognized over a weighted-average period of approximately 1.9 years.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Dell Technologies Shares Withheld for Taxes </w:t>
      </w:r>
      <w:r>
        <w:rPr>
          <w:rFonts w:ascii="Arial" w:cs="Arial" w:eastAsia="Arial" w:hAnsi="Arial"/>
          <w:sz w:val="18"/>
          <w:szCs w:val="18"/>
          <w:color w:val="auto"/>
        </w:rPr>
        <w:t>— Under certain situations, shares of Class C Common Stock are withheld from issuance to cover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taxes for both the vesting of restricted stock units and the exercise of stock options. For the fiscal years ended January 28, 2022, January 29, 2021, and January 31, 2020, 0.4 million, 0.1 million, and 0.1 million shares, respectively, were withheld to cover $40 million, $1 million, and $4 million, respectively, of employees’ tax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to the 2013 Plan described above, the Company has a consolidated subsidiary, Secureworks, that maintains its own equity plan and issues equity grants settling in its own Class A common stock. The stock option and restricted stock unit activity under this plan was not material during the fiscal years ended January 28, 2022, January 29, 2021, and January 31,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REDEEMABLE SHARES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Through June 27, 2021, awards under the Company’s stock incentive plans included certain rights that allow the holder to exercise a put feature for the underlying Class A or Class C Common Stock after a six-month holding period following the issuance of such common stock. The put feature required the Company to purchase the stock at its fair market value. Accordingly, these awards and such common stock were subject to reclassification from equity to temporary equity. The put feature expired on June 27, 2021, and as a result, there were no issued and outstanding awards that were reclassified as temporary equity as of January 28,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the fiscal year ended January 29, 2021, the Company determined the award amounts to be classified as temporary equity as follows:</w:t>
      </w:r>
    </w:p>
    <w:p>
      <w:pPr>
        <w:spacing w:after="0" w:line="117" w:lineRule="exact"/>
        <w:rPr>
          <w:sz w:val="20"/>
          <w:szCs w:val="20"/>
          <w:color w:val="auto"/>
        </w:rPr>
      </w:pPr>
    </w:p>
    <w:p>
      <w:pPr>
        <w:ind w:left="660" w:right="8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spacing w:after="0" w:line="21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stock appreciation rights, restricted stock units, or restricted stock awards, any of which stock award types are subject to service requirements, the fair value of the share is multiplied by the portion of the share for which services have been rendered.</w:t>
      </w:r>
    </w:p>
    <w:p>
      <w:pPr>
        <w:spacing w:after="0" w:line="197"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share-based arrangements that are subject to the occurrence of a contingent event, the amounts are reclassified to temporary equity based on a probability assessment performed by the Company on a periodic basis. Contingent events include the achievement of performance-based measures.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redeemable shares classified as temporary equity and summarizes the award type as of January 29,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29, 2021</w:t>
            </w:r>
          </w:p>
        </w:tc>
      </w:tr>
      <w:tr>
        <w:trPr>
          <w:trHeight w:val="223"/>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(in millions)</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shares classified as temporary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Issued and outstanding unrestricted common shares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RETIREMENT PLAN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Retirement Plans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sponsors retirement plans for certain employees in the United States and internationally, some of which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U.S. Pension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sponsors a noncontributory defined benefit retirement plan in the United States (the “U.S. pension plan”)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connection with the EMC merger transaction. As of December 1999, the U.S. pension plan was frozen, so employees no longer accrue retirement benefits for future services. The measurement date for the U.S. pension plan is the end of the Company’s fiscal year. The Company did not make any significant contributions to the U.S. pension plan for the fiscal years ended January 28, 2022, January 29, 2021, and January 31, 2020, and does not expect to make any significant contributions in Fiscal 2023.</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periodic benefit costs related to the U.S. pension plan were immaterial for the fiscal years ended January 28, 2022, January 29, 2021, and January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w w:val="95"/>
              </w:rPr>
              <w:t>The following table presents attributes of the U.S. pension plan as of the dates indicated:</w:t>
            </w: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678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28, 2022</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January 29, 2021</w:t>
            </w:r>
          </w:p>
        </w:tc>
      </w:tr>
      <w:tr>
        <w:trPr>
          <w:trHeight w:val="223"/>
        </w:trPr>
        <w:tc>
          <w:tcPr>
            <w:tcW w:w="6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1760" w:type="dxa"/>
            <w:vAlign w:val="bottom"/>
          </w:tcPr>
          <w:p>
            <w:pPr>
              <w:spacing w:after="0"/>
              <w:rPr>
                <w:sz w:val="19"/>
                <w:szCs w:val="19"/>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assets at fair value (a)</w:t>
            </w:r>
          </w:p>
        </w:tc>
        <w:tc>
          <w:tcPr>
            <w:tcW w:w="176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obligations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Underfunded position (b)</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100" w:hanging="332"/>
        <w:spacing w:after="0" w:line="250" w:lineRule="auto"/>
        <w:tabs>
          <w:tab w:leader="none" w:pos="3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underfunded position of the U.S. pension plan is recognized in other non-current liabilities in the Consolidated Statements of Financial Position.</w:t>
      </w:r>
    </w:p>
    <w:p>
      <w:pPr>
        <w:spacing w:after="0" w:line="2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January 28, 2022, future benefit payments for the U.S. pension plan are expected to be paid as follows: $35 million in fiscal 2023; $36 million in fiscal 2024; $37 million in fiscal 2025; $37 million in fiscal 2026; $38 million in fiscal 2027; and $184 million thereafter.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u w:val="single" w:color="auto"/>
          <w:color w:val="auto"/>
        </w:rPr>
        <w:t>International Pension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also sponsors retirement plans outside of the United States which qualify as defined benefit plans.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presents attributes of the international pension plans as of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28, 2022</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January 29, 2021</w:t>
            </w:r>
          </w:p>
        </w:tc>
      </w:tr>
      <w:tr>
        <w:trPr>
          <w:trHeight w:val="223"/>
        </w:trPr>
        <w:tc>
          <w:tcPr>
            <w:tcW w:w="6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w w:val="98"/>
              </w:rPr>
              <w:t>(in millions)</w:t>
            </w:r>
          </w:p>
        </w:tc>
        <w:tc>
          <w:tcPr>
            <w:tcW w:w="176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assets at fair value (a)</w:t>
            </w:r>
          </w:p>
        </w:tc>
        <w:tc>
          <w:tcPr>
            <w:tcW w:w="176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6"/>
              </w:rPr>
              <w:t>256</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obligations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(479)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color w:val="auto"/>
                <w:w w:val="95"/>
              </w:rPr>
              <w:t>(517)</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Underfunded position (b)</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95"/>
              </w:rPr>
              <w:t>(261)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100" w:hanging="332"/>
        <w:spacing w:after="0" w:line="250" w:lineRule="auto"/>
        <w:tabs>
          <w:tab w:leader="none" w:pos="3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underfunded position is recognized in other non-current liabilities in the Consolidated Statements of Financial Position.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Dell 401(k) Plan </w:t>
      </w:r>
      <w:r>
        <w:rPr>
          <w:rFonts w:ascii="Arial" w:cs="Arial" w:eastAsia="Arial" w:hAnsi="Arial"/>
          <w:sz w:val="16"/>
          <w:szCs w:val="16"/>
          <w:color w:val="auto"/>
        </w:rPr>
        <w:t>— The Company has a defined contribution retirement plan (the “Dell 401(k) Plan”) that complies with Section 401(k)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Only U.S. employees and employees of certain subsidiaries, except those who are covered by a collective bargaining agreement, classified as a leased employee, a nonresident alien, or are covered under a separate plan, are eligible to participate in the Dell 401(k) Plan. Participation in the Dell 401(k) Plan is at the election of the employee. Historically, through May 31, 2020, the Company matched 100% of each participant’s voluntary contributions (the “Dell 401(k) employer match”), subject to a maximum contribution of 6% of the participant’s eligible compensation, up to an annual limit of $7,500, and participants vest immediately in all contributions to the Dell 401(k) Plan. On June 1, 2020, the Company suspended the Dell 401(k) employer match for U.S. employees as a precautionary measure to preserve financial flexibility in light of COVID-19. Effective January 1, 2021, the Dell 401(k) employer match was reinstated, with no change to the employer match policy or participant eligibility requirements.</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Company’s matching contributions as well as participants’ voluntary contributions are invested according to each participant’s elections in the investment options provided under the Dell 401(k) Plan. The Company’s contributions during the fiscal years ended January 28, 2022, January 29, 2021, and January 31, 2020 were $249 million, $154 million, and $267 million, respectively. The Company’s contributions decreased during the fiscal year ended January 29, 2021 due to the suspension of the Dell 401(k) employer match between June 1, 2020 and December 31, 2020,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two reportable segments that are based on the following business units: Infrastructure Solutions Group (“ISG”) and Client Solutions Group (“CSG”).</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ISG enables the digital transformation of the Company’s customers through its trusted multi-cloud and big data solutions, which are built upon a modern data center infrastructure. The ISG comprehensive portfolio of advanced storage solutions includes traditional storage solutions as well as next-generation storage solutions (such as all-flash arrays, scale-out file, object platforms, and software-defined solutions), while the Company’s server portfolio includes high-performance rack, blade, tower, and hyperscale servers. The ISG networking portfolio helps business customers transform and modernize their infrastructure, mobilize and enrich end-user experiences, and accelerate business applications and processes. ISG also offers attached software, peripherals, and services, including support and deployment, configuration, and extended warranty services.</w:t>
      </w:r>
    </w:p>
    <w:p>
      <w:pPr>
        <w:spacing w:after="0" w:line="20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CSG includes sales to commercial and consumer customers of branded hardware (such as desktops, workstations, and notebooks) and branded peripherals (such as displays and projectors), as well as services and third-party software and peripherals. CSG also offers attached software, peripherals, and services, including support and deployment, configuration, and extended warranty services.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reportable segments disclosed herein are based on information reviewed by the Company’s management to evaluate the business segment results. The Company’s measure of segment revenue and segment operating income for management reporting purposes excludes operating results of other businesses, unallocated corporate transactions, the impact of purchase accounting, amortization of intangible assets, transaction-related expenses, stock-based compensation expense, and other corporate expenses, as applicable. The Company does not allocate assets to the above reportable segments for internal reporting purposes.</w:t>
      </w:r>
    </w:p>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described in Note 1 and Note 3 of the Notes to the Consolidated Financial Statements, the Company completed the VMware Spin-off on November 1, 2021.</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CFA described in such Notes, Dell Technologies will continue to act as a distributor of VMware’s standalone products and services and purchase such products and services for resale to end-user customers (“VMware Resale”). Dell Technologies will also continue to integrate VMware’s products and services with Dell Technologies’ offerings and sell them to end users. The results of such operations are classified as continuing operations within the Company’s Consolidated Statements of Income. The results of standalone VMware Resale transactions are reflected in other businesses. The results of integrated offering transactions are reflected within CSG or ISG, depending upon the nature of the underlying offering sold. The Company's prior period segment results have been recast to reflect this change.</w:t>
      </w: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accordance with applicable accounting guidance, the results of VMware, excluding Dell's resale of VMware offerings, are presented as discontinued operations in the Consolidated Statements of Income and, as such, have been excluded from both continuing operations and segment results for all periods presented.</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table presents a reconciliation of net revenue by the Company’s reportable segments to the Company’s consolidated net revenue as well as a reconciliation of consolidated segment operating income to the Company’s consolidated operating income (loss) for the periods indicated: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Consolidated net revenue: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34,366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34,367</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45,855</w:t>
            </w:r>
          </w:p>
        </w:tc>
      </w:tr>
      <w:tr>
        <w:trPr>
          <w:trHeight w:val="223"/>
        </w:trPr>
        <w:tc>
          <w:tcPr>
            <w:tcW w:w="5580" w:type="dxa"/>
            <w:vAlign w:val="bottom"/>
          </w:tcPr>
          <w:p>
            <w:pPr>
              <w:ind w:left="140"/>
              <w:spacing w:after="0"/>
              <w:rPr>
                <w:sz w:val="20"/>
                <w:szCs w:val="20"/>
                <w:color w:val="auto"/>
              </w:rPr>
            </w:pPr>
            <w:r>
              <w:rPr>
                <w:rFonts w:ascii="Arial" w:cs="Arial" w:eastAsia="Arial" w:hAnsi="Arial"/>
                <w:sz w:val="18"/>
                <w:szCs w:val="18"/>
                <w:color w:val="auto"/>
              </w:rPr>
              <w:t>Reportable segment net revenue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80,222</w:t>
            </w:r>
          </w:p>
        </w:tc>
      </w:tr>
      <w:tr>
        <w:trPr>
          <w:trHeight w:val="229"/>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businesses (a) (b)</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r>
      <w:tr>
        <w:trPr>
          <w:trHeight w:val="229"/>
        </w:trPr>
        <w:tc>
          <w:tcPr>
            <w:tcW w:w="5580" w:type="dxa"/>
            <w:vAlign w:val="bottom"/>
          </w:tcPr>
          <w:p>
            <w:pPr>
              <w:ind w:left="220"/>
              <w:spacing w:after="0"/>
              <w:rPr>
                <w:sz w:val="20"/>
                <w:szCs w:val="20"/>
                <w:color w:val="auto"/>
              </w:rPr>
            </w:pPr>
            <w:r>
              <w:rPr>
                <w:rFonts w:ascii="Arial" w:cs="Arial" w:eastAsia="Arial" w:hAnsi="Arial"/>
                <w:sz w:val="18"/>
                <w:szCs w:val="18"/>
                <w:color w:val="auto"/>
              </w:rPr>
              <w:t>Unallocated transactions (c)</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purchase accounting (d)</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Total consolidated net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84,815</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i w:val="1"/>
                <w:iCs w:val="1"/>
                <w:color w:val="auto"/>
              </w:rPr>
              <w:t>Consolidated operating income:</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 Solutions Group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r>
      <w:tr>
        <w:trPr>
          <w:trHeight w:val="223"/>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Reportable segment operating income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r>
      <w:tr>
        <w:trPr>
          <w:trHeight w:val="229"/>
        </w:trPr>
        <w:tc>
          <w:tcPr>
            <w:tcW w:w="5580" w:type="dxa"/>
            <w:vAlign w:val="bottom"/>
          </w:tcPr>
          <w:p>
            <w:pPr>
              <w:ind w:left="220"/>
              <w:spacing w:after="0"/>
              <w:rPr>
                <w:sz w:val="20"/>
                <w:szCs w:val="20"/>
                <w:color w:val="auto"/>
              </w:rPr>
            </w:pPr>
            <w:r>
              <w:rPr>
                <w:rFonts w:ascii="Arial" w:cs="Arial" w:eastAsia="Arial" w:hAnsi="Arial"/>
                <w:sz w:val="18"/>
                <w:szCs w:val="18"/>
                <w:color w:val="auto"/>
              </w:rPr>
              <w:t>Other businesses (a) (b)</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transactions (c)</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Impact of purchase accounting (d)</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Transaction-related expenses (e)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(f)</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corporate expenses (g)</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r>
      <w:tr>
        <w:trPr>
          <w:trHeight w:val="248"/>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consolidated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hanging="332"/>
        <w:spacing w:after="0" w:line="250" w:lineRule="auto"/>
        <w:tabs>
          <w:tab w:leader="none" w:pos="3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businesses consists of i) VMware Resale, ii) Secureworks, and iii) Virtustream, and do not meet the requirements for a reportable segment, either individually or collectively.</w:t>
      </w:r>
    </w:p>
    <w:p>
      <w:pPr>
        <w:ind w:left="340" w:right="80" w:hanging="332"/>
        <w:spacing w:after="0" w:line="250"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completed the sale of RSA Security on September 1, 2020, and the sale of Boomi on October 1, 2021. Prior to the divestitures, Boomi and RSA Security’s results were included within other businesses. See Note 1 of the Notes to the Consolidated Financial Statements for further details related to the divestitures of RSA Security and Boomi.</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Unallocated transactions includes other corporate items that are not allocated to Dell Technologies’ reportable segments.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right="500" w:hanging="332"/>
        <w:spacing w:after="0" w:line="250" w:lineRule="auto"/>
        <w:tabs>
          <w:tab w:leader="none" w:pos="3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Transaction-related expenses includes acquisition, integration, and divestiture related costs, as well as the costs incurred in the VMware Spin-off described in Note 1 of the Notes to the Consolidated Financial Statements.</w:t>
      </w: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Stock-based compensation expense consists of equity awards granted based on the estimated fair value of those awards at grant date.</w:t>
      </w:r>
    </w:p>
    <w:p>
      <w:pPr>
        <w:spacing w:after="0" w:line="9" w:lineRule="exact"/>
        <w:rPr>
          <w:rFonts w:ascii="Arial" w:cs="Arial" w:eastAsia="Arial" w:hAnsi="Arial"/>
          <w:sz w:val="18"/>
          <w:szCs w:val="18"/>
          <w:color w:val="auto"/>
        </w:rPr>
      </w:pPr>
    </w:p>
    <w:p>
      <w:pPr>
        <w:ind w:left="340" w:right="120" w:hanging="332"/>
        <w:spacing w:after="0" w:line="260"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corporate expenses includes impairment charges, incentive charges related to equity investments, severance, facility action, and other costs. For the fiscal year ended January 31, 2020 this category includes Virtustream pre-tax impairment charges of $619 million.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disaggregation of net revenue by reportable segment, and by major product categories within the segments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i w:val="1"/>
                <w:iCs w:val="1"/>
                <w:color w:val="auto"/>
              </w:rPr>
              <w:t>Infrastructure Solutions Group:</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Servers and networking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Storage</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ISG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i w:val="1"/>
                <w:iCs w:val="1"/>
                <w:color w:val="auto"/>
              </w:rPr>
              <w:t>Client Solutions Group:</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34,293</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CSG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allocated between the United States and foreign countries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revenue: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46,752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40,338</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countries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44,477</w:t>
            </w:r>
          </w:p>
        </w:tc>
      </w:tr>
      <w:tr>
        <w:trPr>
          <w:trHeight w:val="223"/>
        </w:trPr>
        <w:tc>
          <w:tcPr>
            <w:tcW w:w="5580" w:type="dxa"/>
            <w:vAlign w:val="bottom"/>
          </w:tcPr>
          <w:p>
            <w:pPr>
              <w:ind w:left="14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84,815</w:t>
            </w:r>
          </w:p>
        </w:tc>
      </w:tr>
      <w:tr>
        <w:trPr>
          <w:trHeight w:val="21"/>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property, plant, and equipment, net allocated between the United States and foreign countries as of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29, 2021</w:t>
            </w:r>
          </w:p>
        </w:tc>
      </w:tr>
      <w:tr>
        <w:trPr>
          <w:trHeight w:val="223"/>
        </w:trPr>
        <w:tc>
          <w:tcPr>
            <w:tcW w:w="7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Property, plant, and equipment,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2,926</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countries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allocation between domestic and foreign net revenue is based on the location of the customers. Net revenue from any single foreign country did not constitute more than 10% of the Company’s consolidated net revenue for any of the fiscal years ended January 28, 2022, January 29, 2021, and January 31, 2020. As of January 28, 2022 and January 29, 2021, property, plant, and equipment, net primarily related to domestic ownership with the remaining ownership consisting of individually immaterial balances in foreign countries.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SUPPLEMENTAL CONSOLIDATED FINANCIAL INFORMATION</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additional information on selected asset accounts included in the Consolidated Statements of Financial Position as of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29, 2021</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cash equivalents, and restricted cash:</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9,477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 other current assets (a)</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 - other non-current assets (a)</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Inventories,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Total inventories,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Prepaid expenses: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Total prepaid expenses (c)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Deferred Costs: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Total deferred costs, current (c)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Property, plant, and equipment,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Computer equipment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and buildings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Machinery and other equipment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 and amortization (b)</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cash includes cash required to be held in escrow pursuant to DFS securitization arrangements.</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4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fiscal years ended January 28, 2022, January 29, 2021, and January 31, 2020, the Company recognized $1.6 billion, $1.3 billion, and $1.1 billion, respectively, in depreciation expense.</w:t>
      </w: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Deferred costs and prepaid expenses are included in other current assets in the Consolidated Statements of Financial Position.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provisions recognized on the Consolidated Statements of Income during the fiscal years ended January 29, 2021 and January 28, 2022 are based on assessments of the impact of current and expected future economic conditions, inclusive of the effect of the COVID-19 pandemic on credit losses related to trade receivables and financing receivables. The duration and severity of COVID-19 and continued market volatility is highly uncertain and, as such, the impacts on expected credit losses for trade receivables and financing receivables are subject to significant judgment and may cause variability in the Company’s allowance for credit losses in future periods for trade receivables and financing receivables. See Note 2 of the Notes to the Consolidated Financial Statements for additional information about the new CECL standard.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valuation and qualifying accounts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xml:space="preserve">Trade Receivables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Allowance for expected credit losses: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adoption of accounting standard (a)</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Allowance charged to provision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write-offs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176"/>
        </w:trPr>
        <w:tc>
          <w:tcPr>
            <w:tcW w:w="560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8"/>
              </w:rPr>
              <w:t>Customer Financing Receivables — Allowance for financing receivable</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losses: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Adjustment for adoption of accounting standard (a)</w:t>
            </w:r>
          </w:p>
        </w:tc>
        <w:tc>
          <w:tcPr>
            <w:tcW w:w="1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Charge-offs, net of recoveries (b)</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Tax Valuation Allowance: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Charged to income tax provision</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Charged to other accounts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840" w:hanging="332"/>
        <w:spacing w:after="0" w:line="250" w:lineRule="auto"/>
        <w:tabs>
          <w:tab w:leader="none" w:pos="3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adopted the current expected credit losses standard as of February 1, 2020 using the modified retrospective method, with the cumulative-effect adjustment to the opening balance of stockholders’ equity (deficit) as of the adoption date.</w:t>
      </w:r>
    </w:p>
    <w:p>
      <w:pPr>
        <w:ind w:left="400" w:hanging="392"/>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Charge-offs for customer financing receivables includes principal and interest.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Warranty Liability</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20" w:type="dxa"/>
            <w:vAlign w:val="bottom"/>
            <w:gridSpan w:val="7"/>
          </w:tcPr>
          <w:p>
            <w:pPr>
              <w:spacing w:after="0"/>
              <w:rPr>
                <w:sz w:val="20"/>
                <w:szCs w:val="20"/>
                <w:color w:val="auto"/>
              </w:rPr>
            </w:pPr>
            <w:r>
              <w:rPr>
                <w:rFonts w:ascii="Arial" w:cs="Arial" w:eastAsia="Arial" w:hAnsi="Arial"/>
                <w:sz w:val="18"/>
                <w:szCs w:val="18"/>
                <w:color w:val="auto"/>
                <w:w w:val="99"/>
              </w:rPr>
              <w:t>The following table presents changes in the Company’s liability for standard limited warranties for the periods indicated: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January 31, 2020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Warranty liability: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Warranty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1150"/>
              <w:spacing w:after="0"/>
              <w:rPr>
                <w:sz w:val="20"/>
                <w:szCs w:val="20"/>
                <w:color w:val="auto"/>
              </w:rPr>
            </w:pPr>
            <w:r>
              <w:rPr>
                <w:rFonts w:ascii="Arial" w:cs="Arial" w:eastAsia="Arial" w:hAnsi="Arial"/>
                <w:sz w:val="18"/>
                <w:szCs w:val="18"/>
                <w:color w:val="auto"/>
                <w:w w:val="93"/>
              </w:rPr>
              <w:t>473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center"/>
              <w:ind w:left="1170"/>
              <w:spacing w:after="0"/>
              <w:rPr>
                <w:sz w:val="20"/>
                <w:szCs w:val="20"/>
                <w:color w:val="auto"/>
              </w:rPr>
            </w:pPr>
            <w:r>
              <w:rPr>
                <w:rFonts w:ascii="Arial" w:cs="Arial" w:eastAsia="Arial" w:hAnsi="Arial"/>
                <w:sz w:val="18"/>
                <w:szCs w:val="18"/>
                <w:color w:val="auto"/>
                <w:w w:val="93"/>
              </w:rPr>
              <w:t>496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center"/>
              <w:ind w:left="1130"/>
              <w:spacing w:after="0"/>
              <w:rPr>
                <w:sz w:val="20"/>
                <w:szCs w:val="20"/>
                <w:color w:val="auto"/>
              </w:rPr>
            </w:pPr>
            <w:r>
              <w:rPr>
                <w:rFonts w:ascii="Arial" w:cs="Arial" w:eastAsia="Arial" w:hAnsi="Arial"/>
                <w:sz w:val="18"/>
                <w:szCs w:val="18"/>
                <w:color w:val="auto"/>
                <w:w w:val="86"/>
              </w:rPr>
              <w:t>524</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Costs accrued for new warranty contracts and changes in estimates for pre-</w:t>
            </w: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center"/>
              <w:ind w:left="1150"/>
              <w:spacing w:after="0"/>
              <w:rPr>
                <w:sz w:val="20"/>
                <w:szCs w:val="20"/>
                <w:color w:val="auto"/>
              </w:rPr>
            </w:pPr>
            <w:r>
              <w:rPr>
                <w:rFonts w:ascii="Arial" w:cs="Arial" w:eastAsia="Arial" w:hAnsi="Arial"/>
                <w:sz w:val="18"/>
                <w:szCs w:val="18"/>
                <w:color w:val="auto"/>
                <w:w w:val="93"/>
              </w:rPr>
              <w:t>957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center"/>
              <w:ind w:left="1170"/>
              <w:spacing w:after="0"/>
              <w:rPr>
                <w:sz w:val="20"/>
                <w:szCs w:val="20"/>
                <w:color w:val="auto"/>
              </w:rPr>
            </w:pPr>
            <w:r>
              <w:rPr>
                <w:rFonts w:ascii="Arial" w:cs="Arial" w:eastAsia="Arial" w:hAnsi="Arial"/>
                <w:sz w:val="18"/>
                <w:szCs w:val="18"/>
                <w:color w:val="auto"/>
                <w:w w:val="93"/>
              </w:rPr>
              <w:t>782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center"/>
              <w:ind w:left="1130"/>
              <w:spacing w:after="0"/>
              <w:rPr>
                <w:sz w:val="20"/>
                <w:szCs w:val="20"/>
                <w:color w:val="auto"/>
              </w:rPr>
            </w:pPr>
            <w:r>
              <w:rPr>
                <w:rFonts w:ascii="Arial" w:cs="Arial" w:eastAsia="Arial" w:hAnsi="Arial"/>
                <w:sz w:val="18"/>
                <w:szCs w:val="18"/>
                <w:color w:val="auto"/>
                <w:w w:val="86"/>
              </w:rPr>
              <w:t>854</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existing warranties (a) (b)</w:t>
            </w: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 obligations honored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w w:val="95"/>
              </w:rPr>
              <w:t>(950)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color w:val="auto"/>
                <w:w w:val="95"/>
              </w:rPr>
              <w:t>(805)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w w:val="95"/>
              </w:rPr>
              <w:t>(882)</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1150"/>
              <w:spacing w:after="0"/>
              <w:rPr>
                <w:sz w:val="20"/>
                <w:szCs w:val="20"/>
                <w:color w:val="auto"/>
              </w:rPr>
            </w:pPr>
            <w:r>
              <w:rPr>
                <w:rFonts w:ascii="Arial" w:cs="Arial" w:eastAsia="Arial" w:hAnsi="Arial"/>
                <w:sz w:val="18"/>
                <w:szCs w:val="18"/>
                <w:color w:val="auto"/>
                <w:w w:val="93"/>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w w:val="86"/>
              </w:rPr>
              <w:t>496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Current portion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640" w:type="dxa"/>
            <w:vAlign w:val="bottom"/>
          </w:tcPr>
          <w:p>
            <w:pPr>
              <w:jc w:val="center"/>
              <w:ind w:left="1150"/>
              <w:spacing w:after="0" w:line="203" w:lineRule="exact"/>
              <w:rPr>
                <w:sz w:val="20"/>
                <w:szCs w:val="20"/>
                <w:color w:val="auto"/>
              </w:rPr>
            </w:pPr>
            <w:r>
              <w:rPr>
                <w:rFonts w:ascii="Arial" w:cs="Arial" w:eastAsia="Arial" w:hAnsi="Arial"/>
                <w:sz w:val="18"/>
                <w:szCs w:val="18"/>
                <w:color w:val="auto"/>
                <w:w w:val="93"/>
              </w:rPr>
              <w:t>353</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Pr>
          <w:p>
            <w:pPr>
              <w:jc w:val="center"/>
              <w:ind w:left="1170"/>
              <w:spacing w:after="0" w:line="203" w:lineRule="exact"/>
              <w:rPr>
                <w:sz w:val="20"/>
                <w:szCs w:val="20"/>
                <w:color w:val="auto"/>
              </w:rPr>
            </w:pPr>
            <w:r>
              <w:rPr>
                <w:rFonts w:ascii="Arial" w:cs="Arial" w:eastAsia="Arial" w:hAnsi="Arial"/>
                <w:sz w:val="18"/>
                <w:szCs w:val="18"/>
                <w:color w:val="auto"/>
                <w:w w:val="93"/>
              </w:rPr>
              <w:t>356</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640" w:type="dxa"/>
            <w:vAlign w:val="bottom"/>
          </w:tcPr>
          <w:p>
            <w:pPr>
              <w:jc w:val="center"/>
              <w:ind w:left="1130"/>
              <w:spacing w:after="0" w:line="203" w:lineRule="exact"/>
              <w:rPr>
                <w:sz w:val="20"/>
                <w:szCs w:val="20"/>
                <w:color w:val="auto"/>
              </w:rPr>
            </w:pPr>
            <w:r>
              <w:rPr>
                <w:rFonts w:ascii="Arial" w:cs="Arial" w:eastAsia="Arial" w:hAnsi="Arial"/>
                <w:sz w:val="18"/>
                <w:szCs w:val="18"/>
                <w:color w:val="auto"/>
                <w:w w:val="86"/>
              </w:rPr>
              <w:t>341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3"/>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3"/>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6"/>
              </w:rPr>
              <w:t>155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680" w:hanging="332"/>
        <w:spacing w:after="0" w:line="281" w:lineRule="auto"/>
        <w:tabs>
          <w:tab w:leader="none" w:pos="3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Charges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the Company’s severance liability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January 31, 2020</w:t>
            </w:r>
          </w:p>
        </w:tc>
      </w:tr>
      <w:tr>
        <w:trPr>
          <w:trHeight w:val="223"/>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Severance liability: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Severance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center"/>
              <w:ind w:left="1170"/>
              <w:spacing w:after="0"/>
              <w:rPr>
                <w:sz w:val="20"/>
                <w:szCs w:val="20"/>
                <w:color w:val="auto"/>
              </w:rPr>
            </w:pPr>
            <w:r>
              <w:rPr>
                <w:rFonts w:ascii="Arial" w:cs="Arial" w:eastAsia="Arial" w:hAnsi="Arial"/>
                <w:sz w:val="18"/>
                <w:szCs w:val="18"/>
                <w:color w:val="auto"/>
                <w:w w:val="93"/>
              </w:rPr>
              <w:t>117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center"/>
              <w:ind w:left="1130"/>
              <w:spacing w:after="0"/>
              <w:rPr>
                <w:sz w:val="20"/>
                <w:szCs w:val="20"/>
                <w:color w:val="auto"/>
              </w:rPr>
            </w:pPr>
            <w:r>
              <w:rPr>
                <w:rFonts w:ascii="Arial" w:cs="Arial" w:eastAsia="Arial" w:hAnsi="Arial"/>
                <w:sz w:val="18"/>
                <w:szCs w:val="18"/>
                <w:color w:val="auto"/>
                <w:w w:val="86"/>
              </w:rPr>
              <w:t>102</w:t>
            </w: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 charges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3"/>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6"/>
              </w:rPr>
              <w:t>174</w:t>
            </w:r>
          </w:p>
        </w:tc>
      </w:tr>
      <w:tr>
        <w:trPr>
          <w:trHeight w:val="229"/>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paid and 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color w:val="auto"/>
                <w:w w:val="95"/>
              </w:rPr>
              <w:t>(376)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w w:val="95"/>
              </w:rPr>
              <w:t>(159)</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center"/>
              <w:ind w:left="1170"/>
              <w:spacing w:after="0"/>
              <w:rPr>
                <w:sz w:val="20"/>
                <w:szCs w:val="20"/>
                <w:color w:val="auto"/>
              </w:rPr>
            </w:pPr>
            <w:r>
              <w:rPr>
                <w:rFonts w:ascii="Arial" w:cs="Arial" w:eastAsia="Arial" w:hAnsi="Arial"/>
                <w:sz w:val="18"/>
                <w:szCs w:val="18"/>
                <w:color w:val="auto"/>
                <w:w w:val="93"/>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w w:val="86"/>
              </w:rPr>
              <w:t>117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severance charges as included in the Consolidated Statements of Income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Severance charges: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Cost of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severance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interest and other, net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January 28, 2022</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29, 2021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2020</w:t>
            </w:r>
          </w:p>
        </w:tc>
      </w:tr>
      <w:tr>
        <w:trPr>
          <w:trHeight w:val="223"/>
        </w:trPr>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and other,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Investment income, primarily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investments,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5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2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580" w:type="dxa"/>
            <w:vAlign w:val="bottom"/>
          </w:tcPr>
          <w:p>
            <w:pPr>
              <w:ind w:left="120"/>
              <w:spacing w:after="0"/>
              <w:rPr>
                <w:sz w:val="20"/>
                <w:szCs w:val="20"/>
                <w:color w:val="auto"/>
              </w:rPr>
            </w:pPr>
            <w:r>
              <w:rPr>
                <w:rFonts w:ascii="Arial" w:cs="Arial" w:eastAsia="Arial" w:hAnsi="Arial"/>
                <w:sz w:val="18"/>
                <w:szCs w:val="18"/>
                <w:color w:val="auto"/>
              </w:rPr>
              <w:t>Gain on disposition of businesses and assets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extinguishment fees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and other,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RELATED PARTY TRANSACTIONS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Effective upon the completion of the VMware Spin-off, VMware is considered to be a related party of the Company. The related party relationship is a result of Michael Dell’s ownership interest in both Dell Technologies and VMware as well as Michael Dell’s continued positions as Chairman and Chief Executive Officer of Dell Technologies and as Chairman of the Board of VMware, Inc. See Note 1 and Note 3 of the Notes to the Consolidated Financial Statements for more information about the VMware Spin-off.</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provided below includes a summary of transactions with VMware and with its consolidated subsidiaries (collectively, “VMware”).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other than VMware during the periods presented were immaterial, individually and in aggregate.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VMware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and VMware engage in the following ongoing related party transactions:</w:t>
      </w:r>
    </w:p>
    <w:p>
      <w:pPr>
        <w:spacing w:after="0" w:line="252" w:lineRule="exact"/>
        <w:rPr>
          <w:sz w:val="20"/>
          <w:szCs w:val="20"/>
          <w:color w:val="auto"/>
        </w:rPr>
      </w:pPr>
    </w:p>
    <w:p>
      <w:pPr>
        <w:ind w:left="660" w:right="80" w:hanging="328"/>
        <w:spacing w:after="0" w:line="259"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Pursuant to original equipment manufacturer and reseller arrangements, Dell Technologies integrates or bundles VMware’s products and services with Dell Technologies’ products and sells them to end-users. Dell Technologies also acts as a distributor, purchasing VMware’s standalone products and services for resale to end-user customers. Where applicable, costs under these arrangements are presented net of rebates received by Dell Technologies.</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Dell Technologies procures products and services from VMware for its internal use.</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Dell Technologies sells and leases products and sells services to VMware. Sales of services were immaterial for all periods presented.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Dell Technologies and VMware also enter into joint marketing, sales, and branding arrangements, for which both parties may incur costs.</w:t>
      </w:r>
    </w:p>
    <w:p>
      <w:pPr>
        <w:spacing w:after="0" w:line="263"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DFS provides financing to certain VMware’s end users. Upon acceptance of the financing arrangement by both VMware’s end users and DFS, DFS recognizes amounts due to related parties on the Consolidated Statements of Financial Position. Associated financing fees are recorded to net revenue on the Consolidated Statements of Income. The associated financing fees were not material during the fiscal years ended January 28, 2022, January 29, 2021, and January 31, 2020.</w:t>
      </w:r>
    </w:p>
    <w:p>
      <w:pPr>
        <w:spacing w:after="0" w:line="213"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Dell Technologies and VMware enter into agreements to collaborate on technology projects in which one party pays the corresponding party for services or the reimbursement of costs. For the fiscal years ended January 28, 2022, January 29, 2021, and January 31, 2020 collaborative technology projects were not material.</w:t>
      </w:r>
    </w:p>
    <w:p>
      <w:pPr>
        <w:spacing w:after="0" w:line="210" w:lineRule="exact"/>
        <w:rPr>
          <w:rFonts w:ascii="Arial" w:cs="Arial" w:eastAsia="Arial" w:hAnsi="Arial"/>
          <w:sz w:val="18"/>
          <w:szCs w:val="18"/>
          <w:color w:val="auto"/>
        </w:rPr>
      </w:pPr>
    </w:p>
    <w:p>
      <w:pPr>
        <w:ind w:left="660" w:right="320" w:hanging="328"/>
        <w:spacing w:after="0" w:line="301"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Dell Technologies provides support services and support from Dell Technologies personnel to VMware in certain geographic regions where VMware does not have an established legal entity. These employees are managed by VMware but Dell Technologies incurs the costs for these services. The costs incurred by Dell Technologies on VMware’s behalf to these employees are charged to VMware. For the fiscal years ended January 28, 2022, January 29, 2021, and January 31, 2020 costs associated with such seconded employees were not material.</w:t>
      </w:r>
    </w:p>
    <w:p>
      <w:pPr>
        <w:spacing w:after="0" w:line="184" w:lineRule="exact"/>
        <w:rPr>
          <w:rFonts w:ascii="Arial" w:cs="Arial" w:eastAsia="Arial" w:hAnsi="Arial"/>
          <w:sz w:val="16"/>
          <w:szCs w:val="16"/>
          <w:color w:val="auto"/>
        </w:rPr>
      </w:pPr>
    </w:p>
    <w:p>
      <w:pPr>
        <w:ind w:left="660" w:right="40" w:hanging="328"/>
        <w:spacing w:after="0" w:line="259"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Dell Technologies and VMware entered into the TSA in connection with the VMware Spin-off to provide various support services including investment advisory services, certain support services from Dell Technologies personnel, and other transitional services. Costs associated with the TSA were not material for the fiscal year ended January 28, 2022. See Note 1 and Note 3 of the Notes to the Consolidated Financial Statements for more information about the VMware Spin-off.</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impact of Dell Technologies’ related party transactions with VMware on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Fiscal Year Ended</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2520" w:type="dxa"/>
            <w:vAlign w:val="bottom"/>
          </w:tcPr>
          <w:p>
            <w:pPr>
              <w:ind w:left="74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January 28, 2022</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January 29, 2021</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January 31, 2020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Sales and leases of products to VMware</w:t>
            </w:r>
          </w:p>
        </w:tc>
        <w:tc>
          <w:tcPr>
            <w:tcW w:w="2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revenue -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w w:val="99"/>
              </w:rPr>
              <w:t>Purchase of VMware products for resale</w:t>
            </w:r>
          </w:p>
        </w:tc>
        <w:tc>
          <w:tcPr>
            <w:tcW w:w="2520" w:type="dxa"/>
            <w:vAlign w:val="bottom"/>
          </w:tcPr>
          <w:p>
            <w:pPr>
              <w:ind w:left="80"/>
              <w:spacing w:after="0"/>
              <w:rPr>
                <w:sz w:val="20"/>
                <w:szCs w:val="20"/>
                <w:color w:val="auto"/>
              </w:rPr>
            </w:pPr>
            <w:r>
              <w:rPr>
                <w:rFonts w:ascii="Arial" w:cs="Arial" w:eastAsia="Arial" w:hAnsi="Arial"/>
                <w:sz w:val="18"/>
                <w:szCs w:val="18"/>
                <w:color w:val="auto"/>
                <w:w w:val="99"/>
              </w:rPr>
              <w:t>Cost of net revenue -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Purchase of VMware services for resale</w:t>
            </w:r>
          </w:p>
        </w:tc>
        <w:tc>
          <w:tcPr>
            <w:tcW w:w="2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net revenue -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6" w:lineRule="exact"/>
              <w:rPr>
                <w:sz w:val="20"/>
                <w:szCs w:val="20"/>
                <w:color w:val="auto"/>
              </w:rPr>
            </w:pPr>
            <w:r>
              <w:rPr>
                <w:rFonts w:ascii="Arial" w:cs="Arial" w:eastAsia="Arial" w:hAnsi="Arial"/>
                <w:sz w:val="18"/>
                <w:szCs w:val="18"/>
                <w:color w:val="auto"/>
                <w:w w:val="91"/>
              </w:rPr>
              <w:t>Purchase of VMware products and services</w:t>
            </w:r>
          </w:p>
        </w:tc>
        <w:tc>
          <w:tcPr>
            <w:tcW w:w="2520" w:type="dxa"/>
            <w:vAlign w:val="bottom"/>
            <w:vMerge w:val="restart"/>
          </w:tcPr>
          <w:p>
            <w:pPr>
              <w:ind w:left="80"/>
              <w:spacing w:after="0"/>
              <w:rPr>
                <w:sz w:val="20"/>
                <w:szCs w:val="20"/>
                <w:color w:val="auto"/>
              </w:rPr>
            </w:pPr>
            <w:r>
              <w:rPr>
                <w:rFonts w:ascii="Arial" w:cs="Arial" w:eastAsia="Arial" w:hAnsi="Arial"/>
                <w:sz w:val="18"/>
                <w:szCs w:val="18"/>
                <w:color w:val="auto"/>
              </w:rPr>
              <w:t>Operating expenses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color w:val="auto"/>
              </w:rPr>
              <w:t>66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60" w:type="dxa"/>
            <w:vAlign w:val="bottom"/>
            <w:vMerge w:val="restart"/>
          </w:tcPr>
          <w:p>
            <w:pPr>
              <w:jc w:val="right"/>
              <w:ind w:right="30"/>
              <w:spacing w:after="0"/>
              <w:rPr>
                <w:sz w:val="20"/>
                <w:szCs w:val="20"/>
                <w:color w:val="auto"/>
              </w:rPr>
            </w:pPr>
            <w:r>
              <w:rPr>
                <w:rFonts w:ascii="Arial" w:cs="Arial" w:eastAsia="Arial" w:hAnsi="Arial"/>
                <w:sz w:val="18"/>
                <w:szCs w:val="18"/>
                <w:color w:val="auto"/>
              </w:rPr>
              <w:t>58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for internal use</w:t>
            </w:r>
          </w:p>
        </w:tc>
        <w:tc>
          <w:tcPr>
            <w:tcW w:w="25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Consideration received from VMware for</w:t>
            </w:r>
          </w:p>
        </w:tc>
        <w:tc>
          <w:tcPr>
            <w:tcW w:w="25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Operating expenses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joint marketing, sales, and branding</w:t>
            </w:r>
          </w:p>
        </w:tc>
        <w:tc>
          <w:tcPr>
            <w:tcW w:w="25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impact of Dell Technologies’ related party transactions with VMware on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240" w:type="dxa"/>
            <w:vAlign w:val="bottom"/>
          </w:tcPr>
          <w:p>
            <w:pPr>
              <w:ind w:left="74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January 28, 2022</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January 29, 2021</w:t>
            </w:r>
          </w:p>
        </w:tc>
      </w:tr>
      <w:tr>
        <w:trPr>
          <w:trHeight w:val="223"/>
        </w:trPr>
        <w:tc>
          <w:tcPr>
            <w:tcW w:w="50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20" w:type="dxa"/>
            <w:vAlign w:val="bottom"/>
            <w:gridSpan w:val="3"/>
          </w:tcPr>
          <w:p>
            <w:pPr>
              <w:jc w:val="right"/>
              <w:ind w:right="1430"/>
              <w:spacing w:after="0"/>
              <w:rPr>
                <w:sz w:val="20"/>
                <w:szCs w:val="20"/>
                <w:color w:val="auto"/>
              </w:rPr>
            </w:pPr>
            <w:r>
              <w:rPr>
                <w:rFonts w:ascii="Arial" w:cs="Arial" w:eastAsia="Arial" w:hAnsi="Arial"/>
                <w:sz w:val="18"/>
                <w:szCs w:val="18"/>
                <w:color w:val="auto"/>
              </w:rPr>
              <w:t>(in millions)</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Deferred costs related to VMware products and services for resale</w:t>
            </w:r>
          </w:p>
        </w:tc>
        <w:tc>
          <w:tcPr>
            <w:tcW w:w="2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w w:val="95"/>
              </w:rPr>
              <w:t>Deferred costs related to VMware products and services for resale</w:t>
            </w:r>
          </w:p>
        </w:tc>
        <w:tc>
          <w:tcPr>
            <w:tcW w:w="2240" w:type="dxa"/>
            <w:vAlign w:val="bottom"/>
          </w:tcPr>
          <w:p>
            <w:pPr>
              <w:ind w:left="300"/>
              <w:spacing w:after="0"/>
              <w:rPr>
                <w:sz w:val="20"/>
                <w:szCs w:val="20"/>
                <w:color w:val="auto"/>
              </w:rPr>
            </w:pPr>
            <w:r>
              <w:rPr>
                <w:rFonts w:ascii="Arial" w:cs="Arial" w:eastAsia="Arial" w:hAnsi="Arial"/>
                <w:sz w:val="18"/>
                <w:szCs w:val="18"/>
                <w:color w:val="auto"/>
                <w:w w:val="96"/>
              </w:rPr>
              <w:t>Other non-current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2,311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2,087</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Related Party Tax Matters</w:t>
      </w:r>
    </w:p>
    <w:p>
      <w:pPr>
        <w:spacing w:after="0" w:line="239"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i w:val="1"/>
          <w:iCs w:val="1"/>
          <w:color w:val="auto"/>
        </w:rPr>
        <w:t xml:space="preserve">Tax Sharing Agreement </w:t>
      </w:r>
      <w:r>
        <w:rPr>
          <w:rFonts w:ascii="Arial" w:cs="Arial" w:eastAsia="Arial" w:hAnsi="Arial"/>
          <w:sz w:val="16"/>
          <w:szCs w:val="16"/>
          <w:color w:val="auto"/>
        </w:rPr>
        <w:t>— In connection with the VMware Spin-off and concurrently with the execution of the Separation and Distribution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as of April 14, 2021, Dell Technologies and VMware entered into a Tax Matters Agreement (the “Tax Matters Agreement”) and agreed to</w:t>
      </w:r>
    </w:p>
    <w:p>
      <w:pPr>
        <w:spacing w:after="0" w:line="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terminate the tax sharing agreement as amended on December 30, 2019 (together with the Tax Matters Agreement, the “Tax Agreements”). The Tax Matters Agreement governs Dell Technologies’ and VMware’s respective rights and obligations, both for pre-spin-off periods and post-spin-off periods, regarding income and other taxes, and related matters, including tax liabilities and benefits, attributes and returns.</w:t>
      </w:r>
    </w:p>
    <w:p>
      <w:pPr>
        <w:spacing w:after="0" w:line="20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Net payments received from VMware pursuant to the Tax Agreements were $36 million, $307 million, and $159 million during the fiscal years ended January 28, 2022, January 29, 2021, and January 31, 2020, respectively, and relate to VMware’s portion of federal income taxes on Dell Technologies’ consolidated tax return as well as state tax payments for combined states.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timing of the tax payments due to and from related parties is governed by the Tax Agreements. VMware’s portion of the mandatory one-time transition tax on accumulated earnings of foreign subsidiaries (the “Transition Tax”) is governed by a letter agreement between VMware and Dell Technologies entered into on April 1, 2019.</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activity under the Tax Agreements with VMware, amounts due from VMware were $621 million and $451 million as of January 28, 2022 and January 29, 2021, respectively, primarily related to VMware’s estimated tax obligation resulting from the Transition Tax. U.S. Tax Reform included a deferral election for an eight-year installment payment method on the Transition Tax. Dell Technologies expects VMware to pay the remainder of its Transition Tax over a period of four years.</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 Upon consummation of the VMware Spin-off, Dell Technologies recorded net income tax indemnification receivables from VMware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certain income tax liabilities for which Dell Technologies is jointly and severally liable, but for which it is indemnified by VMware under the Tax Matters Agreement. The amounts that VMware may be obligated to</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pay Dell Technologies could vary depending on the outcome of certain unresolved tax matters, which may not be resolved for several years. The net receivable as of January 28, 2022 was $144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Due To/From Related Party</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79"/>
        </w:trPr>
        <w:tc>
          <w:tcPr>
            <w:tcW w:w="7360" w:type="dxa"/>
            <w:vAlign w:val="bottom"/>
            <w:gridSpan w:val="2"/>
          </w:tcPr>
          <w:p>
            <w:pPr>
              <w:spacing w:after="0"/>
              <w:rPr>
                <w:sz w:val="20"/>
                <w:szCs w:val="20"/>
                <w:color w:val="auto"/>
              </w:rPr>
            </w:pPr>
            <w:r>
              <w:rPr>
                <w:rFonts w:ascii="Arial" w:cs="Arial" w:eastAsia="Arial" w:hAnsi="Arial"/>
                <w:sz w:val="18"/>
                <w:szCs w:val="18"/>
                <w:color w:val="auto"/>
              </w:rPr>
              <w:t>The following table presents amounts due to and from VMware as of the dates indicated:</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20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January 28, 2022</w:t>
            </w: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January 29, 2021</w:t>
            </w:r>
          </w:p>
        </w:tc>
      </w:tr>
      <w:tr>
        <w:trPr>
          <w:trHeight w:val="223"/>
        </w:trPr>
        <w:tc>
          <w:tcPr>
            <w:tcW w:w="20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80" w:type="dxa"/>
            <w:vAlign w:val="bottom"/>
            <w:gridSpan w:val="3"/>
          </w:tcPr>
          <w:p>
            <w:pPr>
              <w:jc w:val="right"/>
              <w:ind w:right="1390"/>
              <w:spacing w:after="0"/>
              <w:rPr>
                <w:sz w:val="20"/>
                <w:szCs w:val="20"/>
                <w:color w:val="auto"/>
              </w:rPr>
            </w:pPr>
            <w:r>
              <w:rPr>
                <w:rFonts w:ascii="Arial" w:cs="Arial" w:eastAsia="Arial" w:hAnsi="Arial"/>
                <w:sz w:val="18"/>
                <w:szCs w:val="18"/>
                <w:color w:val="auto"/>
              </w:rPr>
              <w:t>(in millions)</w:t>
            </w: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from related party, net, current (a)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Due from related party, net, non-current (b)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to related party, current (c)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2" w:lineRule="exact"/>
        <w:rPr>
          <w:sz w:val="20"/>
          <w:szCs w:val="20"/>
          <w:color w:val="auto"/>
        </w:rPr>
      </w:pPr>
    </w:p>
    <w:p>
      <w:pPr>
        <w:ind w:left="340" w:right="140" w:hanging="332"/>
        <w:spacing w:after="0" w:line="219" w:lineRule="auto"/>
        <w:tabs>
          <w:tab w:leader="none" w:pos="3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due from related party, current consists of amounts due from VMware, inclusive of current net tax receivables from VMware under the Tax Agreements. Amounts, excluding tax, are generally settled in cash within 60 days of each quarter-end.</w:t>
      </w:r>
    </w:p>
    <w:p>
      <w:pPr>
        <w:ind w:left="260" w:hanging="252"/>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Amounts in due from related party, non-current consists of non-current portion of net receivables from VMware under the Tax Agreements.</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Amounts in due to related party, current includes amounts due to VMware which are generally settled in cash within 60 days of each quarter-end.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Special Dividend by VMware</w:t>
      </w:r>
    </w:p>
    <w:p>
      <w:pPr>
        <w:spacing w:after="0" w:line="239"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On November 1, 2021, in connection with the closing of the VMware Spin-off, VMware paid a special cash dividend of $11.5 billion, in aggregate, to VMware common stockholders of record on October 29, 2021, of which Dell Technologies received approximately $9.3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1 and Note 3 of the Notes to the Consolidated Financial Statements for more information about the VMware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NOTE 22 — UNAUDITED QUARTERLY RESULTS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9440" w:type="dxa"/>
            <w:vAlign w:val="bottom"/>
            <w:gridSpan w:val="7"/>
          </w:tcPr>
          <w:p>
            <w:pPr>
              <w:spacing w:after="0"/>
              <w:rPr>
                <w:sz w:val="20"/>
                <w:szCs w:val="20"/>
                <w:color w:val="auto"/>
              </w:rPr>
            </w:pPr>
            <w:r>
              <w:rPr>
                <w:rFonts w:ascii="Arial" w:cs="Arial" w:eastAsia="Arial" w:hAnsi="Arial"/>
                <w:sz w:val="18"/>
                <w:szCs w:val="18"/>
                <w:color w:val="auto"/>
                <w:w w:val="90"/>
              </w:rPr>
              <w:t>The following tables present selected unaudited consolidated statements of income (loss) for each quarter of the periods indicated:</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6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Fiscal 2022</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23"/>
        </w:trPr>
        <w:tc>
          <w:tcPr>
            <w:tcW w:w="6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Q1</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Q2</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Q3</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Q4</w:t>
            </w:r>
          </w:p>
        </w:tc>
      </w:tr>
      <w:tr>
        <w:trPr>
          <w:trHeight w:val="223"/>
        </w:trPr>
        <w:tc>
          <w:tcPr>
            <w:tcW w:w="6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6"/>
          </w:tcPr>
          <w:p>
            <w:pPr>
              <w:jc w:val="right"/>
              <w:ind w:right="10"/>
              <w:spacing w:after="0"/>
              <w:rPr>
                <w:sz w:val="20"/>
                <w:szCs w:val="20"/>
                <w:color w:val="auto"/>
              </w:rPr>
            </w:pPr>
            <w:r>
              <w:rPr>
                <w:rFonts w:ascii="Arial" w:cs="Arial" w:eastAsia="Arial" w:hAnsi="Arial"/>
                <w:sz w:val="18"/>
                <w:szCs w:val="18"/>
                <w:color w:val="auto"/>
              </w:rPr>
              <w:t>(in millions, except per share data)</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60" w:type="dxa"/>
            <w:vAlign w:val="bottom"/>
            <w:shd w:val="clear" w:color="auto" w:fill="CCEEFF"/>
          </w:tcPr>
          <w:p>
            <w:pPr>
              <w:spacing w:after="0"/>
              <w:rPr>
                <w:sz w:val="19"/>
                <w:szCs w:val="19"/>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5,264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5,534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5,618</w:t>
            </w:r>
          </w:p>
        </w:tc>
        <w:tc>
          <w:tcPr>
            <w:tcW w:w="60" w:type="dxa"/>
            <w:vAlign w:val="bottom"/>
          </w:tcPr>
          <w:p>
            <w:pPr>
              <w:spacing w:after="0"/>
              <w:rPr>
                <w:sz w:val="19"/>
                <w:szCs w:val="19"/>
                <w:color w:val="auto"/>
              </w:rPr>
            </w:pPr>
          </w:p>
        </w:tc>
      </w:tr>
      <w:tr>
        <w:trPr>
          <w:trHeight w:val="270"/>
        </w:trPr>
        <w:tc>
          <w:tcPr>
            <w:tcW w:w="6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3,683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income taxes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Net income attributable to Dell Technologies Inc.</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3,843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70"/>
        </w:trPr>
        <w:tc>
          <w:tcPr>
            <w:tcW w:w="6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Earnings (loss) per share attributable to Dell Technologies Inc. - basic</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 attributable to Dell Technologies Inc. - diluted</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9"/>
                <w:szCs w:val="19"/>
                <w:color w:val="auto"/>
              </w:rPr>
            </w:pPr>
          </w:p>
        </w:tc>
      </w:tr>
      <w:tr>
        <w:trPr>
          <w:trHeight w:val="580"/>
        </w:trPr>
        <w:tc>
          <w:tcPr>
            <w:tcW w:w="6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Fiscal 2021</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9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Q1</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Q2</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Q3</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Q4</w:t>
            </w:r>
          </w:p>
        </w:tc>
        <w:tc>
          <w:tcPr>
            <w:tcW w:w="60" w:type="dxa"/>
            <w:vAlign w:val="bottom"/>
          </w:tcPr>
          <w:p>
            <w:pPr>
              <w:spacing w:after="0"/>
              <w:rPr>
                <w:sz w:val="19"/>
                <w:szCs w:val="19"/>
                <w:color w:val="auto"/>
              </w:rPr>
            </w:pPr>
          </w:p>
        </w:tc>
      </w:tr>
      <w:tr>
        <w:trPr>
          <w:trHeight w:val="223"/>
        </w:trPr>
        <w:tc>
          <w:tcPr>
            <w:tcW w:w="6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6"/>
          </w:tcPr>
          <w:p>
            <w:pPr>
              <w:jc w:val="right"/>
              <w:ind w:right="70"/>
              <w:spacing w:after="0"/>
              <w:rPr>
                <w:sz w:val="20"/>
                <w:szCs w:val="20"/>
                <w:color w:val="auto"/>
              </w:rPr>
            </w:pPr>
            <w:r>
              <w:rPr>
                <w:rFonts w:ascii="Arial" w:cs="Arial" w:eastAsia="Arial" w:hAnsi="Arial"/>
                <w:sz w:val="18"/>
                <w:szCs w:val="18"/>
                <w:color w:val="auto"/>
              </w:rPr>
              <w:t>(in millions, except per share data)</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20,078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20,853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21,589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w:t>
            </w:r>
          </w:p>
        </w:tc>
        <w:tc>
          <w:tcPr>
            <w:tcW w:w="60" w:type="dxa"/>
            <w:vAlign w:val="bottom"/>
          </w:tcPr>
          <w:p>
            <w:pPr>
              <w:spacing w:after="0"/>
              <w:rPr>
                <w:sz w:val="19"/>
                <w:szCs w:val="19"/>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4,715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4,877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5,024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5,524</w:t>
            </w:r>
          </w:p>
        </w:tc>
        <w:tc>
          <w:tcPr>
            <w:tcW w:w="60" w:type="dxa"/>
            <w:vAlign w:val="bottom"/>
          </w:tcPr>
          <w:p>
            <w:pPr>
              <w:spacing w:after="0"/>
              <w:rPr>
                <w:sz w:val="19"/>
                <w:szCs w:val="19"/>
                <w:color w:val="auto"/>
              </w:rPr>
            </w:pPr>
          </w:p>
        </w:tc>
      </w:tr>
      <w:tr>
        <w:trPr>
          <w:trHeight w:val="270"/>
        </w:trPr>
        <w:tc>
          <w:tcPr>
            <w:tcW w:w="69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income taxes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9"/>
                <w:szCs w:val="19"/>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Net income attributable to Dell Technologies Inc.</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832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9"/>
                <w:szCs w:val="19"/>
                <w:color w:val="auto"/>
              </w:rPr>
            </w:pPr>
          </w:p>
        </w:tc>
      </w:tr>
      <w:tr>
        <w:trPr>
          <w:trHeight w:val="270"/>
        </w:trPr>
        <w:tc>
          <w:tcPr>
            <w:tcW w:w="6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Earnings per share attributable to Dell Technologies Inc. - basic</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60" w:type="dxa"/>
            <w:vAlign w:val="bottom"/>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attributable to Dell Technologies Inc. - diluted</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0.90</w:t>
            </w:r>
          </w:p>
        </w:tc>
        <w:tc>
          <w:tcPr>
            <w:tcW w:w="60" w:type="dxa"/>
            <w:vAlign w:val="bottom"/>
          </w:tcPr>
          <w:p>
            <w:pPr>
              <w:spacing w:after="0"/>
              <w:rPr>
                <w:sz w:val="19"/>
                <w:szCs w:val="19"/>
                <w:color w:val="auto"/>
              </w:rPr>
            </w:pP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Dividend Announcement </w:t>
      </w:r>
      <w:r>
        <w:rPr>
          <w:rFonts w:ascii="Arial" w:cs="Arial" w:eastAsia="Arial" w:hAnsi="Arial"/>
          <w:sz w:val="18"/>
          <w:szCs w:val="18"/>
          <w:color w:val="auto"/>
        </w:rPr>
        <w:t>— On February 24, 2022, the Company announced that its Board of Directors has adopted a dividend policy under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intends to pay quarterly cash dividends on its common stock, beginning in the first fiscal quarter of fiscal year 2023, at an initial rate of $0.33 per share per fiscal quarter. The Company also announced that the Board of Directors has declared the initial quarterly dividend under the new policy in the amount of $0.33 per share, which will be payable on April 29, 2022 to the holders of record of all of the issued and outstanding shares of common stock as of the close of business on April 20, 2022.</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dividend policy and the declaration and payment of each quarterly cash dividend will be subject to the Board of Director’s continuing determination that the policy and the declaration of dividends thereunder are in the best interests of the Company’s stockholders and are in compliance with applicable law. The Board of Directors retains the power to modify, suspend, or cancel the dividend policy in any manner and at any time that it may deem necessary or appropriate.</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item noted above, there were no known events occurring after January 28, 2022 and up until the date of the issuance of this report that would materially affect the information presented herein.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19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January 28, 2022. Based on that evaluation, our Chief Executive Officer and Chief Financial Officer have concluded that our disclosure controls and procedures were effective at the reasonable assurance level as of January 28,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20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our internal control over financial reporting as of January 28, 2022,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As a result of that evaluation, management has concluded that our internal control over financial reporting was effective as of January 28, 2022.</w:t>
      </w:r>
    </w:p>
    <w:p>
      <w:pPr>
        <w:spacing w:after="0" w:line="21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January 28, 2022 has been audited by PricewaterhouseCoopers LLP, our independent registered public accounting firm, as stated in their report, which is included in “Item 8 — Financial Statements and Supplementary Data.”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January 28, 2022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214"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each other, or by management override.</w:t>
      </w:r>
    </w:p>
    <w:p>
      <w:pPr>
        <w:spacing w:after="0" w:line="252"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97"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9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 of a control system must reflect the fact that resources are constrained, and the benefits of controls must be considered relative to their costs.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of 2012</w:t>
      </w:r>
    </w:p>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Set forth below is a description of matters reported by us pursuant to Section 219 of the Iran Threat Reduction and Syria Human Rights Act of 2012 and Section 13(r) of the Exchange Act. Concurrently with the filing of this annual report, we are filing a notice pursuant to Section 13(r) of the Exchange Act that such matters have been disclosed in this annual report.</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March 2, 2021, the U.S. government designated the Russian Federal Security Service (the “FSB”) as a blocked party under Executive Order 13382. On the same day, the U.S. Department of the Treasury’s Office of Foreign Assets Control issued General License No. 1B (the “OFAC General License”), which generally authorizes U.S. companies to engage in certain licensing, permitting, certification, notification and related transactions with the FSB to the extent such activities are required for the importation, distribution, or use of information technology products in the Russian Federation.</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permitted under the OFAC General License, our subsidiary Dell LLC and other subsidiaries periodically file notifications with the FSB in connection with the importation and distribution of our products in the Russian Federation. During our fiscal year ended January 28, 2022, Dell LLC filed notifications with the FSB. No payments were issued or received, and no gross revenue or net profits were generated, in connection with these filing activities. Dell Technologies and its subsidiaries do not sell products or provide services to the FSB. To the extent permitted by applicable law, including by the OFAC General License, we expect to continue to file notifications with the FSB to qualify our products for importation and distribution in the Russian Federation.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1" w:name="page162"/>
    <w:bookmarkEnd w:id="1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code of ethics applicable to our principal executive officer and our other senior financial officers. The code of ethics, which we refer to as our Code of Ethics for Senior Financial Officers, is available on the Investor Relations page of our website at www.delltechnologies.com.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2022 annual meeting of stockholders, referred to as the “2022 proxy statement,” which we will file with the SEC on or before 120 days after our 2022 fiscal year-end, and which will appear in the 2022 proxy statement under the captions “Proposal 1 — Election of Directors” and “Additional Information — Delinquent Section 16(a) Reports.”</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information about the members of our board of directors and the principal occupation or employment of each director is provided as of the date of this report.</w:t>
      </w:r>
    </w:p>
    <w:p>
      <w:pPr>
        <w:spacing w:after="0" w:line="25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180" w:type="dxa"/>
            <w:vAlign w:val="bottom"/>
          </w:tcPr>
          <w:p>
            <w:pPr>
              <w:jc w:val="center"/>
              <w:ind w:right="1310"/>
              <w:spacing w:after="0"/>
              <w:rPr>
                <w:sz w:val="20"/>
                <w:szCs w:val="20"/>
                <w:color w:val="auto"/>
              </w:rPr>
            </w:pPr>
            <w:r>
              <w:rPr>
                <w:rFonts w:ascii="Arial" w:cs="Arial" w:eastAsia="Arial" w:hAnsi="Arial"/>
                <w:sz w:val="18"/>
                <w:szCs w:val="18"/>
                <w:color w:val="auto"/>
                <w:w w:val="94"/>
              </w:rPr>
              <w:t>Michael S. Dell</w:t>
            </w:r>
          </w:p>
        </w:tc>
        <w:tc>
          <w:tcPr>
            <w:tcW w:w="3480" w:type="dxa"/>
            <w:vAlign w:val="bottom"/>
          </w:tcPr>
          <w:p>
            <w:pPr>
              <w:jc w:val="center"/>
              <w:ind w:left="1332"/>
              <w:spacing w:after="0"/>
              <w:rPr>
                <w:sz w:val="20"/>
                <w:szCs w:val="20"/>
                <w:color w:val="auto"/>
              </w:rPr>
            </w:pPr>
            <w:r>
              <w:rPr>
                <w:rFonts w:ascii="Arial" w:cs="Arial" w:eastAsia="Arial" w:hAnsi="Arial"/>
                <w:sz w:val="18"/>
                <w:szCs w:val="18"/>
                <w:color w:val="auto"/>
                <w:w w:val="93"/>
              </w:rPr>
              <w:t>Lynn Vojvodich Radakovich</w:t>
            </w:r>
          </w:p>
        </w:tc>
      </w:tr>
      <w:tr>
        <w:trPr>
          <w:trHeight w:val="216"/>
        </w:trPr>
        <w:tc>
          <w:tcPr>
            <w:tcW w:w="4180" w:type="dxa"/>
            <w:vAlign w:val="bottom"/>
          </w:tcPr>
          <w:p>
            <w:pPr>
              <w:jc w:val="center"/>
              <w:ind w:right="1310"/>
              <w:spacing w:after="0"/>
              <w:rPr>
                <w:sz w:val="20"/>
                <w:szCs w:val="20"/>
                <w:color w:val="auto"/>
              </w:rPr>
            </w:pPr>
            <w:r>
              <w:rPr>
                <w:rFonts w:ascii="Arial" w:cs="Arial" w:eastAsia="Arial" w:hAnsi="Arial"/>
                <w:sz w:val="18"/>
                <w:szCs w:val="18"/>
                <w:color w:val="auto"/>
                <w:w w:val="92"/>
              </w:rPr>
              <w:t>Chairman and Chief Executive Officer</w:t>
            </w:r>
          </w:p>
        </w:tc>
        <w:tc>
          <w:tcPr>
            <w:tcW w:w="3480" w:type="dxa"/>
            <w:vAlign w:val="bottom"/>
          </w:tcPr>
          <w:p>
            <w:pPr>
              <w:jc w:val="center"/>
              <w:ind w:left="1312"/>
              <w:spacing w:after="0"/>
              <w:rPr>
                <w:sz w:val="20"/>
                <w:szCs w:val="20"/>
                <w:color w:val="auto"/>
              </w:rPr>
            </w:pPr>
            <w:r>
              <w:rPr>
                <w:rFonts w:ascii="Arial" w:cs="Arial" w:eastAsia="Arial" w:hAnsi="Arial"/>
                <w:sz w:val="18"/>
                <w:szCs w:val="18"/>
                <w:color w:val="auto"/>
                <w:w w:val="92"/>
              </w:rPr>
              <w:t>Public Company Director</w:t>
            </w:r>
          </w:p>
        </w:tc>
      </w:tr>
      <w:tr>
        <w:trPr>
          <w:trHeight w:val="230"/>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2"/>
              </w:rPr>
              <w:t>Dell Technologies Inc.</w:t>
            </w:r>
          </w:p>
        </w:tc>
        <w:tc>
          <w:tcPr>
            <w:tcW w:w="3480" w:type="dxa"/>
            <w:vAlign w:val="bottom"/>
          </w:tcPr>
          <w:p>
            <w:pPr>
              <w:spacing w:after="0"/>
              <w:rPr>
                <w:sz w:val="20"/>
                <w:szCs w:val="20"/>
                <w:color w:val="auto"/>
              </w:rPr>
            </w:pPr>
          </w:p>
        </w:tc>
      </w:tr>
      <w:tr>
        <w:trPr>
          <w:trHeight w:val="526"/>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2"/>
              </w:rPr>
              <w:t>David W. Dorman</w:t>
            </w:r>
          </w:p>
        </w:tc>
        <w:tc>
          <w:tcPr>
            <w:tcW w:w="3480" w:type="dxa"/>
            <w:vAlign w:val="bottom"/>
          </w:tcPr>
          <w:p>
            <w:pPr>
              <w:jc w:val="center"/>
              <w:ind w:left="1332"/>
              <w:spacing w:after="0"/>
              <w:rPr>
                <w:sz w:val="20"/>
                <w:szCs w:val="20"/>
                <w:color w:val="auto"/>
              </w:rPr>
            </w:pPr>
            <w:r>
              <w:rPr>
                <w:rFonts w:ascii="Arial" w:cs="Arial" w:eastAsia="Arial" w:hAnsi="Arial"/>
                <w:sz w:val="18"/>
                <w:szCs w:val="18"/>
                <w:color w:val="auto"/>
                <w:w w:val="94"/>
              </w:rPr>
              <w:t>Ellen J. Kullman</w:t>
            </w:r>
          </w:p>
        </w:tc>
      </w:tr>
      <w:tr>
        <w:trPr>
          <w:trHeight w:val="216"/>
        </w:trPr>
        <w:tc>
          <w:tcPr>
            <w:tcW w:w="4180" w:type="dxa"/>
            <w:vAlign w:val="bottom"/>
          </w:tcPr>
          <w:p>
            <w:pPr>
              <w:jc w:val="center"/>
              <w:ind w:right="1310"/>
              <w:spacing w:after="0"/>
              <w:rPr>
                <w:sz w:val="20"/>
                <w:szCs w:val="20"/>
                <w:color w:val="auto"/>
              </w:rPr>
            </w:pPr>
            <w:r>
              <w:rPr>
                <w:rFonts w:ascii="Arial" w:cs="Arial" w:eastAsia="Arial" w:hAnsi="Arial"/>
                <w:sz w:val="18"/>
                <w:szCs w:val="18"/>
                <w:color w:val="auto"/>
                <w:w w:val="90"/>
              </w:rPr>
              <w:t>Founding Partner</w:t>
            </w:r>
          </w:p>
        </w:tc>
        <w:tc>
          <w:tcPr>
            <w:tcW w:w="3480" w:type="dxa"/>
            <w:vAlign w:val="bottom"/>
          </w:tcPr>
          <w:p>
            <w:pPr>
              <w:jc w:val="center"/>
              <w:ind w:left="1332"/>
              <w:spacing w:after="0"/>
              <w:rPr>
                <w:sz w:val="20"/>
                <w:szCs w:val="20"/>
                <w:color w:val="auto"/>
              </w:rPr>
            </w:pPr>
            <w:r>
              <w:rPr>
                <w:rFonts w:ascii="Arial" w:cs="Arial" w:eastAsia="Arial" w:hAnsi="Arial"/>
                <w:sz w:val="18"/>
                <w:szCs w:val="18"/>
                <w:color w:val="auto"/>
                <w:w w:val="88"/>
              </w:rPr>
              <w:t>President and CEO</w:t>
            </w:r>
          </w:p>
        </w:tc>
      </w:tr>
      <w:tr>
        <w:trPr>
          <w:trHeight w:val="216"/>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1"/>
              </w:rPr>
              <w:t>Centerview Capital Technology</w:t>
            </w:r>
          </w:p>
        </w:tc>
        <w:tc>
          <w:tcPr>
            <w:tcW w:w="3480" w:type="dxa"/>
            <w:vAlign w:val="bottom"/>
          </w:tcPr>
          <w:p>
            <w:pPr>
              <w:jc w:val="center"/>
              <w:ind w:left="1332"/>
              <w:spacing w:after="0"/>
              <w:rPr>
                <w:sz w:val="20"/>
                <w:szCs w:val="20"/>
                <w:color w:val="auto"/>
              </w:rPr>
            </w:pPr>
            <w:r>
              <w:rPr>
                <w:rFonts w:ascii="Arial" w:cs="Arial" w:eastAsia="Arial" w:hAnsi="Arial"/>
                <w:sz w:val="18"/>
                <w:szCs w:val="18"/>
                <w:color w:val="auto"/>
                <w:w w:val="91"/>
              </w:rPr>
              <w:t>Carbon, Inc.</w:t>
            </w:r>
          </w:p>
        </w:tc>
      </w:tr>
      <w:tr>
        <w:trPr>
          <w:trHeight w:val="230"/>
        </w:trPr>
        <w:tc>
          <w:tcPr>
            <w:tcW w:w="4180" w:type="dxa"/>
            <w:vAlign w:val="bottom"/>
          </w:tcPr>
          <w:p>
            <w:pPr>
              <w:jc w:val="center"/>
              <w:ind w:right="1310"/>
              <w:spacing w:after="0"/>
              <w:rPr>
                <w:sz w:val="20"/>
                <w:szCs w:val="20"/>
                <w:color w:val="auto"/>
              </w:rPr>
            </w:pPr>
            <w:r>
              <w:rPr>
                <w:rFonts w:ascii="Arial" w:cs="Arial" w:eastAsia="Arial" w:hAnsi="Arial"/>
                <w:sz w:val="18"/>
                <w:szCs w:val="18"/>
                <w:color w:val="auto"/>
                <w:w w:val="90"/>
              </w:rPr>
              <w:t>(investments)</w:t>
            </w:r>
          </w:p>
        </w:tc>
        <w:tc>
          <w:tcPr>
            <w:tcW w:w="3480" w:type="dxa"/>
            <w:vAlign w:val="bottom"/>
          </w:tcPr>
          <w:p>
            <w:pPr>
              <w:jc w:val="center"/>
              <w:ind w:left="1312"/>
              <w:spacing w:after="0"/>
              <w:rPr>
                <w:sz w:val="20"/>
                <w:szCs w:val="20"/>
                <w:color w:val="auto"/>
              </w:rPr>
            </w:pPr>
            <w:r>
              <w:rPr>
                <w:rFonts w:ascii="Arial" w:cs="Arial" w:eastAsia="Arial" w:hAnsi="Arial"/>
                <w:sz w:val="18"/>
                <w:szCs w:val="18"/>
                <w:color w:val="auto"/>
                <w:w w:val="96"/>
              </w:rPr>
              <w:t>(3D printing)</w:t>
            </w:r>
          </w:p>
        </w:tc>
      </w:tr>
      <w:tr>
        <w:trPr>
          <w:trHeight w:val="526"/>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0"/>
              </w:rPr>
              <w:t>Egon Durban</w:t>
            </w:r>
          </w:p>
        </w:tc>
        <w:tc>
          <w:tcPr>
            <w:tcW w:w="3480" w:type="dxa"/>
            <w:vAlign w:val="bottom"/>
          </w:tcPr>
          <w:p>
            <w:pPr>
              <w:jc w:val="center"/>
              <w:ind w:left="1332"/>
              <w:spacing w:after="0"/>
              <w:rPr>
                <w:sz w:val="20"/>
                <w:szCs w:val="20"/>
                <w:color w:val="auto"/>
              </w:rPr>
            </w:pPr>
            <w:r>
              <w:rPr>
                <w:rFonts w:ascii="Arial" w:cs="Arial" w:eastAsia="Arial" w:hAnsi="Arial"/>
                <w:sz w:val="18"/>
                <w:szCs w:val="18"/>
                <w:color w:val="auto"/>
                <w:w w:val="88"/>
              </w:rPr>
              <w:t>Simon Patterson</w:t>
            </w:r>
          </w:p>
        </w:tc>
      </w:tr>
      <w:tr>
        <w:trPr>
          <w:trHeight w:val="216"/>
        </w:trPr>
        <w:tc>
          <w:tcPr>
            <w:tcW w:w="4180" w:type="dxa"/>
            <w:vAlign w:val="bottom"/>
          </w:tcPr>
          <w:p>
            <w:pPr>
              <w:jc w:val="center"/>
              <w:ind w:right="1310"/>
              <w:spacing w:after="0"/>
              <w:rPr>
                <w:sz w:val="20"/>
                <w:szCs w:val="20"/>
                <w:color w:val="auto"/>
              </w:rPr>
            </w:pPr>
            <w:r>
              <w:rPr>
                <w:rFonts w:ascii="Arial" w:cs="Arial" w:eastAsia="Arial" w:hAnsi="Arial"/>
                <w:sz w:val="18"/>
                <w:szCs w:val="18"/>
                <w:color w:val="auto"/>
                <w:w w:val="91"/>
              </w:rPr>
              <w:t>Co-CEO</w:t>
            </w:r>
          </w:p>
        </w:tc>
        <w:tc>
          <w:tcPr>
            <w:tcW w:w="3480" w:type="dxa"/>
            <w:vAlign w:val="bottom"/>
          </w:tcPr>
          <w:p>
            <w:pPr>
              <w:jc w:val="center"/>
              <w:ind w:left="1332"/>
              <w:spacing w:after="0"/>
              <w:rPr>
                <w:sz w:val="20"/>
                <w:szCs w:val="20"/>
                <w:color w:val="auto"/>
              </w:rPr>
            </w:pPr>
            <w:r>
              <w:rPr>
                <w:rFonts w:ascii="Arial" w:cs="Arial" w:eastAsia="Arial" w:hAnsi="Arial"/>
                <w:sz w:val="18"/>
                <w:szCs w:val="18"/>
                <w:color w:val="auto"/>
                <w:w w:val="93"/>
              </w:rPr>
              <w:t>Managing Director</w:t>
            </w:r>
          </w:p>
        </w:tc>
      </w:tr>
      <w:tr>
        <w:trPr>
          <w:trHeight w:val="216"/>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4"/>
              </w:rPr>
              <w:t>Silver Lake</w:t>
            </w:r>
          </w:p>
        </w:tc>
        <w:tc>
          <w:tcPr>
            <w:tcW w:w="3480" w:type="dxa"/>
            <w:vAlign w:val="bottom"/>
          </w:tcPr>
          <w:p>
            <w:pPr>
              <w:jc w:val="center"/>
              <w:ind w:left="1312"/>
              <w:spacing w:after="0"/>
              <w:rPr>
                <w:sz w:val="20"/>
                <w:szCs w:val="20"/>
                <w:color w:val="auto"/>
              </w:rPr>
            </w:pPr>
            <w:r>
              <w:rPr>
                <w:rFonts w:ascii="Arial" w:cs="Arial" w:eastAsia="Arial" w:hAnsi="Arial"/>
                <w:sz w:val="18"/>
                <w:szCs w:val="18"/>
                <w:color w:val="auto"/>
                <w:w w:val="94"/>
              </w:rPr>
              <w:t>Silver Lake</w:t>
            </w:r>
          </w:p>
        </w:tc>
      </w:tr>
      <w:tr>
        <w:trPr>
          <w:trHeight w:val="230"/>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4"/>
              </w:rPr>
              <w:t>(private equity)</w:t>
            </w:r>
          </w:p>
        </w:tc>
        <w:tc>
          <w:tcPr>
            <w:tcW w:w="3480" w:type="dxa"/>
            <w:vAlign w:val="bottom"/>
          </w:tcPr>
          <w:p>
            <w:pPr>
              <w:jc w:val="center"/>
              <w:ind w:left="1312"/>
              <w:spacing w:after="0"/>
              <w:rPr>
                <w:sz w:val="20"/>
                <w:szCs w:val="20"/>
                <w:color w:val="auto"/>
              </w:rPr>
            </w:pPr>
            <w:r>
              <w:rPr>
                <w:rFonts w:ascii="Arial" w:cs="Arial" w:eastAsia="Arial" w:hAnsi="Arial"/>
                <w:sz w:val="18"/>
                <w:szCs w:val="18"/>
                <w:color w:val="auto"/>
                <w:w w:val="94"/>
              </w:rPr>
              <w:t>(private equity)</w:t>
            </w:r>
          </w:p>
        </w:tc>
      </w:tr>
      <w:tr>
        <w:trPr>
          <w:trHeight w:val="486"/>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4"/>
              </w:rPr>
              <w:t>William D. Green</w:t>
            </w:r>
          </w:p>
        </w:tc>
        <w:tc>
          <w:tcPr>
            <w:tcW w:w="3480" w:type="dxa"/>
            <w:vAlign w:val="bottom"/>
          </w:tcPr>
          <w:p>
            <w:pPr>
              <w:jc w:val="center"/>
              <w:ind w:left="1332"/>
              <w:spacing w:after="0"/>
              <w:rPr>
                <w:sz w:val="20"/>
                <w:szCs w:val="20"/>
                <w:color w:val="auto"/>
              </w:rPr>
            </w:pPr>
            <w:r>
              <w:rPr>
                <w:rFonts w:ascii="Arial" w:cs="Arial" w:eastAsia="Arial" w:hAnsi="Arial"/>
                <w:sz w:val="18"/>
                <w:szCs w:val="18"/>
                <w:color w:val="auto"/>
                <w:w w:val="94"/>
              </w:rPr>
              <w:t>David Grain</w:t>
            </w:r>
          </w:p>
        </w:tc>
      </w:tr>
      <w:tr>
        <w:trPr>
          <w:trHeight w:val="216"/>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2"/>
              </w:rPr>
              <w:t>Public Company Director</w:t>
            </w:r>
          </w:p>
        </w:tc>
        <w:tc>
          <w:tcPr>
            <w:tcW w:w="3480" w:type="dxa"/>
            <w:vAlign w:val="bottom"/>
          </w:tcPr>
          <w:p>
            <w:pPr>
              <w:jc w:val="center"/>
              <w:ind w:left="1312"/>
              <w:spacing w:after="0"/>
              <w:rPr>
                <w:sz w:val="20"/>
                <w:szCs w:val="20"/>
                <w:color w:val="auto"/>
              </w:rPr>
            </w:pPr>
            <w:r>
              <w:rPr>
                <w:rFonts w:ascii="Arial" w:cs="Arial" w:eastAsia="Arial" w:hAnsi="Arial"/>
                <w:sz w:val="18"/>
                <w:szCs w:val="18"/>
                <w:color w:val="auto"/>
                <w:w w:val="90"/>
              </w:rPr>
              <w:t>Founder and CEO</w:t>
            </w:r>
          </w:p>
        </w:tc>
      </w:tr>
      <w:tr>
        <w:trPr>
          <w:trHeight w:val="121"/>
        </w:trPr>
        <w:tc>
          <w:tcPr>
            <w:tcW w:w="4180" w:type="dxa"/>
            <w:vAlign w:val="bottom"/>
          </w:tcPr>
          <w:p>
            <w:pPr>
              <w:spacing w:after="0"/>
              <w:rPr>
                <w:sz w:val="10"/>
                <w:szCs w:val="10"/>
                <w:color w:val="auto"/>
              </w:rPr>
            </w:pPr>
          </w:p>
        </w:tc>
        <w:tc>
          <w:tcPr>
            <w:tcW w:w="3480" w:type="dxa"/>
            <w:vAlign w:val="bottom"/>
          </w:tcPr>
          <w:p>
            <w:pPr>
              <w:jc w:val="center"/>
              <w:ind w:left="1312"/>
              <w:spacing w:after="0" w:line="122" w:lineRule="exact"/>
              <w:rPr>
                <w:sz w:val="20"/>
                <w:szCs w:val="20"/>
                <w:color w:val="auto"/>
              </w:rPr>
            </w:pPr>
            <w:r>
              <w:rPr>
                <w:rFonts w:ascii="Arial" w:cs="Arial" w:eastAsia="Arial" w:hAnsi="Arial"/>
                <w:sz w:val="13"/>
                <w:szCs w:val="13"/>
                <w:color w:val="auto"/>
              </w:rPr>
              <w:t>Grain Management</w:t>
            </w:r>
          </w:p>
        </w:tc>
      </w:tr>
      <w:tr>
        <w:trPr>
          <w:trHeight w:val="230"/>
        </w:trPr>
        <w:tc>
          <w:tcPr>
            <w:tcW w:w="4180" w:type="dxa"/>
            <w:vAlign w:val="bottom"/>
          </w:tcPr>
          <w:p>
            <w:pPr>
              <w:spacing w:after="0"/>
              <w:rPr>
                <w:sz w:val="20"/>
                <w:szCs w:val="20"/>
                <w:color w:val="auto"/>
              </w:rPr>
            </w:pPr>
          </w:p>
        </w:tc>
        <w:tc>
          <w:tcPr>
            <w:tcW w:w="3480" w:type="dxa"/>
            <w:vAlign w:val="bottom"/>
          </w:tcPr>
          <w:p>
            <w:pPr>
              <w:jc w:val="center"/>
              <w:ind w:left="1312"/>
              <w:spacing w:after="0"/>
              <w:rPr>
                <w:sz w:val="20"/>
                <w:szCs w:val="20"/>
                <w:color w:val="auto"/>
              </w:rPr>
            </w:pPr>
            <w:r>
              <w:rPr>
                <w:rFonts w:ascii="Arial" w:cs="Arial" w:eastAsia="Arial" w:hAnsi="Arial"/>
                <w:sz w:val="18"/>
                <w:szCs w:val="18"/>
                <w:color w:val="auto"/>
                <w:w w:val="94"/>
              </w:rPr>
              <w:t>(private equity)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Information required by this Item 11 is incorporated herein by reference to the 2022 proxy statement, including the information in the 2022 proxy statement appearing under the captions “Proposal 1 — Election of Directors — Director Compensation” and “Compensation of Executive Officers.”</w:t>
      </w:r>
    </w:p>
    <w:p>
      <w:pPr>
        <w:spacing w:after="0" w:line="16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required by this Item 12 is incorporated herein by reference to the 2022 proxy statement, including the information in the 2022 proxy statement appearing under the captions “Equity Compensation Plan Information” and “Security Ownership of Certain Beneficial Owners and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13 is incorporated herein by reference to the 2022 proxy statement, including the information in the 2022 proxy statement appearing under the captions “Proposal 1 — Elections of Directors” and “Transactions with Related Persons.”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14 is incorporated herein by reference to the 2022 proxy statement, including the information in the 2022 proxy statement appearing under the caption “Proposal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 AND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52" w:lineRule="exact"/>
        <w:rPr>
          <w:sz w:val="20"/>
          <w:szCs w:val="20"/>
          <w:color w:val="auto"/>
        </w:rPr>
      </w:pPr>
    </w:p>
    <w:p>
      <w:pPr>
        <w:ind w:left="660" w:right="480" w:hanging="328"/>
        <w:spacing w:after="0" w:line="277" w:lineRule="auto"/>
        <w:tabs>
          <w:tab w:leader="none" w:pos="65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following financial statements are filed as part of this report under “Part II — Item 8 —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Supplementary Data”:</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Financial Position at January 28, 2022 and January 29, 2021</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Income for the fiscal years ended January 28, 2022, January 29, 2021, and January 31, 2020</w:t>
      </w:r>
    </w:p>
    <w:p>
      <w:pPr>
        <w:spacing w:after="0" w:line="9" w:lineRule="exact"/>
        <w:rPr>
          <w:rFonts w:ascii="Arial" w:cs="Arial" w:eastAsia="Arial" w:hAnsi="Arial"/>
          <w:sz w:val="18"/>
          <w:szCs w:val="18"/>
          <w:color w:val="auto"/>
        </w:rPr>
      </w:pPr>
    </w:p>
    <w:p>
      <w:pPr>
        <w:ind w:left="660" w:right="760"/>
        <w:spacing w:after="0" w:line="281" w:lineRule="auto"/>
        <w:rPr>
          <w:rFonts w:ascii="Arial" w:cs="Arial" w:eastAsia="Arial" w:hAnsi="Arial"/>
          <w:sz w:val="18"/>
          <w:szCs w:val="18"/>
          <w:color w:val="auto"/>
        </w:rPr>
      </w:pPr>
      <w:r>
        <w:rPr>
          <w:rFonts w:ascii="Arial" w:cs="Arial" w:eastAsia="Arial" w:hAnsi="Arial"/>
          <w:sz w:val="16"/>
          <w:szCs w:val="16"/>
          <w:color w:val="auto"/>
        </w:rPr>
        <w:t>Consolidated Statements of Comprehensive Income for the fiscal years ended January 28, 2022, January 29, 2021, and January 31, 2020 Consolidated Statements of Cash Flows for the fiscal years ended January 28, 2022, January 29, 2021, and January 31, 2020</w:t>
      </w:r>
    </w:p>
    <w:p>
      <w:pPr>
        <w:spacing w:after="0" w:line="1" w:lineRule="exact"/>
        <w:rPr>
          <w:rFonts w:ascii="Arial" w:cs="Arial" w:eastAsia="Arial" w:hAnsi="Arial"/>
          <w:sz w:val="18"/>
          <w:szCs w:val="18"/>
          <w:color w:val="auto"/>
        </w:rPr>
      </w:pPr>
    </w:p>
    <w:p>
      <w:pPr>
        <w:ind w:left="660" w:right="280"/>
        <w:spacing w:after="0" w:line="260"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(Deficit) for the fiscal years ended January 28, 2022, January 29, 2021, and January 31, 2020 Notes to Consolidated Financial Statements</w:t>
      </w:r>
    </w:p>
    <w:p>
      <w:pPr>
        <w:spacing w:after="0" w:line="212" w:lineRule="exact"/>
        <w:rPr>
          <w:rFonts w:ascii="Arial" w:cs="Arial" w:eastAsia="Arial" w:hAnsi="Arial"/>
          <w:sz w:val="18"/>
          <w:szCs w:val="18"/>
          <w:color w:val="auto"/>
        </w:rPr>
      </w:pPr>
    </w:p>
    <w:p>
      <w:pPr>
        <w:ind w:left="660" w:right="100" w:hanging="328"/>
        <w:spacing w:after="0" w:line="277" w:lineRule="auto"/>
        <w:tabs>
          <w:tab w:leader="none" w:pos="65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The information required in the following financial statement schedules is included in Note 20 of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under “Part II — Item 8 — Financial Statements and Supplementary Data”:</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52"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otherwise included in the Consolidated Financial Statements or Notes thereto.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4"/>
          </w:tcPr>
          <w:p>
            <w:pPr>
              <w:spacing w:after="0"/>
              <w:rPr>
                <w:sz w:val="20"/>
                <w:szCs w:val="20"/>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20" w:type="dxa"/>
            <w:vAlign w:val="bottom"/>
            <w:gridSpan w:val="14"/>
            <w:vMerge w:val="restart"/>
          </w:tcPr>
          <w:p>
            <w:pPr>
              <w:ind w:left="18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120" w:type="dxa"/>
            <w:vAlign w:val="bottom"/>
            <w:gridSpan w:val="1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gridSpan w:val="2"/>
          </w:tcPr>
          <w:p>
            <w:pPr>
              <w:jc w:val="right"/>
              <w:ind w:right="20"/>
              <w:spacing w:after="0" w:line="169" w:lineRule="exact"/>
              <w:rPr>
                <w:rFonts w:ascii="Arial" w:cs="Arial" w:eastAsia="Arial" w:hAnsi="Arial"/>
                <w:sz w:val="18"/>
                <w:szCs w:val="18"/>
                <w:color w:val="0000FF"/>
                <w:w w:val="79"/>
              </w:rPr>
            </w:pPr>
            <w:hyperlink r:id="rId202">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120" w:type="dxa"/>
            <w:vAlign w:val="bottom"/>
          </w:tcPr>
          <w:p>
            <w:pPr>
              <w:spacing w:after="0"/>
              <w:rPr>
                <w:sz w:val="15"/>
                <w:szCs w:val="15"/>
                <w:color w:val="auto"/>
              </w:rPr>
            </w:pPr>
          </w:p>
        </w:tc>
        <w:tc>
          <w:tcPr>
            <w:tcW w:w="9660" w:type="dxa"/>
            <w:vAlign w:val="bottom"/>
            <w:tcBorders>
              <w:top w:val="single" w:sz="8" w:color="auto"/>
            </w:tcBorders>
            <w:gridSpan w:val="16"/>
          </w:tcPr>
          <w:p>
            <w:pPr>
              <w:spacing w:after="0" w:line="169"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Separation and Distribution Agreement, dated as April 14, 2021 by and between Dell Technologies Inc. and VMware, Inc.</w:t>
              </w:r>
            </w:hyperlink>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2160" w:type="dxa"/>
            <w:vAlign w:val="bottom"/>
            <w:shd w:val="clear" w:color="auto" w:fill="0000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60" w:type="dxa"/>
            <w:vAlign w:val="bottom"/>
            <w:gridSpan w:val="16"/>
          </w:tcPr>
          <w:p>
            <w:pPr>
              <w:spacing w:after="0" w:line="189" w:lineRule="exact"/>
              <w:rPr>
                <w:rFonts w:ascii="Arial" w:cs="Arial" w:eastAsia="Arial" w:hAnsi="Arial"/>
                <w:sz w:val="18"/>
                <w:szCs w:val="18"/>
                <w:color w:val="0000FF"/>
                <w:w w:val="95"/>
              </w:rPr>
            </w:pPr>
            <w:hyperlink r:id="rId202">
              <w:r>
                <w:rPr>
                  <w:rFonts w:ascii="Arial" w:cs="Arial" w:eastAsia="Arial" w:hAnsi="Arial"/>
                  <w:sz w:val="18"/>
                  <w:szCs w:val="18"/>
                  <w:color w:val="0000FF"/>
                  <w:w w:val="95"/>
                </w:rPr>
                <w:t>(incorporated by reference to Exhibit 2.1 to the Current Report on Form 8-K of Dell Technologies Inc. (the “Company”) filed with</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the Securities and Exchange Commission (the “Commission”) on April 14, 2021) (Commission File No. 001-37867).</w:t>
              </w:r>
            </w:hyperlink>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gridSpan w:val="3"/>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240" w:type="dxa"/>
            <w:vAlign w:val="bottom"/>
            <w:gridSpan w:val="2"/>
          </w:tcPr>
          <w:p>
            <w:pPr>
              <w:jc w:val="right"/>
              <w:ind w:right="20"/>
              <w:spacing w:after="0"/>
              <w:rPr>
                <w:rFonts w:ascii="Arial" w:cs="Arial" w:eastAsia="Arial" w:hAnsi="Arial"/>
                <w:sz w:val="18"/>
                <w:szCs w:val="18"/>
                <w:color w:val="0000FF"/>
                <w:w w:val="79"/>
              </w:rPr>
            </w:pPr>
            <w:hyperlink r:id="rId203">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hyperlink>
          </w:p>
        </w:tc>
        <w:tc>
          <w:tcPr>
            <w:tcW w:w="120" w:type="dxa"/>
            <w:vAlign w:val="bottom"/>
          </w:tcPr>
          <w:p>
            <w:pPr>
              <w:spacing w:after="0"/>
              <w:rPr>
                <w:sz w:val="19"/>
                <w:szCs w:val="19"/>
                <w:color w:val="auto"/>
              </w:rPr>
            </w:pPr>
          </w:p>
        </w:tc>
        <w:tc>
          <w:tcPr>
            <w:tcW w:w="9660" w:type="dxa"/>
            <w:vAlign w:val="bottom"/>
            <w:gridSpan w:val="16"/>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Letter Agreement, dated as of October 7, 2021, by and between Dell Technologies Inc. and VMware, Inc. (incorporated by reference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60" w:type="dxa"/>
            <w:vAlign w:val="bottom"/>
            <w:gridSpan w:val="16"/>
          </w:tcPr>
          <w:p>
            <w:pPr>
              <w:spacing w:after="0" w:line="169"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to Exhibit 99.1 to the Current Report on Form 8-K of the Company filed with the Commission on October 7, 2021) (Commission File</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No. 001-37867).</w:t>
              </w:r>
            </w:hyperlink>
          </w:p>
        </w:tc>
        <w:tc>
          <w:tcPr>
            <w:tcW w:w="84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240" w:type="dxa"/>
            <w:vAlign w:val="bottom"/>
            <w:gridSpan w:val="2"/>
          </w:tcPr>
          <w:p>
            <w:pPr>
              <w:jc w:val="right"/>
              <w:ind w:right="20"/>
              <w:spacing w:after="0"/>
              <w:rPr>
                <w:rFonts w:ascii="Arial" w:cs="Arial" w:eastAsia="Arial" w:hAnsi="Arial"/>
                <w:sz w:val="18"/>
                <w:szCs w:val="18"/>
                <w:color w:val="0000FF"/>
                <w:w w:val="79"/>
              </w:rPr>
            </w:pPr>
            <w:hyperlink r:id="rId204">
              <w:r>
                <w:rPr>
                  <w:rFonts w:ascii="Arial" w:cs="Arial" w:eastAsia="Arial" w:hAnsi="Arial"/>
                  <w:sz w:val="18"/>
                  <w:szCs w:val="18"/>
                  <w:color w:val="0000FF"/>
                  <w:w w:val="79"/>
                </w:rPr>
                <w:t>2.</w:t>
              </w:r>
              <w:r>
                <w:rPr>
                  <w:rFonts w:ascii="Arial" w:cs="Arial" w:eastAsia="Arial" w:hAnsi="Arial"/>
                  <w:sz w:val="18"/>
                  <w:szCs w:val="18"/>
                  <w:u w:val="single" w:color="auto"/>
                  <w:color w:val="0000FF"/>
                  <w:w w:val="79"/>
                </w:rPr>
                <w:t>3</w:t>
              </w:r>
            </w:hyperlink>
          </w:p>
        </w:tc>
        <w:tc>
          <w:tcPr>
            <w:tcW w:w="120" w:type="dxa"/>
            <w:vAlign w:val="bottom"/>
          </w:tcPr>
          <w:p>
            <w:pPr>
              <w:spacing w:after="0"/>
              <w:rPr>
                <w:sz w:val="19"/>
                <w:szCs w:val="19"/>
                <w:color w:val="auto"/>
              </w:rPr>
            </w:pPr>
          </w:p>
        </w:tc>
        <w:tc>
          <w:tcPr>
            <w:tcW w:w="9660" w:type="dxa"/>
            <w:vAlign w:val="bottom"/>
            <w:gridSpan w:val="16"/>
          </w:tcPr>
          <w:p>
            <w:pPr>
              <w:spacing w:after="0"/>
              <w:rPr>
                <w:rFonts w:ascii="Arial" w:cs="Arial" w:eastAsia="Arial" w:hAnsi="Arial"/>
                <w:sz w:val="18"/>
                <w:szCs w:val="18"/>
                <w:color w:val="0000FF"/>
                <w:w w:val="97"/>
              </w:rPr>
            </w:pPr>
            <w:hyperlink r:id="rId204">
              <w:r>
                <w:rPr>
                  <w:rFonts w:ascii="Arial" w:cs="Arial" w:eastAsia="Arial" w:hAnsi="Arial"/>
                  <w:sz w:val="18"/>
                  <w:szCs w:val="18"/>
                  <w:color w:val="0000FF"/>
                  <w:w w:val="97"/>
                </w:rPr>
                <w:t>Letter Agreement, dated as of November 1, 2021, by and between Dell Technologies Inc. and VMware, Inc. (incorporated by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60" w:type="dxa"/>
            <w:vAlign w:val="bottom"/>
            <w:gridSpan w:val="16"/>
          </w:tcPr>
          <w:p>
            <w:pPr>
              <w:spacing w:after="0" w:line="169" w:lineRule="exact"/>
              <w:rPr>
                <w:rFonts w:ascii="Arial" w:cs="Arial" w:eastAsia="Arial" w:hAnsi="Arial"/>
                <w:sz w:val="18"/>
                <w:szCs w:val="18"/>
                <w:color w:val="0000FF"/>
                <w:w w:val="96"/>
              </w:rPr>
            </w:pPr>
            <w:hyperlink r:id="rId204">
              <w:r>
                <w:rPr>
                  <w:rFonts w:ascii="Arial" w:cs="Arial" w:eastAsia="Arial" w:hAnsi="Arial"/>
                  <w:sz w:val="18"/>
                  <w:szCs w:val="18"/>
                  <w:color w:val="0000FF"/>
                  <w:w w:val="96"/>
                </w:rPr>
                <w:t>reference to Exhibit 99.2 to the Current Report on Form 8-K of the Company filed with the Commission on November 1, 2021)</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(Commission File No. 001-37867).</w:t>
              </w:r>
            </w:hyperlink>
          </w:p>
        </w:tc>
        <w:tc>
          <w:tcPr>
            <w:tcW w:w="66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gridSpan w:val="3"/>
          </w:tcPr>
          <w:p>
            <w:pPr>
              <w:jc w:val="right"/>
              <w:ind w:right="20"/>
              <w:spacing w:after="0"/>
              <w:rPr>
                <w:rFonts w:ascii="Arial" w:cs="Arial" w:eastAsia="Arial" w:hAnsi="Arial"/>
                <w:sz w:val="18"/>
                <w:szCs w:val="18"/>
                <w:color w:val="0000FF"/>
              </w:rPr>
            </w:pPr>
            <w:hyperlink r:id="rId20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20" w:type="dxa"/>
            <w:vAlign w:val="bottom"/>
          </w:tcPr>
          <w:p>
            <w:pPr>
              <w:spacing w:after="0"/>
              <w:rPr>
                <w:sz w:val="19"/>
                <w:szCs w:val="19"/>
                <w:color w:val="auto"/>
              </w:rPr>
            </w:pPr>
          </w:p>
        </w:tc>
        <w:tc>
          <w:tcPr>
            <w:tcW w:w="9660" w:type="dxa"/>
            <w:vAlign w:val="bottom"/>
            <w:gridSpan w:val="16"/>
          </w:tcPr>
          <w:p>
            <w:pPr>
              <w:spacing w:after="0"/>
              <w:rPr>
                <w:rFonts w:ascii="Arial" w:cs="Arial" w:eastAsia="Arial" w:hAnsi="Arial"/>
                <w:sz w:val="18"/>
                <w:szCs w:val="18"/>
                <w:color w:val="0000FF"/>
                <w:w w:val="94"/>
              </w:rPr>
            </w:pPr>
            <w:hyperlink r:id="rId205">
              <w:r>
                <w:rPr>
                  <w:rFonts w:ascii="Arial" w:cs="Arial" w:eastAsia="Arial" w:hAnsi="Arial"/>
                  <w:sz w:val="18"/>
                  <w:szCs w:val="18"/>
                  <w:color w:val="0000FF"/>
                  <w:w w:val="94"/>
                </w:rPr>
                <w:t>Fifth Amended and Restated Certificate of Incorporation of Dell Technologies Inc. (incorporated by reference to Exhibit 3.1 to the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05">
              <w:r>
                <w:rPr>
                  <w:rFonts w:ascii="Arial" w:cs="Arial" w:eastAsia="Arial" w:hAnsi="Arial"/>
                  <w:sz w:val="18"/>
                  <w:szCs w:val="18"/>
                  <w:color w:val="0000FF"/>
                  <w:w w:val="91"/>
                </w:rPr>
                <w:t>Company’s Current Report on Form 8-K filed with the Commission on December 28, 2018) (Commission File No. 001-37867).</w:t>
              </w:r>
            </w:hyperlink>
          </w:p>
        </w:tc>
        <w:tc>
          <w:tcPr>
            <w:tcW w:w="160" w:type="dxa"/>
            <w:vAlign w:val="bottom"/>
            <w:tcBorders>
              <w:top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gridSpan w:val="3"/>
          </w:tcPr>
          <w:p>
            <w:pPr>
              <w:jc w:val="right"/>
              <w:ind w:right="20"/>
              <w:spacing w:after="0"/>
              <w:rPr>
                <w:rFonts w:ascii="Arial" w:cs="Arial" w:eastAsia="Arial" w:hAnsi="Arial"/>
                <w:sz w:val="18"/>
                <w:szCs w:val="18"/>
                <w:color w:val="0000FF"/>
              </w:rPr>
            </w:pPr>
            <w:hyperlink r:id="rId20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2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Second Amended and Restated Bylaws of Dell Technologies Inc. (incorporated by reference to Exhibit 3.2 to the Company’s Current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Report on Form 8-K filed with the Commission on December 28, 2018) (Commission File No. 001-37867).</w:t>
              </w:r>
            </w:hyperlink>
          </w:p>
        </w:tc>
        <w:tc>
          <w:tcPr>
            <w:tcW w:w="182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gridSpan w:val="3"/>
          </w:tcPr>
          <w:p>
            <w:pPr>
              <w:jc w:val="right"/>
              <w:ind w:right="20"/>
              <w:spacing w:after="0"/>
              <w:rPr>
                <w:rFonts w:ascii="Arial" w:cs="Arial" w:eastAsia="Arial" w:hAnsi="Arial"/>
                <w:sz w:val="18"/>
                <w:szCs w:val="18"/>
                <w:color w:val="0000FF"/>
              </w:rPr>
            </w:pPr>
            <w:hyperlink r:id="rId207">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20" w:type="dxa"/>
            <w:vAlign w:val="bottom"/>
          </w:tcPr>
          <w:p>
            <w:pPr>
              <w:spacing w:after="0"/>
              <w:rPr>
                <w:sz w:val="18"/>
                <w:szCs w:val="18"/>
                <w:color w:val="auto"/>
              </w:rPr>
            </w:pPr>
          </w:p>
        </w:tc>
        <w:tc>
          <w:tcPr>
            <w:tcW w:w="9660" w:type="dxa"/>
            <w:vAlign w:val="bottom"/>
            <w:gridSpan w:val="16"/>
          </w:tcPr>
          <w:p>
            <w:pPr>
              <w:spacing w:after="0"/>
              <w:rPr>
                <w:rFonts w:ascii="Arial" w:cs="Arial" w:eastAsia="Arial" w:hAnsi="Arial"/>
                <w:sz w:val="18"/>
                <w:szCs w:val="18"/>
                <w:color w:val="0000FF"/>
                <w:w w:val="90"/>
              </w:rPr>
            </w:pPr>
            <w:hyperlink r:id="rId207">
              <w:r>
                <w:rPr>
                  <w:rFonts w:ascii="Arial" w:cs="Arial" w:eastAsia="Arial" w:hAnsi="Arial"/>
                  <w:sz w:val="18"/>
                  <w:szCs w:val="18"/>
                  <w:color w:val="0000FF"/>
                  <w:w w:val="90"/>
                </w:rPr>
                <w:t>Indenture, dated as of April 27, 1998, between Dell Computer Corporation and Chase Bank of Texas, National Association, as trustee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(the “1998 Indenture”) (incorporated by reference to Exhibit 99.2 to Dell Inc.’s Current Report on Form 8-K filed with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Commission on April 28, 1998) (Commission File No. 0-17017).</w:t>
              </w:r>
            </w:hyperlink>
          </w:p>
        </w:tc>
        <w:tc>
          <w:tcPr>
            <w:tcW w:w="4120" w:type="dxa"/>
            <w:vAlign w:val="bottom"/>
            <w:tcBorders>
              <w:top w:val="single" w:sz="8" w:color="0000FF"/>
            </w:tcBorders>
            <w:gridSpan w:val="3"/>
          </w:tcPr>
          <w:p>
            <w:pPr>
              <w:spacing w:after="0"/>
              <w:rPr>
                <w:sz w:val="13"/>
                <w:szCs w:val="13"/>
                <w:color w:val="auto"/>
              </w:rPr>
            </w:pPr>
          </w:p>
        </w:tc>
        <w:tc>
          <w:tcPr>
            <w:tcW w:w="8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830"/>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3"/>
          </w:tcPr>
          <w:p>
            <w:pPr>
              <w:ind w:left="3900"/>
              <w:spacing w:after="0"/>
              <w:rPr>
                <w:sz w:val="20"/>
                <w:szCs w:val="20"/>
                <w:color w:val="auto"/>
              </w:rPr>
            </w:pPr>
            <w:r>
              <w:rPr>
                <w:rFonts w:ascii="Arial" w:cs="Arial" w:eastAsia="Arial" w:hAnsi="Arial"/>
                <w:sz w:val="18"/>
                <w:szCs w:val="18"/>
                <w:color w:val="auto"/>
              </w:rPr>
              <w:t>164</w:t>
            </w:r>
          </w:p>
        </w:tc>
        <w:tc>
          <w:tcPr>
            <w:tcW w:w="3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80" w:right="200" w:hanging="354"/>
        <w:spacing w:after="0" w:line="237" w:lineRule="auto"/>
        <w:tabs>
          <w:tab w:leader="none" w:pos="1560" w:val="left"/>
        </w:tabs>
        <w:rPr>
          <w:rFonts w:ascii="Arial" w:cs="Arial" w:eastAsia="Arial" w:hAnsi="Arial"/>
          <w:sz w:val="17"/>
          <w:szCs w:val="17"/>
          <w:u w:val="single" w:color="auto"/>
          <w:color w:val="0000FF"/>
        </w:rPr>
      </w:pPr>
      <w:hyperlink r:id="rId210">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210">
        <w:r>
          <w:rPr>
            <w:rFonts w:ascii="Arial" w:cs="Arial" w:eastAsia="Arial" w:hAnsi="Arial"/>
            <w:sz w:val="17"/>
            <w:szCs w:val="17"/>
            <w:u w:val="single" w:color="auto"/>
            <w:color w:val="0000FF"/>
          </w:rPr>
          <w:t>Indenture, dated as of April 17, 2008, between Dell Inc. and The Bank of New York Mellon Trust Company, N.A. (formerly The</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Bank of New York Trust Company, N.A.), as trustee (including the form of notes) (incorporated by reference to Exhibit 4.1 to Dell</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Inc.’s Current Report on Form 8-K filed with the Commission on April 17, 2008) (Commission File No. 0-17017).</w:t>
        </w:r>
      </w:hyperlink>
    </w:p>
    <w:p>
      <w:pPr>
        <w:spacing w:after="0" w:line="2" w:lineRule="exact"/>
        <w:rPr>
          <w:rFonts w:ascii="Arial" w:cs="Arial" w:eastAsia="Arial" w:hAnsi="Arial"/>
          <w:sz w:val="17"/>
          <w:szCs w:val="17"/>
          <w:u w:val="single" w:color="auto"/>
          <w:color w:val="0000FF"/>
        </w:rPr>
      </w:pPr>
    </w:p>
    <w:p>
      <w:pPr>
        <w:ind w:left="1580" w:right="340" w:hanging="354"/>
        <w:spacing w:after="0" w:line="224" w:lineRule="auto"/>
        <w:tabs>
          <w:tab w:leader="none" w:pos="1560" w:val="left"/>
        </w:tabs>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212">
        <w:r>
          <w:rPr>
            <w:rFonts w:ascii="Arial" w:cs="Arial" w:eastAsia="Arial" w:hAnsi="Arial"/>
            <w:sz w:val="18"/>
            <w:szCs w:val="18"/>
            <w:u w:val="single" w:color="auto"/>
            <w:color w:val="0000FF"/>
          </w:rPr>
          <w:t>Indenture, dated as of April 6, 2009, between Dell Inc. and The Bank of New York Mellon Trust Company, N.A., as trustee</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(incorporated by reference to Exhibit 4.1 to Dell Inc.’s Current Report on Form 8-K filed with the Commission on April 6, 2009)</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(Commission File No. 0-17017).</w:t>
        </w:r>
      </w:hyperlink>
    </w:p>
    <w:p>
      <w:pPr>
        <w:spacing w:after="0" w:line="1" w:lineRule="exact"/>
        <w:rPr>
          <w:rFonts w:ascii="Arial" w:cs="Arial" w:eastAsia="Arial" w:hAnsi="Arial"/>
          <w:sz w:val="18"/>
          <w:szCs w:val="18"/>
          <w:u w:val="single" w:color="auto"/>
          <w:color w:val="0000FF"/>
        </w:rPr>
      </w:pPr>
    </w:p>
    <w:p>
      <w:pPr>
        <w:jc w:val="both"/>
        <w:ind w:left="1580" w:right="240" w:hanging="354"/>
        <w:spacing w:after="0" w:line="224" w:lineRule="auto"/>
        <w:tabs>
          <w:tab w:leader="none" w:pos="1560" w:val="left"/>
        </w:tabs>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213">
        <w:r>
          <w:rPr>
            <w:rFonts w:ascii="Arial" w:cs="Arial" w:eastAsia="Arial" w:hAnsi="Arial"/>
            <w:sz w:val="18"/>
            <w:szCs w:val="18"/>
            <w:u w:val="single" w:color="auto"/>
            <w:color w:val="0000FF"/>
          </w:rPr>
          <w:t>Third Supplemental Indenture, dated September 10, 2010, between Dell Inc. and The Bank of New York Mellon Trust Company,</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N.A., as trustee (incorporated by reference to Exhibit 4.1 to Dell Inc.’s Current Report on Form 8-K filed with the Commission on</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September 10, 2010) (Commission File No. 0-17017).</w:t>
        </w:r>
      </w:hyperlink>
    </w:p>
    <w:p>
      <w:pPr>
        <w:spacing w:after="0" w:line="1" w:lineRule="exact"/>
        <w:rPr>
          <w:rFonts w:ascii="Arial" w:cs="Arial" w:eastAsia="Arial" w:hAnsi="Arial"/>
          <w:sz w:val="18"/>
          <w:szCs w:val="18"/>
          <w:u w:val="single" w:color="auto"/>
          <w:color w:val="0000FF"/>
        </w:rPr>
      </w:pPr>
    </w:p>
    <w:p>
      <w:pPr>
        <w:ind w:left="1580" w:hanging="354"/>
        <w:spacing w:after="0" w:line="252" w:lineRule="auto"/>
        <w:tabs>
          <w:tab w:leader="none" w:pos="1560" w:val="left"/>
        </w:tabs>
        <w:rPr>
          <w:rFonts w:ascii="Arial" w:cs="Arial" w:eastAsia="Arial" w:hAnsi="Arial"/>
          <w:sz w:val="16"/>
          <w:szCs w:val="16"/>
          <w:u w:val="single" w:color="auto"/>
          <w:color w:val="0000FF"/>
        </w:rPr>
      </w:pPr>
      <w:hyperlink r:id="rId214">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215">
        <w:r>
          <w:rPr>
            <w:rFonts w:ascii="Arial" w:cs="Arial" w:eastAsia="Arial" w:hAnsi="Arial"/>
            <w:sz w:val="16"/>
            <w:szCs w:val="16"/>
            <w:u w:val="single" w:color="auto"/>
            <w:color w:val="0000FF"/>
          </w:rPr>
          <w:t>Base Indenture, dated as of June 1, 2016, among Diamond 1 Finance Corporation and Diamond 2 Finance Corporation, as issuers,</w:t>
        </w:r>
      </w:hyperlink>
      <w:r>
        <w:rPr>
          <w:rFonts w:ascii="Arial" w:cs="Arial" w:eastAsia="Arial" w:hAnsi="Arial"/>
          <w:sz w:val="16"/>
          <w:szCs w:val="16"/>
          <w:u w:val="single" w:color="auto"/>
          <w:color w:val="0000FF"/>
        </w:rPr>
        <w:t xml:space="preserve"> </w:t>
      </w:r>
      <w:hyperlink r:id="rId215">
        <w:r>
          <w:rPr>
            <w:rFonts w:ascii="Arial" w:cs="Arial" w:eastAsia="Arial" w:hAnsi="Arial"/>
            <w:sz w:val="16"/>
            <w:szCs w:val="16"/>
            <w:u w:val="single" w:color="auto"/>
            <w:color w:val="0000FF"/>
          </w:rPr>
          <w:t>and The Bank of New York Mellon Trust Company, N.A., as trustee and collateral agent (incorporated by reference to Exhibit 4.14 to</w:t>
        </w:r>
      </w:hyperlink>
      <w:r>
        <w:rPr>
          <w:rFonts w:ascii="Arial" w:cs="Arial" w:eastAsia="Arial" w:hAnsi="Arial"/>
          <w:sz w:val="16"/>
          <w:szCs w:val="16"/>
          <w:u w:val="single" w:color="auto"/>
          <w:color w:val="0000FF"/>
        </w:rPr>
        <w:t xml:space="preserve"> </w:t>
      </w:r>
      <w:hyperlink r:id="rId215">
        <w:r>
          <w:rPr>
            <w:rFonts w:ascii="Arial" w:cs="Arial" w:eastAsia="Arial" w:hAnsi="Arial"/>
            <w:sz w:val="16"/>
            <w:szCs w:val="16"/>
            <w:u w:val="single" w:color="auto"/>
            <w:color w:val="0000FF"/>
          </w:rPr>
          <w:t>Amendment No. 6 to the Company’s 2016 Form S-4 filed with the Commission on June 3, 2016) (Registration No. 333-208524).</w:t>
        </w:r>
      </w:hyperlink>
    </w:p>
    <w:p>
      <w:pPr>
        <w:spacing w:after="0" w:line="1" w:lineRule="exact"/>
        <w:rPr>
          <w:rFonts w:ascii="Arial" w:cs="Arial" w:eastAsia="Arial" w:hAnsi="Arial"/>
          <w:sz w:val="16"/>
          <w:szCs w:val="16"/>
          <w:u w:val="single" w:color="auto"/>
          <w:color w:val="0000FF"/>
        </w:rPr>
      </w:pPr>
    </w:p>
    <w:p>
      <w:pPr>
        <w:ind w:left="1580" w:right="200" w:hanging="354"/>
        <w:spacing w:after="0" w:line="219" w:lineRule="auto"/>
        <w:tabs>
          <w:tab w:leader="none" w:pos="1560" w:val="left"/>
        </w:tabs>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r:id="rId217">
        <w:r>
          <w:rPr>
            <w:rFonts w:ascii="Arial" w:cs="Arial" w:eastAsia="Arial" w:hAnsi="Arial"/>
            <w:sz w:val="18"/>
            <w:szCs w:val="18"/>
            <w:u w:val="single" w:color="auto"/>
            <w:color w:val="0000FF"/>
          </w:rPr>
          <w:t>2026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Exhibit 4.21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333-208524).</w:t>
        </w:r>
      </w:hyperlink>
    </w:p>
    <w:p>
      <w:pPr>
        <w:spacing w:after="0" w:line="1" w:lineRule="exact"/>
        <w:rPr>
          <w:rFonts w:ascii="Arial" w:cs="Arial" w:eastAsia="Arial" w:hAnsi="Arial"/>
          <w:sz w:val="18"/>
          <w:szCs w:val="18"/>
          <w:u w:val="single" w:color="auto"/>
          <w:color w:val="0000FF"/>
        </w:rPr>
      </w:pPr>
    </w:p>
    <w:p>
      <w:pPr>
        <w:ind w:left="1580" w:right="200" w:hanging="354"/>
        <w:spacing w:after="0" w:line="219" w:lineRule="auto"/>
        <w:tabs>
          <w:tab w:leader="none" w:pos="1560" w:val="left"/>
        </w:tabs>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r:id="rId219">
        <w:r>
          <w:rPr>
            <w:rFonts w:ascii="Arial" w:cs="Arial" w:eastAsia="Arial" w:hAnsi="Arial"/>
            <w:sz w:val="18"/>
            <w:szCs w:val="18"/>
            <w:u w:val="single" w:color="auto"/>
            <w:color w:val="0000FF"/>
          </w:rPr>
          <w:t>2036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Exhibit 4.23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333-208524).</w:t>
        </w:r>
      </w:hyperlink>
    </w:p>
    <w:p>
      <w:pPr>
        <w:spacing w:after="0" w:line="1" w:lineRule="exact"/>
        <w:rPr>
          <w:rFonts w:ascii="Arial" w:cs="Arial" w:eastAsia="Arial" w:hAnsi="Arial"/>
          <w:sz w:val="18"/>
          <w:szCs w:val="18"/>
          <w:u w:val="single" w:color="auto"/>
          <w:color w:val="0000FF"/>
        </w:rPr>
      </w:pPr>
    </w:p>
    <w:p>
      <w:pPr>
        <w:ind w:left="1580" w:right="200" w:hanging="354"/>
        <w:spacing w:after="0" w:line="219" w:lineRule="auto"/>
        <w:tabs>
          <w:tab w:leader="none" w:pos="1560" w:val="left"/>
        </w:tabs>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r:id="rId220">
        <w:r>
          <w:rPr>
            <w:rFonts w:ascii="Arial" w:cs="Arial" w:eastAsia="Arial" w:hAnsi="Arial"/>
            <w:sz w:val="18"/>
            <w:szCs w:val="18"/>
            <w:u w:val="single" w:color="auto"/>
            <w:color w:val="0000FF"/>
          </w:rPr>
          <w:t>2046 Notes Supplemental Indenture No. 1, dated June 1, 2016, among Diamond 1 Finance Corporation, Diamond 2 Finance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Exhibit 4.25 to Amendment No. 6 to the Company’s 2016 Form S-4 filed with the Commission on June 3, 2016) (Registration No.</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333-208524).</w:t>
        </w:r>
      </w:hyperlink>
    </w:p>
    <w:p>
      <w:pPr>
        <w:spacing w:after="0" w:line="1" w:lineRule="exact"/>
        <w:rPr>
          <w:rFonts w:ascii="Arial" w:cs="Arial" w:eastAsia="Arial" w:hAnsi="Arial"/>
          <w:sz w:val="18"/>
          <w:szCs w:val="18"/>
          <w:u w:val="single" w:color="auto"/>
          <w:color w:val="0000FF"/>
        </w:rPr>
      </w:pPr>
    </w:p>
    <w:p>
      <w:pPr>
        <w:ind w:left="1580" w:right="100" w:hanging="354"/>
        <w:spacing w:after="0" w:line="219" w:lineRule="auto"/>
        <w:tabs>
          <w:tab w:leader="none" w:pos="1560" w:val="left"/>
        </w:tabs>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4.9</w:t>
        </w:r>
      </w:hyperlink>
      <w:r>
        <w:rPr>
          <w:rFonts w:ascii="Arial" w:cs="Arial" w:eastAsia="Arial" w:hAnsi="Arial"/>
          <w:sz w:val="18"/>
          <w:szCs w:val="18"/>
          <w:u w:val="single" w:color="auto"/>
          <w:color w:val="0000FF"/>
        </w:rPr>
        <w:tab/>
      </w:r>
      <w:hyperlink r:id="rId221">
        <w:r>
          <w:rPr>
            <w:rFonts w:ascii="Arial" w:cs="Arial" w:eastAsia="Arial" w:hAnsi="Arial"/>
            <w:sz w:val="18"/>
            <w:szCs w:val="18"/>
            <w:u w:val="single" w:color="auto"/>
            <w:color w:val="0000FF"/>
          </w:rPr>
          <w:t>First Supplemental Indenture, dated as of September 6, 2016, by and among Diamond 1 Finance Corporation, Diamond 2 Finance</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Exhibit 4.1 to the Company’s Current Report on Form 8-K filed with the Commission on September 9, 2016) (Commission File No.</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001-37867).</w:t>
        </w:r>
      </w:hyperlink>
    </w:p>
    <w:p>
      <w:pPr>
        <w:spacing w:after="0" w:line="1" w:lineRule="exact"/>
        <w:rPr>
          <w:rFonts w:ascii="Arial" w:cs="Arial" w:eastAsia="Arial" w:hAnsi="Arial"/>
          <w:sz w:val="18"/>
          <w:szCs w:val="18"/>
          <w:u w:val="single" w:color="auto"/>
          <w:color w:val="0000FF"/>
        </w:rPr>
      </w:pPr>
    </w:p>
    <w:p>
      <w:pPr>
        <w:ind w:left="1580" w:right="20" w:hanging="444"/>
        <w:spacing w:after="0" w:line="243" w:lineRule="auto"/>
        <w:tabs>
          <w:tab w:leader="none" w:pos="1560" w:val="left"/>
        </w:tabs>
        <w:rPr>
          <w:rFonts w:ascii="Arial" w:cs="Arial" w:eastAsia="Arial" w:hAnsi="Arial"/>
          <w:sz w:val="16"/>
          <w:szCs w:val="16"/>
          <w:u w:val="single" w:color="auto"/>
          <w:color w:val="0000FF"/>
        </w:rPr>
      </w:pPr>
      <w:hyperlink r:id="rId222">
        <w:r>
          <w:rPr>
            <w:rFonts w:ascii="Arial" w:cs="Arial" w:eastAsia="Arial" w:hAnsi="Arial"/>
            <w:sz w:val="18"/>
            <w:szCs w:val="18"/>
            <w:u w:val="single" w:color="auto"/>
            <w:color w:val="0000FF"/>
          </w:rPr>
          <w:t>4.10</w:t>
        </w:r>
      </w:hyperlink>
      <w:r>
        <w:rPr>
          <w:rFonts w:ascii="Arial" w:cs="Arial" w:eastAsia="Arial" w:hAnsi="Arial"/>
          <w:sz w:val="18"/>
          <w:szCs w:val="18"/>
          <w:u w:val="single" w:color="auto"/>
          <w:color w:val="0000FF"/>
        </w:rPr>
        <w:tab/>
      </w:r>
      <w:hyperlink r:id="rId222">
        <w:r>
          <w:rPr>
            <w:rFonts w:ascii="Arial" w:cs="Arial" w:eastAsia="Arial" w:hAnsi="Arial"/>
            <w:sz w:val="16"/>
            <w:szCs w:val="16"/>
            <w:u w:val="single" w:color="auto"/>
            <w:color w:val="0000FF"/>
          </w:rPr>
          <w:t>2019 Notes Supplemental Indenture No. 2, 2021 Notes Supplemental Indenture No. 2, 2023 Notes Supplemental Indenture No. 2,</w:t>
        </w:r>
      </w:hyperlink>
      <w:r>
        <w:rPr>
          <w:rFonts w:ascii="Arial" w:cs="Arial" w:eastAsia="Arial" w:hAnsi="Arial"/>
          <w:sz w:val="16"/>
          <w:szCs w:val="16"/>
          <w:u w:val="single" w:color="auto"/>
          <w:color w:val="0000FF"/>
        </w:rPr>
        <w:t xml:space="preserve"> </w:t>
      </w:r>
      <w:hyperlink r:id="rId222">
        <w:r>
          <w:rPr>
            <w:rFonts w:ascii="Arial" w:cs="Arial" w:eastAsia="Arial" w:hAnsi="Arial"/>
            <w:sz w:val="16"/>
            <w:szCs w:val="16"/>
            <w:u w:val="single" w:color="auto"/>
            <w:color w:val="0000FF"/>
          </w:rPr>
          <w:t>2026 Notes Supplemental Indenture No. 2, 2036 Notes Supplemental Indenture No. 2 and 2046 Notes Supplemental Indenture No. 2,</w:t>
        </w:r>
      </w:hyperlink>
      <w:r>
        <w:rPr>
          <w:rFonts w:ascii="Arial" w:cs="Arial" w:eastAsia="Arial" w:hAnsi="Arial"/>
          <w:sz w:val="16"/>
          <w:szCs w:val="16"/>
          <w:u w:val="single" w:color="auto"/>
          <w:color w:val="0000FF"/>
        </w:rPr>
        <w:t xml:space="preserve"> </w:t>
      </w:r>
      <w:hyperlink r:id="rId222">
        <w:r>
          <w:rPr>
            <w:rFonts w:ascii="Arial" w:cs="Arial" w:eastAsia="Arial" w:hAnsi="Arial"/>
            <w:sz w:val="16"/>
            <w:szCs w:val="16"/>
            <w:u w:val="single" w:color="auto"/>
            <w:color w:val="0000FF"/>
          </w:rPr>
          <w:t>dated as of September 7, 2016, by and among Dell International L.L.C., EMC Corporation, New Dell International LLC and The</w:t>
        </w:r>
      </w:hyperlink>
      <w:r>
        <w:rPr>
          <w:rFonts w:ascii="Arial" w:cs="Arial" w:eastAsia="Arial" w:hAnsi="Arial"/>
          <w:sz w:val="16"/>
          <w:szCs w:val="16"/>
          <w:u w:val="single" w:color="auto"/>
          <w:color w:val="0000FF"/>
        </w:rPr>
        <w:t xml:space="preserve"> </w:t>
      </w:r>
      <w:hyperlink r:id="rId222">
        <w:r>
          <w:rPr>
            <w:rFonts w:ascii="Arial" w:cs="Arial" w:eastAsia="Arial" w:hAnsi="Arial"/>
            <w:sz w:val="16"/>
            <w:szCs w:val="16"/>
            <w:u w:val="single" w:color="auto"/>
            <w:color w:val="0000FF"/>
          </w:rPr>
          <w:t>Bank of New York Mellon Trust Company, N.A., as trustee and collateral agent (incorporated by reference to Exhibit 4.2 to the</w:t>
        </w:r>
      </w:hyperlink>
      <w:r>
        <w:rPr>
          <w:rFonts w:ascii="Arial" w:cs="Arial" w:eastAsia="Arial" w:hAnsi="Arial"/>
          <w:sz w:val="16"/>
          <w:szCs w:val="16"/>
          <w:u w:val="single" w:color="auto"/>
          <w:color w:val="0000FF"/>
        </w:rPr>
        <w:t xml:space="preserve"> </w:t>
      </w:r>
      <w:hyperlink r:id="rId222">
        <w:r>
          <w:rPr>
            <w:rFonts w:ascii="Arial" w:cs="Arial" w:eastAsia="Arial" w:hAnsi="Arial"/>
            <w:sz w:val="16"/>
            <w:szCs w:val="16"/>
            <w:u w:val="single" w:color="auto"/>
            <w:color w:val="0000FF"/>
          </w:rPr>
          <w:t>Company’s Current Report on Form 8-K filed with the Commission on September 9, 2016) (Commission File No. 001-37867).</w:t>
        </w:r>
      </w:hyperlink>
    </w:p>
    <w:p>
      <w:pPr>
        <w:ind w:left="1580" w:right="20" w:hanging="438"/>
        <w:spacing w:after="0" w:line="226" w:lineRule="auto"/>
        <w:tabs>
          <w:tab w:leader="none" w:pos="1560" w:val="left"/>
        </w:tabs>
        <w:rPr>
          <w:rFonts w:ascii="Arial" w:cs="Arial" w:eastAsia="Arial" w:hAnsi="Arial"/>
          <w:sz w:val="17"/>
          <w:szCs w:val="17"/>
          <w:u w:val="single" w:color="auto"/>
          <w:color w:val="0000FF"/>
        </w:rPr>
      </w:pPr>
      <w:hyperlink r:id="rId223">
        <w:r>
          <w:rPr>
            <w:rFonts w:ascii="Arial" w:cs="Arial" w:eastAsia="Arial" w:hAnsi="Arial"/>
            <w:sz w:val="18"/>
            <w:szCs w:val="18"/>
            <w:u w:val="single" w:color="auto"/>
            <w:color w:val="0000FF"/>
          </w:rPr>
          <w:t>4.11</w:t>
        </w:r>
      </w:hyperlink>
      <w:r>
        <w:rPr>
          <w:rFonts w:ascii="Arial" w:cs="Arial" w:eastAsia="Arial" w:hAnsi="Arial"/>
          <w:sz w:val="18"/>
          <w:szCs w:val="18"/>
          <w:u w:val="single" w:color="auto"/>
          <w:color w:val="0000FF"/>
        </w:rPr>
        <w:tab/>
      </w:r>
      <w:hyperlink r:id="rId223">
        <w:r>
          <w:rPr>
            <w:rFonts w:ascii="Arial" w:cs="Arial" w:eastAsia="Arial" w:hAnsi="Arial"/>
            <w:sz w:val="17"/>
            <w:szCs w:val="17"/>
            <w:u w:val="single" w:color="auto"/>
            <w:color w:val="0000FF"/>
          </w:rPr>
          <w:t>2019 Notes Supplemental Indenture No. 3, 2021 Notes Supplemental Indenture No. 3, 2023 Notes Supplemental Indenture No. 3,</w:t>
        </w:r>
      </w:hyperlink>
      <w:r>
        <w:rPr>
          <w:rFonts w:ascii="Arial" w:cs="Arial" w:eastAsia="Arial" w:hAnsi="Arial"/>
          <w:sz w:val="17"/>
          <w:szCs w:val="17"/>
          <w:u w:val="single" w:color="auto"/>
          <w:color w:val="0000FF"/>
        </w:rPr>
        <w:t xml:space="preserve"> </w:t>
      </w:r>
      <w:hyperlink r:id="rId223">
        <w:r>
          <w:rPr>
            <w:rFonts w:ascii="Arial" w:cs="Arial" w:eastAsia="Arial" w:hAnsi="Arial"/>
            <w:sz w:val="17"/>
            <w:szCs w:val="17"/>
            <w:u w:val="single" w:color="auto"/>
            <w:color w:val="0000FF"/>
          </w:rPr>
          <w:t>2026 Notes Supplemental Indenture No. 3, 2036 Notes Supplemental Indenture No. 3 and 2046 Notes Supplemental Indenture No. 3,</w:t>
        </w:r>
      </w:hyperlink>
      <w:r>
        <w:rPr>
          <w:rFonts w:ascii="Arial" w:cs="Arial" w:eastAsia="Arial" w:hAnsi="Arial"/>
          <w:sz w:val="17"/>
          <w:szCs w:val="17"/>
          <w:u w:val="single" w:color="auto"/>
          <w:color w:val="0000FF"/>
        </w:rPr>
        <w:t xml:space="preserve"> </w:t>
      </w:r>
      <w:hyperlink r:id="rId223">
        <w:r>
          <w:rPr>
            <w:rFonts w:ascii="Arial" w:cs="Arial" w:eastAsia="Arial" w:hAnsi="Arial"/>
            <w:sz w:val="17"/>
            <w:szCs w:val="17"/>
            <w:u w:val="single" w:color="auto"/>
            <w:color w:val="0000FF"/>
          </w:rPr>
          <w:t>dated as of September 7, 2016, by and among Dell International L.L.C., EMC Corporation, Dell Technologies Inc., Denali</w:t>
        </w:r>
      </w:hyperlink>
      <w:r>
        <w:rPr>
          <w:rFonts w:ascii="Arial" w:cs="Arial" w:eastAsia="Arial" w:hAnsi="Arial"/>
          <w:sz w:val="17"/>
          <w:szCs w:val="17"/>
          <w:u w:val="single" w:color="auto"/>
          <w:color w:val="0000FF"/>
        </w:rPr>
        <w:t xml:space="preserve"> </w:t>
      </w:r>
      <w:hyperlink r:id="rId223">
        <w:r>
          <w:rPr>
            <w:rFonts w:ascii="Arial" w:cs="Arial" w:eastAsia="Arial" w:hAnsi="Arial"/>
            <w:sz w:val="17"/>
            <w:szCs w:val="17"/>
            <w:u w:val="single" w:color="auto"/>
            <w:color w:val="0000FF"/>
          </w:rPr>
          <w:t>Intermediate Inc., Dell Inc., the other guarantors named therein and The Bank of New York Mellon Trust Company, N.A., as trustee</w:t>
        </w:r>
      </w:hyperlink>
      <w:r>
        <w:rPr>
          <w:rFonts w:ascii="Arial" w:cs="Arial" w:eastAsia="Arial" w:hAnsi="Arial"/>
          <w:sz w:val="17"/>
          <w:szCs w:val="17"/>
          <w:u w:val="single" w:color="auto"/>
          <w:color w:val="0000FF"/>
        </w:rPr>
        <w:t xml:space="preserve"> </w:t>
      </w:r>
      <w:hyperlink r:id="rId223">
        <w:r>
          <w:rPr>
            <w:rFonts w:ascii="Arial" w:cs="Arial" w:eastAsia="Arial" w:hAnsi="Arial"/>
            <w:sz w:val="17"/>
            <w:szCs w:val="17"/>
            <w:u w:val="single" w:color="auto"/>
            <w:color w:val="0000FF"/>
          </w:rPr>
          <w:t>and collateral agent (incorporated by reference to Exhibit 4.3 to the Company’s Current Report on Form 8-K filed with the</w:t>
        </w:r>
      </w:hyperlink>
      <w:r>
        <w:rPr>
          <w:rFonts w:ascii="Arial" w:cs="Arial" w:eastAsia="Arial" w:hAnsi="Arial"/>
          <w:sz w:val="17"/>
          <w:szCs w:val="17"/>
          <w:u w:val="single" w:color="auto"/>
          <w:color w:val="0000FF"/>
        </w:rPr>
        <w:t xml:space="preserve"> </w:t>
      </w:r>
      <w:hyperlink r:id="rId223">
        <w:r>
          <w:rPr>
            <w:rFonts w:ascii="Arial" w:cs="Arial" w:eastAsia="Arial" w:hAnsi="Arial"/>
            <w:sz w:val="17"/>
            <w:szCs w:val="17"/>
            <w:u w:val="single" w:color="auto"/>
            <w:color w:val="0000FF"/>
          </w:rPr>
          <w:t>Commission on September 9, 2016) (Commission File No. 001-37867).</w:t>
        </w:r>
      </w:hyperlink>
    </w:p>
    <w:p>
      <w:pPr>
        <w:spacing w:after="0" w:line="3" w:lineRule="exact"/>
        <w:rPr>
          <w:rFonts w:ascii="Arial" w:cs="Arial" w:eastAsia="Arial" w:hAnsi="Arial"/>
          <w:sz w:val="17"/>
          <w:szCs w:val="17"/>
          <w:u w:val="single" w:color="auto"/>
          <w:color w:val="0000FF"/>
        </w:rPr>
      </w:pPr>
    </w:p>
    <w:p>
      <w:pPr>
        <w:ind w:left="1580" w:right="20" w:hanging="444"/>
        <w:spacing w:after="0" w:line="213" w:lineRule="auto"/>
        <w:tabs>
          <w:tab w:leader="none" w:pos="1560" w:val="left"/>
        </w:tabs>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4.12</w:t>
        </w:r>
      </w:hyperlink>
      <w:r>
        <w:rPr>
          <w:rFonts w:ascii="Arial" w:cs="Arial" w:eastAsia="Arial" w:hAnsi="Arial"/>
          <w:sz w:val="18"/>
          <w:szCs w:val="18"/>
          <w:u w:val="single" w:color="auto"/>
          <w:color w:val="0000FF"/>
        </w:rPr>
        <w:tab/>
      </w:r>
      <w:hyperlink r:id="rId224">
        <w:r>
          <w:rPr>
            <w:rFonts w:ascii="Arial" w:cs="Arial" w:eastAsia="Arial" w:hAnsi="Arial"/>
            <w:sz w:val="18"/>
            <w:szCs w:val="18"/>
            <w:u w:val="single" w:color="auto"/>
            <w:color w:val="0000FF"/>
          </w:rPr>
          <w:t>2019 Notes Supplemental Indenture No. 4, 2021 Notes Supplemental Indenture No. 4, 2023 Notes Supplemental Indenture No. 4,</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2026 Notes Supplemental Indenture No. 4, 2036 Notes Supplemental Indenture No. 4 and 2046 Notes Supplemental Indenture No. 4,</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dated as of May 23, 2017, by and among Dell International L.L.C., EMC Corporation, Dell Global Holdings XIII L.L.C., QTZ</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L.L.C.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Exhibit 4.32 to the Company’s Annual Report on Form 10-K for the fiscal year ended February 1, 2019) (Commission File No. 001-</w:t>
        </w:r>
      </w:hyperlink>
      <w:hyperlink r:id="rId224">
        <w:r>
          <w:rPr>
            <w:rFonts w:ascii="Arial" w:cs="Arial" w:eastAsia="Arial" w:hAnsi="Arial"/>
            <w:sz w:val="18"/>
            <w:szCs w:val="18"/>
            <w:u w:val="single" w:color="auto"/>
            <w:color w:val="0000FF"/>
          </w:rPr>
          <w:t>37867).</w:t>
        </w:r>
      </w:hyperlink>
    </w:p>
    <w:p>
      <w:pPr>
        <w:spacing w:after="0" w:line="5" w:lineRule="exact"/>
        <w:rPr>
          <w:rFonts w:ascii="Arial" w:cs="Arial" w:eastAsia="Arial" w:hAnsi="Arial"/>
          <w:sz w:val="18"/>
          <w:szCs w:val="18"/>
          <w:u w:val="single" w:color="auto"/>
          <w:color w:val="0000FF"/>
        </w:rPr>
      </w:pPr>
    </w:p>
    <w:p>
      <w:pPr>
        <w:ind w:left="1580" w:right="40" w:hanging="444"/>
        <w:spacing w:after="0" w:line="230" w:lineRule="auto"/>
        <w:tabs>
          <w:tab w:leader="none" w:pos="1560" w:val="left"/>
        </w:tabs>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4.13</w:t>
        </w:r>
      </w:hyperlink>
      <w:r>
        <w:rPr>
          <w:rFonts w:ascii="Arial" w:cs="Arial" w:eastAsia="Arial" w:hAnsi="Arial"/>
          <w:sz w:val="18"/>
          <w:szCs w:val="18"/>
          <w:u w:val="single" w:color="auto"/>
          <w:color w:val="0000FF"/>
        </w:rPr>
        <w:tab/>
      </w:r>
      <w:hyperlink r:id="rId225">
        <w:r>
          <w:rPr>
            <w:rFonts w:ascii="Arial" w:cs="Arial" w:eastAsia="Arial" w:hAnsi="Arial"/>
            <w:sz w:val="18"/>
            <w:szCs w:val="18"/>
            <w:u w:val="single" w:color="auto"/>
            <w:color w:val="0000FF"/>
          </w:rPr>
          <w:t>Supplemental Indenture No. 5, dated as of March 20, 2019, among Dell International L.L.C, EMC Corporation, the guarantors party</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thereto and The Bank of New York Mellon Trust Company, N.A., as Trustee and Notes Collateral Agent (incorporated by reference</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to Exhibit 4.11 to the Company’s Current Report on Form 8-K filed with the Commission on March 21, 2019) (Commission File No.</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001-37867).</w:t>
        </w:r>
      </w:hyperlink>
    </w:p>
    <w:p>
      <w:pPr>
        <w:spacing w:after="0" w:line="16" w:lineRule="exact"/>
        <w:rPr>
          <w:rFonts w:ascii="Arial" w:cs="Arial" w:eastAsia="Arial" w:hAnsi="Arial"/>
          <w:sz w:val="18"/>
          <w:szCs w:val="18"/>
          <w:u w:val="single" w:color="auto"/>
          <w:color w:val="0000FF"/>
        </w:rPr>
      </w:pPr>
    </w:p>
    <w:p>
      <w:pPr>
        <w:ind w:left="1580" w:hanging="444"/>
        <w:spacing w:after="0" w:line="276" w:lineRule="auto"/>
        <w:tabs>
          <w:tab w:leader="none" w:pos="1560" w:val="left"/>
        </w:tabs>
        <w:rPr>
          <w:rFonts w:ascii="Arial" w:cs="Arial" w:eastAsia="Arial" w:hAnsi="Arial"/>
          <w:sz w:val="16"/>
          <w:szCs w:val="16"/>
          <w:u w:val="single" w:color="auto"/>
          <w:color w:val="0000FF"/>
        </w:rPr>
      </w:pPr>
      <w:hyperlink r:id="rId226">
        <w:r>
          <w:rPr>
            <w:rFonts w:ascii="Arial" w:cs="Arial" w:eastAsia="Arial" w:hAnsi="Arial"/>
            <w:sz w:val="18"/>
            <w:szCs w:val="18"/>
            <w:u w:val="single" w:color="auto"/>
            <w:color w:val="0000FF"/>
          </w:rPr>
          <w:t>4.14</w:t>
        </w:r>
      </w:hyperlink>
      <w:r>
        <w:rPr>
          <w:rFonts w:ascii="Arial" w:cs="Arial" w:eastAsia="Arial" w:hAnsi="Arial"/>
          <w:sz w:val="18"/>
          <w:szCs w:val="18"/>
          <w:u w:val="single" w:color="auto"/>
          <w:color w:val="0000FF"/>
        </w:rPr>
        <w:tab/>
      </w:r>
      <w:hyperlink r:id="rId226">
        <w:r>
          <w:rPr>
            <w:rFonts w:ascii="Arial" w:cs="Arial" w:eastAsia="Arial" w:hAnsi="Arial"/>
            <w:sz w:val="16"/>
            <w:szCs w:val="16"/>
            <w:u w:val="single" w:color="auto"/>
            <w:color w:val="0000FF"/>
          </w:rPr>
          <w:t>Base Indenture, dated as of March 20, 2019, among Dell International L.L.C, EMC Corporation, the guarantors party thereto and The</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Bank of New York Mellon Trust Company, N.A., as Trustee and Notes Collateral Agent (incorporated by reference to Exhibit 4.1 to</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the Company’s Current Report on Form 8-K filed with the Commission on March 21, 2019) (Commission File No. 001-37867).</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10"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8"/>
          <w:szCs w:val="18"/>
          <w:color w:val="auto"/>
        </w:rPr>
        <w:t>165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5" w:name="page166"/>
    <w:bookmarkEnd w:id="1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640"/>
        <w:spacing w:after="0"/>
        <w:tabs>
          <w:tab w:leader="none" w:pos="120" w:val="left"/>
        </w:tabs>
        <w:rPr>
          <w:rFonts w:ascii="Arial" w:cs="Arial" w:eastAsia="Arial" w:hAnsi="Arial"/>
          <w:sz w:val="16"/>
          <w:szCs w:val="16"/>
          <w:u w:val="single" w:color="auto"/>
          <w:color w:val="0000FF"/>
        </w:rPr>
      </w:pPr>
      <w:hyperlink r:id="rId228">
        <w:r>
          <w:rPr>
            <w:rFonts w:ascii="Arial" w:cs="Arial" w:eastAsia="Arial" w:hAnsi="Arial"/>
            <w:sz w:val="18"/>
            <w:szCs w:val="18"/>
            <w:u w:val="single" w:color="auto"/>
            <w:color w:val="0000FF"/>
          </w:rPr>
          <w:t>4.15</w:t>
        </w:r>
      </w:hyperlink>
      <w:r>
        <w:rPr>
          <w:rFonts w:ascii="Arial" w:cs="Arial" w:eastAsia="Arial" w:hAnsi="Arial"/>
          <w:sz w:val="18"/>
          <w:szCs w:val="18"/>
          <w:u w:val="single" w:color="auto"/>
          <w:color w:val="0000FF"/>
        </w:rPr>
        <w:tab/>
      </w:r>
      <w:hyperlink r:id="rId228">
        <w:r>
          <w:rPr>
            <w:rFonts w:ascii="Arial" w:cs="Arial" w:eastAsia="Arial" w:hAnsi="Arial"/>
            <w:sz w:val="16"/>
            <w:szCs w:val="16"/>
            <w:u w:val="single" w:color="auto"/>
            <w:color w:val="0000FF"/>
          </w:rPr>
          <w:t>2024 Notes Supplemental Indenture No. 1, dated as of March 20, 2019, among Dell International L.L.C, EMC Corporation, the</w:t>
        </w:r>
      </w:hyperlink>
    </w:p>
    <w:p>
      <w:pPr>
        <w:ind w:left="1580" w:right="280"/>
        <w:spacing w:after="0" w:line="228" w:lineRule="auto"/>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(incorporated by reference to Exhibit 4.2 to the Company’s Current Report on Form 8-K filed with the Commission on March 21,</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2019) (Commission File No. 001-37867).</w:t>
        </w:r>
      </w:hyperlink>
    </w:p>
    <w:p>
      <w:pPr>
        <w:spacing w:after="0" w:line="13" w:lineRule="exact"/>
        <w:rPr>
          <w:rFonts w:ascii="Arial" w:cs="Arial" w:eastAsia="Arial" w:hAnsi="Arial"/>
          <w:sz w:val="18"/>
          <w:szCs w:val="18"/>
          <w:u w:val="single" w:color="auto"/>
          <w:color w:val="0000FF"/>
        </w:rPr>
      </w:pPr>
    </w:p>
    <w:p>
      <w:pPr>
        <w:jc w:val="center"/>
        <w:ind w:left="640"/>
        <w:spacing w:after="0"/>
        <w:tabs>
          <w:tab w:leader="none" w:pos="120" w:val="left"/>
        </w:tabs>
        <w:rPr>
          <w:rFonts w:ascii="Arial" w:cs="Arial" w:eastAsia="Arial" w:hAnsi="Arial"/>
          <w:sz w:val="16"/>
          <w:szCs w:val="16"/>
          <w:u w:val="single" w:color="auto"/>
          <w:color w:val="0000FF"/>
        </w:rPr>
      </w:pPr>
      <w:hyperlink r:id="rId229">
        <w:r>
          <w:rPr>
            <w:rFonts w:ascii="Arial" w:cs="Arial" w:eastAsia="Arial" w:hAnsi="Arial"/>
            <w:sz w:val="18"/>
            <w:szCs w:val="18"/>
            <w:u w:val="single" w:color="auto"/>
            <w:color w:val="0000FF"/>
          </w:rPr>
          <w:t>4.16</w:t>
        </w:r>
      </w:hyperlink>
      <w:r>
        <w:rPr>
          <w:rFonts w:ascii="Arial" w:cs="Arial" w:eastAsia="Arial" w:hAnsi="Arial"/>
          <w:sz w:val="18"/>
          <w:szCs w:val="18"/>
          <w:u w:val="single" w:color="auto"/>
          <w:color w:val="0000FF"/>
        </w:rPr>
        <w:tab/>
      </w:r>
      <w:hyperlink r:id="rId229">
        <w:r>
          <w:rPr>
            <w:rFonts w:ascii="Arial" w:cs="Arial" w:eastAsia="Arial" w:hAnsi="Arial"/>
            <w:sz w:val="16"/>
            <w:szCs w:val="16"/>
            <w:u w:val="single" w:color="auto"/>
            <w:color w:val="0000FF"/>
          </w:rPr>
          <w:t>2026 Notes Supplemental Indenture No. 1, dated as of March 20, 2019, among Dell International L.L.C, EMC Corporation, the</w:t>
        </w:r>
      </w:hyperlink>
    </w:p>
    <w:p>
      <w:pPr>
        <w:ind w:left="1580" w:right="280"/>
        <w:spacing w:after="0" w:line="228" w:lineRule="auto"/>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(incorporated by reference to Exhibit 4.3 to the Company’s Current Report on Form 8-K filed with the Commission on March 21,</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2019) (Commission File No. 001-37867).</w:t>
        </w:r>
      </w:hyperlink>
    </w:p>
    <w:p>
      <w:pPr>
        <w:spacing w:after="0" w:line="13" w:lineRule="exact"/>
        <w:rPr>
          <w:rFonts w:ascii="Arial" w:cs="Arial" w:eastAsia="Arial" w:hAnsi="Arial"/>
          <w:sz w:val="18"/>
          <w:szCs w:val="18"/>
          <w:u w:val="single" w:color="auto"/>
          <w:color w:val="0000FF"/>
        </w:rPr>
      </w:pPr>
    </w:p>
    <w:p>
      <w:pPr>
        <w:jc w:val="center"/>
        <w:ind w:left="640"/>
        <w:spacing w:after="0"/>
        <w:tabs>
          <w:tab w:leader="none" w:pos="120" w:val="left"/>
        </w:tabs>
        <w:rPr>
          <w:rFonts w:ascii="Arial" w:cs="Arial" w:eastAsia="Arial" w:hAnsi="Arial"/>
          <w:sz w:val="16"/>
          <w:szCs w:val="16"/>
          <w:u w:val="single" w:color="auto"/>
          <w:color w:val="0000FF"/>
        </w:rPr>
      </w:pPr>
      <w:hyperlink r:id="rId230">
        <w:r>
          <w:rPr>
            <w:rFonts w:ascii="Arial" w:cs="Arial" w:eastAsia="Arial" w:hAnsi="Arial"/>
            <w:sz w:val="18"/>
            <w:szCs w:val="18"/>
            <w:u w:val="single" w:color="auto"/>
            <w:color w:val="0000FF"/>
          </w:rPr>
          <w:t>4.17</w:t>
        </w:r>
      </w:hyperlink>
      <w:r>
        <w:rPr>
          <w:rFonts w:ascii="Arial" w:cs="Arial" w:eastAsia="Arial" w:hAnsi="Arial"/>
          <w:sz w:val="18"/>
          <w:szCs w:val="18"/>
          <w:u w:val="single" w:color="auto"/>
          <w:color w:val="0000FF"/>
        </w:rPr>
        <w:tab/>
      </w:r>
      <w:hyperlink r:id="rId230">
        <w:r>
          <w:rPr>
            <w:rFonts w:ascii="Arial" w:cs="Arial" w:eastAsia="Arial" w:hAnsi="Arial"/>
            <w:sz w:val="16"/>
            <w:szCs w:val="16"/>
            <w:u w:val="single" w:color="auto"/>
            <w:color w:val="0000FF"/>
          </w:rPr>
          <w:t>2029 Notes Supplemental Indenture No. 1, dated as of March 20, 2019, among Dell International L.L.C, EMC Corporation, the</w:t>
        </w:r>
      </w:hyperlink>
    </w:p>
    <w:p>
      <w:pPr>
        <w:ind w:left="1580" w:right="280"/>
        <w:spacing w:after="0" w:line="228" w:lineRule="auto"/>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(incorporated by reference to Exhibit 4.4 to the Company’s Current Report on Form 8-K filed with the Commission on March 21,</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2019) (Commission File No. 001-37867).</w:t>
        </w:r>
      </w:hyperlink>
    </w:p>
    <w:p>
      <w:pPr>
        <w:spacing w:after="0" w:line="15" w:lineRule="exact"/>
        <w:rPr>
          <w:rFonts w:ascii="Arial" w:cs="Arial" w:eastAsia="Arial" w:hAnsi="Arial"/>
          <w:sz w:val="18"/>
          <w:szCs w:val="18"/>
          <w:u w:val="single" w:color="auto"/>
          <w:color w:val="0000FF"/>
        </w:rPr>
      </w:pPr>
    </w:p>
    <w:p>
      <w:pPr>
        <w:jc w:val="both"/>
        <w:ind w:left="1580" w:right="120" w:hanging="444"/>
        <w:spacing w:after="0" w:line="270" w:lineRule="auto"/>
        <w:tabs>
          <w:tab w:leader="none" w:pos="1560" w:val="left"/>
        </w:tabs>
        <w:rPr>
          <w:rFonts w:ascii="Arial" w:cs="Arial" w:eastAsia="Arial" w:hAnsi="Arial"/>
          <w:sz w:val="16"/>
          <w:szCs w:val="16"/>
          <w:u w:val="single" w:color="auto"/>
          <w:color w:val="0000FF"/>
        </w:rPr>
      </w:pPr>
      <w:hyperlink r:id="rId231">
        <w:r>
          <w:rPr>
            <w:rFonts w:ascii="Arial" w:cs="Arial" w:eastAsia="Arial" w:hAnsi="Arial"/>
            <w:sz w:val="18"/>
            <w:szCs w:val="18"/>
            <w:u w:val="single" w:color="auto"/>
            <w:color w:val="0000FF"/>
          </w:rPr>
          <w:t>4.18</w:t>
        </w:r>
      </w:hyperlink>
      <w:r>
        <w:rPr>
          <w:rFonts w:ascii="Arial" w:cs="Arial" w:eastAsia="Arial" w:hAnsi="Arial"/>
          <w:sz w:val="18"/>
          <w:szCs w:val="18"/>
          <w:u w:val="single" w:color="auto"/>
          <w:color w:val="0000FF"/>
        </w:rPr>
        <w:tab/>
      </w:r>
      <w:hyperlink r:id="rId231">
        <w:r>
          <w:rPr>
            <w:rFonts w:ascii="Arial" w:cs="Arial" w:eastAsia="Arial" w:hAnsi="Arial"/>
            <w:sz w:val="16"/>
            <w:szCs w:val="16"/>
            <w:u w:val="single" w:color="auto"/>
            <w:color w:val="0000FF"/>
          </w:rPr>
          <w:t>Base Indenture, dated as of April 9, 2020, among Dell International L.L.C., EMC Corporation, the guarantors party thereto and The</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Bank of New York Mellon Trust Company, N.A., as Trustee and Notes Collateral Agent (incorporated by reference to Exhibit 4.1 to</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the Company’s Current Report on Form 8-K filed with the Commission on April 9, 2020) (Commission File No. 001-37867).</w:t>
        </w:r>
      </w:hyperlink>
    </w:p>
    <w:p>
      <w:pPr>
        <w:ind w:left="1580" w:hanging="444"/>
        <w:spacing w:after="0" w:line="231" w:lineRule="auto"/>
        <w:tabs>
          <w:tab w:leader="none" w:pos="1560" w:val="left"/>
        </w:tabs>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4.19</w:t>
        </w:r>
      </w:hyperlink>
      <w:r>
        <w:rPr>
          <w:rFonts w:ascii="Arial" w:cs="Arial" w:eastAsia="Arial" w:hAnsi="Arial"/>
          <w:sz w:val="18"/>
          <w:szCs w:val="18"/>
          <w:u w:val="single" w:color="auto"/>
          <w:color w:val="0000FF"/>
        </w:rPr>
        <w:tab/>
      </w:r>
      <w:hyperlink r:id="rId232">
        <w:r>
          <w:rPr>
            <w:rFonts w:ascii="Arial" w:cs="Arial" w:eastAsia="Arial" w:hAnsi="Arial"/>
            <w:sz w:val="18"/>
            <w:szCs w:val="18"/>
            <w:u w:val="single" w:color="auto"/>
            <w:color w:val="0000FF"/>
          </w:rPr>
          <w:t>2025 Notes Supplemental Indenture No. 1, dated as of April 9, 2020, among Dell International L.L.C., EMC Corporation, the</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(incorporated by reference to Exhibit 4.2 to the Company’s Current Report on Form 8-K filed with the Commission on April 9, 2020)</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(Commission File No. 001-37867).</w:t>
        </w:r>
      </w:hyperlink>
    </w:p>
    <w:p>
      <w:pPr>
        <w:spacing w:after="0" w:line="13" w:lineRule="exact"/>
        <w:rPr>
          <w:rFonts w:ascii="Arial" w:cs="Arial" w:eastAsia="Arial" w:hAnsi="Arial"/>
          <w:sz w:val="18"/>
          <w:szCs w:val="18"/>
          <w:u w:val="single" w:color="auto"/>
          <w:color w:val="0000FF"/>
        </w:rPr>
      </w:pPr>
    </w:p>
    <w:p>
      <w:pPr>
        <w:ind w:left="1580" w:hanging="444"/>
        <w:spacing w:after="0" w:line="231" w:lineRule="auto"/>
        <w:tabs>
          <w:tab w:leader="none" w:pos="1560" w:val="left"/>
        </w:tabs>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4.20</w:t>
        </w:r>
      </w:hyperlink>
      <w:r>
        <w:rPr>
          <w:rFonts w:ascii="Arial" w:cs="Arial" w:eastAsia="Arial" w:hAnsi="Arial"/>
          <w:sz w:val="18"/>
          <w:szCs w:val="18"/>
          <w:u w:val="single" w:color="auto"/>
          <w:color w:val="0000FF"/>
        </w:rPr>
        <w:tab/>
      </w:r>
      <w:hyperlink r:id="rId233">
        <w:r>
          <w:rPr>
            <w:rFonts w:ascii="Arial" w:cs="Arial" w:eastAsia="Arial" w:hAnsi="Arial"/>
            <w:sz w:val="18"/>
            <w:szCs w:val="18"/>
            <w:u w:val="single" w:color="auto"/>
            <w:color w:val="0000FF"/>
          </w:rPr>
          <w:t>2027 Notes Supplemental Indenture No. 1, dated as of April 9, 2020, among Dell International L.L.C., EMC Corporation, the</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(incorporated by reference to Exhibit 4.3 to the Company’s Current Report on Form 8-K filed with the Commission on April 9, 2020)</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(Commission File No. 001-37867).</w:t>
        </w:r>
      </w:hyperlink>
    </w:p>
    <w:p>
      <w:pPr>
        <w:spacing w:after="0" w:line="13" w:lineRule="exact"/>
        <w:rPr>
          <w:rFonts w:ascii="Arial" w:cs="Arial" w:eastAsia="Arial" w:hAnsi="Arial"/>
          <w:sz w:val="18"/>
          <w:szCs w:val="18"/>
          <w:u w:val="single" w:color="auto"/>
          <w:color w:val="0000FF"/>
        </w:rPr>
      </w:pPr>
    </w:p>
    <w:p>
      <w:pPr>
        <w:ind w:left="1580" w:hanging="444"/>
        <w:spacing w:after="0" w:line="231" w:lineRule="auto"/>
        <w:tabs>
          <w:tab w:leader="none" w:pos="1560" w:val="left"/>
        </w:tabs>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4.21</w:t>
        </w:r>
      </w:hyperlink>
      <w:r>
        <w:rPr>
          <w:rFonts w:ascii="Arial" w:cs="Arial" w:eastAsia="Arial" w:hAnsi="Arial"/>
          <w:sz w:val="18"/>
          <w:szCs w:val="18"/>
          <w:u w:val="single" w:color="auto"/>
          <w:color w:val="0000FF"/>
        </w:rPr>
        <w:tab/>
      </w:r>
      <w:hyperlink r:id="rId234">
        <w:r>
          <w:rPr>
            <w:rFonts w:ascii="Arial" w:cs="Arial" w:eastAsia="Arial" w:hAnsi="Arial"/>
            <w:sz w:val="18"/>
            <w:szCs w:val="18"/>
            <w:u w:val="single" w:color="auto"/>
            <w:color w:val="0000FF"/>
          </w:rPr>
          <w:t>2030 Notes Supplemental Indenture No. 1, dated as of April 9, 2020, among Dell International L.L.C., EMC Corporation, the</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guarantors party thereto and The Bank of New York Mellon Trust Company, N.A., as Trustee and Notes Collateral Agent</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(incorporated by reference to Exhibit 4.4 to the Company’s Current Report on Form 8-K filed with the Commission on April 9, 2020)</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(Commission File No. 001-37867).</w:t>
        </w:r>
      </w:hyperlink>
    </w:p>
    <w:p>
      <w:pPr>
        <w:spacing w:after="0" w:line="13" w:lineRule="exact"/>
        <w:rPr>
          <w:rFonts w:ascii="Arial" w:cs="Arial" w:eastAsia="Arial" w:hAnsi="Arial"/>
          <w:sz w:val="18"/>
          <w:szCs w:val="18"/>
          <w:u w:val="single" w:color="auto"/>
          <w:color w:val="0000FF"/>
        </w:rPr>
      </w:pPr>
    </w:p>
    <w:p>
      <w:pPr>
        <w:ind w:left="1580" w:right="20" w:hanging="444"/>
        <w:spacing w:after="0" w:line="246" w:lineRule="auto"/>
        <w:tabs>
          <w:tab w:leader="none" w:pos="1560" w:val="left"/>
        </w:tabs>
        <w:rPr>
          <w:rFonts w:ascii="Arial" w:cs="Arial" w:eastAsia="Arial" w:hAnsi="Arial"/>
          <w:sz w:val="17"/>
          <w:szCs w:val="17"/>
          <w:u w:val="single" w:color="auto"/>
          <w:color w:val="0000FF"/>
        </w:rPr>
      </w:pPr>
      <w:hyperlink r:id="rId235">
        <w:r>
          <w:rPr>
            <w:rFonts w:ascii="Arial" w:cs="Arial" w:eastAsia="Arial" w:hAnsi="Arial"/>
            <w:sz w:val="18"/>
            <w:szCs w:val="18"/>
            <w:u w:val="single" w:color="auto"/>
            <w:color w:val="0000FF"/>
          </w:rPr>
          <w:t>4.22</w:t>
        </w:r>
      </w:hyperlink>
      <w:r>
        <w:rPr>
          <w:rFonts w:ascii="Arial" w:cs="Arial" w:eastAsia="Arial" w:hAnsi="Arial"/>
          <w:sz w:val="18"/>
          <w:szCs w:val="18"/>
          <w:u w:val="single" w:color="auto"/>
          <w:color w:val="0000FF"/>
        </w:rPr>
        <w:tab/>
      </w:r>
      <w:hyperlink r:id="rId235">
        <w:r>
          <w:rPr>
            <w:rFonts w:ascii="Arial" w:cs="Arial" w:eastAsia="Arial" w:hAnsi="Arial"/>
            <w:sz w:val="17"/>
            <w:szCs w:val="17"/>
            <w:u w:val="single" w:color="auto"/>
            <w:color w:val="0000FF"/>
          </w:rPr>
          <w:t>Credit Agreement, dated as of November 1, 2021, among Dell Technologies Inc., Denali Intermediate Inc., Dell Inc., Dell</w:t>
        </w:r>
      </w:hyperlink>
      <w:r>
        <w:rPr>
          <w:rFonts w:ascii="Arial" w:cs="Arial" w:eastAsia="Arial" w:hAnsi="Arial"/>
          <w:sz w:val="17"/>
          <w:szCs w:val="17"/>
          <w:u w:val="single" w:color="auto"/>
          <w:color w:val="0000FF"/>
        </w:rPr>
        <w:t xml:space="preserve"> </w:t>
      </w:r>
      <w:hyperlink r:id="rId235">
        <w:r>
          <w:rPr>
            <w:rFonts w:ascii="Arial" w:cs="Arial" w:eastAsia="Arial" w:hAnsi="Arial"/>
            <w:sz w:val="17"/>
            <w:szCs w:val="17"/>
            <w:u w:val="single" w:color="auto"/>
            <w:color w:val="0000FF"/>
          </w:rPr>
          <w:t>International L.L.C., as a borrower, EMC Corporation, as a borrower, JPMorgan Chase Bank, N.A., as administrative agent, and each</w:t>
        </w:r>
      </w:hyperlink>
      <w:r>
        <w:rPr>
          <w:rFonts w:ascii="Arial" w:cs="Arial" w:eastAsia="Arial" w:hAnsi="Arial"/>
          <w:sz w:val="17"/>
          <w:szCs w:val="17"/>
          <w:u w:val="single" w:color="auto"/>
          <w:color w:val="0000FF"/>
        </w:rPr>
        <w:t xml:space="preserve"> </w:t>
      </w:r>
      <w:hyperlink r:id="rId235">
        <w:r>
          <w:rPr>
            <w:rFonts w:ascii="Arial" w:cs="Arial" w:eastAsia="Arial" w:hAnsi="Arial"/>
            <w:sz w:val="17"/>
            <w:szCs w:val="17"/>
            <w:u w:val="single" w:color="auto"/>
            <w:color w:val="0000FF"/>
          </w:rPr>
          <w:t>of the lenders and other parties from time to time party thereto (incorporated by reference to Exhibit 10.2 to the Company’s Current</w:t>
        </w:r>
      </w:hyperlink>
      <w:r>
        <w:rPr>
          <w:rFonts w:ascii="Arial" w:cs="Arial" w:eastAsia="Arial" w:hAnsi="Arial"/>
          <w:sz w:val="17"/>
          <w:szCs w:val="17"/>
          <w:u w:val="single" w:color="auto"/>
          <w:color w:val="0000FF"/>
        </w:rPr>
        <w:t xml:space="preserve"> </w:t>
      </w:r>
      <w:hyperlink r:id="rId235">
        <w:r>
          <w:rPr>
            <w:rFonts w:ascii="Arial" w:cs="Arial" w:eastAsia="Arial" w:hAnsi="Arial"/>
            <w:sz w:val="17"/>
            <w:szCs w:val="17"/>
            <w:u w:val="single" w:color="auto"/>
            <w:color w:val="0000FF"/>
          </w:rPr>
          <w:t>Report on Form 8-K filed with the Commission on November 1, 2021) (Commission File No. 001-37867).</w:t>
        </w:r>
      </w:hyperlink>
    </w:p>
    <w:p>
      <w:pPr>
        <w:spacing w:after="0" w:line="9" w:lineRule="exact"/>
        <w:rPr>
          <w:rFonts w:ascii="Arial" w:cs="Arial" w:eastAsia="Arial" w:hAnsi="Arial"/>
          <w:sz w:val="17"/>
          <w:szCs w:val="17"/>
          <w:u w:val="single" w:color="auto"/>
          <w:color w:val="0000FF"/>
        </w:rPr>
      </w:pPr>
    </w:p>
    <w:p>
      <w:pPr>
        <w:jc w:val="both"/>
        <w:ind w:left="1580" w:right="20" w:hanging="444"/>
        <w:spacing w:after="0" w:line="253" w:lineRule="auto"/>
        <w:tabs>
          <w:tab w:leader="none" w:pos="1560" w:val="left"/>
        </w:tabs>
        <w:rPr>
          <w:rFonts w:ascii="Arial" w:cs="Arial" w:eastAsia="Arial" w:hAnsi="Arial"/>
          <w:sz w:val="17"/>
          <w:szCs w:val="17"/>
          <w:u w:val="single" w:color="auto"/>
          <w:color w:val="0000FF"/>
        </w:rPr>
      </w:pPr>
      <w:hyperlink r:id="rId236">
        <w:r>
          <w:rPr>
            <w:rFonts w:ascii="Arial" w:cs="Arial" w:eastAsia="Arial" w:hAnsi="Arial"/>
            <w:sz w:val="18"/>
            <w:szCs w:val="18"/>
            <w:u w:val="single" w:color="auto"/>
            <w:color w:val="0000FF"/>
          </w:rPr>
          <w:t>4.23</w:t>
        </w:r>
      </w:hyperlink>
      <w:r>
        <w:rPr>
          <w:rFonts w:ascii="Arial" w:cs="Arial" w:eastAsia="Arial" w:hAnsi="Arial"/>
          <w:sz w:val="18"/>
          <w:szCs w:val="18"/>
          <w:u w:val="single" w:color="auto"/>
          <w:color w:val="0000FF"/>
        </w:rPr>
        <w:tab/>
      </w:r>
      <w:hyperlink r:id="rId236">
        <w:r>
          <w:rPr>
            <w:rFonts w:ascii="Arial" w:cs="Arial" w:eastAsia="Arial" w:hAnsi="Arial"/>
            <w:sz w:val="17"/>
            <w:szCs w:val="17"/>
            <w:u w:val="single" w:color="auto"/>
            <w:color w:val="0000FF"/>
          </w:rPr>
          <w:t>Base Indenture, dated as of December 13, 2021, among Dell International L.L.C., EMC Corporation, the guarantors party thereto and</w:t>
        </w:r>
      </w:hyperlink>
      <w:r>
        <w:rPr>
          <w:rFonts w:ascii="Arial" w:cs="Arial" w:eastAsia="Arial" w:hAnsi="Arial"/>
          <w:sz w:val="17"/>
          <w:szCs w:val="17"/>
          <w:u w:val="single" w:color="auto"/>
          <w:color w:val="0000FF"/>
        </w:rPr>
        <w:t xml:space="preserve"> </w:t>
      </w:r>
      <w:hyperlink r:id="rId236">
        <w:r>
          <w:rPr>
            <w:rFonts w:ascii="Arial" w:cs="Arial" w:eastAsia="Arial" w:hAnsi="Arial"/>
            <w:sz w:val="17"/>
            <w:szCs w:val="17"/>
            <w:u w:val="single" w:color="auto"/>
            <w:color w:val="0000FF"/>
          </w:rPr>
          <w:t>The Bank of New York Mellon Trust Company, N.A., as Trustee (incorporated by reference to Exhibit 4.1 to the Company’s Current</w:t>
        </w:r>
      </w:hyperlink>
      <w:r>
        <w:rPr>
          <w:rFonts w:ascii="Arial" w:cs="Arial" w:eastAsia="Arial" w:hAnsi="Arial"/>
          <w:sz w:val="17"/>
          <w:szCs w:val="17"/>
          <w:u w:val="single" w:color="auto"/>
          <w:color w:val="0000FF"/>
        </w:rPr>
        <w:t xml:space="preserve"> </w:t>
      </w:r>
      <w:hyperlink r:id="rId236">
        <w:r>
          <w:rPr>
            <w:rFonts w:ascii="Arial" w:cs="Arial" w:eastAsia="Arial" w:hAnsi="Arial"/>
            <w:sz w:val="17"/>
            <w:szCs w:val="17"/>
            <w:u w:val="single" w:color="auto"/>
            <w:color w:val="0000FF"/>
          </w:rPr>
          <w:t>Report on Form 8-K filed with the Commission on December 15, 2021) (Commission File No. 001-37867).</w:t>
        </w:r>
      </w:hyperlink>
    </w:p>
    <w:p>
      <w:pPr>
        <w:spacing w:after="0" w:line="3" w:lineRule="exact"/>
        <w:rPr>
          <w:rFonts w:ascii="Arial" w:cs="Arial" w:eastAsia="Arial" w:hAnsi="Arial"/>
          <w:sz w:val="17"/>
          <w:szCs w:val="17"/>
          <w:u w:val="single" w:color="auto"/>
          <w:color w:val="0000FF"/>
        </w:rPr>
      </w:pPr>
    </w:p>
    <w:p>
      <w:pPr>
        <w:ind w:left="1580" w:right="140" w:hanging="444"/>
        <w:spacing w:after="0" w:line="231" w:lineRule="auto"/>
        <w:tabs>
          <w:tab w:leader="none" w:pos="1560" w:val="left"/>
        </w:tabs>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4.24</w:t>
        </w:r>
      </w:hyperlink>
      <w:r>
        <w:rPr>
          <w:rFonts w:ascii="Arial" w:cs="Arial" w:eastAsia="Arial" w:hAnsi="Arial"/>
          <w:sz w:val="18"/>
          <w:szCs w:val="18"/>
          <w:u w:val="single" w:color="auto"/>
          <w:color w:val="0000FF"/>
        </w:rPr>
        <w:tab/>
      </w:r>
      <w:hyperlink r:id="rId237">
        <w:r>
          <w:rPr>
            <w:rFonts w:ascii="Arial" w:cs="Arial" w:eastAsia="Arial" w:hAnsi="Arial"/>
            <w:sz w:val="18"/>
            <w:szCs w:val="18"/>
            <w:u w:val="single" w:color="auto"/>
            <w:color w:val="0000FF"/>
          </w:rPr>
          <w:t>2041 Notes Supplemental Indenture No. 1, dated as of December 13, 2021, among Dell International L.L.C., EMC Corporation, the</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guarantors party thereto and The Bank of New York Mellon Trust Company, N.A., as Trustee (incorporated by reference to Exhibit</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4.2 to the Company’s Current Report on Form 8-K filed with the Commission on December 15, 2021) (Commission File No. 001-</w:t>
        </w:r>
      </w:hyperlink>
      <w:hyperlink r:id="rId237">
        <w:r>
          <w:rPr>
            <w:rFonts w:ascii="Arial" w:cs="Arial" w:eastAsia="Arial" w:hAnsi="Arial"/>
            <w:sz w:val="18"/>
            <w:szCs w:val="18"/>
            <w:u w:val="single" w:color="auto"/>
            <w:color w:val="0000FF"/>
          </w:rPr>
          <w:t>37867).</w:t>
        </w:r>
      </w:hyperlink>
    </w:p>
    <w:p>
      <w:pPr>
        <w:spacing w:after="0" w:line="13" w:lineRule="exact"/>
        <w:rPr>
          <w:rFonts w:ascii="Arial" w:cs="Arial" w:eastAsia="Arial" w:hAnsi="Arial"/>
          <w:sz w:val="18"/>
          <w:szCs w:val="18"/>
          <w:u w:val="single" w:color="auto"/>
          <w:color w:val="0000FF"/>
        </w:rPr>
      </w:pPr>
    </w:p>
    <w:p>
      <w:pPr>
        <w:ind w:left="1580" w:right="140" w:hanging="444"/>
        <w:spacing w:after="0" w:line="231" w:lineRule="auto"/>
        <w:tabs>
          <w:tab w:leader="none" w:pos="1560" w:val="left"/>
        </w:tabs>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4.25</w:t>
        </w:r>
      </w:hyperlink>
      <w:r>
        <w:rPr>
          <w:rFonts w:ascii="Arial" w:cs="Arial" w:eastAsia="Arial" w:hAnsi="Arial"/>
          <w:sz w:val="18"/>
          <w:szCs w:val="18"/>
          <w:u w:val="single" w:color="auto"/>
          <w:color w:val="0000FF"/>
        </w:rPr>
        <w:tab/>
      </w:r>
      <w:hyperlink r:id="rId238">
        <w:r>
          <w:rPr>
            <w:rFonts w:ascii="Arial" w:cs="Arial" w:eastAsia="Arial" w:hAnsi="Arial"/>
            <w:sz w:val="18"/>
            <w:szCs w:val="18"/>
            <w:u w:val="single" w:color="auto"/>
            <w:color w:val="0000FF"/>
          </w:rPr>
          <w:t>2051 Notes Supplemental Indenture No. 1, dated as of December 13, 2021, among Dell International L.L.C., EMC Corporation, the</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guarantors party thereto and The Bank of New York Mellon Trust Company, N.A., as Trustee (incorporated by reference to Exhibit</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4.3 to the Company’s Current Report on Form 8-K filed with the Commission on December 15, 2021) (Commission File No. 001-</w:t>
        </w:r>
      </w:hyperlink>
      <w:hyperlink r:id="rId238">
        <w:r>
          <w:rPr>
            <w:rFonts w:ascii="Arial" w:cs="Arial" w:eastAsia="Arial" w:hAnsi="Arial"/>
            <w:sz w:val="18"/>
            <w:szCs w:val="18"/>
            <w:u w:val="single" w:color="auto"/>
            <w:color w:val="0000FF"/>
          </w:rPr>
          <w:t>37867).</w:t>
        </w:r>
      </w:hyperlink>
    </w:p>
    <w:p>
      <w:pPr>
        <w:spacing w:after="0" w:line="13" w:lineRule="exact"/>
        <w:rPr>
          <w:rFonts w:ascii="Arial" w:cs="Arial" w:eastAsia="Arial" w:hAnsi="Arial"/>
          <w:sz w:val="18"/>
          <w:szCs w:val="18"/>
          <w:u w:val="single" w:color="auto"/>
          <w:color w:val="0000FF"/>
        </w:rPr>
      </w:pPr>
    </w:p>
    <w:p>
      <w:pPr>
        <w:ind w:left="1580" w:right="120" w:hanging="444"/>
        <w:spacing w:after="0" w:line="228" w:lineRule="auto"/>
        <w:tabs>
          <w:tab w:leader="none" w:pos="1560" w:val="left"/>
        </w:tabs>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4.26</w:t>
        </w:r>
      </w:hyperlink>
      <w:r>
        <w:rPr>
          <w:rFonts w:ascii="Arial" w:cs="Arial" w:eastAsia="Arial" w:hAnsi="Arial"/>
          <w:sz w:val="18"/>
          <w:szCs w:val="18"/>
          <w:u w:val="single" w:color="auto"/>
          <w:color w:val="0000FF"/>
        </w:rPr>
        <w:tab/>
      </w:r>
      <w:hyperlink r:id="rId239">
        <w:r>
          <w:rPr>
            <w:rFonts w:ascii="Arial" w:cs="Arial" w:eastAsia="Arial" w:hAnsi="Arial"/>
            <w:sz w:val="18"/>
            <w:szCs w:val="18"/>
            <w:u w:val="single" w:color="auto"/>
            <w:color w:val="0000FF"/>
          </w:rPr>
          <w:t>Registration Rights Agreement, dated as of December 13, 2021, among Dell International L.L.C., EMC Corporation, the guarantors</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party thereto and BofA Securities, Inc., Barclays Capital Inc., Citigroup Global Markets Inc., Credit Suisse Securities (USA) LLC,</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J.P. Morgan Securities LLC and Wells Fargo Securities LLC, as the representatives for the initial purchasers. (incorporated by</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reference to Exhibit 4.4 to the Company’s Current Report on Form 8-K filed with the Commission on December 15, 2021)</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(Commission File No. 001-37867).</w:t>
        </w:r>
      </w:hyperlink>
    </w:p>
    <w:p>
      <w:pPr>
        <w:spacing w:after="0" w:line="16" w:lineRule="exact"/>
        <w:rPr>
          <w:rFonts w:ascii="Arial" w:cs="Arial" w:eastAsia="Arial" w:hAnsi="Arial"/>
          <w:sz w:val="18"/>
          <w:szCs w:val="18"/>
          <w:u w:val="single" w:color="auto"/>
          <w:color w:val="0000FF"/>
        </w:rPr>
      </w:pPr>
    </w:p>
    <w:p>
      <w:pPr>
        <w:ind w:left="1140"/>
        <w:spacing w:after="0"/>
        <w:tabs>
          <w:tab w:leader="none" w:pos="1560" w:val="left"/>
        </w:tabs>
        <w:rPr>
          <w:rFonts w:ascii="Arial" w:cs="Arial" w:eastAsia="Arial" w:hAnsi="Arial"/>
          <w:sz w:val="16"/>
          <w:szCs w:val="16"/>
          <w:u w:val="single" w:color="auto"/>
          <w:color w:val="0000FF"/>
        </w:rPr>
      </w:pPr>
      <w:hyperlink r:id="rId237">
        <w:r>
          <w:rPr>
            <w:rFonts w:ascii="Arial" w:cs="Arial" w:eastAsia="Arial" w:hAnsi="Arial"/>
            <w:sz w:val="18"/>
            <w:szCs w:val="18"/>
            <w:u w:val="single" w:color="auto"/>
            <w:color w:val="0000FF"/>
          </w:rPr>
          <w:t>4.27</w:t>
        </w:r>
      </w:hyperlink>
      <w:r>
        <w:rPr>
          <w:rFonts w:ascii="Arial" w:cs="Arial" w:eastAsia="Arial" w:hAnsi="Arial"/>
          <w:sz w:val="18"/>
          <w:szCs w:val="18"/>
          <w:u w:val="single" w:color="auto"/>
          <w:color w:val="0000FF"/>
        </w:rPr>
        <w:tab/>
      </w:r>
      <w:hyperlink r:id="rId237">
        <w:r>
          <w:rPr>
            <w:rFonts w:ascii="Arial" w:cs="Arial" w:eastAsia="Arial" w:hAnsi="Arial"/>
            <w:sz w:val="16"/>
            <w:szCs w:val="16"/>
            <w:u w:val="single" w:color="auto"/>
            <w:color w:val="0000FF"/>
          </w:rPr>
          <w:t>Form of Global Note for 3.375% Senior Notes due 2041 (included in Exhibit 4.24).</w:t>
        </w:r>
      </w:hyperlink>
    </w:p>
    <w:p>
      <w:pPr>
        <w:spacing w:after="0" w:line="36" w:lineRule="exact"/>
        <w:rPr>
          <w:sz w:val="20"/>
          <w:szCs w:val="20"/>
          <w:color w:val="auto"/>
        </w:rPr>
      </w:pPr>
    </w:p>
    <w:p>
      <w:pPr>
        <w:ind w:left="1140"/>
        <w:spacing w:after="0"/>
        <w:tabs>
          <w:tab w:leader="none" w:pos="1560" w:val="left"/>
        </w:tabs>
        <w:rPr>
          <w:rFonts w:ascii="Arial" w:cs="Arial" w:eastAsia="Arial" w:hAnsi="Arial"/>
          <w:sz w:val="16"/>
          <w:szCs w:val="16"/>
          <w:u w:val="single" w:color="auto"/>
          <w:color w:val="0000FF"/>
        </w:rPr>
      </w:pPr>
      <w:hyperlink r:id="rId238">
        <w:r>
          <w:rPr>
            <w:rFonts w:ascii="Arial" w:cs="Arial" w:eastAsia="Arial" w:hAnsi="Arial"/>
            <w:sz w:val="18"/>
            <w:szCs w:val="18"/>
            <w:u w:val="single" w:color="auto"/>
            <w:color w:val="0000FF"/>
          </w:rPr>
          <w:t>4.28</w:t>
        </w:r>
      </w:hyperlink>
      <w:r>
        <w:rPr>
          <w:rFonts w:ascii="Arial" w:cs="Arial" w:eastAsia="Arial" w:hAnsi="Arial"/>
          <w:sz w:val="18"/>
          <w:szCs w:val="18"/>
          <w:u w:val="single" w:color="auto"/>
          <w:color w:val="0000FF"/>
        </w:rPr>
        <w:tab/>
      </w:r>
      <w:hyperlink r:id="rId238">
        <w:r>
          <w:rPr>
            <w:rFonts w:ascii="Arial" w:cs="Arial" w:eastAsia="Arial" w:hAnsi="Arial"/>
            <w:sz w:val="16"/>
            <w:szCs w:val="16"/>
            <w:u w:val="single" w:color="auto"/>
            <w:color w:val="0000FF"/>
          </w:rPr>
          <w:t>Form of Global Note for 3.340% Senior Notes due 2051 (included in Exhibit 4.25).</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80" w:hanging="444"/>
        <w:spacing w:after="0" w:line="227" w:lineRule="auto"/>
        <w:tabs>
          <w:tab w:leader="none" w:pos="1560" w:val="left"/>
        </w:tabs>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4.29</w:t>
        </w:r>
      </w:hyperlink>
      <w:r>
        <w:rPr>
          <w:rFonts w:ascii="Arial" w:cs="Arial" w:eastAsia="Arial" w:hAnsi="Arial"/>
          <w:sz w:val="18"/>
          <w:szCs w:val="18"/>
          <w:u w:val="single" w:color="auto"/>
          <w:color w:val="0000FF"/>
        </w:rPr>
        <w:tab/>
      </w:r>
      <w:hyperlink r:id="rId241">
        <w:r>
          <w:rPr>
            <w:rFonts w:ascii="Arial" w:cs="Arial" w:eastAsia="Arial" w:hAnsi="Arial"/>
            <w:sz w:val="18"/>
            <w:szCs w:val="18"/>
            <w:u w:val="single" w:color="auto"/>
            <w:color w:val="0000FF"/>
          </w:rPr>
          <w:t>Second Amended and Restated Registration Rights Agreement, dated as of December 25, 2018, by and among the Company, Michael</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S. Dell, Susan Lieberman Dell Separate Property Trust, MSDC Denali Investors, L.P., MSDC Denali EIV, LLC, Silver Lake Partners</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III, L.P., Silver Lake Technology Investors III, L.P., Silver Lake Partners IV, L.P., Silver Lake Technology Investors IV, L.P., SLP</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Denali Co-Invest, L.P., Venezio Investments Pte. Ltd. and the Management Stockholders party thereto (incorporated by reference to</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Exhibit 10.4 to the Company’s Current Report on Form 8-K filed with the Commission on December 28, 2018) (Commission File</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No. 001-37867).</w:t>
        </w:r>
      </w:hyperlink>
    </w:p>
    <w:p>
      <w:pPr>
        <w:spacing w:after="0" w:line="13" w:lineRule="exact"/>
        <w:rPr>
          <w:rFonts w:ascii="Arial" w:cs="Arial" w:eastAsia="Arial" w:hAnsi="Arial"/>
          <w:sz w:val="18"/>
          <w:szCs w:val="18"/>
          <w:u w:val="single" w:color="auto"/>
          <w:color w:val="0000FF"/>
        </w:rPr>
      </w:pPr>
    </w:p>
    <w:p>
      <w:pPr>
        <w:ind w:left="1580" w:hanging="444"/>
        <w:spacing w:after="0" w:line="276" w:lineRule="auto"/>
        <w:tabs>
          <w:tab w:leader="none" w:pos="1560" w:val="left"/>
        </w:tabs>
        <w:rPr>
          <w:rFonts w:ascii="Arial" w:cs="Arial" w:eastAsia="Arial" w:hAnsi="Arial"/>
          <w:sz w:val="16"/>
          <w:szCs w:val="16"/>
          <w:u w:val="single" w:color="auto"/>
          <w:color w:val="0000FF"/>
        </w:rPr>
      </w:pPr>
      <w:hyperlink r:id="rId242"/>
      <w:r>
        <w:rPr>
          <w:rFonts w:ascii="Arial" w:cs="Arial" w:eastAsia="Arial" w:hAnsi="Arial"/>
          <w:sz w:val="35"/>
          <w:szCs w:val="35"/>
          <w:u w:val="single" w:color="auto"/>
          <w:color w:val="0000FF"/>
          <w:vertAlign w:val="superscript"/>
        </w:rPr>
        <w:t>4.30</w:t>
      </w:r>
      <w:r>
        <w:rPr>
          <w:rFonts w:ascii="Arial" w:cs="Arial" w:eastAsia="Arial" w:hAnsi="Arial"/>
          <w:sz w:val="18"/>
          <w:szCs w:val="18"/>
          <w:u w:val="single" w:color="auto"/>
          <w:color w:val="0000FF"/>
        </w:rPr>
        <w:tab/>
      </w:r>
      <w:hyperlink r:id="rId242">
        <w:r>
          <w:rPr>
            <w:rFonts w:ascii="Arial" w:cs="Arial" w:eastAsia="Arial" w:hAnsi="Arial"/>
            <w:sz w:val="16"/>
            <w:szCs w:val="16"/>
            <w:u w:val="single" w:color="auto"/>
            <w:color w:val="0000FF"/>
          </w:rPr>
          <w:t>Amendment No. 1 to Second Amended and Restated Registration Rights Agreement, dated as of May 27, 2019, among Dell</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Technologies Inc., Michael S. Dell, Susan Lieberman Dell Separate Property Trust, MSDC Denali Investors, L.P., MSDC Denali EIV,</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LLC, SL SPV-2, L.P., Silver Lake Partners IV, L.P., Silver Lake Technology Investors IV, L.P., Silver Lake Partners V DE (AIV),</w:t>
        </w:r>
      </w:hyperlink>
    </w:p>
    <w:p>
      <w:pPr>
        <w:spacing w:after="0" w:line="14" w:lineRule="exact"/>
        <w:rPr>
          <w:rFonts w:ascii="Arial" w:cs="Arial" w:eastAsia="Arial" w:hAnsi="Arial"/>
          <w:sz w:val="16"/>
          <w:szCs w:val="16"/>
          <w:u w:val="single" w:color="auto"/>
          <w:color w:val="0000FF"/>
        </w:rPr>
      </w:pPr>
    </w:p>
    <w:p>
      <w:pPr>
        <w:ind w:left="1580" w:right="220"/>
        <w:spacing w:after="0" w:line="234" w:lineRule="auto"/>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L.P., Silver Lake Technology Investors V, L.P., SLP Denali Co-Invest, L.P. and Venezio Investments Pte. Ltd. (incorporated by</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reference to Exhibit 4.40 to the Company’s Annual Report on Form 10-K for the fiscal year ended January 31, 2020) (Commission</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File No. 001-37867).</w:t>
        </w:r>
      </w:hyperlink>
    </w:p>
    <w:p>
      <w:pPr>
        <w:spacing w:after="0" w:line="15" w:lineRule="exact"/>
        <w:rPr>
          <w:rFonts w:ascii="Arial" w:cs="Arial" w:eastAsia="Arial" w:hAnsi="Arial"/>
          <w:sz w:val="18"/>
          <w:szCs w:val="18"/>
          <w:u w:val="single" w:color="auto"/>
          <w:color w:val="0000FF"/>
        </w:rPr>
      </w:pPr>
    </w:p>
    <w:p>
      <w:pPr>
        <w:ind w:left="1580" w:right="120" w:hanging="444"/>
        <w:spacing w:after="0" w:line="259" w:lineRule="auto"/>
        <w:tabs>
          <w:tab w:leader="none" w:pos="1560" w:val="left"/>
        </w:tabs>
        <w:rPr>
          <w:rFonts w:ascii="Arial" w:cs="Arial" w:eastAsia="Arial" w:hAnsi="Arial"/>
          <w:sz w:val="17"/>
          <w:szCs w:val="17"/>
          <w:u w:val="single" w:color="auto"/>
          <w:color w:val="0000FF"/>
        </w:rPr>
      </w:pPr>
      <w:hyperlink r:id="rId243">
        <w:r>
          <w:rPr>
            <w:rFonts w:ascii="Arial" w:cs="Arial" w:eastAsia="Arial" w:hAnsi="Arial"/>
            <w:sz w:val="18"/>
            <w:szCs w:val="18"/>
            <w:u w:val="single" w:color="auto"/>
            <w:color w:val="0000FF"/>
          </w:rPr>
          <w:t>4.31</w:t>
        </w:r>
      </w:hyperlink>
      <w:r>
        <w:rPr>
          <w:rFonts w:ascii="Arial" w:cs="Arial" w:eastAsia="Arial" w:hAnsi="Arial"/>
          <w:sz w:val="18"/>
          <w:szCs w:val="18"/>
          <w:u w:val="single" w:color="auto"/>
          <w:color w:val="0000FF"/>
        </w:rPr>
        <w:tab/>
      </w:r>
      <w:hyperlink r:id="rId243">
        <w:r>
          <w:rPr>
            <w:rFonts w:ascii="Arial" w:cs="Arial" w:eastAsia="Arial" w:hAnsi="Arial"/>
            <w:sz w:val="17"/>
            <w:szCs w:val="17"/>
            <w:u w:val="single" w:color="auto"/>
            <w:color w:val="0000FF"/>
          </w:rPr>
          <w:t>Amendment No. 2 to the Second Amended and Restated Registration Rights Agreement, dated as of April 15, 2020, among Dell</w:t>
        </w:r>
      </w:hyperlink>
      <w:r>
        <w:rPr>
          <w:rFonts w:ascii="Arial" w:cs="Arial" w:eastAsia="Arial" w:hAnsi="Arial"/>
          <w:sz w:val="17"/>
          <w:szCs w:val="17"/>
          <w:u w:val="single" w:color="auto"/>
          <w:color w:val="0000FF"/>
        </w:rPr>
        <w:t xml:space="preserve"> </w:t>
      </w:r>
      <w:hyperlink r:id="rId243">
        <w:r>
          <w:rPr>
            <w:rFonts w:ascii="Arial" w:cs="Arial" w:eastAsia="Arial" w:hAnsi="Arial"/>
            <w:sz w:val="17"/>
            <w:szCs w:val="17"/>
            <w:u w:val="single" w:color="auto"/>
            <w:color w:val="0000FF"/>
          </w:rPr>
          <w:t>Technologies Inc., Michael S. Dell and Susan Lieberman Dell Separate Property Trust, SL SPV-2 L.P., Silver Lake Partners IV, L.P.,</w:t>
        </w:r>
      </w:hyperlink>
      <w:r>
        <w:rPr>
          <w:rFonts w:ascii="Arial" w:cs="Arial" w:eastAsia="Arial" w:hAnsi="Arial"/>
          <w:sz w:val="17"/>
          <w:szCs w:val="17"/>
          <w:u w:val="single" w:color="auto"/>
          <w:color w:val="0000FF"/>
        </w:rPr>
        <w:t xml:space="preserve"> </w:t>
      </w:r>
      <w:hyperlink r:id="rId243">
        <w:r>
          <w:rPr>
            <w:rFonts w:ascii="Arial" w:cs="Arial" w:eastAsia="Arial" w:hAnsi="Arial"/>
            <w:sz w:val="17"/>
            <w:szCs w:val="17"/>
            <w:u w:val="single" w:color="auto"/>
            <w:color w:val="0000FF"/>
          </w:rPr>
          <w:t>Silver Lake Technology Investors IV, L.P., Silver Lake Partners V DE (AIV), L.P., Silver Lake Technology Investors V, L.P. and</w:t>
        </w:r>
      </w:hyperlink>
      <w:r>
        <w:rPr>
          <w:rFonts w:ascii="Arial" w:cs="Arial" w:eastAsia="Arial" w:hAnsi="Arial"/>
          <w:sz w:val="17"/>
          <w:szCs w:val="17"/>
          <w:u w:val="single" w:color="auto"/>
          <w:color w:val="0000FF"/>
        </w:rPr>
        <w:t xml:space="preserve"> </w:t>
      </w:r>
      <w:hyperlink r:id="rId243">
        <w:r>
          <w:rPr>
            <w:rFonts w:ascii="Arial" w:cs="Arial" w:eastAsia="Arial" w:hAnsi="Arial"/>
            <w:sz w:val="17"/>
            <w:szCs w:val="17"/>
            <w:u w:val="single" w:color="auto"/>
            <w:color w:val="0000FF"/>
          </w:rPr>
          <w:t>Venezio Investments Pte. Ltd. (incorporated by reference to Exhibit 4.9 to the Company’s Quarterly Report on Form 10-Q for the</w:t>
        </w:r>
      </w:hyperlink>
      <w:r>
        <w:rPr>
          <w:rFonts w:ascii="Arial" w:cs="Arial" w:eastAsia="Arial" w:hAnsi="Arial"/>
          <w:sz w:val="17"/>
          <w:szCs w:val="17"/>
          <w:u w:val="single" w:color="auto"/>
          <w:color w:val="0000FF"/>
        </w:rPr>
        <w:t xml:space="preserve"> </w:t>
      </w:r>
      <w:hyperlink r:id="rId243">
        <w:r>
          <w:rPr>
            <w:rFonts w:ascii="Arial" w:cs="Arial" w:eastAsia="Arial" w:hAnsi="Arial"/>
            <w:sz w:val="17"/>
            <w:szCs w:val="17"/>
            <w:u w:val="single" w:color="auto"/>
            <w:color w:val="0000FF"/>
          </w:rPr>
          <w:t>quarterly period ended May 1, 2020) (Commission File No. 001-37867).</w:t>
        </w:r>
      </w:hyperlink>
    </w:p>
    <w:p>
      <w:pPr>
        <w:spacing w:after="0" w:line="12" w:lineRule="exact"/>
        <w:rPr>
          <w:rFonts w:ascii="Arial" w:cs="Arial" w:eastAsia="Arial" w:hAnsi="Arial"/>
          <w:sz w:val="17"/>
          <w:szCs w:val="17"/>
          <w:u w:val="single" w:color="auto"/>
          <w:color w:val="0000FF"/>
        </w:rPr>
      </w:pPr>
    </w:p>
    <w:p>
      <w:pPr>
        <w:ind w:left="1580" w:right="40" w:hanging="444"/>
        <w:spacing w:after="0" w:line="259" w:lineRule="auto"/>
        <w:tabs>
          <w:tab w:leader="none" w:pos="1560" w:val="left"/>
        </w:tabs>
        <w:rPr>
          <w:rFonts w:ascii="Arial" w:cs="Arial" w:eastAsia="Arial" w:hAnsi="Arial"/>
          <w:sz w:val="17"/>
          <w:szCs w:val="17"/>
          <w:u w:val="single" w:color="auto"/>
          <w:color w:val="0000FF"/>
        </w:rPr>
      </w:pPr>
      <w:hyperlink r:id="rId244">
        <w:r>
          <w:rPr>
            <w:rFonts w:ascii="Arial" w:cs="Arial" w:eastAsia="Arial" w:hAnsi="Arial"/>
            <w:sz w:val="18"/>
            <w:szCs w:val="18"/>
            <w:u w:val="single" w:color="auto"/>
            <w:color w:val="0000FF"/>
          </w:rPr>
          <w:t>4.32</w:t>
        </w:r>
      </w:hyperlink>
      <w:r>
        <w:rPr>
          <w:rFonts w:ascii="Arial" w:cs="Arial" w:eastAsia="Arial" w:hAnsi="Arial"/>
          <w:sz w:val="18"/>
          <w:szCs w:val="18"/>
          <w:u w:val="single" w:color="auto"/>
          <w:color w:val="0000FF"/>
        </w:rPr>
        <w:tab/>
      </w:r>
      <w:hyperlink r:id="rId244">
        <w:r>
          <w:rPr>
            <w:rFonts w:ascii="Arial" w:cs="Arial" w:eastAsia="Arial" w:hAnsi="Arial"/>
            <w:sz w:val="17"/>
            <w:szCs w:val="17"/>
            <w:u w:val="single" w:color="auto"/>
            <w:color w:val="0000FF"/>
          </w:rPr>
          <w:t>Amendment No. 3 to the Second Amended and Restated Registration Rights Agreement, dated as of September 15, 2020, among</w:t>
        </w:r>
      </w:hyperlink>
      <w:r>
        <w:rPr>
          <w:rFonts w:ascii="Arial" w:cs="Arial" w:eastAsia="Arial" w:hAnsi="Arial"/>
          <w:sz w:val="17"/>
          <w:szCs w:val="17"/>
          <w:u w:val="single" w:color="auto"/>
          <w:color w:val="0000FF"/>
        </w:rPr>
        <w:t xml:space="preserve"> </w:t>
      </w:r>
      <w:hyperlink r:id="rId244">
        <w:r>
          <w:rPr>
            <w:rFonts w:ascii="Arial" w:cs="Arial" w:eastAsia="Arial" w:hAnsi="Arial"/>
            <w:sz w:val="17"/>
            <w:szCs w:val="17"/>
            <w:u w:val="single" w:color="auto"/>
            <w:color w:val="0000FF"/>
          </w:rPr>
          <w:t>Dell Technologies Inc., Michael S. Dell and Susan Lieberman Dell Separate Property Trust, SL SPV-2 L.P., Silver Lake Partners IV,</w:t>
        </w:r>
      </w:hyperlink>
      <w:r>
        <w:rPr>
          <w:rFonts w:ascii="Arial" w:cs="Arial" w:eastAsia="Arial" w:hAnsi="Arial"/>
          <w:sz w:val="17"/>
          <w:szCs w:val="17"/>
          <w:u w:val="single" w:color="auto"/>
          <w:color w:val="0000FF"/>
        </w:rPr>
        <w:t xml:space="preserve"> </w:t>
      </w:r>
      <w:hyperlink r:id="rId244">
        <w:r>
          <w:rPr>
            <w:rFonts w:ascii="Arial" w:cs="Arial" w:eastAsia="Arial" w:hAnsi="Arial"/>
            <w:sz w:val="17"/>
            <w:szCs w:val="17"/>
            <w:u w:val="single" w:color="auto"/>
            <w:color w:val="0000FF"/>
          </w:rPr>
          <w:t>L.P., Silver Lake Technology Investors IV, L.P., Silver Lake Partners V DE (AIV), L.P., Silver Lake Technology Investors V, L.P. and</w:t>
        </w:r>
      </w:hyperlink>
      <w:r>
        <w:rPr>
          <w:rFonts w:ascii="Arial" w:cs="Arial" w:eastAsia="Arial" w:hAnsi="Arial"/>
          <w:sz w:val="17"/>
          <w:szCs w:val="17"/>
          <w:u w:val="single" w:color="auto"/>
          <w:color w:val="0000FF"/>
        </w:rPr>
        <w:t xml:space="preserve"> </w:t>
      </w:r>
      <w:hyperlink r:id="rId244">
        <w:r>
          <w:rPr>
            <w:rFonts w:ascii="Arial" w:cs="Arial" w:eastAsia="Arial" w:hAnsi="Arial"/>
            <w:sz w:val="17"/>
            <w:szCs w:val="17"/>
            <w:u w:val="single" w:color="auto"/>
            <w:color w:val="0000FF"/>
          </w:rPr>
          <w:t>Venezio Investments Pte. Ltd. (incorporated by reference to Exhibit 4.1 to the Company’s Quarterly Report on Form 10-Q for the</w:t>
        </w:r>
      </w:hyperlink>
      <w:r>
        <w:rPr>
          <w:rFonts w:ascii="Arial" w:cs="Arial" w:eastAsia="Arial" w:hAnsi="Arial"/>
          <w:sz w:val="17"/>
          <w:szCs w:val="17"/>
          <w:u w:val="single" w:color="auto"/>
          <w:color w:val="0000FF"/>
        </w:rPr>
        <w:t xml:space="preserve"> </w:t>
      </w:r>
      <w:hyperlink r:id="rId244">
        <w:r>
          <w:rPr>
            <w:rFonts w:ascii="Arial" w:cs="Arial" w:eastAsia="Arial" w:hAnsi="Arial"/>
            <w:sz w:val="17"/>
            <w:szCs w:val="17"/>
            <w:u w:val="single" w:color="auto"/>
            <w:color w:val="0000FF"/>
          </w:rPr>
          <w:t>quarterly period ended October 30, 2020) (Commission File No. 001-37867).</w:t>
        </w:r>
      </w:hyperlink>
    </w:p>
    <w:p>
      <w:pPr>
        <w:spacing w:after="0" w:line="25" w:lineRule="exact"/>
        <w:rPr>
          <w:rFonts w:ascii="Arial" w:cs="Arial" w:eastAsia="Arial" w:hAnsi="Arial"/>
          <w:sz w:val="17"/>
          <w:szCs w:val="17"/>
          <w:u w:val="single" w:color="auto"/>
          <w:color w:val="0000FF"/>
        </w:rPr>
      </w:pPr>
    </w:p>
    <w:p>
      <w:pPr>
        <w:ind w:left="1580" w:right="180" w:hanging="534"/>
        <w:spacing w:after="0" w:line="265" w:lineRule="auto"/>
        <w:tabs>
          <w:tab w:leader="none" w:pos="1560" w:val="left"/>
        </w:tabs>
        <w:rPr>
          <w:rFonts w:ascii="Arial" w:cs="Arial" w:eastAsia="Arial" w:hAnsi="Arial"/>
          <w:sz w:val="17"/>
          <w:szCs w:val="17"/>
          <w:u w:val="single" w:color="auto"/>
          <w:color w:val="0000FF"/>
        </w:rPr>
      </w:pPr>
      <w:hyperlink w:anchor="page173">
        <w:r>
          <w:rPr>
            <w:rFonts w:ascii="Arial" w:cs="Arial" w:eastAsia="Arial" w:hAnsi="Arial"/>
            <w:sz w:val="18"/>
            <w:szCs w:val="18"/>
            <w:u w:val="single" w:color="auto"/>
            <w:color w:val="0000FF"/>
          </w:rPr>
          <w:t>4.33†</w:t>
        </w:r>
      </w:hyperlink>
      <w:r>
        <w:rPr>
          <w:rFonts w:ascii="Arial" w:cs="Arial" w:eastAsia="Arial" w:hAnsi="Arial"/>
          <w:sz w:val="18"/>
          <w:szCs w:val="18"/>
          <w:u w:val="single" w:color="auto"/>
          <w:color w:val="0000FF"/>
        </w:rPr>
        <w:tab/>
      </w:r>
      <w:hyperlink w:anchor="page173">
        <w:r>
          <w:rPr>
            <w:rFonts w:ascii="Arial" w:cs="Arial" w:eastAsia="Arial" w:hAnsi="Arial"/>
            <w:sz w:val="17"/>
            <w:szCs w:val="17"/>
            <w:u w:val="single" w:color="auto"/>
            <w:color w:val="0000FF"/>
          </w:rPr>
          <w:t>Consent to the Extension of Registration Rights Under the Second Amended and Restated Registration Rights Agreement, dated</w:t>
        </w:r>
      </w:hyperlink>
      <w:r>
        <w:rPr>
          <w:rFonts w:ascii="Arial" w:cs="Arial" w:eastAsia="Arial" w:hAnsi="Arial"/>
          <w:sz w:val="17"/>
          <w:szCs w:val="17"/>
          <w:u w:val="single" w:color="auto"/>
          <w:color w:val="0000FF"/>
        </w:rPr>
        <w:t xml:space="preserve"> </w:t>
      </w:r>
      <w:hyperlink w:anchor="page173">
        <w:r>
          <w:rPr>
            <w:rFonts w:ascii="Arial" w:cs="Arial" w:eastAsia="Arial" w:hAnsi="Arial"/>
            <w:sz w:val="17"/>
            <w:szCs w:val="17"/>
            <w:u w:val="single" w:color="auto"/>
            <w:color w:val="0000FF"/>
          </w:rPr>
          <w:t>January 3, 2022, among Dell Technologies Inc. and SL SPV-2 L.P., Silver Lake Partners IV, L.P., Silver Lake Technology Investors</w:t>
        </w:r>
      </w:hyperlink>
      <w:r>
        <w:rPr>
          <w:rFonts w:ascii="Arial" w:cs="Arial" w:eastAsia="Arial" w:hAnsi="Arial"/>
          <w:sz w:val="17"/>
          <w:szCs w:val="17"/>
          <w:u w:val="single" w:color="auto"/>
          <w:color w:val="0000FF"/>
        </w:rPr>
        <w:t xml:space="preserve"> </w:t>
      </w:r>
      <w:hyperlink w:anchor="page173">
        <w:r>
          <w:rPr>
            <w:rFonts w:ascii="Arial" w:cs="Arial" w:eastAsia="Arial" w:hAnsi="Arial"/>
            <w:sz w:val="17"/>
            <w:szCs w:val="17"/>
            <w:u w:val="single" w:color="auto"/>
            <w:color w:val="0000FF"/>
          </w:rPr>
          <w:t>IV, L.P., Silver Lake Partners V DE (AIV), L.P., Silver Lake Technology Investors V, L.P.</w:t>
        </w:r>
      </w:hyperlink>
    </w:p>
    <w:p>
      <w:pPr>
        <w:ind w:left="1580" w:right="340" w:hanging="444"/>
        <w:spacing w:after="0" w:line="246" w:lineRule="auto"/>
        <w:tabs>
          <w:tab w:leader="none" w:pos="1560" w:val="left"/>
        </w:tabs>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4.34</w:t>
        </w:r>
      </w:hyperlink>
      <w:r>
        <w:rPr>
          <w:rFonts w:ascii="Arial" w:cs="Arial" w:eastAsia="Arial" w:hAnsi="Arial"/>
          <w:sz w:val="18"/>
          <w:szCs w:val="18"/>
          <w:u w:val="single" w:color="auto"/>
          <w:color w:val="0000FF"/>
        </w:rPr>
        <w:tab/>
      </w:r>
      <w:hyperlink r:id="rId245">
        <w:r>
          <w:rPr>
            <w:rFonts w:ascii="Arial" w:cs="Arial" w:eastAsia="Arial" w:hAnsi="Arial"/>
            <w:sz w:val="18"/>
            <w:szCs w:val="18"/>
            <w:u w:val="single" w:color="auto"/>
            <w:color w:val="0000FF"/>
          </w:rPr>
          <w:t>Description of Common Stock (incorporated by reference to Exhibit 4.41 to the Company’s Annual Report on Form 10-K for the</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fiscal year ended January 31, 2020) (Commission File No. 001-37867).</w:t>
        </w:r>
      </w:hyperlink>
    </w:p>
    <w:p>
      <w:pPr>
        <w:spacing w:after="0" w:line="8" w:lineRule="exact"/>
        <w:rPr>
          <w:rFonts w:ascii="Arial" w:cs="Arial" w:eastAsia="Arial" w:hAnsi="Arial"/>
          <w:sz w:val="18"/>
          <w:szCs w:val="18"/>
          <w:u w:val="single" w:color="auto"/>
          <w:color w:val="0000FF"/>
        </w:rPr>
      </w:pPr>
    </w:p>
    <w:p>
      <w:pPr>
        <w:jc w:val="both"/>
        <w:ind w:left="1580" w:right="200" w:hanging="534"/>
        <w:spacing w:after="0" w:line="224" w:lineRule="auto"/>
        <w:tabs>
          <w:tab w:leader="none" w:pos="1560" w:val="left"/>
        </w:tabs>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246">
        <w:r>
          <w:rPr>
            <w:rFonts w:ascii="Arial" w:cs="Arial" w:eastAsia="Arial" w:hAnsi="Arial"/>
            <w:sz w:val="18"/>
            <w:szCs w:val="18"/>
            <w:u w:val="single" w:color="auto"/>
            <w:color w:val="0000FF"/>
          </w:rPr>
          <w:t>Dell Technologies Inc. 2012 Long-Term Incentive Plan (formerly known as Dell Inc. 2012 Long-Term Incentive Plan) as amended</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and restated as of October 6, 2017 (incorporated by reference to Exhibit 10.4 to the Company’s Quarterly Report on Form 10-Q for</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the quarterly period ended November 3, 2017) (Commission File No. 001-37867).</w:t>
        </w:r>
      </w:hyperlink>
    </w:p>
    <w:p>
      <w:pPr>
        <w:spacing w:after="0" w:line="2" w:lineRule="exact"/>
        <w:rPr>
          <w:rFonts w:ascii="Arial" w:cs="Arial" w:eastAsia="Arial" w:hAnsi="Arial"/>
          <w:sz w:val="18"/>
          <w:szCs w:val="18"/>
          <w:u w:val="single" w:color="auto"/>
          <w:color w:val="0000FF"/>
        </w:rPr>
      </w:pPr>
    </w:p>
    <w:p>
      <w:pPr>
        <w:ind w:left="1580" w:right="200" w:hanging="534"/>
        <w:spacing w:after="0" w:line="224" w:lineRule="auto"/>
        <w:tabs>
          <w:tab w:leader="none" w:pos="1560" w:val="left"/>
        </w:tabs>
        <w:rPr>
          <w:rFonts w:ascii="Arial" w:cs="Arial" w:eastAsia="Arial" w:hAnsi="Arial"/>
          <w:sz w:val="18"/>
          <w:szCs w:val="18"/>
          <w:u w:val="single" w:color="auto"/>
          <w:color w:val="0000FF"/>
        </w:rPr>
      </w:pPr>
      <w:hyperlink r:id="rId247">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47">
        <w:r>
          <w:rPr>
            <w:rFonts w:ascii="Arial" w:cs="Arial" w:eastAsia="Arial" w:hAnsi="Arial"/>
            <w:sz w:val="18"/>
            <w:szCs w:val="18"/>
            <w:u w:val="single" w:color="auto"/>
            <w:color w:val="0000FF"/>
          </w:rPr>
          <w:t>Form of Dell Inc. Long-Term Cash Incentive and Retention Award for Fiscal 2016 awards under the Dell Technologies Inc. 2012</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Long-Term Incentive Plan (incorporated by reference to Exhibit 10.13 to Amendment No. 3 to the Company’s 2016 Form S-4 filed</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with the Commission on April 11, 2016) (Registration No. 333-208524).</w:t>
        </w:r>
      </w:hyperlink>
    </w:p>
    <w:p>
      <w:pPr>
        <w:spacing w:after="0" w:line="1" w:lineRule="exact"/>
        <w:rPr>
          <w:rFonts w:ascii="Arial" w:cs="Arial" w:eastAsia="Arial" w:hAnsi="Arial"/>
          <w:sz w:val="18"/>
          <w:szCs w:val="18"/>
          <w:u w:val="single" w:color="auto"/>
          <w:color w:val="0000FF"/>
        </w:rPr>
      </w:pPr>
    </w:p>
    <w:p>
      <w:pPr>
        <w:ind w:left="1580" w:right="100" w:hanging="534"/>
        <w:spacing w:after="0" w:line="219" w:lineRule="auto"/>
        <w:tabs>
          <w:tab w:leader="none" w:pos="1560" w:val="left"/>
        </w:tabs>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48">
        <w:r>
          <w:rPr>
            <w:rFonts w:ascii="Arial" w:cs="Arial" w:eastAsia="Arial" w:hAnsi="Arial"/>
            <w:sz w:val="18"/>
            <w:szCs w:val="18"/>
            <w:u w:val="single" w:color="auto"/>
            <w:color w:val="0000FF"/>
          </w:rPr>
          <w:t>Form of Dell Inc. Long-Term Cash Incentive and Retention Award Agreement, under the Dell Technologies Inc. 2012 Long-Term</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Incentive Plan, between Dell Inc. and each of Jeremy Burton, Howard D. Elias and David I. Goulden (incorporated by reference to</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Exhibit 10.3 to the Company’s Annual Report on Form 10-K for the fiscal year ended February 3, 2017) (Commission File No. 001-</w:t>
        </w:r>
      </w:hyperlink>
      <w:hyperlink r:id="rId248">
        <w:r>
          <w:rPr>
            <w:rFonts w:ascii="Arial" w:cs="Arial" w:eastAsia="Arial" w:hAnsi="Arial"/>
            <w:sz w:val="18"/>
            <w:szCs w:val="18"/>
            <w:u w:val="single" w:color="auto"/>
            <w:color w:val="0000FF"/>
          </w:rPr>
          <w:t>37867).</w:t>
        </w:r>
      </w:hyperlink>
    </w:p>
    <w:p>
      <w:pPr>
        <w:spacing w:after="0" w:line="1" w:lineRule="exact"/>
        <w:rPr>
          <w:rFonts w:ascii="Arial" w:cs="Arial" w:eastAsia="Arial" w:hAnsi="Arial"/>
          <w:sz w:val="18"/>
          <w:szCs w:val="18"/>
          <w:u w:val="single" w:color="auto"/>
          <w:color w:val="0000FF"/>
        </w:rPr>
      </w:pPr>
    </w:p>
    <w:p>
      <w:pPr>
        <w:ind w:left="1580" w:right="460" w:hanging="534"/>
        <w:spacing w:after="0" w:line="224" w:lineRule="auto"/>
        <w:tabs>
          <w:tab w:leader="none" w:pos="1560" w:val="left"/>
        </w:tabs>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49">
        <w:r>
          <w:rPr>
            <w:rFonts w:ascii="Arial" w:cs="Arial" w:eastAsia="Arial" w:hAnsi="Arial"/>
            <w:sz w:val="18"/>
            <w:szCs w:val="18"/>
            <w:u w:val="single" w:color="auto"/>
            <w:color w:val="0000FF"/>
          </w:rPr>
          <w:t>Form of Dell Inc. Deferred Cash Replacement Agreement under the Dell Technologies Inc. 2012 Long-Term Incentive Plan</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(incorporated by reference to Exhibit 10.4 to the Company’s Annual Report on Form 10-K for the fiscal year ended February 3,</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2017) (Commission File No. 001-37867).</w:t>
        </w:r>
      </w:hyperlink>
    </w:p>
    <w:p>
      <w:pPr>
        <w:spacing w:after="0" w:line="1" w:lineRule="exact"/>
        <w:rPr>
          <w:rFonts w:ascii="Arial" w:cs="Arial" w:eastAsia="Arial" w:hAnsi="Arial"/>
          <w:sz w:val="18"/>
          <w:szCs w:val="18"/>
          <w:u w:val="single" w:color="auto"/>
          <w:color w:val="0000FF"/>
        </w:rPr>
      </w:pPr>
    </w:p>
    <w:p>
      <w:pPr>
        <w:ind w:left="1580" w:right="320" w:hanging="534"/>
        <w:spacing w:after="0" w:line="245" w:lineRule="auto"/>
        <w:tabs>
          <w:tab w:leader="none" w:pos="1560" w:val="left"/>
        </w:tabs>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50">
        <w:r>
          <w:rPr>
            <w:rFonts w:ascii="Arial" w:cs="Arial" w:eastAsia="Arial" w:hAnsi="Arial"/>
            <w:sz w:val="18"/>
            <w:szCs w:val="18"/>
            <w:u w:val="single" w:color="auto"/>
            <w:color w:val="0000FF"/>
          </w:rPr>
          <w:t>Dell Inc. Annual Bonus Plan (incorporated by reference to Exhibit 10.1 to the Company’s Quarterly Report on Form 10-Q for the</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quarterly period ended May 1, 2020) (Commission File No. 001-37867).</w:t>
        </w:r>
      </w:hyperlink>
    </w:p>
    <w:p>
      <w:pPr>
        <w:spacing w:after="0" w:line="9" w:lineRule="exact"/>
        <w:rPr>
          <w:rFonts w:ascii="Arial" w:cs="Arial" w:eastAsia="Arial" w:hAnsi="Arial"/>
          <w:sz w:val="18"/>
          <w:szCs w:val="18"/>
          <w:u w:val="single" w:color="auto"/>
          <w:color w:val="0000FF"/>
        </w:rPr>
      </w:pPr>
    </w:p>
    <w:p>
      <w:pPr>
        <w:ind w:left="1580" w:right="60" w:hanging="534"/>
        <w:spacing w:after="0" w:line="235" w:lineRule="auto"/>
        <w:tabs>
          <w:tab w:leader="none" w:pos="1560" w:val="left"/>
        </w:tabs>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51">
        <w:r>
          <w:rPr>
            <w:rFonts w:ascii="Arial" w:cs="Arial" w:eastAsia="Arial" w:hAnsi="Arial"/>
            <w:sz w:val="18"/>
            <w:szCs w:val="18"/>
            <w:u w:val="single" w:color="auto"/>
            <w:color w:val="0000FF"/>
          </w:rPr>
          <w:t>Dell Inc. Special Incentive Bonus Plan (incorporated by reference to Exhibit 10.6 to Amendment No. 3 to the Company’s 2016 Form</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S-4 filed with the Commission on April 11, 2016) (Registration No. 333-208524).</w:t>
        </w:r>
      </w:hyperlink>
    </w:p>
    <w:p>
      <w:pPr>
        <w:jc w:val="both"/>
        <w:ind w:left="1580" w:right="500" w:hanging="534"/>
        <w:spacing w:after="0" w:line="224" w:lineRule="auto"/>
        <w:tabs>
          <w:tab w:leader="none" w:pos="1560" w:val="left"/>
        </w:tabs>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52">
        <w:r>
          <w:rPr>
            <w:rFonts w:ascii="Arial" w:cs="Arial" w:eastAsia="Arial" w:hAnsi="Arial"/>
            <w:sz w:val="18"/>
            <w:szCs w:val="18"/>
            <w:u w:val="single" w:color="auto"/>
            <w:color w:val="0000FF"/>
          </w:rPr>
          <w:t>Employment Agreement, dated October 29, 2013, by and among Dell Inc., the Company and Michael S. Dell (incorporated by</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reference to Exhibit 10.7 to Amendment No. 3 to the Company’s 2016 Form S-4 filed with the Commission on April 11, 2016)</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(Registration No. 333-208524).</w:t>
        </w:r>
      </w:hyperlink>
    </w:p>
    <w:p>
      <w:pPr>
        <w:spacing w:after="0" w:line="1" w:lineRule="exact"/>
        <w:rPr>
          <w:rFonts w:ascii="Arial" w:cs="Arial" w:eastAsia="Arial" w:hAnsi="Arial"/>
          <w:sz w:val="18"/>
          <w:szCs w:val="18"/>
          <w:u w:val="single" w:color="auto"/>
          <w:color w:val="0000FF"/>
        </w:rPr>
      </w:pPr>
    </w:p>
    <w:p>
      <w:pPr>
        <w:ind w:left="1580" w:right="100" w:hanging="534"/>
        <w:spacing w:after="0" w:line="234" w:lineRule="auto"/>
        <w:tabs>
          <w:tab w:leader="none" w:pos="1560" w:val="left"/>
        </w:tabs>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253">
        <w:r>
          <w:rPr>
            <w:rFonts w:ascii="Arial" w:cs="Arial" w:eastAsia="Arial" w:hAnsi="Arial"/>
            <w:sz w:val="18"/>
            <w:szCs w:val="18"/>
            <w:u w:val="single" w:color="auto"/>
            <w:color w:val="0000FF"/>
          </w:rPr>
          <w:t>Dell Inc. Severance Pay Plan for Executive Employees (incorporated by reference to Exhibit 10.14 to the Company’s Annual Report</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on Form 10-K for the fiscal year ended February 3, 2017) (Commission File No. 001-37867).</w:t>
        </w:r>
      </w:hyperlink>
    </w:p>
    <w:p>
      <w:pPr>
        <w:spacing w:after="0" w:line="200" w:lineRule="exact"/>
        <w:rPr>
          <w:rFonts w:ascii="Arial" w:cs="Arial" w:eastAsia="Arial" w:hAnsi="Arial"/>
          <w:sz w:val="18"/>
          <w:szCs w:val="18"/>
          <w:u w:val="single" w:color="auto"/>
          <w:color w:val="0000FF"/>
        </w:rPr>
      </w:pPr>
    </w:p>
    <w:p>
      <w:pPr>
        <w:spacing w:after="0" w:line="38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40"/>
        <w:spacing w:after="0"/>
        <w:tabs>
          <w:tab w:leader="none" w:pos="1560" w:val="left"/>
        </w:tabs>
        <w:rPr>
          <w:rFonts w:ascii="Arial" w:cs="Arial" w:eastAsia="Arial" w:hAnsi="Arial"/>
          <w:sz w:val="16"/>
          <w:szCs w:val="16"/>
          <w:u w:val="single" w:color="auto"/>
          <w:color w:val="0000FF"/>
        </w:rPr>
      </w:pPr>
      <w:hyperlink r:id="rId255">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255">
        <w:r>
          <w:rPr>
            <w:rFonts w:ascii="Arial" w:cs="Arial" w:eastAsia="Arial" w:hAnsi="Arial"/>
            <w:sz w:val="16"/>
            <w:szCs w:val="16"/>
            <w:u w:val="single" w:color="auto"/>
            <w:color w:val="0000FF"/>
          </w:rPr>
          <w:t>Form of Protection of Sensitive Information, Noncompetition and Nonsolicitation Agreement (incorporated by reference to Exhibit</w:t>
        </w:r>
      </w:hyperlink>
    </w:p>
    <w:p>
      <w:pPr>
        <w:ind w:left="1580"/>
        <w:spacing w:after="0" w:line="228" w:lineRule="auto"/>
        <w:rPr>
          <w:rFonts w:ascii="Arial" w:cs="Arial" w:eastAsia="Arial" w:hAnsi="Arial"/>
          <w:sz w:val="16"/>
          <w:szCs w:val="16"/>
          <w:u w:val="single" w:color="auto"/>
          <w:color w:val="0000FF"/>
        </w:rPr>
      </w:pPr>
      <w:hyperlink r:id="rId255">
        <w:r>
          <w:rPr>
            <w:rFonts w:ascii="Arial" w:cs="Arial" w:eastAsia="Arial" w:hAnsi="Arial"/>
            <w:sz w:val="16"/>
            <w:szCs w:val="16"/>
            <w:u w:val="single" w:color="auto"/>
            <w:color w:val="0000FF"/>
          </w:rPr>
          <w:t>10.16 to Amendment No. 3 to the Company’s 2016 Form S-4 filed with the Commission on April 11, 2016) (Registration No. 333-</w:t>
        </w:r>
      </w:hyperlink>
    </w:p>
    <w:p>
      <w:pPr>
        <w:spacing w:after="0" w:line="1" w:lineRule="exact"/>
        <w:rPr>
          <w:sz w:val="20"/>
          <w:szCs w:val="20"/>
          <w:color w:val="auto"/>
        </w:rPr>
      </w:pPr>
    </w:p>
    <w:p>
      <w:pPr>
        <w:ind w:left="1580"/>
        <w:spacing w:after="0"/>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208524).</w:t>
        </w:r>
      </w:hyperlink>
    </w:p>
    <w:p>
      <w:pPr>
        <w:spacing w:after="0" w:line="7" w:lineRule="exact"/>
        <w:rPr>
          <w:sz w:val="20"/>
          <w:szCs w:val="20"/>
          <w:color w:val="auto"/>
        </w:rPr>
      </w:pPr>
    </w:p>
    <w:p>
      <w:pPr>
        <w:ind w:left="1580" w:right="460" w:hanging="624"/>
        <w:spacing w:after="0" w:line="248" w:lineRule="auto"/>
        <w:tabs>
          <w:tab w:leader="none" w:pos="1560" w:val="left"/>
        </w:tabs>
        <w:rPr>
          <w:rFonts w:ascii="Arial" w:cs="Arial" w:eastAsia="Arial" w:hAnsi="Arial"/>
          <w:sz w:val="17"/>
          <w:szCs w:val="17"/>
          <w:u w:val="single" w:color="auto"/>
          <w:color w:val="0000FF"/>
        </w:rPr>
      </w:pPr>
      <w:hyperlink r:id="rId256">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256">
        <w:r>
          <w:rPr>
            <w:rFonts w:ascii="Arial" w:cs="Arial" w:eastAsia="Arial" w:hAnsi="Arial"/>
            <w:sz w:val="17"/>
            <w:szCs w:val="17"/>
            <w:u w:val="single" w:color="auto"/>
            <w:color w:val="0000FF"/>
          </w:rPr>
          <w:t>Form of Dell Technologies Inc. Deferred Cash Award Agreement (incorporated by reference to Exhibit 10.26 to the Company’s</w:t>
        </w:r>
      </w:hyperlink>
      <w:r>
        <w:rPr>
          <w:rFonts w:ascii="Arial" w:cs="Arial" w:eastAsia="Arial" w:hAnsi="Arial"/>
          <w:sz w:val="17"/>
          <w:szCs w:val="17"/>
          <w:u w:val="single" w:color="auto"/>
          <w:color w:val="0000FF"/>
        </w:rPr>
        <w:t xml:space="preserve"> </w:t>
      </w:r>
      <w:hyperlink r:id="rId256">
        <w:r>
          <w:rPr>
            <w:rFonts w:ascii="Arial" w:cs="Arial" w:eastAsia="Arial" w:hAnsi="Arial"/>
            <w:sz w:val="17"/>
            <w:szCs w:val="17"/>
            <w:u w:val="single" w:color="auto"/>
            <w:color w:val="0000FF"/>
          </w:rPr>
          <w:t>Annual Report on Form 10-K for the fiscal year ended February 3, 2017) (Commission File No. 001-37867).</w:t>
        </w:r>
      </w:hyperlink>
    </w:p>
    <w:p>
      <w:pPr>
        <w:spacing w:after="0" w:line="1" w:lineRule="exact"/>
        <w:rPr>
          <w:rFonts w:ascii="Arial" w:cs="Arial" w:eastAsia="Arial" w:hAnsi="Arial"/>
          <w:sz w:val="18"/>
          <w:szCs w:val="18"/>
          <w:u w:val="single" w:color="auto"/>
          <w:color w:val="0000FF"/>
        </w:rPr>
      </w:pPr>
    </w:p>
    <w:p>
      <w:pPr>
        <w:ind w:left="1580" w:right="100" w:hanging="527"/>
        <w:spacing w:after="0" w:line="224" w:lineRule="auto"/>
        <w:tabs>
          <w:tab w:leader="none" w:pos="1560" w:val="left"/>
        </w:tabs>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257">
        <w:r>
          <w:rPr>
            <w:rFonts w:ascii="Arial" w:cs="Arial" w:eastAsia="Arial" w:hAnsi="Arial"/>
            <w:sz w:val="18"/>
            <w:szCs w:val="18"/>
            <w:u w:val="single" w:color="auto"/>
            <w:color w:val="0000FF"/>
          </w:rPr>
          <w:t>Amended and Restated Master Transaction Agreement among EMC Corporation, Dell Technologies Inc. and VMware, Inc. dated</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January 9, 2018 (incorporated by reference to Exhibit 10.1 to VMware, Inc.’s Annual Report on Form 10-K for the fiscal year ended</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February 2, 2018) (Commission File No. 001-33622).</w:t>
        </w:r>
      </w:hyperlink>
    </w:p>
    <w:p>
      <w:pPr>
        <w:spacing w:after="0" w:line="1" w:lineRule="exact"/>
        <w:rPr>
          <w:rFonts w:ascii="Arial" w:cs="Arial" w:eastAsia="Arial" w:hAnsi="Arial"/>
          <w:sz w:val="18"/>
          <w:szCs w:val="18"/>
          <w:u w:val="single" w:color="auto"/>
          <w:color w:val="0000FF"/>
        </w:rPr>
      </w:pPr>
    </w:p>
    <w:p>
      <w:pPr>
        <w:ind w:left="1580" w:right="60" w:hanging="624"/>
        <w:spacing w:after="0" w:line="224" w:lineRule="auto"/>
        <w:tabs>
          <w:tab w:leader="none" w:pos="1560" w:val="left"/>
        </w:tabs>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258">
        <w:r>
          <w:rPr>
            <w:rFonts w:ascii="Arial" w:cs="Arial" w:eastAsia="Arial" w:hAnsi="Arial"/>
            <w:sz w:val="18"/>
            <w:szCs w:val="18"/>
            <w:u w:val="single" w:color="auto"/>
            <w:color w:val="0000FF"/>
          </w:rPr>
          <w:t>Form of Indemnification Agreement between the Company and certain members of its Board of Directors (incorporated by reference</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to Exhibit 10.38 to the Company’s Annual Report on Form 10-K for the fiscal year ended February 3, 2017) (Commission File No.</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001-37867).</w:t>
        </w:r>
      </w:hyperlink>
    </w:p>
    <w:p>
      <w:pPr>
        <w:spacing w:after="0" w:line="1" w:lineRule="exact"/>
        <w:rPr>
          <w:rFonts w:ascii="Arial" w:cs="Arial" w:eastAsia="Arial" w:hAnsi="Arial"/>
          <w:sz w:val="18"/>
          <w:szCs w:val="18"/>
          <w:u w:val="single" w:color="auto"/>
          <w:color w:val="0000FF"/>
        </w:rPr>
      </w:pPr>
    </w:p>
    <w:p>
      <w:pPr>
        <w:ind w:left="960"/>
        <w:spacing w:after="0"/>
        <w:tabs>
          <w:tab w:leader="none" w:pos="1560" w:val="left"/>
        </w:tabs>
        <w:rPr>
          <w:rFonts w:ascii="Arial" w:cs="Arial" w:eastAsia="Arial" w:hAnsi="Arial"/>
          <w:sz w:val="16"/>
          <w:szCs w:val="16"/>
          <w:u w:val="single" w:color="auto"/>
          <w:color w:val="0000FF"/>
        </w:rPr>
      </w:pPr>
      <w:hyperlink w:anchor="page180">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w:anchor="page180">
        <w:r>
          <w:rPr>
            <w:rFonts w:ascii="Arial" w:cs="Arial" w:eastAsia="Arial" w:hAnsi="Arial"/>
            <w:sz w:val="16"/>
            <w:szCs w:val="16"/>
            <w:u w:val="single" w:color="auto"/>
            <w:color w:val="0000FF"/>
          </w:rPr>
          <w:t>Form of Indemnification Agreement between the Company and certain members of its Board of Directors.</w:t>
        </w:r>
      </w:hyperlink>
    </w:p>
    <w:p>
      <w:pPr>
        <w:spacing w:after="0" w:line="23" w:lineRule="exact"/>
        <w:rPr>
          <w:sz w:val="20"/>
          <w:szCs w:val="20"/>
          <w:color w:val="auto"/>
        </w:rPr>
      </w:pPr>
    </w:p>
    <w:p>
      <w:pPr>
        <w:ind w:left="1580" w:right="140" w:hanging="624"/>
        <w:spacing w:after="0" w:line="224" w:lineRule="auto"/>
        <w:tabs>
          <w:tab w:leader="none" w:pos="1560" w:val="left"/>
        </w:tabs>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259">
        <w:r>
          <w:rPr>
            <w:rFonts w:ascii="Arial" w:cs="Arial" w:eastAsia="Arial" w:hAnsi="Arial"/>
            <w:sz w:val="18"/>
            <w:szCs w:val="18"/>
            <w:u w:val="single" w:color="auto"/>
            <w:color w:val="0000FF"/>
          </w:rPr>
          <w:t>Form of Indemnification Agreement between EMC Corporation and each of Jeremy Burton, Howard D. Elias and David I. Goulden</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(incorporated by reference to Exhibit 10.39 to the Company’s Annual Report on Form 10-K for the fiscal year ended February 3,</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2017) (Commission File No. 001-37867).</w:t>
        </w:r>
      </w:hyperlink>
    </w:p>
    <w:p>
      <w:pPr>
        <w:spacing w:after="0" w:line="1" w:lineRule="exact"/>
        <w:rPr>
          <w:rFonts w:ascii="Arial" w:cs="Arial" w:eastAsia="Arial" w:hAnsi="Arial"/>
          <w:sz w:val="18"/>
          <w:szCs w:val="18"/>
          <w:u w:val="single" w:color="auto"/>
          <w:color w:val="0000FF"/>
        </w:rPr>
      </w:pPr>
    </w:p>
    <w:p>
      <w:pPr>
        <w:ind w:left="960"/>
        <w:spacing w:after="0"/>
        <w:tabs>
          <w:tab w:leader="none" w:pos="1560" w:val="left"/>
        </w:tabs>
        <w:rPr>
          <w:rFonts w:ascii="Arial" w:cs="Arial" w:eastAsia="Arial" w:hAnsi="Arial"/>
          <w:sz w:val="16"/>
          <w:szCs w:val="16"/>
          <w:u w:val="single" w:color="auto"/>
          <w:color w:val="0000FF"/>
        </w:rPr>
      </w:pPr>
      <w:hyperlink r:id="rId260">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260">
        <w:r>
          <w:rPr>
            <w:rFonts w:ascii="Arial" w:cs="Arial" w:eastAsia="Arial" w:hAnsi="Arial"/>
            <w:sz w:val="16"/>
            <w:szCs w:val="16"/>
            <w:u w:val="single" w:color="auto"/>
            <w:color w:val="0000FF"/>
          </w:rPr>
          <w:t>Form of Indemnification Agreement between Dell Technologies Inc. and certain of its executive officers.</w:t>
        </w:r>
      </w:hyperlink>
    </w:p>
    <w:p>
      <w:pPr>
        <w:spacing w:after="0" w:line="23" w:lineRule="exact"/>
        <w:rPr>
          <w:sz w:val="20"/>
          <w:szCs w:val="20"/>
          <w:color w:val="auto"/>
        </w:rPr>
      </w:pPr>
    </w:p>
    <w:p>
      <w:pPr>
        <w:ind w:left="1580" w:right="360" w:hanging="624"/>
        <w:spacing w:after="0" w:line="224" w:lineRule="auto"/>
        <w:tabs>
          <w:tab w:leader="none" w:pos="1560" w:val="left"/>
        </w:tabs>
        <w:rPr>
          <w:rFonts w:ascii="Arial" w:cs="Arial" w:eastAsia="Arial" w:hAnsi="Arial"/>
          <w:sz w:val="18"/>
          <w:szCs w:val="18"/>
          <w:u w:val="single" w:color="auto"/>
          <w:color w:val="0000FF"/>
        </w:rPr>
      </w:pPr>
      <w:hyperlink r:id="rId261">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261">
        <w:r>
          <w:rPr>
            <w:rFonts w:ascii="Arial" w:cs="Arial" w:eastAsia="Arial" w:hAnsi="Arial"/>
            <w:sz w:val="18"/>
            <w:szCs w:val="18"/>
            <w:u w:val="single" w:color="auto"/>
            <w:color w:val="0000FF"/>
          </w:rPr>
          <w:t>Form of EMC Corporation Deferred Compensation Retirement Plan, as amended and restated, effective as of January 1, 2016</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(incorporated by reference to Exhibit 10.41 to the Company’s Annual Report on Form 10-K for the fiscal year ended February 3,</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2017) (Commission File No. 001-37867).</w:t>
        </w:r>
      </w:hyperlink>
    </w:p>
    <w:p>
      <w:pPr>
        <w:spacing w:after="0" w:line="1" w:lineRule="exact"/>
        <w:rPr>
          <w:rFonts w:ascii="Arial" w:cs="Arial" w:eastAsia="Arial" w:hAnsi="Arial"/>
          <w:sz w:val="18"/>
          <w:szCs w:val="18"/>
          <w:u w:val="single" w:color="auto"/>
          <w:color w:val="0000FF"/>
        </w:rPr>
      </w:pPr>
    </w:p>
    <w:p>
      <w:pPr>
        <w:ind w:left="1580" w:right="660" w:hanging="624"/>
        <w:spacing w:after="0" w:line="264" w:lineRule="auto"/>
        <w:tabs>
          <w:tab w:leader="none" w:pos="1560" w:val="left"/>
        </w:tabs>
        <w:rPr>
          <w:rFonts w:ascii="Arial" w:cs="Arial" w:eastAsia="Arial" w:hAnsi="Arial"/>
          <w:sz w:val="16"/>
          <w:szCs w:val="16"/>
          <w:u w:val="single" w:color="auto"/>
          <w:color w:val="0000FF"/>
        </w:rPr>
      </w:pPr>
      <w:hyperlink r:id="rId262">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262">
        <w:r>
          <w:rPr>
            <w:rFonts w:ascii="Arial" w:cs="Arial" w:eastAsia="Arial" w:hAnsi="Arial"/>
            <w:sz w:val="16"/>
            <w:szCs w:val="16"/>
            <w:u w:val="single" w:color="auto"/>
            <w:color w:val="0000FF"/>
          </w:rPr>
          <w:t>Form of Dell Deferred Compensation Plan, effective as of January 1, 2017 (incorporated by reference to Exhibit 10.42 to the</w:t>
        </w:r>
      </w:hyperlink>
      <w:r>
        <w:rPr>
          <w:rFonts w:ascii="Arial" w:cs="Arial" w:eastAsia="Arial" w:hAnsi="Arial"/>
          <w:sz w:val="16"/>
          <w:szCs w:val="16"/>
          <w:u w:val="single" w:color="auto"/>
          <w:color w:val="0000FF"/>
        </w:rPr>
        <w:t xml:space="preserve"> </w:t>
      </w:r>
      <w:hyperlink r:id="rId262">
        <w:r>
          <w:rPr>
            <w:rFonts w:ascii="Arial" w:cs="Arial" w:eastAsia="Arial" w:hAnsi="Arial"/>
            <w:sz w:val="16"/>
            <w:szCs w:val="16"/>
            <w:u w:val="single" w:color="auto"/>
            <w:color w:val="0000FF"/>
          </w:rPr>
          <w:t>Company’s Annual Report on Form 10-K for the fiscal year ended February 3, 2017) (Commission File No. 001-37867).</w:t>
        </w:r>
      </w:hyperlink>
    </w:p>
    <w:p>
      <w:pPr>
        <w:ind w:left="960"/>
        <w:spacing w:after="0"/>
        <w:tabs>
          <w:tab w:leader="none" w:pos="1560" w:val="left"/>
        </w:tabs>
        <w:rPr>
          <w:rFonts w:ascii="Arial" w:cs="Arial" w:eastAsia="Arial" w:hAnsi="Arial"/>
          <w:sz w:val="16"/>
          <w:szCs w:val="16"/>
          <w:u w:val="single" w:color="auto"/>
          <w:color w:val="0000FF"/>
        </w:rPr>
      </w:pPr>
      <w:hyperlink r:id="rId263">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263">
        <w:r>
          <w:rPr>
            <w:rFonts w:ascii="Arial" w:cs="Arial" w:eastAsia="Arial" w:hAnsi="Arial"/>
            <w:sz w:val="16"/>
            <w:szCs w:val="16"/>
            <w:u w:val="single" w:color="auto"/>
            <w:color w:val="0000FF"/>
          </w:rPr>
          <w:t>Form of Protection of Sensitive Information, Noncompetition and Nonsolicitation Agreement between Dell Inc. and each of</w:t>
        </w:r>
      </w:hyperlink>
    </w:p>
    <w:p>
      <w:pPr>
        <w:ind w:left="1580"/>
        <w:spacing w:after="0" w:line="229" w:lineRule="auto"/>
        <w:rPr>
          <w:rFonts w:ascii="Arial" w:cs="Arial" w:eastAsia="Arial" w:hAnsi="Arial"/>
          <w:sz w:val="16"/>
          <w:szCs w:val="16"/>
          <w:u w:val="single" w:color="auto"/>
          <w:color w:val="0000FF"/>
        </w:rPr>
      </w:pPr>
      <w:hyperlink r:id="rId263">
        <w:r>
          <w:rPr>
            <w:rFonts w:ascii="Arial" w:cs="Arial" w:eastAsia="Arial" w:hAnsi="Arial"/>
            <w:sz w:val="16"/>
            <w:szCs w:val="16"/>
            <w:u w:val="single" w:color="auto"/>
            <w:color w:val="0000FF"/>
          </w:rPr>
          <w:t>Howard D. Elias and William F. Scannell (incorporated by reference to Exhibit 10.47 to the Company’s Annual Report on Form 10-K</w:t>
        </w:r>
      </w:hyperlink>
    </w:p>
    <w:p>
      <w:pPr>
        <w:ind w:left="1580"/>
        <w:spacing w:after="0"/>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for the fiscal year ended February 2, 2018) (Commission File No. 001-37867).</w:t>
        </w:r>
      </w:hyperlink>
    </w:p>
    <w:p>
      <w:pPr>
        <w:spacing w:after="0" w:line="7" w:lineRule="exact"/>
        <w:rPr>
          <w:sz w:val="20"/>
          <w:szCs w:val="20"/>
          <w:color w:val="auto"/>
        </w:rPr>
      </w:pPr>
    </w:p>
    <w:p>
      <w:pPr>
        <w:ind w:left="1580" w:right="40" w:hanging="624"/>
        <w:spacing w:after="0" w:line="234" w:lineRule="auto"/>
        <w:tabs>
          <w:tab w:leader="none" w:pos="1560" w:val="left"/>
        </w:tabs>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264">
        <w:r>
          <w:rPr>
            <w:rFonts w:ascii="Arial" w:cs="Arial" w:eastAsia="Arial" w:hAnsi="Arial"/>
            <w:sz w:val="18"/>
            <w:szCs w:val="18"/>
            <w:u w:val="single" w:color="auto"/>
            <w:color w:val="0000FF"/>
          </w:rPr>
          <w:t>Offer Letter to Howard D. Elias, dated August 12, 2016 (incorporated by reference to Exhibit 10.49 to the Company’s Annual Report</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on Form 10-K for the fiscal year ended February 2, 2018) (Commission File No. 001-37867).</w:t>
        </w:r>
      </w:hyperlink>
    </w:p>
    <w:p>
      <w:pPr>
        <w:spacing w:after="0" w:line="1" w:lineRule="exact"/>
        <w:rPr>
          <w:rFonts w:ascii="Arial" w:cs="Arial" w:eastAsia="Arial" w:hAnsi="Arial"/>
          <w:sz w:val="18"/>
          <w:szCs w:val="18"/>
          <w:u w:val="single" w:color="auto"/>
          <w:color w:val="0000FF"/>
        </w:rPr>
      </w:pPr>
    </w:p>
    <w:p>
      <w:pPr>
        <w:ind w:left="1580" w:right="360" w:hanging="624"/>
        <w:spacing w:after="0" w:line="248" w:lineRule="auto"/>
        <w:tabs>
          <w:tab w:leader="none" w:pos="1560" w:val="left"/>
        </w:tabs>
        <w:rPr>
          <w:rFonts w:ascii="Arial" w:cs="Arial" w:eastAsia="Arial" w:hAnsi="Arial"/>
          <w:sz w:val="17"/>
          <w:szCs w:val="17"/>
          <w:u w:val="single" w:color="auto"/>
          <w:color w:val="0000FF"/>
        </w:rPr>
      </w:pPr>
      <w:hyperlink r:id="rId265">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265">
        <w:r>
          <w:rPr>
            <w:rFonts w:ascii="Arial" w:cs="Arial" w:eastAsia="Arial" w:hAnsi="Arial"/>
            <w:sz w:val="17"/>
            <w:szCs w:val="17"/>
            <w:u w:val="single" w:color="auto"/>
            <w:color w:val="0000FF"/>
          </w:rPr>
          <w:t>Offer Letter to William F. Scannell, dated August 12, 2016 (incorporated by reference to Exhibit 10.51 to the Company’s Annual</w:t>
        </w:r>
      </w:hyperlink>
      <w:r>
        <w:rPr>
          <w:rFonts w:ascii="Arial" w:cs="Arial" w:eastAsia="Arial" w:hAnsi="Arial"/>
          <w:sz w:val="17"/>
          <w:szCs w:val="17"/>
          <w:u w:val="single" w:color="auto"/>
          <w:color w:val="0000FF"/>
        </w:rPr>
        <w:t xml:space="preserve"> </w:t>
      </w:r>
      <w:hyperlink r:id="rId265">
        <w:r>
          <w:rPr>
            <w:rFonts w:ascii="Arial" w:cs="Arial" w:eastAsia="Arial" w:hAnsi="Arial"/>
            <w:sz w:val="17"/>
            <w:szCs w:val="17"/>
            <w:u w:val="single" w:color="auto"/>
            <w:color w:val="0000FF"/>
          </w:rPr>
          <w:t>Report on Form 10-K for the fiscal year ended February 2, 2018) (Commission File No. 001-37867).</w:t>
        </w:r>
      </w:hyperlink>
    </w:p>
    <w:p>
      <w:pPr>
        <w:spacing w:after="0" w:line="1" w:lineRule="exact"/>
        <w:rPr>
          <w:rFonts w:ascii="Arial" w:cs="Arial" w:eastAsia="Arial" w:hAnsi="Arial"/>
          <w:sz w:val="18"/>
          <w:szCs w:val="18"/>
          <w:u w:val="single" w:color="auto"/>
          <w:color w:val="0000FF"/>
        </w:rPr>
      </w:pPr>
    </w:p>
    <w:p>
      <w:pPr>
        <w:ind w:left="1580" w:right="60" w:hanging="624"/>
        <w:spacing w:after="0" w:line="237" w:lineRule="auto"/>
        <w:tabs>
          <w:tab w:leader="none" w:pos="1560" w:val="left"/>
        </w:tabs>
        <w:rPr>
          <w:rFonts w:ascii="Arial" w:cs="Arial" w:eastAsia="Arial" w:hAnsi="Arial"/>
          <w:sz w:val="17"/>
          <w:szCs w:val="17"/>
          <w:u w:val="single" w:color="auto"/>
          <w:color w:val="0000FF"/>
        </w:rPr>
      </w:pPr>
      <w:hyperlink r:id="rId266">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266">
        <w:r>
          <w:rPr>
            <w:rFonts w:ascii="Arial" w:cs="Arial" w:eastAsia="Arial" w:hAnsi="Arial"/>
            <w:sz w:val="17"/>
            <w:szCs w:val="17"/>
            <w:u w:val="single" w:color="auto"/>
            <w:color w:val="0000FF"/>
          </w:rPr>
          <w:t>Form of Amended and Restated Stock Option Agreement-Performance Vesting Option for grants to executive officers under the Dell</w:t>
        </w:r>
      </w:hyperlink>
      <w:r>
        <w:rPr>
          <w:rFonts w:ascii="Arial" w:cs="Arial" w:eastAsia="Arial" w:hAnsi="Arial"/>
          <w:sz w:val="17"/>
          <w:szCs w:val="17"/>
          <w:u w:val="single" w:color="auto"/>
          <w:color w:val="0000FF"/>
        </w:rPr>
        <w:t xml:space="preserve"> </w:t>
      </w:r>
      <w:hyperlink r:id="rId266">
        <w:r>
          <w:rPr>
            <w:rFonts w:ascii="Arial" w:cs="Arial" w:eastAsia="Arial" w:hAnsi="Arial"/>
            <w:sz w:val="17"/>
            <w:szCs w:val="17"/>
            <w:u w:val="single" w:color="auto"/>
            <w:color w:val="0000FF"/>
          </w:rPr>
          <w:t>Technologies Inc. 2013 Stock Incentive Plan (incorporated by reference to Exhibit 10.10 to Amendment No. 2 to the Company’s</w:t>
        </w:r>
      </w:hyperlink>
      <w:r>
        <w:rPr>
          <w:rFonts w:ascii="Arial" w:cs="Arial" w:eastAsia="Arial" w:hAnsi="Arial"/>
          <w:sz w:val="17"/>
          <w:szCs w:val="17"/>
          <w:u w:val="single" w:color="auto"/>
          <w:color w:val="0000FF"/>
        </w:rPr>
        <w:t xml:space="preserve"> </w:t>
      </w:r>
      <w:hyperlink r:id="rId266">
        <w:r>
          <w:rPr>
            <w:rFonts w:ascii="Arial" w:cs="Arial" w:eastAsia="Arial" w:hAnsi="Arial"/>
            <w:sz w:val="17"/>
            <w:szCs w:val="17"/>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7"/>
          <w:szCs w:val="17"/>
          <w:u w:val="single" w:color="auto"/>
          <w:color w:val="0000FF"/>
        </w:rPr>
      </w:pPr>
    </w:p>
    <w:p>
      <w:pPr>
        <w:ind w:left="1580" w:right="400" w:hanging="624"/>
        <w:spacing w:after="0" w:line="252" w:lineRule="auto"/>
        <w:tabs>
          <w:tab w:leader="none" w:pos="1560" w:val="left"/>
        </w:tabs>
        <w:rPr>
          <w:rFonts w:ascii="Arial" w:cs="Arial" w:eastAsia="Arial" w:hAnsi="Arial"/>
          <w:sz w:val="16"/>
          <w:szCs w:val="16"/>
          <w:u w:val="single" w:color="auto"/>
          <w:color w:val="0000FF"/>
        </w:rPr>
      </w:pPr>
      <w:hyperlink r:id="rId267">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267">
        <w:r>
          <w:rPr>
            <w:rFonts w:ascii="Arial" w:cs="Arial" w:eastAsia="Arial" w:hAnsi="Arial"/>
            <w:sz w:val="16"/>
            <w:szCs w:val="16"/>
            <w:u w:val="single" w:color="auto"/>
            <w:color w:val="0000FF"/>
          </w:rPr>
          <w:t>Form of Amended and Restated Stock Option Agreement-Performance Vesting Option for grants to employees under the Dell</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Technologies Inc. 2013 Stock Incentive Plan (incorporated by reference to Exhibit 10.11 to Amendment No. 2 to the Company’s</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580" w:right="380" w:hanging="624"/>
        <w:spacing w:after="0" w:line="252" w:lineRule="auto"/>
        <w:tabs>
          <w:tab w:leader="none" w:pos="1560" w:val="left"/>
        </w:tabs>
        <w:rPr>
          <w:rFonts w:ascii="Arial" w:cs="Arial" w:eastAsia="Arial" w:hAnsi="Arial"/>
          <w:sz w:val="16"/>
          <w:szCs w:val="16"/>
          <w:u w:val="single" w:color="auto"/>
          <w:color w:val="0000FF"/>
        </w:rPr>
      </w:pPr>
      <w:hyperlink r:id="rId268">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268">
        <w:r>
          <w:rPr>
            <w:rFonts w:ascii="Arial" w:cs="Arial" w:eastAsia="Arial" w:hAnsi="Arial"/>
            <w:sz w:val="16"/>
            <w:szCs w:val="16"/>
            <w:u w:val="single" w:color="auto"/>
            <w:color w:val="0000FF"/>
          </w:rPr>
          <w:t>Form of Amended and Restated Stock Option Agreement-Time Vesting Option for grants to executive officers under the Dell</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Technologies Inc. 2013 Stock Incentive Plan (incorporated by reference to Exhibit 10.12 to Amendment No. 2 to the Company’s</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580" w:right="120" w:hanging="624"/>
        <w:spacing w:after="0" w:line="252" w:lineRule="auto"/>
        <w:tabs>
          <w:tab w:leader="none" w:pos="1560" w:val="left"/>
        </w:tabs>
        <w:rPr>
          <w:rFonts w:ascii="Arial" w:cs="Arial" w:eastAsia="Arial" w:hAnsi="Arial"/>
          <w:sz w:val="16"/>
          <w:szCs w:val="16"/>
          <w:u w:val="single" w:color="auto"/>
          <w:color w:val="0000FF"/>
        </w:rPr>
      </w:pPr>
      <w:hyperlink r:id="rId269">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269">
        <w:r>
          <w:rPr>
            <w:rFonts w:ascii="Arial" w:cs="Arial" w:eastAsia="Arial" w:hAnsi="Arial"/>
            <w:sz w:val="16"/>
            <w:szCs w:val="16"/>
            <w:u w:val="single" w:color="auto"/>
            <w:color w:val="0000FF"/>
          </w:rPr>
          <w:t>Form of Amended and Restated Stock Option Agreement-Time Vesting Option for grants to employees under the Dell Technologies</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Inc. 2013 Stock Incentive Plan (incorporated by reference to Exhibit 10.13 to Amendment No. 2 to the Company’s Registration</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jc w:val="both"/>
        <w:ind w:left="1580" w:right="20" w:hanging="624"/>
        <w:spacing w:after="0" w:line="237" w:lineRule="auto"/>
        <w:tabs>
          <w:tab w:leader="none" w:pos="1560" w:val="left"/>
        </w:tabs>
        <w:rPr>
          <w:rFonts w:ascii="Arial" w:cs="Arial" w:eastAsia="Arial" w:hAnsi="Arial"/>
          <w:sz w:val="17"/>
          <w:szCs w:val="17"/>
          <w:u w:val="single" w:color="auto"/>
          <w:color w:val="0000FF"/>
        </w:rPr>
      </w:pPr>
      <w:hyperlink r:id="rId270">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270">
        <w:r>
          <w:rPr>
            <w:rFonts w:ascii="Arial" w:cs="Arial" w:eastAsia="Arial" w:hAnsi="Arial"/>
            <w:sz w:val="17"/>
            <w:szCs w:val="17"/>
            <w:u w:val="single" w:color="auto"/>
            <w:color w:val="0000FF"/>
          </w:rPr>
          <w:t>Form of Amended and Restated Dell Performance Award Agreement for grants to executive officers under the Dell Technologies Inc.</w:t>
        </w:r>
      </w:hyperlink>
      <w:r>
        <w:rPr>
          <w:rFonts w:ascii="Arial" w:cs="Arial" w:eastAsia="Arial" w:hAnsi="Arial"/>
          <w:sz w:val="17"/>
          <w:szCs w:val="17"/>
          <w:u w:val="single" w:color="auto"/>
          <w:color w:val="0000FF"/>
        </w:rPr>
        <w:t xml:space="preserve"> </w:t>
      </w:r>
      <w:hyperlink r:id="rId270">
        <w:r>
          <w:rPr>
            <w:rFonts w:ascii="Arial" w:cs="Arial" w:eastAsia="Arial" w:hAnsi="Arial"/>
            <w:sz w:val="17"/>
            <w:szCs w:val="17"/>
            <w:u w:val="single" w:color="auto"/>
            <w:color w:val="0000FF"/>
          </w:rPr>
          <w:t>2013 Stock Incentive Plan (incorporated by reference to Exhibit 10.14 to Amendment No. 2 to the Company’s Registration Statement</w:t>
        </w:r>
      </w:hyperlink>
      <w:r>
        <w:rPr>
          <w:rFonts w:ascii="Arial" w:cs="Arial" w:eastAsia="Arial" w:hAnsi="Arial"/>
          <w:sz w:val="17"/>
          <w:szCs w:val="17"/>
          <w:u w:val="single" w:color="auto"/>
          <w:color w:val="0000FF"/>
        </w:rPr>
        <w:t xml:space="preserve"> </w:t>
      </w:r>
      <w:hyperlink r:id="rId270">
        <w:r>
          <w:rPr>
            <w:rFonts w:ascii="Arial" w:cs="Arial" w:eastAsia="Arial" w:hAnsi="Arial"/>
            <w:sz w:val="17"/>
            <w:szCs w:val="17"/>
            <w:u w:val="single" w:color="auto"/>
            <w:color w:val="0000FF"/>
          </w:rPr>
          <w:t>on Form S-4 filed with the Commission on October 4, 2018) (Registration No. 333-226618).</w:t>
        </w:r>
      </w:hyperlink>
    </w:p>
    <w:p>
      <w:pPr>
        <w:spacing w:after="0" w:line="1" w:lineRule="exact"/>
        <w:rPr>
          <w:rFonts w:ascii="Arial" w:cs="Arial" w:eastAsia="Arial" w:hAnsi="Arial"/>
          <w:sz w:val="17"/>
          <w:szCs w:val="17"/>
          <w:u w:val="single" w:color="auto"/>
          <w:color w:val="0000FF"/>
        </w:rPr>
      </w:pPr>
    </w:p>
    <w:p>
      <w:pPr>
        <w:jc w:val="both"/>
        <w:ind w:left="1580" w:right="120" w:hanging="624"/>
        <w:spacing w:after="0" w:line="237" w:lineRule="auto"/>
        <w:tabs>
          <w:tab w:leader="none" w:pos="1560" w:val="left"/>
        </w:tabs>
        <w:rPr>
          <w:rFonts w:ascii="Arial" w:cs="Arial" w:eastAsia="Arial" w:hAnsi="Arial"/>
          <w:sz w:val="17"/>
          <w:szCs w:val="17"/>
          <w:u w:val="single" w:color="auto"/>
          <w:color w:val="0000FF"/>
        </w:rPr>
      </w:pPr>
      <w:hyperlink r:id="rId271">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271">
        <w:r>
          <w:rPr>
            <w:rFonts w:ascii="Arial" w:cs="Arial" w:eastAsia="Arial" w:hAnsi="Arial"/>
            <w:sz w:val="17"/>
            <w:szCs w:val="17"/>
            <w:u w:val="single" w:color="auto"/>
            <w:color w:val="0000FF"/>
          </w:rPr>
          <w:t>Form of Amended and Restated Dell Performance Award Agreement for grants to employees under the Dell Technologies Inc. 2013</w:t>
        </w:r>
      </w:hyperlink>
      <w:r>
        <w:rPr>
          <w:rFonts w:ascii="Arial" w:cs="Arial" w:eastAsia="Arial" w:hAnsi="Arial"/>
          <w:sz w:val="17"/>
          <w:szCs w:val="17"/>
          <w:u w:val="single" w:color="auto"/>
          <w:color w:val="0000FF"/>
        </w:rPr>
        <w:t xml:space="preserve"> </w:t>
      </w:r>
      <w:hyperlink r:id="rId271">
        <w:r>
          <w:rPr>
            <w:rFonts w:ascii="Arial" w:cs="Arial" w:eastAsia="Arial" w:hAnsi="Arial"/>
            <w:sz w:val="17"/>
            <w:szCs w:val="17"/>
            <w:u w:val="single" w:color="auto"/>
            <w:color w:val="0000FF"/>
          </w:rPr>
          <w:t>Stock Incentive Plan (incorporated by reference to Exhibit 10.15 to Amendment No. 2 to the Company’s Registration Statement on</w:t>
        </w:r>
      </w:hyperlink>
      <w:r>
        <w:rPr>
          <w:rFonts w:ascii="Arial" w:cs="Arial" w:eastAsia="Arial" w:hAnsi="Arial"/>
          <w:sz w:val="17"/>
          <w:szCs w:val="17"/>
          <w:u w:val="single" w:color="auto"/>
          <w:color w:val="0000FF"/>
        </w:rPr>
        <w:t xml:space="preserve"> </w:t>
      </w:r>
      <w:hyperlink r:id="rId271">
        <w:r>
          <w:rPr>
            <w:rFonts w:ascii="Arial" w:cs="Arial" w:eastAsia="Arial" w:hAnsi="Arial"/>
            <w:sz w:val="17"/>
            <w:szCs w:val="17"/>
            <w:u w:val="single" w:color="auto"/>
            <w:color w:val="0000FF"/>
          </w:rPr>
          <w:t>Form S-4 filed with the Commission on October 4, 2018) (Registration No. 333-226618).</w:t>
        </w:r>
      </w:hyperlink>
    </w:p>
    <w:p>
      <w:pPr>
        <w:spacing w:after="0" w:line="200" w:lineRule="exact"/>
        <w:rPr>
          <w:rFonts w:ascii="Arial" w:cs="Arial" w:eastAsia="Arial" w:hAnsi="Arial"/>
          <w:sz w:val="17"/>
          <w:szCs w:val="17"/>
          <w:u w:val="single" w:color="auto"/>
          <w:color w:val="0000FF"/>
        </w:rPr>
      </w:pPr>
    </w:p>
    <w:p>
      <w:pPr>
        <w:spacing w:after="0" w:line="381" w:lineRule="exact"/>
        <w:rPr>
          <w:rFonts w:ascii="Arial" w:cs="Arial" w:eastAsia="Arial" w:hAnsi="Arial"/>
          <w:sz w:val="17"/>
          <w:szCs w:val="17"/>
          <w:u w:val="single" w:color="auto"/>
          <w:color w:val="0000FF"/>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8" w:name="page169"/>
    <w:bookmarkEnd w:id="1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580" w:right="140" w:hanging="624"/>
        <w:spacing w:after="0" w:line="237" w:lineRule="auto"/>
        <w:tabs>
          <w:tab w:leader="none" w:pos="1560" w:val="left"/>
        </w:tabs>
        <w:rPr>
          <w:rFonts w:ascii="Arial" w:cs="Arial" w:eastAsia="Arial" w:hAnsi="Arial"/>
          <w:sz w:val="17"/>
          <w:szCs w:val="17"/>
          <w:u w:val="single" w:color="auto"/>
          <w:color w:val="0000FF"/>
        </w:rPr>
      </w:pPr>
      <w:hyperlink r:id="rId273">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273">
        <w:r>
          <w:rPr>
            <w:rFonts w:ascii="Arial" w:cs="Arial" w:eastAsia="Arial" w:hAnsi="Arial"/>
            <w:sz w:val="17"/>
            <w:szCs w:val="17"/>
            <w:u w:val="single" w:color="auto"/>
            <w:color w:val="0000FF"/>
          </w:rPr>
          <w:t>Form of Amended and Restated Dell Time Award Agreement for grants to executive officers under the Dell Technologies Inc. 2013</w:t>
        </w:r>
      </w:hyperlink>
      <w:r>
        <w:rPr>
          <w:rFonts w:ascii="Arial" w:cs="Arial" w:eastAsia="Arial" w:hAnsi="Arial"/>
          <w:sz w:val="17"/>
          <w:szCs w:val="17"/>
          <w:u w:val="single" w:color="auto"/>
          <w:color w:val="0000FF"/>
        </w:rPr>
        <w:t xml:space="preserve"> </w:t>
      </w:r>
      <w:hyperlink r:id="rId273">
        <w:r>
          <w:rPr>
            <w:rFonts w:ascii="Arial" w:cs="Arial" w:eastAsia="Arial" w:hAnsi="Arial"/>
            <w:sz w:val="17"/>
            <w:szCs w:val="17"/>
            <w:u w:val="single" w:color="auto"/>
            <w:color w:val="0000FF"/>
          </w:rPr>
          <w:t>Stock Incentive Plan (incorporated by reference to Exhibit 10.16 to Amendment No. 2 to the Company’s Registration Statement on</w:t>
        </w:r>
      </w:hyperlink>
      <w:r>
        <w:rPr>
          <w:rFonts w:ascii="Arial" w:cs="Arial" w:eastAsia="Arial" w:hAnsi="Arial"/>
          <w:sz w:val="17"/>
          <w:szCs w:val="17"/>
          <w:u w:val="single" w:color="auto"/>
          <w:color w:val="0000FF"/>
        </w:rPr>
        <w:t xml:space="preserve"> </w:t>
      </w:r>
      <w:hyperlink r:id="rId273">
        <w:r>
          <w:rPr>
            <w:rFonts w:ascii="Arial" w:cs="Arial" w:eastAsia="Arial" w:hAnsi="Arial"/>
            <w:sz w:val="17"/>
            <w:szCs w:val="17"/>
            <w:u w:val="single" w:color="auto"/>
            <w:color w:val="0000FF"/>
          </w:rPr>
          <w:t>Form S-4 filed with the Commission on October 4, 2018) (Registration No. 333-226618).</w:t>
        </w:r>
      </w:hyperlink>
    </w:p>
    <w:p>
      <w:pPr>
        <w:spacing w:after="0" w:line="2" w:lineRule="exact"/>
        <w:rPr>
          <w:rFonts w:ascii="Arial" w:cs="Arial" w:eastAsia="Arial" w:hAnsi="Arial"/>
          <w:sz w:val="17"/>
          <w:szCs w:val="17"/>
          <w:u w:val="single" w:color="auto"/>
          <w:color w:val="0000FF"/>
        </w:rPr>
      </w:pPr>
    </w:p>
    <w:p>
      <w:pPr>
        <w:ind w:left="1580" w:hanging="624"/>
        <w:spacing w:after="0" w:line="224" w:lineRule="auto"/>
        <w:tabs>
          <w:tab w:leader="none" w:pos="1560" w:val="left"/>
        </w:tabs>
        <w:rPr>
          <w:rFonts w:ascii="Arial" w:cs="Arial" w:eastAsia="Arial" w:hAnsi="Arial"/>
          <w:sz w:val="18"/>
          <w:szCs w:val="18"/>
          <w:u w:val="single" w:color="auto"/>
          <w:color w:val="0000FF"/>
        </w:rPr>
      </w:pPr>
      <w:hyperlink r:id="rId274">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274">
        <w:r>
          <w:rPr>
            <w:rFonts w:ascii="Arial" w:cs="Arial" w:eastAsia="Arial" w:hAnsi="Arial"/>
            <w:sz w:val="18"/>
            <w:szCs w:val="18"/>
            <w:u w:val="single" w:color="auto"/>
            <w:color w:val="0000FF"/>
          </w:rPr>
          <w:t>Form of Amended and Restated Dell Time Award Agreement for grants to employees under the Dell Technologies Inc. 2013 Stock</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Incentive Plan (incorporated by reference to Exhibit 10.17 to Amendment No. 2 to the Company’s Registration Statement on Form S-</w:t>
        </w:r>
      </w:hyperlink>
      <w:hyperlink r:id="rId274">
        <w:r>
          <w:rPr>
            <w:rFonts w:ascii="Arial" w:cs="Arial" w:eastAsia="Arial" w:hAnsi="Arial"/>
            <w:sz w:val="18"/>
            <w:szCs w:val="18"/>
            <w:u w:val="single" w:color="auto"/>
            <w:color w:val="0000FF"/>
          </w:rPr>
          <w:t>4 filed with the Commission on October 4, 2018) (Registration No. 333-226618).</w:t>
        </w:r>
      </w:hyperlink>
    </w:p>
    <w:p>
      <w:pPr>
        <w:spacing w:after="0" w:line="1" w:lineRule="exact"/>
        <w:rPr>
          <w:rFonts w:ascii="Arial" w:cs="Arial" w:eastAsia="Arial" w:hAnsi="Arial"/>
          <w:sz w:val="18"/>
          <w:szCs w:val="18"/>
          <w:u w:val="single" w:color="auto"/>
          <w:color w:val="0000FF"/>
        </w:rPr>
      </w:pPr>
    </w:p>
    <w:p>
      <w:pPr>
        <w:jc w:val="both"/>
        <w:ind w:left="1580" w:hanging="624"/>
        <w:spacing w:after="0" w:line="237" w:lineRule="auto"/>
        <w:tabs>
          <w:tab w:leader="none" w:pos="1560" w:val="left"/>
        </w:tabs>
        <w:rPr>
          <w:rFonts w:ascii="Arial" w:cs="Arial" w:eastAsia="Arial" w:hAnsi="Arial"/>
          <w:sz w:val="17"/>
          <w:szCs w:val="17"/>
          <w:u w:val="single" w:color="auto"/>
          <w:color w:val="0000FF"/>
        </w:rPr>
      </w:pPr>
      <w:hyperlink r:id="rId275">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275">
        <w:r>
          <w:rPr>
            <w:rFonts w:ascii="Arial" w:cs="Arial" w:eastAsia="Arial" w:hAnsi="Arial"/>
            <w:sz w:val="17"/>
            <w:szCs w:val="17"/>
            <w:u w:val="single" w:color="auto"/>
            <w:color w:val="0000FF"/>
          </w:rPr>
          <w:t>Form of Amended and Restated Dell Deferred Time Award Agreement for Non-Employee Directors under the Dell Technologies Inc.</w:t>
        </w:r>
      </w:hyperlink>
      <w:r>
        <w:rPr>
          <w:rFonts w:ascii="Arial" w:cs="Arial" w:eastAsia="Arial" w:hAnsi="Arial"/>
          <w:sz w:val="17"/>
          <w:szCs w:val="17"/>
          <w:u w:val="single" w:color="auto"/>
          <w:color w:val="0000FF"/>
        </w:rPr>
        <w:t xml:space="preserve"> </w:t>
      </w:r>
      <w:hyperlink r:id="rId275">
        <w:r>
          <w:rPr>
            <w:rFonts w:ascii="Arial" w:cs="Arial" w:eastAsia="Arial" w:hAnsi="Arial"/>
            <w:sz w:val="17"/>
            <w:szCs w:val="17"/>
            <w:u w:val="single" w:color="auto"/>
            <w:color w:val="0000FF"/>
          </w:rPr>
          <w:t>2013 Stock Incentive Plan (incorporated by reference to Exhibit 10.18 to Amendment No. 2 to the Company’s Registration Statement</w:t>
        </w:r>
      </w:hyperlink>
      <w:r>
        <w:rPr>
          <w:rFonts w:ascii="Arial" w:cs="Arial" w:eastAsia="Arial" w:hAnsi="Arial"/>
          <w:sz w:val="17"/>
          <w:szCs w:val="17"/>
          <w:u w:val="single" w:color="auto"/>
          <w:color w:val="0000FF"/>
        </w:rPr>
        <w:t xml:space="preserve"> </w:t>
      </w:r>
      <w:hyperlink r:id="rId275">
        <w:r>
          <w:rPr>
            <w:rFonts w:ascii="Arial" w:cs="Arial" w:eastAsia="Arial" w:hAnsi="Arial"/>
            <w:sz w:val="17"/>
            <w:szCs w:val="17"/>
            <w:u w:val="single" w:color="auto"/>
            <w:color w:val="0000FF"/>
          </w:rPr>
          <w:t>on Form S-4 filed with the Commission on October 4, 2018) (Registration No. 333-226618).</w:t>
        </w:r>
      </w:hyperlink>
    </w:p>
    <w:p>
      <w:pPr>
        <w:spacing w:after="0" w:line="1" w:lineRule="exact"/>
        <w:rPr>
          <w:rFonts w:ascii="Arial" w:cs="Arial" w:eastAsia="Arial" w:hAnsi="Arial"/>
          <w:sz w:val="17"/>
          <w:szCs w:val="17"/>
          <w:u w:val="single" w:color="auto"/>
          <w:color w:val="0000FF"/>
        </w:rPr>
      </w:pPr>
    </w:p>
    <w:p>
      <w:pPr>
        <w:ind w:left="1580" w:right="140" w:hanging="624"/>
        <w:spacing w:after="0" w:line="252" w:lineRule="auto"/>
        <w:tabs>
          <w:tab w:leader="none" w:pos="1560" w:val="left"/>
        </w:tabs>
        <w:rPr>
          <w:rFonts w:ascii="Arial" w:cs="Arial" w:eastAsia="Arial" w:hAnsi="Arial"/>
          <w:sz w:val="16"/>
          <w:szCs w:val="16"/>
          <w:u w:val="single" w:color="auto"/>
          <w:color w:val="0000FF"/>
        </w:rPr>
      </w:pPr>
      <w:hyperlink r:id="rId276">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276">
        <w:r>
          <w:rPr>
            <w:rFonts w:ascii="Arial" w:cs="Arial" w:eastAsia="Arial" w:hAnsi="Arial"/>
            <w:sz w:val="16"/>
            <w:szCs w:val="16"/>
            <w:u w:val="single" w:color="auto"/>
            <w:color w:val="0000FF"/>
          </w:rPr>
          <w:t>Form of Amended and Restated Stock Option Agreement for Non-Employee Directors (Annual Grant) under the Dell Technologies</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Inc. 2013 Stock Incentive Plan (incorporated by reference to Exhibit 10.19 to Amendment No. 2 to the Company’s Registration</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580" w:hanging="624"/>
        <w:spacing w:after="0" w:line="224" w:lineRule="auto"/>
        <w:tabs>
          <w:tab w:leader="none" w:pos="1560" w:val="left"/>
        </w:tabs>
        <w:rPr>
          <w:rFonts w:ascii="Arial" w:cs="Arial" w:eastAsia="Arial" w:hAnsi="Arial"/>
          <w:sz w:val="18"/>
          <w:szCs w:val="18"/>
          <w:u w:val="single" w:color="auto"/>
          <w:color w:val="0000FF"/>
        </w:rPr>
      </w:pPr>
      <w:hyperlink r:id="rId277">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277">
        <w:r>
          <w:rPr>
            <w:rFonts w:ascii="Arial" w:cs="Arial" w:eastAsia="Arial" w:hAnsi="Arial"/>
            <w:sz w:val="18"/>
            <w:szCs w:val="18"/>
            <w:u w:val="single" w:color="auto"/>
            <w:color w:val="0000FF"/>
          </w:rPr>
          <w:t>Form of Stock Option Agreement for Non-Employee Directors (Sign-On Grant) under the Dell Technologies Inc. 2013 Stock</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Incentive Plan (incorporated by reference to Exhibit 10.20 to Amendment No. 2 to the Company’s Registration Statement on Form S-</w:t>
        </w:r>
      </w:hyperlink>
      <w:hyperlink r:id="rId277">
        <w:r>
          <w:rPr>
            <w:rFonts w:ascii="Arial" w:cs="Arial" w:eastAsia="Arial" w:hAnsi="Arial"/>
            <w:sz w:val="18"/>
            <w:szCs w:val="18"/>
            <w:u w:val="single" w:color="auto"/>
            <w:color w:val="0000FF"/>
          </w:rPr>
          <w:t>4 filed with the Commission on October 4, 2018) (Registration No. 333-226618).</w:t>
        </w:r>
      </w:hyperlink>
    </w:p>
    <w:p>
      <w:pPr>
        <w:spacing w:after="0" w:line="1" w:lineRule="exact"/>
        <w:rPr>
          <w:rFonts w:ascii="Arial" w:cs="Arial" w:eastAsia="Arial" w:hAnsi="Arial"/>
          <w:sz w:val="18"/>
          <w:szCs w:val="18"/>
          <w:u w:val="single" w:color="auto"/>
          <w:color w:val="0000FF"/>
        </w:rPr>
      </w:pPr>
    </w:p>
    <w:p>
      <w:pPr>
        <w:ind w:left="1580" w:right="360" w:hanging="624"/>
        <w:spacing w:after="0" w:line="252" w:lineRule="auto"/>
        <w:tabs>
          <w:tab w:leader="none" w:pos="1560" w:val="left"/>
        </w:tabs>
        <w:rPr>
          <w:rFonts w:ascii="Arial" w:cs="Arial" w:eastAsia="Arial" w:hAnsi="Arial"/>
          <w:sz w:val="16"/>
          <w:szCs w:val="16"/>
          <w:u w:val="single" w:color="auto"/>
          <w:color w:val="0000FF"/>
        </w:rPr>
      </w:pPr>
      <w:hyperlink r:id="rId278">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278">
        <w:r>
          <w:rPr>
            <w:rFonts w:ascii="Arial" w:cs="Arial" w:eastAsia="Arial" w:hAnsi="Arial"/>
            <w:sz w:val="16"/>
            <w:szCs w:val="16"/>
            <w:u w:val="single" w:color="auto"/>
            <w:color w:val="0000FF"/>
          </w:rPr>
          <w:t>Form of Amended and Restated Stock Option Agreement for grants to executive officers (Rollover Option) under the Dell</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Technologies Inc. 2013 Stock Incentive Plan (incorporated by reference to Exhibit 10.21 to Amendment No. 2 to the Company’s</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Registration Statement on Form S-4 filed with the Commission on October 4, 2018) (Registration No. 333-226618).</w:t>
        </w:r>
      </w:hyperlink>
    </w:p>
    <w:p>
      <w:pPr>
        <w:ind w:left="960"/>
        <w:spacing w:after="0"/>
        <w:tabs>
          <w:tab w:leader="none" w:pos="1560" w:val="left"/>
        </w:tabs>
        <w:rPr>
          <w:rFonts w:ascii="Arial" w:cs="Arial" w:eastAsia="Arial" w:hAnsi="Arial"/>
          <w:sz w:val="16"/>
          <w:szCs w:val="16"/>
          <w:u w:val="single" w:color="auto"/>
          <w:color w:val="0000FF"/>
        </w:rPr>
      </w:pPr>
      <w:hyperlink r:id="rId279">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279">
        <w:r>
          <w:rPr>
            <w:rFonts w:ascii="Arial" w:cs="Arial" w:eastAsia="Arial" w:hAnsi="Arial"/>
            <w:sz w:val="16"/>
            <w:szCs w:val="16"/>
            <w:u w:val="single" w:color="auto"/>
            <w:color w:val="0000FF"/>
          </w:rPr>
          <w:t>Dell Technologies Inc. 2013 Stock Incentive Plan (as amended and restated as of July 9, 2019) (incorporated by reference to Exhibit</w:t>
        </w:r>
      </w:hyperlink>
    </w:p>
    <w:p>
      <w:pPr>
        <w:ind w:left="1580"/>
        <w:spacing w:after="0"/>
        <w:rPr>
          <w:rFonts w:ascii="Arial" w:cs="Arial" w:eastAsia="Arial" w:hAnsi="Arial"/>
          <w:sz w:val="16"/>
          <w:szCs w:val="16"/>
          <w:u w:val="single" w:color="auto"/>
          <w:color w:val="0000FF"/>
        </w:rPr>
      </w:pPr>
      <w:hyperlink r:id="rId279">
        <w:r>
          <w:rPr>
            <w:rFonts w:ascii="Arial" w:cs="Arial" w:eastAsia="Arial" w:hAnsi="Arial"/>
            <w:sz w:val="16"/>
            <w:szCs w:val="16"/>
            <w:u w:val="single" w:color="auto"/>
            <w:color w:val="0000FF"/>
          </w:rPr>
          <w:t>10.1 to the Company’s Current Report on Form 8-K filed with the Commission on July 11, 2019) (Commission File No. 001-37867).</w:t>
        </w:r>
      </w:hyperlink>
    </w:p>
    <w:p>
      <w:pPr>
        <w:spacing w:after="0" w:line="30" w:lineRule="exact"/>
        <w:rPr>
          <w:sz w:val="20"/>
          <w:szCs w:val="20"/>
          <w:color w:val="auto"/>
        </w:rPr>
      </w:pPr>
    </w:p>
    <w:p>
      <w:pPr>
        <w:ind w:left="1580" w:right="240" w:hanging="624"/>
        <w:spacing w:after="0" w:line="234" w:lineRule="auto"/>
        <w:tabs>
          <w:tab w:leader="none" w:pos="1560" w:val="left"/>
        </w:tabs>
        <w:rPr>
          <w:rFonts w:ascii="Arial" w:cs="Arial" w:eastAsia="Arial" w:hAnsi="Arial"/>
          <w:sz w:val="18"/>
          <w:szCs w:val="18"/>
          <w:u w:val="single" w:color="auto"/>
          <w:color w:val="0000FF"/>
        </w:rPr>
      </w:pPr>
      <w:hyperlink r:id="rId280">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280">
        <w:r>
          <w:rPr>
            <w:rFonts w:ascii="Arial" w:cs="Arial" w:eastAsia="Arial" w:hAnsi="Arial"/>
            <w:sz w:val="18"/>
            <w:szCs w:val="18"/>
            <w:u w:val="single" w:color="auto"/>
            <w:color w:val="0000FF"/>
          </w:rPr>
          <w:t>Amended and Restated Dell Technologies Inc. Compensation Program for Independent Non-Employee Directors (incorporated by</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reference to Exhibit 10.1 to the Company’s Quarterly Report on Form 10-Q for the quarterly period ended October 30, 2020)</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(Commission File No. 001-37867).</w:t>
        </w:r>
      </w:hyperlink>
    </w:p>
    <w:p>
      <w:pPr>
        <w:spacing w:after="0" w:line="15" w:lineRule="exact"/>
        <w:rPr>
          <w:rFonts w:ascii="Arial" w:cs="Arial" w:eastAsia="Arial" w:hAnsi="Arial"/>
          <w:sz w:val="18"/>
          <w:szCs w:val="18"/>
          <w:u w:val="single" w:color="auto"/>
          <w:color w:val="0000FF"/>
        </w:rPr>
      </w:pPr>
    </w:p>
    <w:p>
      <w:pPr>
        <w:ind w:left="1580" w:right="240" w:hanging="534"/>
        <w:spacing w:after="0" w:line="264" w:lineRule="auto"/>
        <w:tabs>
          <w:tab w:leader="none" w:pos="1560" w:val="left"/>
        </w:tabs>
        <w:rPr>
          <w:rFonts w:ascii="Arial" w:cs="Arial" w:eastAsia="Arial" w:hAnsi="Arial"/>
          <w:sz w:val="16"/>
          <w:szCs w:val="16"/>
          <w:u w:val="single" w:color="auto"/>
          <w:color w:val="0000FF"/>
        </w:rPr>
      </w:pPr>
      <w:hyperlink r:id="rId281">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281">
        <w:r>
          <w:rPr>
            <w:rFonts w:ascii="Arial" w:cs="Arial" w:eastAsia="Arial" w:hAnsi="Arial"/>
            <w:sz w:val="16"/>
            <w:szCs w:val="16"/>
            <w:u w:val="single" w:color="auto"/>
            <w:color w:val="0000FF"/>
          </w:rPr>
          <w:t>Letter Agreement, dated as of July 1, 2018, between the Company and VMware, Inc. (incorporated by reference to Exhibit 10.2 to</w:t>
        </w:r>
      </w:hyperlink>
      <w:r>
        <w:rPr>
          <w:rFonts w:ascii="Arial" w:cs="Arial" w:eastAsia="Arial" w:hAnsi="Arial"/>
          <w:sz w:val="16"/>
          <w:szCs w:val="16"/>
          <w:u w:val="single" w:color="auto"/>
          <w:color w:val="0000FF"/>
        </w:rPr>
        <w:t xml:space="preserve"> </w:t>
      </w:r>
      <w:hyperlink r:id="rId281">
        <w:r>
          <w:rPr>
            <w:rFonts w:ascii="Arial" w:cs="Arial" w:eastAsia="Arial" w:hAnsi="Arial"/>
            <w:sz w:val="16"/>
            <w:szCs w:val="16"/>
            <w:u w:val="single" w:color="auto"/>
            <w:color w:val="0000FF"/>
          </w:rPr>
          <w:t>the Company’s Current Report on Form 8-K filed with the Commission on July 2, 2018) (Commission File No. 001-37867).</w:t>
        </w:r>
      </w:hyperlink>
    </w:p>
    <w:p>
      <w:pPr>
        <w:spacing w:after="0" w:line="1" w:lineRule="exact"/>
        <w:rPr>
          <w:rFonts w:ascii="Arial" w:cs="Arial" w:eastAsia="Arial" w:hAnsi="Arial"/>
          <w:sz w:val="18"/>
          <w:szCs w:val="18"/>
          <w:u w:val="single" w:color="auto"/>
          <w:color w:val="0000FF"/>
        </w:rPr>
      </w:pPr>
    </w:p>
    <w:p>
      <w:pPr>
        <w:ind w:left="1580" w:right="200" w:hanging="534"/>
        <w:spacing w:after="0" w:line="264" w:lineRule="auto"/>
        <w:tabs>
          <w:tab w:leader="none" w:pos="1560" w:val="left"/>
        </w:tabs>
        <w:rPr>
          <w:rFonts w:ascii="Arial" w:cs="Arial" w:eastAsia="Arial" w:hAnsi="Arial"/>
          <w:sz w:val="16"/>
          <w:szCs w:val="16"/>
          <w:u w:val="single" w:color="auto"/>
          <w:color w:val="0000FF"/>
        </w:rPr>
      </w:pPr>
      <w:hyperlink r:id="rId282">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282">
        <w:r>
          <w:rPr>
            <w:rFonts w:ascii="Arial" w:cs="Arial" w:eastAsia="Arial" w:hAnsi="Arial"/>
            <w:sz w:val="16"/>
            <w:szCs w:val="16"/>
            <w:u w:val="single" w:color="auto"/>
            <w:color w:val="0000FF"/>
          </w:rPr>
          <w:t>Waiver, dated as of November 14, 2018, among the Company and VMware, Inc. (incorporated by reference to Exhibit 10.6 to the</w:t>
        </w:r>
      </w:hyperlink>
      <w:r>
        <w:rPr>
          <w:rFonts w:ascii="Arial" w:cs="Arial" w:eastAsia="Arial" w:hAnsi="Arial"/>
          <w:sz w:val="16"/>
          <w:szCs w:val="16"/>
          <w:u w:val="single" w:color="auto"/>
          <w:color w:val="0000FF"/>
        </w:rPr>
        <w:t xml:space="preserve"> </w:t>
      </w:r>
      <w:hyperlink r:id="rId282">
        <w:r>
          <w:rPr>
            <w:rFonts w:ascii="Arial" w:cs="Arial" w:eastAsia="Arial" w:hAnsi="Arial"/>
            <w:sz w:val="16"/>
            <w:szCs w:val="16"/>
            <w:u w:val="single" w:color="auto"/>
            <w:color w:val="0000FF"/>
          </w:rPr>
          <w:t>Company’s Current Report on Form 8-K/A filed with the Commission on November 15, 2018) (Commission File No. 001-37867).</w:t>
        </w:r>
      </w:hyperlink>
    </w:p>
    <w:p>
      <w:pPr>
        <w:ind w:left="1580" w:right="20" w:hanging="534"/>
        <w:spacing w:after="0" w:line="219" w:lineRule="auto"/>
        <w:tabs>
          <w:tab w:leader="none" w:pos="1560" w:val="left"/>
        </w:tabs>
        <w:rPr>
          <w:rFonts w:ascii="Arial" w:cs="Arial" w:eastAsia="Arial" w:hAnsi="Arial"/>
          <w:sz w:val="18"/>
          <w:szCs w:val="18"/>
          <w:u w:val="single" w:color="auto"/>
          <w:color w:val="0000FF"/>
        </w:rPr>
      </w:pPr>
      <w:hyperlink r:id="rId283">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283">
        <w:r>
          <w:rPr>
            <w:rFonts w:ascii="Arial" w:cs="Arial" w:eastAsia="Arial" w:hAnsi="Arial"/>
            <w:sz w:val="18"/>
            <w:szCs w:val="18"/>
            <w:u w:val="single" w:color="auto"/>
            <w:color w:val="0000FF"/>
          </w:rPr>
          <w:t>MD Stockholders Agreement, dated as of December 25, 2018, by and among the Company, Denali Intermediate Inc., Dell Inc., EMC</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Corporation, Denali Finance Corp., Dell International L.L.C., Michael S. Dell and the Susan Lieberman Dell Separate Property Trust</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(incorporated by reference to Exhibit 10.1 to the Company’s Current Report on Form 8-K filed with the Commission on</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December 28, 2018) (Commission File No. 001-37867).</w:t>
        </w:r>
      </w:hyperlink>
    </w:p>
    <w:p>
      <w:pPr>
        <w:spacing w:after="0" w:line="1" w:lineRule="exact"/>
        <w:rPr>
          <w:rFonts w:ascii="Arial" w:cs="Arial" w:eastAsia="Arial" w:hAnsi="Arial"/>
          <w:sz w:val="18"/>
          <w:szCs w:val="18"/>
          <w:u w:val="single" w:color="auto"/>
          <w:color w:val="0000FF"/>
        </w:rPr>
      </w:pPr>
    </w:p>
    <w:p>
      <w:pPr>
        <w:ind w:left="1580" w:hanging="534"/>
        <w:spacing w:after="0" w:line="216" w:lineRule="auto"/>
        <w:tabs>
          <w:tab w:leader="none" w:pos="1560" w:val="left"/>
        </w:tabs>
        <w:rPr>
          <w:rFonts w:ascii="Arial" w:cs="Arial" w:eastAsia="Arial" w:hAnsi="Arial"/>
          <w:sz w:val="18"/>
          <w:szCs w:val="18"/>
          <w:u w:val="single" w:color="auto"/>
          <w:color w:val="0000FF"/>
        </w:rPr>
      </w:pPr>
      <w:hyperlink r:id="rId284">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284">
        <w:r>
          <w:rPr>
            <w:rFonts w:ascii="Arial" w:cs="Arial" w:eastAsia="Arial" w:hAnsi="Arial"/>
            <w:sz w:val="18"/>
            <w:szCs w:val="18"/>
            <w:u w:val="single" w:color="auto"/>
            <w:color w:val="0000FF"/>
          </w:rPr>
          <w:t>SLP Stockholders Agreement, dated as of December 25, 2018, by and among the Company, Denali Intermediate Inc., Dell Inc., EMC</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Corporation, Denali Finance Corp., Dell International L.L.C., Silver Lake Partners III, L.P., Silver Lake Technology Investors III,</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L.P., Silver Lake Partners IV, L.P., Silver Lake Technology Investors IV, L.P. and SLP Denali Co-Invest, L.P. and the other</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stockholders named therein (incorporated by reference to Exhibit 10.2 to the Company’s Current Report on Form 8-K filed with the</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Commission on December 28, 2018) (Commission File No. 001-37867).</w:t>
        </w:r>
      </w:hyperlink>
    </w:p>
    <w:p>
      <w:pPr>
        <w:ind w:left="1580" w:hanging="534"/>
        <w:spacing w:after="0" w:line="228" w:lineRule="auto"/>
        <w:tabs>
          <w:tab w:leader="none" w:pos="1560" w:val="left"/>
        </w:tabs>
        <w:rPr>
          <w:rFonts w:ascii="Arial" w:cs="Arial" w:eastAsia="Arial" w:hAnsi="Arial"/>
          <w:sz w:val="17"/>
          <w:szCs w:val="17"/>
          <w:u w:val="single" w:color="auto"/>
          <w:color w:val="0000FF"/>
        </w:rPr>
      </w:pPr>
      <w:hyperlink r:id="rId285">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285">
        <w:r>
          <w:rPr>
            <w:rFonts w:ascii="Arial" w:cs="Arial" w:eastAsia="Arial" w:hAnsi="Arial"/>
            <w:sz w:val="17"/>
            <w:szCs w:val="17"/>
            <w:u w:val="single" w:color="auto"/>
            <w:color w:val="0000FF"/>
          </w:rPr>
          <w:t>Second Amended and Restated Management Stockholders Agreement, dated as of December 25, 2018, by and among the Company,</w:t>
        </w:r>
      </w:hyperlink>
      <w:r>
        <w:rPr>
          <w:rFonts w:ascii="Arial" w:cs="Arial" w:eastAsia="Arial" w:hAnsi="Arial"/>
          <w:sz w:val="17"/>
          <w:szCs w:val="17"/>
          <w:u w:val="single" w:color="auto"/>
          <w:color w:val="0000FF"/>
        </w:rPr>
        <w:t xml:space="preserve"> </w:t>
      </w:r>
      <w:hyperlink r:id="rId285">
        <w:r>
          <w:rPr>
            <w:rFonts w:ascii="Arial" w:cs="Arial" w:eastAsia="Arial" w:hAnsi="Arial"/>
            <w:sz w:val="17"/>
            <w:szCs w:val="17"/>
            <w:u w:val="single" w:color="auto"/>
            <w:color w:val="0000FF"/>
          </w:rPr>
          <w:t>Michael S. Dell, Susan Lieberman Dell Separate Property Trust, Silver Lake Partners III, L.P., Silver Lake Technology Investors III,</w:t>
        </w:r>
      </w:hyperlink>
      <w:r>
        <w:rPr>
          <w:rFonts w:ascii="Arial" w:cs="Arial" w:eastAsia="Arial" w:hAnsi="Arial"/>
          <w:sz w:val="17"/>
          <w:szCs w:val="17"/>
          <w:u w:val="single" w:color="auto"/>
          <w:color w:val="0000FF"/>
        </w:rPr>
        <w:t xml:space="preserve"> </w:t>
      </w:r>
      <w:hyperlink r:id="rId285">
        <w:r>
          <w:rPr>
            <w:rFonts w:ascii="Arial" w:cs="Arial" w:eastAsia="Arial" w:hAnsi="Arial"/>
            <w:sz w:val="17"/>
            <w:szCs w:val="17"/>
            <w:u w:val="single" w:color="auto"/>
            <w:color w:val="0000FF"/>
          </w:rPr>
          <w:t>L.P., Silver Lake Partners IV, L.P., Silver Lake Technology Investors IV, L.P., SLP Denali Co-Invest, L.P. and the Management</w:t>
        </w:r>
      </w:hyperlink>
      <w:r>
        <w:rPr>
          <w:rFonts w:ascii="Arial" w:cs="Arial" w:eastAsia="Arial" w:hAnsi="Arial"/>
          <w:sz w:val="17"/>
          <w:szCs w:val="17"/>
          <w:u w:val="single" w:color="auto"/>
          <w:color w:val="0000FF"/>
        </w:rPr>
        <w:t xml:space="preserve"> </w:t>
      </w:r>
      <w:hyperlink r:id="rId285">
        <w:r>
          <w:rPr>
            <w:rFonts w:ascii="Arial" w:cs="Arial" w:eastAsia="Arial" w:hAnsi="Arial"/>
            <w:sz w:val="17"/>
            <w:szCs w:val="17"/>
            <w:u w:val="single" w:color="auto"/>
            <w:color w:val="0000FF"/>
          </w:rPr>
          <w:t>Stockholders (as defined therein) (incorporated by reference to Exhibit 10.5 to the Company’s Current Report on Form 8-K filed with</w:t>
        </w:r>
      </w:hyperlink>
      <w:r>
        <w:rPr>
          <w:rFonts w:ascii="Arial" w:cs="Arial" w:eastAsia="Arial" w:hAnsi="Arial"/>
          <w:sz w:val="17"/>
          <w:szCs w:val="17"/>
          <w:u w:val="single" w:color="auto"/>
          <w:color w:val="0000FF"/>
        </w:rPr>
        <w:t xml:space="preserve"> </w:t>
      </w:r>
      <w:hyperlink r:id="rId285">
        <w:r>
          <w:rPr>
            <w:rFonts w:ascii="Arial" w:cs="Arial" w:eastAsia="Arial" w:hAnsi="Arial"/>
            <w:sz w:val="17"/>
            <w:szCs w:val="17"/>
            <w:u w:val="single" w:color="auto"/>
            <w:color w:val="0000FF"/>
          </w:rPr>
          <w:t>the Commission on December 28, 2018) (Commission File No. 001-37867).</w:t>
        </w:r>
      </w:hyperlink>
    </w:p>
    <w:p>
      <w:pPr>
        <w:spacing w:after="0" w:line="3" w:lineRule="exact"/>
        <w:rPr>
          <w:rFonts w:ascii="Arial" w:cs="Arial" w:eastAsia="Arial" w:hAnsi="Arial"/>
          <w:sz w:val="17"/>
          <w:szCs w:val="17"/>
          <w:u w:val="single" w:color="auto"/>
          <w:color w:val="0000FF"/>
        </w:rPr>
      </w:pPr>
    </w:p>
    <w:p>
      <w:pPr>
        <w:ind w:left="1580" w:right="160" w:hanging="534"/>
        <w:spacing w:after="0" w:line="216" w:lineRule="auto"/>
        <w:tabs>
          <w:tab w:leader="none" w:pos="1560" w:val="left"/>
        </w:tabs>
        <w:rPr>
          <w:rFonts w:ascii="Arial" w:cs="Arial" w:eastAsia="Arial" w:hAnsi="Arial"/>
          <w:sz w:val="18"/>
          <w:szCs w:val="18"/>
          <w:u w:val="single" w:color="auto"/>
          <w:color w:val="0000FF"/>
        </w:rPr>
      </w:pPr>
      <w:hyperlink r:id="rId286">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286">
        <w:r>
          <w:rPr>
            <w:rFonts w:ascii="Arial" w:cs="Arial" w:eastAsia="Arial" w:hAnsi="Arial"/>
            <w:sz w:val="18"/>
            <w:szCs w:val="18"/>
            <w:u w:val="single" w:color="auto"/>
            <w:color w:val="0000FF"/>
          </w:rPr>
          <w:t>Amended and Restated Class C Stockholders Agreement, dated as of December 25, 2018, by and among the Company, Michael S.</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Dell, Susan Lieberman Dell Separate Property Trust, Silver Lake Partners III, L.P., Silver Lake Partners IV, L.P., Silver Lake</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Technology Investors III, L.P., Silver Lake Technology Investors IV, L.P., SLP Denali Co-Invest, L.P. and Venezio Investments Pte.</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Ltd. (incorporated by reference to Exhibit 10.6 to the Company’s Current Report on Form 8-K filed with the Commission on</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December 28, 2018) (Commission File No. 001-37867).</w:t>
        </w:r>
      </w:hyperlink>
    </w:p>
    <w:p>
      <w:pPr>
        <w:spacing w:after="0" w:line="200" w:lineRule="exact"/>
        <w:rPr>
          <w:rFonts w:ascii="Arial" w:cs="Arial" w:eastAsia="Arial" w:hAnsi="Arial"/>
          <w:sz w:val="18"/>
          <w:szCs w:val="18"/>
          <w:u w:val="single" w:color="auto"/>
          <w:color w:val="0000FF"/>
        </w:rPr>
      </w:pPr>
    </w:p>
    <w:p>
      <w:pPr>
        <w:spacing w:after="0" w:line="38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9" w:name="page170"/>
    <w:bookmarkEnd w:id="1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00" w:type="dxa"/>
            <w:vAlign w:val="bottom"/>
            <w:gridSpan w:val="2"/>
          </w:tcPr>
          <w:p>
            <w:pPr>
              <w:spacing w:after="0"/>
              <w:rPr>
                <w:sz w:val="17"/>
                <w:szCs w:val="17"/>
                <w:color w:val="auto"/>
              </w:rPr>
            </w:pPr>
          </w:p>
        </w:tc>
        <w:tc>
          <w:tcPr>
            <w:tcW w:w="400" w:type="dxa"/>
            <w:vAlign w:val="bottom"/>
          </w:tcPr>
          <w:p>
            <w:pPr>
              <w:spacing w:after="0"/>
              <w:rPr>
                <w:rFonts w:ascii="Arial" w:cs="Arial" w:eastAsia="Arial" w:hAnsi="Arial"/>
                <w:sz w:val="18"/>
                <w:szCs w:val="18"/>
                <w:color w:val="0000FF"/>
                <w:w w:val="84"/>
              </w:rPr>
            </w:pPr>
            <w:hyperlink r:id="rId28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41</w:t>
              </w:r>
            </w:hyperlink>
          </w:p>
        </w:tc>
        <w:tc>
          <w:tcPr>
            <w:tcW w:w="140" w:type="dxa"/>
            <w:vAlign w:val="bottom"/>
          </w:tcPr>
          <w:p>
            <w:pPr>
              <w:spacing w:after="0"/>
              <w:rPr>
                <w:sz w:val="17"/>
                <w:szCs w:val="17"/>
                <w:color w:val="auto"/>
              </w:rPr>
            </w:pPr>
          </w:p>
        </w:tc>
        <w:tc>
          <w:tcPr>
            <w:tcW w:w="9640" w:type="dxa"/>
            <w:vAlign w:val="bottom"/>
            <w:gridSpan w:val="25"/>
          </w:tcPr>
          <w:p>
            <w:pPr>
              <w:spacing w:after="0"/>
              <w:rPr>
                <w:rFonts w:ascii="Arial" w:cs="Arial" w:eastAsia="Arial" w:hAnsi="Arial"/>
                <w:sz w:val="18"/>
                <w:szCs w:val="18"/>
                <w:color w:val="0000FF"/>
                <w:w w:val="93"/>
              </w:rPr>
            </w:pPr>
            <w:hyperlink r:id="rId288">
              <w:r>
                <w:rPr>
                  <w:rFonts w:ascii="Arial" w:cs="Arial" w:eastAsia="Arial" w:hAnsi="Arial"/>
                  <w:sz w:val="18"/>
                  <w:szCs w:val="18"/>
                  <w:color w:val="0000FF"/>
                  <w:w w:val="93"/>
                </w:rPr>
                <w:t>Second Amended and Restated Class A Stockholders Agreement, dated as of December 25, 2018, by and among the Company,</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620" w:type="dxa"/>
            <w:vAlign w:val="bottom"/>
            <w:gridSpan w:val="24"/>
          </w:tcPr>
          <w:p>
            <w:pPr>
              <w:spacing w:after="0" w:line="156" w:lineRule="exact"/>
              <w:rPr>
                <w:rFonts w:ascii="Arial" w:cs="Arial" w:eastAsia="Arial" w:hAnsi="Arial"/>
                <w:sz w:val="18"/>
                <w:szCs w:val="18"/>
                <w:color w:val="0000FF"/>
                <w:w w:val="93"/>
              </w:rPr>
            </w:pPr>
            <w:hyperlink r:id="rId288">
              <w:r>
                <w:rPr>
                  <w:rFonts w:ascii="Arial" w:cs="Arial" w:eastAsia="Arial" w:hAnsi="Arial"/>
                  <w:sz w:val="18"/>
                  <w:szCs w:val="18"/>
                  <w:color w:val="0000FF"/>
                  <w:w w:val="93"/>
                </w:rPr>
                <w:t>Michael S. Dell, Susan Lieberman Dell Separate Property Trust, Silver Lake Partners III, L.P., Silver Lake Partners IV, L.P., Silver</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288">
              <w:r>
                <w:rPr>
                  <w:rFonts w:ascii="Arial" w:cs="Arial" w:eastAsia="Arial" w:hAnsi="Arial"/>
                  <w:sz w:val="18"/>
                  <w:szCs w:val="18"/>
                  <w:color w:val="0000FF"/>
                  <w:w w:val="91"/>
                </w:rPr>
                <w:t>Lake Technology Investors III, L.P., Silver Lake Technology Investors IV, L.P., SLP Denali Co-Invest, L.P. and the New Class A</w:t>
              </w:r>
            </w:hyperlink>
          </w:p>
        </w:tc>
        <w:tc>
          <w:tcPr>
            <w:tcW w:w="1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40" w:type="dxa"/>
            <w:vAlign w:val="bottom"/>
            <w:gridSpan w:val="25"/>
          </w:tcPr>
          <w:p>
            <w:pPr>
              <w:spacing w:after="0" w:line="156" w:lineRule="exact"/>
              <w:rPr>
                <w:rFonts w:ascii="Arial" w:cs="Arial" w:eastAsia="Arial" w:hAnsi="Arial"/>
                <w:sz w:val="18"/>
                <w:szCs w:val="18"/>
                <w:color w:val="0000FF"/>
                <w:w w:val="93"/>
              </w:rPr>
            </w:pPr>
            <w:hyperlink r:id="rId288">
              <w:r>
                <w:rPr>
                  <w:rFonts w:ascii="Arial" w:cs="Arial" w:eastAsia="Arial" w:hAnsi="Arial"/>
                  <w:sz w:val="18"/>
                  <w:szCs w:val="18"/>
                  <w:color w:val="0000FF"/>
                  <w:w w:val="93"/>
                </w:rPr>
                <w:t>Stockholders party thereto (incorporated by reference to Exhibit 10.7 to the Company’s Current Report on Form 8-K filed with the</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88">
              <w:r>
                <w:rPr>
                  <w:rFonts w:ascii="Arial" w:cs="Arial" w:eastAsia="Arial" w:hAnsi="Arial"/>
                  <w:sz w:val="18"/>
                  <w:szCs w:val="18"/>
                  <w:color w:val="0000FF"/>
                  <w:w w:val="91"/>
                </w:rPr>
                <w:t>Commission on December 28, 2018) (Commission File No. 001-37867).</w:t>
              </w:r>
            </w:hyperlink>
          </w:p>
        </w:tc>
        <w:tc>
          <w:tcPr>
            <w:tcW w:w="41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0" w:type="dxa"/>
            <w:vAlign w:val="bottom"/>
            <w:gridSpan w:val="3"/>
          </w:tcPr>
          <w:p>
            <w:pPr>
              <w:ind w:left="320"/>
              <w:spacing w:after="0"/>
              <w:rPr>
                <w:rFonts w:ascii="Arial" w:cs="Arial" w:eastAsia="Arial" w:hAnsi="Arial"/>
                <w:sz w:val="18"/>
                <w:szCs w:val="18"/>
                <w:color w:val="0000FF"/>
                <w:w w:val="88"/>
              </w:rPr>
            </w:pPr>
            <w:hyperlink r:id="rId28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42*</w:t>
              </w:r>
            </w:hyperlink>
          </w:p>
        </w:tc>
        <w:tc>
          <w:tcPr>
            <w:tcW w:w="140" w:type="dxa"/>
            <w:vAlign w:val="bottom"/>
          </w:tcPr>
          <w:p>
            <w:pPr>
              <w:spacing w:after="0"/>
              <w:rPr>
                <w:sz w:val="18"/>
                <w:szCs w:val="18"/>
                <w:color w:val="auto"/>
              </w:rPr>
            </w:pPr>
          </w:p>
        </w:tc>
        <w:tc>
          <w:tcPr>
            <w:tcW w:w="9640" w:type="dxa"/>
            <w:vAlign w:val="bottom"/>
            <w:gridSpan w:val="25"/>
          </w:tcPr>
          <w:p>
            <w:pPr>
              <w:spacing w:after="0"/>
              <w:rPr>
                <w:rFonts w:ascii="Arial" w:cs="Arial" w:eastAsia="Arial" w:hAnsi="Arial"/>
                <w:sz w:val="18"/>
                <w:szCs w:val="18"/>
                <w:color w:val="0000FF"/>
                <w:w w:val="92"/>
              </w:rPr>
            </w:pPr>
            <w:hyperlink r:id="rId289">
              <w:r>
                <w:rPr>
                  <w:rFonts w:ascii="Arial" w:cs="Arial" w:eastAsia="Arial" w:hAnsi="Arial"/>
                  <w:sz w:val="18"/>
                  <w:szCs w:val="18"/>
                  <w:color w:val="0000FF"/>
                  <w:w w:val="92"/>
                </w:rPr>
                <w:t>Form of Restricted Stock Unit Agreement under the Dell Technologies Inc. 2013 Stock Incentive Plan (incorporated by reference to</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289">
              <w:r>
                <w:rPr>
                  <w:rFonts w:ascii="Arial" w:cs="Arial" w:eastAsia="Arial" w:hAnsi="Arial"/>
                  <w:sz w:val="18"/>
                  <w:szCs w:val="18"/>
                  <w:color w:val="0000FF"/>
                  <w:w w:val="93"/>
                </w:rPr>
                <w:t>Exhibit 10.1 to the Company’s Current Report on Form 8-K filed with the Commission on March 19, 2019) (Commission File No.</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289">
              <w:r>
                <w:rPr>
                  <w:rFonts w:ascii="Arial" w:cs="Arial" w:eastAsia="Arial" w:hAnsi="Arial"/>
                  <w:sz w:val="18"/>
                  <w:szCs w:val="18"/>
                  <w:color w:val="0000FF"/>
                  <w:w w:val="88"/>
                </w:rPr>
                <w:t>001-37867).</w:t>
              </w:r>
            </w:hyperlink>
          </w:p>
        </w:tc>
        <w:tc>
          <w:tcPr>
            <w:tcW w:w="18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0" w:type="dxa"/>
            <w:vAlign w:val="bottom"/>
            <w:gridSpan w:val="3"/>
          </w:tcPr>
          <w:p>
            <w:pPr>
              <w:ind w:left="320"/>
              <w:spacing w:after="0"/>
              <w:rPr>
                <w:rFonts w:ascii="Arial" w:cs="Arial" w:eastAsia="Arial" w:hAnsi="Arial"/>
                <w:sz w:val="18"/>
                <w:szCs w:val="18"/>
                <w:color w:val="0000FF"/>
                <w:w w:val="88"/>
              </w:rPr>
            </w:pPr>
            <w:hyperlink r:id="rId29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43*</w:t>
              </w:r>
            </w:hyperlink>
          </w:p>
        </w:tc>
        <w:tc>
          <w:tcPr>
            <w:tcW w:w="140" w:type="dxa"/>
            <w:vAlign w:val="bottom"/>
          </w:tcPr>
          <w:p>
            <w:pPr>
              <w:spacing w:after="0"/>
              <w:rPr>
                <w:sz w:val="18"/>
                <w:szCs w:val="18"/>
                <w:color w:val="auto"/>
              </w:rPr>
            </w:pPr>
          </w:p>
        </w:tc>
        <w:tc>
          <w:tcPr>
            <w:tcW w:w="9640" w:type="dxa"/>
            <w:vAlign w:val="bottom"/>
            <w:gridSpan w:val="25"/>
          </w:tcPr>
          <w:p>
            <w:pPr>
              <w:spacing w:after="0"/>
              <w:rPr>
                <w:rFonts w:ascii="Arial" w:cs="Arial" w:eastAsia="Arial" w:hAnsi="Arial"/>
                <w:sz w:val="18"/>
                <w:szCs w:val="18"/>
                <w:color w:val="0000FF"/>
                <w:w w:val="99"/>
              </w:rPr>
            </w:pPr>
            <w:hyperlink r:id="rId290">
              <w:r>
                <w:rPr>
                  <w:rFonts w:ascii="Arial" w:cs="Arial" w:eastAsia="Arial" w:hAnsi="Arial"/>
                  <w:sz w:val="18"/>
                  <w:szCs w:val="18"/>
                  <w:color w:val="0000FF"/>
                  <w:w w:val="99"/>
                </w:rPr>
                <w:t>Form of Performance-Based Restricted Stock Unit Agreement under the Dell Technologies Inc. 2013 Stock Incentive Plan</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620" w:type="dxa"/>
            <w:vAlign w:val="bottom"/>
            <w:gridSpan w:val="24"/>
          </w:tcPr>
          <w:p>
            <w:pPr>
              <w:spacing w:after="0" w:line="156" w:lineRule="exact"/>
              <w:rPr>
                <w:rFonts w:ascii="Arial" w:cs="Arial" w:eastAsia="Arial" w:hAnsi="Arial"/>
                <w:sz w:val="18"/>
                <w:szCs w:val="18"/>
                <w:color w:val="0000FF"/>
                <w:w w:val="93"/>
              </w:rPr>
            </w:pPr>
            <w:hyperlink r:id="rId290">
              <w:r>
                <w:rPr>
                  <w:rFonts w:ascii="Arial" w:cs="Arial" w:eastAsia="Arial" w:hAnsi="Arial"/>
                  <w:sz w:val="18"/>
                  <w:szCs w:val="18"/>
                  <w:color w:val="0000FF"/>
                  <w:w w:val="93"/>
                </w:rPr>
                <w:t>(incorporated by reference to Exhibit 10.2 to the Company’s Current Report on Form 8-K filed with the Commission on March 19,</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90">
              <w:r>
                <w:rPr>
                  <w:rFonts w:ascii="Arial" w:cs="Arial" w:eastAsia="Arial" w:hAnsi="Arial"/>
                  <w:sz w:val="18"/>
                  <w:szCs w:val="18"/>
                  <w:color w:val="0000FF"/>
                  <w:w w:val="92"/>
                </w:rPr>
                <w:t>2019) (Commission File No. 001-37867).</w:t>
              </w:r>
            </w:hyperlink>
          </w:p>
        </w:tc>
        <w:tc>
          <w:tcPr>
            <w:tcW w:w="6440" w:type="dxa"/>
            <w:vAlign w:val="bottom"/>
            <w:tcBorders>
              <w:top w:val="single" w:sz="8" w:color="0000FF"/>
            </w:tcBorders>
            <w:gridSpan w:val="15"/>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0" w:type="dxa"/>
            <w:vAlign w:val="bottom"/>
            <w:gridSpan w:val="3"/>
          </w:tcPr>
          <w:p>
            <w:pPr>
              <w:ind w:left="320"/>
              <w:spacing w:after="0"/>
              <w:rPr>
                <w:rFonts w:ascii="Arial" w:cs="Arial" w:eastAsia="Arial" w:hAnsi="Arial"/>
                <w:sz w:val="18"/>
                <w:szCs w:val="18"/>
                <w:color w:val="0000FF"/>
                <w:w w:val="88"/>
              </w:rPr>
            </w:pPr>
            <w:hyperlink r:id="rId29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44*</w:t>
              </w:r>
            </w:hyperlink>
          </w:p>
        </w:tc>
        <w:tc>
          <w:tcPr>
            <w:tcW w:w="140" w:type="dxa"/>
            <w:vAlign w:val="bottom"/>
          </w:tcPr>
          <w:p>
            <w:pPr>
              <w:spacing w:after="0"/>
              <w:rPr>
                <w:sz w:val="18"/>
                <w:szCs w:val="18"/>
                <w:color w:val="auto"/>
              </w:rPr>
            </w:pPr>
          </w:p>
        </w:tc>
        <w:tc>
          <w:tcPr>
            <w:tcW w:w="9640" w:type="dxa"/>
            <w:vAlign w:val="bottom"/>
            <w:gridSpan w:val="25"/>
          </w:tcPr>
          <w:p>
            <w:pPr>
              <w:spacing w:after="0"/>
              <w:rPr>
                <w:rFonts w:ascii="Arial" w:cs="Arial" w:eastAsia="Arial" w:hAnsi="Arial"/>
                <w:sz w:val="18"/>
                <w:szCs w:val="18"/>
                <w:color w:val="0000FF"/>
                <w:w w:val="93"/>
              </w:rPr>
            </w:pPr>
            <w:hyperlink r:id="rId291">
              <w:r>
                <w:rPr>
                  <w:rFonts w:ascii="Arial" w:cs="Arial" w:eastAsia="Arial" w:hAnsi="Arial"/>
                  <w:sz w:val="18"/>
                  <w:szCs w:val="18"/>
                  <w:color w:val="0000FF"/>
                  <w:w w:val="93"/>
                </w:rPr>
                <w:t>Waiver Letter, dated as of April 7, 2020, between Dell Technologies Inc. and Michael S. Dell (incorporated by reference to Exhibit</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40" w:type="dxa"/>
            <w:vAlign w:val="bottom"/>
            <w:gridSpan w:val="25"/>
          </w:tcPr>
          <w:p>
            <w:pPr>
              <w:spacing w:after="0" w:line="156" w:lineRule="exact"/>
              <w:rPr>
                <w:rFonts w:ascii="Arial" w:cs="Arial" w:eastAsia="Arial" w:hAnsi="Arial"/>
                <w:sz w:val="18"/>
                <w:szCs w:val="18"/>
                <w:color w:val="0000FF"/>
                <w:w w:val="91"/>
              </w:rPr>
            </w:pPr>
            <w:hyperlink r:id="rId29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57</w:t>
              </w:r>
              <w:r>
                <w:rPr>
                  <w:rFonts w:ascii="Arial" w:cs="Arial" w:eastAsia="Arial" w:hAnsi="Arial"/>
                  <w:sz w:val="18"/>
                  <w:szCs w:val="18"/>
                  <w:color w:val="0000FF"/>
                  <w:w w:val="91"/>
                </w:rPr>
                <w:t xml:space="preserve"> to the Company’s Annual Report on Form 10-K for the fiscal year ended January 29, 2021) (Commission File No. 001-37867).</w:t>
              </w:r>
            </w:hyperlink>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18"/>
                <w:szCs w:val="18"/>
                <w:color w:val="auto"/>
              </w:rPr>
            </w:pPr>
          </w:p>
        </w:tc>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29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45</w:t>
              </w:r>
            </w:hyperlink>
          </w:p>
        </w:tc>
        <w:tc>
          <w:tcPr>
            <w:tcW w:w="140" w:type="dxa"/>
            <w:vAlign w:val="bottom"/>
          </w:tcPr>
          <w:p>
            <w:pPr>
              <w:spacing w:after="0"/>
              <w:rPr>
                <w:sz w:val="18"/>
                <w:szCs w:val="18"/>
                <w:color w:val="auto"/>
              </w:rPr>
            </w:pPr>
          </w:p>
        </w:tc>
        <w:tc>
          <w:tcPr>
            <w:tcW w:w="91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r:id="rId292">
              <w:r>
                <w:rPr>
                  <w:rFonts w:ascii="Arial" w:cs="Arial" w:eastAsia="Arial" w:hAnsi="Arial"/>
                  <w:sz w:val="18"/>
                  <w:szCs w:val="18"/>
                  <w:color w:val="0000FF"/>
                  <w:w w:val="91"/>
                </w:rPr>
                <w:t>Commercial Framework Agreement, dated as of November 1, 2021, by and between Dell Technologies Inc. and VMware, Inc.</w:t>
              </w:r>
            </w:hyperlink>
          </w:p>
        </w:tc>
        <w:tc>
          <w:tcPr>
            <w:tcW w:w="440" w:type="dxa"/>
            <w:vAlign w:val="bottom"/>
            <w:tcBorders>
              <w:top w:val="single" w:sz="8" w:color="0000FF"/>
            </w:tcBorders>
            <w:gridSpan w:val="10"/>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40" w:type="dxa"/>
            <w:vAlign w:val="bottom"/>
            <w:gridSpan w:val="25"/>
          </w:tcPr>
          <w:p>
            <w:pPr>
              <w:spacing w:after="0" w:line="156" w:lineRule="exact"/>
              <w:rPr>
                <w:rFonts w:ascii="Arial" w:cs="Arial" w:eastAsia="Arial" w:hAnsi="Arial"/>
                <w:sz w:val="18"/>
                <w:szCs w:val="18"/>
                <w:color w:val="0000FF"/>
                <w:w w:val="91"/>
              </w:rPr>
            </w:pPr>
            <w:hyperlink r:id="rId292">
              <w:r>
                <w:rPr>
                  <w:rFonts w:ascii="Arial" w:cs="Arial" w:eastAsia="Arial" w:hAnsi="Arial"/>
                  <w:sz w:val="18"/>
                  <w:szCs w:val="18"/>
                  <w:color w:val="0000FF"/>
                  <w:w w:val="91"/>
                </w:rPr>
                <w:t>(incorporated by reference to Exhibit 10.1 to the Company’s Current Report on Form 8-K filed with the Commission on November 1,</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92">
              <w:r>
                <w:rPr>
                  <w:rFonts w:ascii="Arial" w:cs="Arial" w:eastAsia="Arial" w:hAnsi="Arial"/>
                  <w:sz w:val="18"/>
                  <w:szCs w:val="18"/>
                  <w:color w:val="0000FF"/>
                  <w:w w:val="91"/>
                </w:rPr>
                <w:t>2021) (Commission File No. 001-37867).</w:t>
              </w:r>
            </w:hyperlink>
          </w:p>
        </w:tc>
        <w:tc>
          <w:tcPr>
            <w:tcW w:w="66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rPr>
            </w:pPr>
            <w:hyperlink w:anchor="page196">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9640" w:type="dxa"/>
            <w:vAlign w:val="bottom"/>
            <w:gridSpan w:val="25"/>
          </w:tcPr>
          <w:p>
            <w:pPr>
              <w:spacing w:after="0"/>
              <w:rPr>
                <w:rFonts w:ascii="Arial" w:cs="Arial" w:eastAsia="Arial" w:hAnsi="Arial"/>
                <w:sz w:val="18"/>
                <w:szCs w:val="18"/>
                <w:color w:val="0000FF"/>
              </w:rPr>
            </w:pPr>
            <w:hyperlink w:anchor="page196">
              <w:r>
                <w:rPr>
                  <w:rFonts w:ascii="Arial" w:cs="Arial" w:eastAsia="Arial" w:hAnsi="Arial"/>
                  <w:sz w:val="18"/>
                  <w:szCs w:val="18"/>
                  <w:color w:val="0000FF"/>
                </w:rPr>
                <w:t>Subsidiaries of Dell Technologies Inc.</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line="196" w:lineRule="exact"/>
              <w:rPr>
                <w:rFonts w:ascii="Arial" w:cs="Arial" w:eastAsia="Arial" w:hAnsi="Arial"/>
                <w:sz w:val="18"/>
                <w:szCs w:val="18"/>
                <w:color w:val="0000FF"/>
              </w:rPr>
            </w:pPr>
            <w:hyperlink w:anchor="page204">
              <w:r>
                <w:rPr>
                  <w:rFonts w:ascii="Arial" w:cs="Arial" w:eastAsia="Arial" w:hAnsi="Arial"/>
                  <w:sz w:val="18"/>
                  <w:szCs w:val="18"/>
                  <w:color w:val="0000FF"/>
                </w:rPr>
                <w:t>22.</w:t>
              </w:r>
              <w:r>
                <w:rPr>
                  <w:rFonts w:ascii="Arial" w:cs="Arial" w:eastAsia="Arial" w:hAnsi="Arial"/>
                  <w:sz w:val="18"/>
                  <w:szCs w:val="18"/>
                  <w:u w:val="single" w:color="auto"/>
                  <w:color w:val="0000FF"/>
                </w:rPr>
                <w:t>1†</w:t>
              </w:r>
            </w:hyperlink>
          </w:p>
        </w:tc>
        <w:tc>
          <w:tcPr>
            <w:tcW w:w="9640" w:type="dxa"/>
            <w:vAlign w:val="bottom"/>
            <w:gridSpan w:val="25"/>
          </w:tcPr>
          <w:p>
            <w:pPr>
              <w:spacing w:after="0" w:line="196" w:lineRule="exact"/>
              <w:rPr>
                <w:rFonts w:ascii="Arial" w:cs="Arial" w:eastAsia="Arial" w:hAnsi="Arial"/>
                <w:sz w:val="18"/>
                <w:szCs w:val="18"/>
                <w:color w:val="0000FF"/>
              </w:rPr>
            </w:pPr>
            <w:hyperlink w:anchor="page204">
              <w:r>
                <w:rPr>
                  <w:rFonts w:ascii="Arial" w:cs="Arial" w:eastAsia="Arial" w:hAnsi="Arial"/>
                  <w:sz w:val="18"/>
                  <w:szCs w:val="18"/>
                  <w:color w:val="0000FF"/>
                </w:rPr>
                <w:t>List of Guarantor Subsidiaries and Issuers of Guaranteed Securities</w:t>
              </w:r>
            </w:hyperlink>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gridSpan w:val="5"/>
            <w:shd w:val="clear" w:color="auto" w:fill="0000FF"/>
          </w:tcPr>
          <w:p>
            <w:pPr>
              <w:spacing w:after="0"/>
              <w:rPr>
                <w:sz w:val="2"/>
                <w:szCs w:val="2"/>
                <w:color w:val="auto"/>
              </w:rPr>
            </w:pPr>
          </w:p>
        </w:tc>
        <w:tc>
          <w:tcPr>
            <w:tcW w:w="130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gridSpan w:val="6"/>
          </w:tcPr>
          <w:p>
            <w:pPr>
              <w:spacing w:after="0"/>
              <w:rPr>
                <w:sz w:val="2"/>
                <w:szCs w:val="2"/>
                <w:color w:val="auto"/>
              </w:rPr>
            </w:pPr>
          </w:p>
        </w:tc>
        <w:tc>
          <w:tcPr>
            <w:tcW w:w="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9640" w:type="dxa"/>
            <w:vAlign w:val="bottom"/>
            <w:gridSpan w:val="25"/>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Consent of PricewaterhouseCoopers LLP, independent registered public accounting firm of Dell Technologies Inc.</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7"/>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9640" w:type="dxa"/>
            <w:vAlign w:val="bottom"/>
            <w:gridSpan w:val="25"/>
          </w:tcPr>
          <w:p>
            <w:pPr>
              <w:spacing w:after="0"/>
              <w:rPr>
                <w:rFonts w:ascii="Arial" w:cs="Arial" w:eastAsia="Arial" w:hAnsi="Arial"/>
                <w:sz w:val="18"/>
                <w:szCs w:val="18"/>
                <w:color w:val="0000FF"/>
                <w:w w:val="95"/>
              </w:rPr>
            </w:pPr>
            <w:hyperlink w:anchor="page206">
              <w:r>
                <w:rPr>
                  <w:rFonts w:ascii="Arial" w:cs="Arial" w:eastAsia="Arial" w:hAnsi="Arial"/>
                  <w:sz w:val="18"/>
                  <w:szCs w:val="18"/>
                  <w:color w:val="0000FF"/>
                  <w:w w:val="95"/>
                </w:rPr>
                <w:t>Certification of Michael S. Dell, Chairman and Chief Executive Officer, pursuant to Rule 13a-14(a) or Rule 15d-14(a) under the</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w:anchor="page206">
              <w:r>
                <w:rPr>
                  <w:rFonts w:ascii="Arial" w:cs="Arial" w:eastAsia="Arial" w:hAnsi="Arial"/>
                  <w:sz w:val="18"/>
                  <w:szCs w:val="18"/>
                  <w:color w:val="0000FF"/>
                  <w:w w:val="89"/>
                </w:rPr>
                <w:t>Securities Exchange Act of 1934, as adopted pursuant to Section 302 of the Sarbanes-Oxley Act of 2002.</w:t>
              </w:r>
            </w:hyperlink>
          </w:p>
        </w:tc>
        <w:tc>
          <w:tcPr>
            <w:tcW w:w="164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rPr>
            </w:pPr>
            <w:hyperlink w:anchor="page20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9640" w:type="dxa"/>
            <w:vAlign w:val="bottom"/>
            <w:gridSpan w:val="25"/>
          </w:tcPr>
          <w:p>
            <w:pPr>
              <w:spacing w:after="0"/>
              <w:rPr>
                <w:rFonts w:ascii="Arial" w:cs="Arial" w:eastAsia="Arial" w:hAnsi="Arial"/>
                <w:sz w:val="18"/>
                <w:szCs w:val="18"/>
                <w:color w:val="0000FF"/>
                <w:w w:val="94"/>
              </w:rPr>
            </w:pPr>
            <w:hyperlink w:anchor="page207">
              <w:r>
                <w:rPr>
                  <w:rFonts w:ascii="Arial" w:cs="Arial" w:eastAsia="Arial" w:hAnsi="Arial"/>
                  <w:sz w:val="18"/>
                  <w:szCs w:val="18"/>
                  <w:color w:val="0000FF"/>
                  <w:w w:val="94"/>
                </w:rPr>
                <w:t>Certification of Thomas W. Sweet, Executive Vice President and Chief Financial Officer, pursuant to Rule 13a-14(a) or Rule 15d-</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7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w:anchor="page207">
              <w:r>
                <w:rPr>
                  <w:rFonts w:ascii="Arial" w:cs="Arial" w:eastAsia="Arial" w:hAnsi="Arial"/>
                  <w:sz w:val="18"/>
                  <w:szCs w:val="18"/>
                  <w:color w:val="0000FF"/>
                  <w:w w:val="89"/>
                </w:rPr>
                <w:t>14(a) under the Securities Exchange Act of 1934, as adopted pursuant to Section 302 of the Sarbanes-Oxley Act of 2002.</w:t>
              </w:r>
            </w:hyperlink>
          </w:p>
        </w:tc>
        <w:tc>
          <w:tcPr>
            <w:tcW w:w="620" w:type="dxa"/>
            <w:vAlign w:val="bottom"/>
            <w:tcBorders>
              <w:top w:val="single" w:sz="8" w:color="0000FF"/>
            </w:tcBorders>
            <w:gridSpan w:val="5"/>
          </w:tcPr>
          <w:p>
            <w:pPr>
              <w:spacing w:after="0"/>
              <w:rPr>
                <w:sz w:val="13"/>
                <w:szCs w:val="13"/>
                <w:color w:val="auto"/>
              </w:rPr>
            </w:pPr>
          </w:p>
        </w:tc>
        <w:tc>
          <w:tcPr>
            <w:tcW w:w="22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gridSpan w:val="4"/>
          </w:tcPr>
          <w:p>
            <w:pPr>
              <w:ind w:left="320"/>
              <w:spacing w:after="0"/>
              <w:rPr>
                <w:rFonts w:ascii="Arial" w:cs="Arial" w:eastAsia="Arial" w:hAnsi="Arial"/>
                <w:sz w:val="18"/>
                <w:szCs w:val="18"/>
                <w:color w:val="0000FF"/>
              </w:rPr>
            </w:pPr>
            <w:hyperlink w:anchor="page20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9640" w:type="dxa"/>
            <w:vAlign w:val="bottom"/>
            <w:gridSpan w:val="25"/>
          </w:tcPr>
          <w:p>
            <w:pPr>
              <w:spacing w:after="0"/>
              <w:rPr>
                <w:rFonts w:ascii="Arial" w:cs="Arial" w:eastAsia="Arial" w:hAnsi="Arial"/>
                <w:sz w:val="18"/>
                <w:szCs w:val="18"/>
                <w:color w:val="0000FF"/>
                <w:w w:val="92"/>
              </w:rPr>
            </w:pPr>
            <w:hyperlink w:anchor="page208">
              <w:r>
                <w:rPr>
                  <w:rFonts w:ascii="Arial" w:cs="Arial" w:eastAsia="Arial" w:hAnsi="Arial"/>
                  <w:sz w:val="18"/>
                  <w:szCs w:val="18"/>
                  <w:color w:val="0000FF"/>
                  <w:w w:val="92"/>
                </w:rPr>
                <w:t>Certifications of Michael S. Dell, Chairman and Chief Executive Officer, and Thomas W. Sweet, Executive Vice President and Chief</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1"/>
          </w:tcPr>
          <w:p>
            <w:pPr>
              <w:spacing w:after="0" w:line="156" w:lineRule="exact"/>
              <w:rPr>
                <w:rFonts w:ascii="Arial" w:cs="Arial" w:eastAsia="Arial" w:hAnsi="Arial"/>
                <w:sz w:val="18"/>
                <w:szCs w:val="18"/>
                <w:color w:val="0000FF"/>
                <w:w w:val="98"/>
              </w:rPr>
            </w:pPr>
            <w:hyperlink w:anchor="page208">
              <w:r>
                <w:rPr>
                  <w:rFonts w:ascii="Arial" w:cs="Arial" w:eastAsia="Arial" w:hAnsi="Arial"/>
                  <w:sz w:val="18"/>
                  <w:szCs w:val="18"/>
                  <w:color w:val="0000FF"/>
                  <w:w w:val="98"/>
                </w:rPr>
                <w:t>Financial Officer, pursuant to Rule 13a-14(b) or Rule 15d-14(b) under the Securities Exchange Act of 1934 and 18 U.S.C.</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208">
              <w:r>
                <w:rPr>
                  <w:rFonts w:ascii="Arial" w:cs="Arial" w:eastAsia="Arial" w:hAnsi="Arial"/>
                  <w:sz w:val="18"/>
                  <w:szCs w:val="18"/>
                  <w:color w:val="0000FF"/>
                </w:rPr>
                <w:t>Section 1350, as adopted pursuant to Section 906 of the Sarbanes-Oxley Act of 2002.</w:t>
              </w:r>
            </w:hyperlink>
          </w:p>
        </w:tc>
        <w:tc>
          <w:tcPr>
            <w:tcW w:w="8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gridSpan w:val="4"/>
          </w:tcPr>
          <w:p>
            <w:pPr>
              <w:spacing w:after="0" w:line="20" w:lineRule="exact"/>
              <w:rPr>
                <w:sz w:val="1"/>
                <w:szCs w:val="1"/>
                <w:color w:val="auto"/>
              </w:rPr>
            </w:pPr>
          </w:p>
        </w:tc>
        <w:tc>
          <w:tcPr>
            <w:tcW w:w="6140" w:type="dxa"/>
            <w:vAlign w:val="bottom"/>
            <w:gridSpan w:val="8"/>
            <w:shd w:val="clear" w:color="auto" w:fill="0000FF"/>
          </w:tcPr>
          <w:p>
            <w:pPr>
              <w:spacing w:after="0" w:line="20" w:lineRule="exact"/>
              <w:rPr>
                <w:sz w:val="1"/>
                <w:szCs w:val="1"/>
                <w:color w:val="auto"/>
              </w:rPr>
            </w:pPr>
          </w:p>
        </w:tc>
        <w:tc>
          <w:tcPr>
            <w:tcW w:w="35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w w:val="97"/>
              </w:rPr>
              <w:t>101 .INS†</w:t>
            </w:r>
          </w:p>
        </w:tc>
        <w:tc>
          <w:tcPr>
            <w:tcW w:w="9640" w:type="dxa"/>
            <w:vAlign w:val="bottom"/>
            <w:gridSpan w:val="25"/>
          </w:tcPr>
          <w:p>
            <w:pPr>
              <w:spacing w:after="0" w:line="19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40" w:type="dxa"/>
            <w:vAlign w:val="bottom"/>
            <w:gridSpan w:val="2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w w:val="88"/>
              </w:rPr>
              <w:t>101 .SCH†</w:t>
            </w:r>
          </w:p>
        </w:tc>
        <w:tc>
          <w:tcPr>
            <w:tcW w:w="964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w w:val="91"/>
              </w:rPr>
              <w:t>101 .CAL†</w:t>
            </w:r>
          </w:p>
        </w:tc>
        <w:tc>
          <w:tcPr>
            <w:tcW w:w="964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w w:val="90"/>
              </w:rPr>
              <w:t>101 .DEF†</w:t>
            </w:r>
          </w:p>
        </w:tc>
        <w:tc>
          <w:tcPr>
            <w:tcW w:w="964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101 .LAB†</w:t>
            </w:r>
          </w:p>
        </w:tc>
        <w:tc>
          <w:tcPr>
            <w:tcW w:w="964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w w:val="89"/>
              </w:rPr>
              <w:t>101 .PRE†</w:t>
            </w:r>
          </w:p>
        </w:tc>
        <w:tc>
          <w:tcPr>
            <w:tcW w:w="9640" w:type="dxa"/>
            <w:vAlign w:val="bottom"/>
            <w:gridSpan w:val="2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80" w:right="160" w:hanging="402"/>
        <w:spacing w:after="0" w:line="234" w:lineRule="auto"/>
        <w:tabs>
          <w:tab w:leader="none" w:pos="1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(included in Exhibit 101).</w:t>
      </w:r>
    </w:p>
    <w:p>
      <w:pPr>
        <w:spacing w:after="0" w:line="122" w:lineRule="exact"/>
        <w:rPr>
          <w:rFonts w:ascii="Arial" w:cs="Arial" w:eastAsia="Arial" w:hAnsi="Arial"/>
          <w:sz w:val="18"/>
          <w:szCs w:val="18"/>
          <w:color w:val="auto"/>
        </w:rPr>
      </w:pPr>
    </w:p>
    <w:p>
      <w:pPr>
        <w:ind w:left="1600" w:hanging="228"/>
        <w:spacing w:after="0"/>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9258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 w:lineRule="exact"/>
        <w:rPr>
          <w:sz w:val="20"/>
          <w:szCs w:val="20"/>
          <w:color w:val="auto"/>
        </w:rPr>
      </w:pPr>
    </w:p>
    <w:p>
      <w:pPr>
        <w:ind w:left="1280"/>
        <w:spacing w:after="0"/>
        <w:tabs>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3" w:lineRule="exact"/>
        <w:rPr>
          <w:sz w:val="20"/>
          <w:szCs w:val="20"/>
          <w:color w:val="auto"/>
        </w:rPr>
      </w:pPr>
    </w:p>
    <w:p>
      <w:pPr>
        <w:ind w:left="1600" w:hanging="228"/>
        <w:spacing w:after="0"/>
        <w:tabs>
          <w:tab w:leader="none" w:pos="1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participate.</w:t>
      </w:r>
    </w:p>
    <w:p>
      <w:pPr>
        <w:spacing w:after="0" w:line="22" w:lineRule="exact"/>
        <w:rPr>
          <w:rFonts w:ascii="Arial" w:cs="Arial" w:eastAsia="Arial" w:hAnsi="Arial"/>
          <w:sz w:val="18"/>
          <w:szCs w:val="18"/>
          <w:color w:val="auto"/>
        </w:rPr>
      </w:pPr>
    </w:p>
    <w:p>
      <w:pPr>
        <w:ind w:left="1600" w:right="140"/>
        <w:spacing w:after="0" w:line="224" w:lineRule="auto"/>
        <w:rPr>
          <w:rFonts w:ascii="Arial" w:cs="Arial" w:eastAsia="Arial" w:hAnsi="Arial"/>
          <w:sz w:val="18"/>
          <w:szCs w:val="18"/>
          <w:color w:val="auto"/>
        </w:rPr>
      </w:pPr>
      <w:r>
        <w:rPr>
          <w:rFonts w:ascii="Arial" w:cs="Arial" w:eastAsia="Arial" w:hAnsi="Arial"/>
          <w:sz w:val="18"/>
          <w:szCs w:val="18"/>
          <w:color w:val="auto"/>
        </w:rPr>
        <w:t>Pursuant to Item 601(b)(4)(iii) of Regulation S-K, copies of certain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0" w:name="page171"/>
    <w:bookmarkEnd w:id="1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DELL TECHNOLOGIES INC.</w:t>
      </w:r>
    </w:p>
    <w:p>
      <w:pPr>
        <w:spacing w:after="0" w:line="293"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S. DELL</w:t>
            </w:r>
          </w:p>
        </w:tc>
      </w:tr>
      <w:tr>
        <w:trPr>
          <w:trHeight w:val="222"/>
        </w:trPr>
        <w:tc>
          <w:tcPr>
            <w:tcW w:w="44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r>
      <w:tr>
        <w:trPr>
          <w:trHeight w:val="230"/>
        </w:trPr>
        <w:tc>
          <w:tcPr>
            <w:tcW w:w="44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230"/>
        </w:trPr>
        <w:tc>
          <w:tcPr>
            <w:tcW w:w="440" w:type="dxa"/>
            <w:vAlign w:val="bottom"/>
          </w:tcPr>
          <w:p>
            <w:pPr>
              <w:spacing w:after="0"/>
              <w:rPr>
                <w:sz w:val="20"/>
                <w:szCs w:val="20"/>
                <w:color w:val="auto"/>
              </w:rPr>
            </w:pPr>
          </w:p>
        </w:tc>
        <w:tc>
          <w:tcPr>
            <w:tcW w:w="5720" w:type="dxa"/>
            <w:vAlign w:val="bottom"/>
          </w:tcPr>
          <w:p>
            <w:pPr>
              <w:jc w:val="center"/>
              <w:spacing w:after="0"/>
              <w:rPr>
                <w:sz w:val="20"/>
                <w:szCs w:val="20"/>
                <w:color w:val="auto"/>
              </w:rPr>
            </w:pPr>
            <w:r>
              <w:rPr>
                <w:rFonts w:ascii="Arial" w:cs="Arial" w:eastAsia="Arial" w:hAnsi="Arial"/>
                <w:sz w:val="18"/>
                <w:szCs w:val="18"/>
                <w:i w:val="1"/>
                <w:iCs w:val="1"/>
                <w:color w:val="auto"/>
                <w:w w:val="94"/>
              </w:rPr>
              <w:t>(Duly Authorized Officer)</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24,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Signature</w:t>
            </w:r>
          </w:p>
        </w:tc>
        <w:tc>
          <w:tcPr>
            <w:tcW w:w="4200" w:type="dxa"/>
            <w:vAlign w:val="bottom"/>
          </w:tcPr>
          <w:p>
            <w:pPr>
              <w:ind w:left="360"/>
              <w:spacing w:after="0"/>
              <w:rPr>
                <w:sz w:val="20"/>
                <w:szCs w:val="20"/>
                <w:color w:val="auto"/>
              </w:rPr>
            </w:pPr>
            <w:r>
              <w:rPr>
                <w:rFonts w:ascii="Arial" w:cs="Arial" w:eastAsia="Arial" w:hAnsi="Arial"/>
                <w:sz w:val="18"/>
                <w:szCs w:val="18"/>
                <w:color w:val="auto"/>
              </w:rPr>
              <w:t>Title</w:t>
            </w: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S. DELL</w:t>
            </w:r>
          </w:p>
        </w:tc>
        <w:tc>
          <w:tcPr>
            <w:tcW w:w="4200" w:type="dxa"/>
            <w:vAlign w:val="bottom"/>
          </w:tcPr>
          <w:p>
            <w:pPr>
              <w:ind w:left="360"/>
              <w:spacing w:after="0"/>
              <w:rPr>
                <w:sz w:val="20"/>
                <w:szCs w:val="20"/>
                <w:color w:val="auto"/>
              </w:rPr>
            </w:pPr>
            <w:r>
              <w:rPr>
                <w:rFonts w:ascii="Arial" w:cs="Arial" w:eastAsia="Arial" w:hAnsi="Arial"/>
                <w:sz w:val="18"/>
                <w:szCs w:val="18"/>
                <w:color w:val="auto"/>
              </w:rPr>
              <w:t>Chairman and Chief Executive Officer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W. DORMAN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2"/>
              </w:rPr>
              <w:t>David W. Dorman</w:t>
            </w:r>
          </w:p>
        </w:tc>
        <w:tc>
          <w:tcPr>
            <w:tcW w:w="4200" w:type="dxa"/>
            <w:vAlign w:val="bottom"/>
          </w:tcPr>
          <w:p>
            <w:pPr>
              <w:spacing w:after="0"/>
              <w:rPr>
                <w:sz w:val="19"/>
                <w:szCs w:val="19"/>
                <w:color w:val="auto"/>
              </w:rPr>
            </w:pP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EGON DURBAN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0"/>
              </w:rPr>
              <w:t>Egon Durban</w:t>
            </w:r>
          </w:p>
        </w:tc>
        <w:tc>
          <w:tcPr>
            <w:tcW w:w="4200" w:type="dxa"/>
            <w:vAlign w:val="bottom"/>
          </w:tcPr>
          <w:p>
            <w:pPr>
              <w:spacing w:after="0"/>
              <w:rPr>
                <w:sz w:val="19"/>
                <w:szCs w:val="19"/>
                <w:color w:val="auto"/>
              </w:rPr>
            </w:pP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GRAIN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4"/>
              </w:rPr>
              <w:t>David Grain</w:t>
            </w:r>
          </w:p>
        </w:tc>
        <w:tc>
          <w:tcPr>
            <w:tcW w:w="4200" w:type="dxa"/>
            <w:vAlign w:val="bottom"/>
          </w:tcPr>
          <w:p>
            <w:pPr>
              <w:spacing w:after="0"/>
              <w:rPr>
                <w:sz w:val="19"/>
                <w:szCs w:val="19"/>
                <w:color w:val="auto"/>
              </w:rPr>
            </w:pP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D. GREEN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4"/>
              </w:rPr>
              <w:t>William D. Green</w:t>
            </w:r>
          </w:p>
        </w:tc>
        <w:tc>
          <w:tcPr>
            <w:tcW w:w="4200" w:type="dxa"/>
            <w:vAlign w:val="bottom"/>
          </w:tcPr>
          <w:p>
            <w:pPr>
              <w:spacing w:after="0"/>
              <w:rPr>
                <w:sz w:val="19"/>
                <w:szCs w:val="19"/>
                <w:color w:val="auto"/>
              </w:rPr>
            </w:pP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ELLEN J. KULLMAN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4"/>
              </w:rPr>
              <w:t>Ellen J. Kullman</w:t>
            </w:r>
          </w:p>
        </w:tc>
        <w:tc>
          <w:tcPr>
            <w:tcW w:w="4200" w:type="dxa"/>
            <w:vAlign w:val="bottom"/>
          </w:tcPr>
          <w:p>
            <w:pPr>
              <w:spacing w:after="0"/>
              <w:rPr>
                <w:sz w:val="19"/>
                <w:szCs w:val="19"/>
                <w:color w:val="auto"/>
              </w:rPr>
            </w:pP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SIMON PATTERSON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88"/>
              </w:rPr>
              <w:t>Simon Patterson</w:t>
            </w:r>
          </w:p>
        </w:tc>
        <w:tc>
          <w:tcPr>
            <w:tcW w:w="4200" w:type="dxa"/>
            <w:vAlign w:val="bottom"/>
          </w:tcPr>
          <w:p>
            <w:pPr>
              <w:spacing w:after="0"/>
              <w:rPr>
                <w:sz w:val="19"/>
                <w:szCs w:val="19"/>
                <w:color w:val="auto"/>
              </w:rPr>
            </w:pP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LYNN VOJVODICH RADAKOVICH</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3"/>
              </w:rPr>
              <w:t>Lynn Vojvodich Radakovich</w:t>
            </w:r>
          </w:p>
        </w:tc>
        <w:tc>
          <w:tcPr>
            <w:tcW w:w="4200" w:type="dxa"/>
            <w:vAlign w:val="bottom"/>
          </w:tcPr>
          <w:p>
            <w:pPr>
              <w:spacing w:after="0"/>
              <w:rPr>
                <w:sz w:val="19"/>
                <w:szCs w:val="19"/>
                <w:color w:val="auto"/>
              </w:rPr>
            </w:pP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89"/>
              </w:rPr>
              <w:t>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r>
      <w:tr>
        <w:trPr>
          <w:trHeight w:val="71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BRUNILDA RIOS</w:t>
            </w:r>
          </w:p>
        </w:tc>
        <w:tc>
          <w:tcPr>
            <w:tcW w:w="4200" w:type="dxa"/>
            <w:vAlign w:val="bottom"/>
          </w:tcPr>
          <w:p>
            <w:pPr>
              <w:ind w:left="360"/>
              <w:spacing w:after="0"/>
              <w:rPr>
                <w:sz w:val="20"/>
                <w:szCs w:val="20"/>
                <w:color w:val="auto"/>
              </w:rPr>
            </w:pPr>
            <w:r>
              <w:rPr>
                <w:rFonts w:ascii="Arial" w:cs="Arial" w:eastAsia="Arial" w:hAnsi="Arial"/>
                <w:sz w:val="18"/>
                <w:szCs w:val="18"/>
                <w:color w:val="auto"/>
              </w:rPr>
              <w:t>Senior Vice President, Corporate Finance and</w:t>
            </w: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3"/>
              </w:rPr>
              <w:t>Brunilda Rios</w:t>
            </w:r>
          </w:p>
        </w:tc>
        <w:tc>
          <w:tcPr>
            <w:tcW w:w="4200" w:type="dxa"/>
            <w:vAlign w:val="bottom"/>
          </w:tcPr>
          <w:p>
            <w:pPr>
              <w:ind w:left="360"/>
              <w:spacing w:after="0"/>
              <w:rPr>
                <w:sz w:val="20"/>
                <w:szCs w:val="20"/>
                <w:color w:val="auto"/>
              </w:rPr>
            </w:pPr>
            <w:r>
              <w:rPr>
                <w:rFonts w:ascii="Arial" w:cs="Arial" w:eastAsia="Arial" w:hAnsi="Arial"/>
                <w:sz w:val="18"/>
                <w:szCs w:val="18"/>
                <w:color w:val="auto"/>
              </w:rPr>
              <w:t>Chief Accounting Officer</w:t>
            </w:r>
          </w:p>
        </w:tc>
      </w:tr>
      <w:tr>
        <w:trPr>
          <w:trHeight w:val="230"/>
        </w:trPr>
        <w:tc>
          <w:tcPr>
            <w:tcW w:w="4600" w:type="dxa"/>
            <w:vAlign w:val="bottom"/>
          </w:tcPr>
          <w:p>
            <w:pPr>
              <w:spacing w:after="0"/>
              <w:rPr>
                <w:sz w:val="20"/>
                <w:szCs w:val="20"/>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accounting officer)</w:t>
            </w:r>
          </w:p>
        </w:tc>
      </w:tr>
      <w:tr>
        <w:trPr>
          <w:trHeight w:val="810"/>
        </w:trPr>
        <w:tc>
          <w:tcPr>
            <w:tcW w:w="4600" w:type="dxa"/>
            <w:vAlign w:val="bottom"/>
          </w:tcPr>
          <w:p>
            <w:pPr>
              <w:spacing w:after="0"/>
              <w:rPr>
                <w:sz w:val="24"/>
                <w:szCs w:val="24"/>
                <w:color w:val="auto"/>
              </w:rPr>
            </w:pPr>
          </w:p>
        </w:tc>
        <w:tc>
          <w:tcPr>
            <w:tcW w:w="4200" w:type="dxa"/>
            <w:vAlign w:val="bottom"/>
          </w:tcPr>
          <w:p>
            <w:pPr>
              <w:ind w:left="880"/>
              <w:spacing w:after="0"/>
              <w:rPr>
                <w:sz w:val="20"/>
                <w:szCs w:val="20"/>
                <w:color w:val="auto"/>
              </w:rPr>
            </w:pPr>
            <w:r>
              <w:rPr>
                <w:rFonts w:ascii="Arial" w:cs="Arial" w:eastAsia="Arial" w:hAnsi="Arial"/>
                <w:sz w:val="18"/>
                <w:szCs w:val="18"/>
                <w:color w:val="auto"/>
              </w:rPr>
              <w:t>172</w:t>
            </w:r>
          </w:p>
        </w:tc>
      </w:tr>
    </w:tbl>
    <w:p>
      <w:pPr>
        <w:sectPr>
          <w:pgSz w:w="11900" w:h="16838" w:orient="portrait"/>
          <w:cols w:equalWidth="0" w:num="1">
            <w:col w:w="11180"/>
          </w:cols>
          <w:pgMar w:left="320" w:top="125" w:right="39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4.33</w:t>
      </w:r>
    </w:p>
    <w:p>
      <w:pPr>
        <w:spacing w:after="0" w:line="94" w:lineRule="exact"/>
        <w:rPr>
          <w:sz w:val="20"/>
          <w:szCs w:val="20"/>
          <w:color w:val="auto"/>
        </w:rPr>
      </w:pPr>
    </w:p>
    <w:p>
      <w:pPr>
        <w:jc w:val="center"/>
        <w:ind w:right="78"/>
        <w:spacing w:after="0"/>
        <w:rPr>
          <w:sz w:val="20"/>
          <w:szCs w:val="20"/>
          <w:color w:val="auto"/>
        </w:rPr>
      </w:pPr>
      <w:r>
        <w:rPr>
          <w:rFonts w:ascii="Arial" w:cs="Arial" w:eastAsia="Arial" w:hAnsi="Arial"/>
          <w:sz w:val="20"/>
          <w:szCs w:val="20"/>
          <w:b w:val="1"/>
          <w:bCs w:val="1"/>
          <w:color w:val="auto"/>
        </w:rPr>
        <w:t>Dell Technologies Inc.</w:t>
      </w:r>
    </w:p>
    <w:p>
      <w:pPr>
        <w:spacing w:after="0" w:line="229" w:lineRule="exact"/>
        <w:rPr>
          <w:sz w:val="20"/>
          <w:szCs w:val="20"/>
          <w:color w:val="auto"/>
        </w:rPr>
      </w:pPr>
    </w:p>
    <w:p>
      <w:pPr>
        <w:jc w:val="center"/>
        <w:ind w:right="98"/>
        <w:spacing w:after="0"/>
        <w:rPr>
          <w:sz w:val="20"/>
          <w:szCs w:val="20"/>
          <w:color w:val="auto"/>
        </w:rPr>
      </w:pPr>
      <w:r>
        <w:rPr>
          <w:rFonts w:ascii="Arial" w:cs="Arial" w:eastAsia="Arial" w:hAnsi="Arial"/>
          <w:sz w:val="20"/>
          <w:szCs w:val="20"/>
          <w:b w:val="1"/>
          <w:bCs w:val="1"/>
          <w:color w:val="auto"/>
        </w:rPr>
        <w:t>Consent to the Extension of Registration Rights Under the Second Amended and Restated</w:t>
      </w:r>
    </w:p>
    <w:p>
      <w:pPr>
        <w:spacing w:after="0" w:line="22" w:lineRule="exact"/>
        <w:rPr>
          <w:sz w:val="20"/>
          <w:szCs w:val="20"/>
          <w:color w:val="auto"/>
        </w:rPr>
      </w:pPr>
    </w:p>
    <w:p>
      <w:pPr>
        <w:jc w:val="center"/>
        <w:ind w:right="78"/>
        <w:spacing w:after="0"/>
        <w:rPr>
          <w:sz w:val="20"/>
          <w:szCs w:val="20"/>
          <w:color w:val="auto"/>
        </w:rPr>
      </w:pPr>
      <w:r>
        <w:rPr>
          <w:rFonts w:ascii="Arial" w:cs="Arial" w:eastAsia="Arial" w:hAnsi="Arial"/>
          <w:sz w:val="20"/>
          <w:szCs w:val="20"/>
          <w:b w:val="1"/>
          <w:bCs w:val="1"/>
          <w:color w:val="auto"/>
        </w:rPr>
        <w:t>Registration Rights Agreement</w:t>
      </w:r>
    </w:p>
    <w:p>
      <w:pPr>
        <w:spacing w:after="0" w:line="211" w:lineRule="exact"/>
        <w:rPr>
          <w:sz w:val="20"/>
          <w:szCs w:val="20"/>
          <w:color w:val="auto"/>
        </w:rPr>
      </w:pPr>
    </w:p>
    <w:p>
      <w:pPr>
        <w:ind w:left="1302"/>
        <w:spacing w:after="0"/>
        <w:rPr>
          <w:sz w:val="20"/>
          <w:szCs w:val="20"/>
          <w:color w:val="auto"/>
        </w:rPr>
      </w:pPr>
      <w:r>
        <w:rPr>
          <w:rFonts w:ascii="Arial" w:cs="Arial" w:eastAsia="Arial" w:hAnsi="Arial"/>
          <w:sz w:val="18"/>
          <w:szCs w:val="18"/>
          <w:color w:val="auto"/>
        </w:rPr>
        <w:t>Reference is made herein to the Second Amended and Restated Registration Rights Agreement, dated as of December 25,</w:t>
      </w:r>
    </w:p>
    <w:p>
      <w:pPr>
        <w:ind w:left="2"/>
        <w:spacing w:after="0" w:line="219" w:lineRule="auto"/>
        <w:rPr>
          <w:sz w:val="20"/>
          <w:szCs w:val="20"/>
          <w:color w:val="auto"/>
        </w:rPr>
      </w:pPr>
      <w:r>
        <w:rPr>
          <w:rFonts w:ascii="Arial" w:cs="Arial" w:eastAsia="Arial" w:hAnsi="Arial"/>
          <w:sz w:val="18"/>
          <w:szCs w:val="18"/>
          <w:color w:val="auto"/>
        </w:rPr>
        <w:t>2018, as amended by Amendment No. 1, dated as of May 27, 2019, Amendment No. 2, dated as of April 15, 2020, and Amendment No. 3,</w:t>
      </w:r>
    </w:p>
    <w:p>
      <w:pPr>
        <w:ind w:left="2"/>
        <w:spacing w:after="0" w:line="207" w:lineRule="auto"/>
        <w:rPr>
          <w:sz w:val="20"/>
          <w:szCs w:val="20"/>
          <w:color w:val="auto"/>
        </w:rPr>
      </w:pPr>
      <w:r>
        <w:rPr>
          <w:rFonts w:ascii="Arial" w:cs="Arial" w:eastAsia="Arial" w:hAnsi="Arial"/>
          <w:sz w:val="19"/>
          <w:szCs w:val="19"/>
          <w:color w:val="auto"/>
        </w:rPr>
        <w:t>dated as of September 15, 2020 (as so amended, the “</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by and among Dell Technologies Inc. (the</w:t>
      </w:r>
    </w:p>
    <w:p>
      <w:pPr>
        <w:ind w:left="2"/>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and each of (a) Michael S. Dell and Susan Lieberman Dell Separate Property Trust, (b) SL SPV-2,</w:t>
      </w:r>
    </w:p>
    <w:p>
      <w:pPr>
        <w:ind w:left="2"/>
        <w:spacing w:after="0" w:line="220" w:lineRule="auto"/>
        <w:rPr>
          <w:sz w:val="20"/>
          <w:szCs w:val="20"/>
          <w:color w:val="auto"/>
        </w:rPr>
      </w:pPr>
      <w:r>
        <w:rPr>
          <w:rFonts w:ascii="Arial" w:cs="Arial" w:eastAsia="Arial" w:hAnsi="Arial"/>
          <w:sz w:val="18"/>
          <w:szCs w:val="18"/>
          <w:color w:val="auto"/>
        </w:rPr>
        <w:t>L.P., a Delaware limited partnership, Silver Lake Partners IV, L.P., a Delaware limited partnership, Silver Lake Technology Investors IV,</w:t>
      </w:r>
    </w:p>
    <w:p>
      <w:pPr>
        <w:ind w:left="2"/>
        <w:spacing w:after="0" w:line="219" w:lineRule="auto"/>
        <w:rPr>
          <w:sz w:val="20"/>
          <w:szCs w:val="20"/>
          <w:color w:val="auto"/>
        </w:rPr>
      </w:pPr>
      <w:r>
        <w:rPr>
          <w:rFonts w:ascii="Arial" w:cs="Arial" w:eastAsia="Arial" w:hAnsi="Arial"/>
          <w:sz w:val="18"/>
          <w:szCs w:val="18"/>
          <w:color w:val="auto"/>
        </w:rPr>
        <w:t>L.P., a Delaware limited partnership, Silver Lake Partners V DE (AIV), L.P., a Delaware limited partnership, and Silver Lake Technology</w:t>
      </w:r>
    </w:p>
    <w:p>
      <w:pPr>
        <w:ind w:left="2"/>
        <w:spacing w:after="0" w:line="197" w:lineRule="auto"/>
        <w:rPr>
          <w:sz w:val="20"/>
          <w:szCs w:val="20"/>
          <w:color w:val="auto"/>
        </w:rPr>
      </w:pPr>
      <w:r>
        <w:rPr>
          <w:rFonts w:ascii="Arial" w:cs="Arial" w:eastAsia="Arial" w:hAnsi="Arial"/>
          <w:sz w:val="20"/>
          <w:szCs w:val="20"/>
          <w:color w:val="auto"/>
        </w:rPr>
        <w:t>Investors V, L.P., a Delaware limited partnership (collectively, the “</w:t>
      </w:r>
      <w:r>
        <w:rPr>
          <w:rFonts w:ascii="Arial" w:cs="Arial" w:eastAsia="Arial" w:hAnsi="Arial"/>
          <w:sz w:val="20"/>
          <w:szCs w:val="20"/>
          <w:u w:val="single" w:color="auto"/>
          <w:color w:val="auto"/>
        </w:rPr>
        <w:t>SLP Stockholders</w:t>
      </w:r>
      <w:r>
        <w:rPr>
          <w:rFonts w:ascii="Arial" w:cs="Arial" w:eastAsia="Arial" w:hAnsi="Arial"/>
          <w:sz w:val="20"/>
          <w:szCs w:val="20"/>
          <w:color w:val="auto"/>
        </w:rPr>
        <w:t>”), and</w:t>
      </w:r>
    </w:p>
    <w:p>
      <w:pPr>
        <w:jc w:val="both"/>
        <w:ind w:left="2" w:right="140" w:hanging="2"/>
        <w:spacing w:after="0" w:line="213" w:lineRule="auto"/>
        <w:tabs>
          <w:tab w:leader="none" w:pos="271" w:val="left"/>
        </w:tabs>
        <w:numPr>
          <w:ilvl w:val="0"/>
          <w:numId w:val="58"/>
        </w:numPr>
        <w:rPr>
          <w:rFonts w:ascii="Arial" w:cs="Arial" w:eastAsia="Arial" w:hAnsi="Arial"/>
          <w:sz w:val="20"/>
          <w:szCs w:val="20"/>
          <w:color w:val="auto"/>
        </w:rPr>
      </w:pPr>
      <w:r>
        <w:rPr>
          <w:rFonts w:ascii="Arial" w:cs="Arial" w:eastAsia="Arial" w:hAnsi="Arial"/>
          <w:sz w:val="20"/>
          <w:szCs w:val="20"/>
          <w:color w:val="auto"/>
        </w:rPr>
        <w:t>Venezio Investments Pte. Ltd., a Singapore corporation. Capitalized terms used but not defined in this Consent shall have the meanings ascribed to such terms in the Registration Rights Agreement. Capitalized terms defined in this Consent shall have the meanings ascribed to such terms herein for purposes of this Consent and the Registration Rights Agreement.</w:t>
      </w:r>
    </w:p>
    <w:p>
      <w:pPr>
        <w:spacing w:after="0" w:line="182" w:lineRule="exact"/>
        <w:rPr>
          <w:sz w:val="20"/>
          <w:szCs w:val="20"/>
          <w:color w:val="auto"/>
        </w:rPr>
      </w:pPr>
    </w:p>
    <w:p>
      <w:pPr>
        <w:ind w:left="2" w:right="420" w:firstLine="1295"/>
        <w:spacing w:after="0" w:line="244" w:lineRule="auto"/>
        <w:rPr>
          <w:sz w:val="20"/>
          <w:szCs w:val="20"/>
          <w:color w:val="auto"/>
        </w:rPr>
      </w:pPr>
      <w:r>
        <w:rPr>
          <w:rFonts w:ascii="Arial" w:cs="Arial" w:eastAsia="Arial" w:hAnsi="Arial"/>
          <w:sz w:val="18"/>
          <w:szCs w:val="18"/>
          <w:color w:val="auto"/>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Arial" w:cs="Arial" w:eastAsia="Arial" w:hAnsi="Arial"/>
          <w:sz w:val="18"/>
          <w:szCs w:val="18"/>
          <w:u w:val="single" w:color="auto"/>
          <w:color w:val="auto"/>
        </w:rPr>
        <w:t>Shelf Registration Filing Deadline</w:t>
      </w:r>
      <w:r>
        <w:rPr>
          <w:rFonts w:ascii="Arial" w:cs="Arial" w:eastAsia="Arial" w:hAnsi="Arial"/>
          <w:sz w:val="18"/>
          <w:szCs w:val="18"/>
          <w:color w:val="auto"/>
        </w:rPr>
        <w:t>”);</w:t>
      </w:r>
    </w:p>
    <w:p>
      <w:pPr>
        <w:spacing w:after="0" w:line="273" w:lineRule="exact"/>
        <w:rPr>
          <w:sz w:val="20"/>
          <w:szCs w:val="20"/>
          <w:color w:val="auto"/>
        </w:rPr>
      </w:pPr>
    </w:p>
    <w:p>
      <w:pPr>
        <w:ind w:left="2" w:right="380" w:firstLine="1295"/>
        <w:spacing w:after="0" w:line="218" w:lineRule="auto"/>
        <w:rPr>
          <w:sz w:val="20"/>
          <w:szCs w:val="20"/>
          <w:color w:val="auto"/>
        </w:rPr>
      </w:pPr>
      <w:r>
        <w:rPr>
          <w:rFonts w:ascii="Arial" w:cs="Arial" w:eastAsia="Arial" w:hAnsi="Arial"/>
          <w:sz w:val="20"/>
          <w:szCs w:val="20"/>
          <w:color w:val="auto"/>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spacing w:after="0" w:line="197" w:lineRule="exact"/>
        <w:rPr>
          <w:sz w:val="20"/>
          <w:szCs w:val="20"/>
          <w:color w:val="auto"/>
        </w:rPr>
      </w:pPr>
    </w:p>
    <w:p>
      <w:pPr>
        <w:ind w:left="2" w:right="600" w:firstLine="1295"/>
        <w:spacing w:after="0" w:line="260" w:lineRule="auto"/>
        <w:rPr>
          <w:sz w:val="20"/>
          <w:szCs w:val="20"/>
          <w:color w:val="auto"/>
        </w:rPr>
      </w:pPr>
      <w:r>
        <w:rPr>
          <w:rFonts w:ascii="Arial" w:cs="Arial" w:eastAsia="Arial" w:hAnsi="Arial"/>
          <w:sz w:val="20"/>
          <w:szCs w:val="20"/>
          <w:color w:val="auto"/>
        </w:rPr>
        <w:t>WHEREAS, the Company and the SLP Stockholders wish to consent to an extension of the Shelf Registration Filing Deadline for a period of three months to March 31, 2022;</w:t>
      </w:r>
    </w:p>
    <w:p>
      <w:pPr>
        <w:spacing w:after="0" w:line="204" w:lineRule="exact"/>
        <w:rPr>
          <w:sz w:val="20"/>
          <w:szCs w:val="20"/>
          <w:color w:val="auto"/>
        </w:rPr>
      </w:pPr>
    </w:p>
    <w:p>
      <w:pPr>
        <w:ind w:left="2" w:right="240" w:firstLine="1295"/>
        <w:spacing w:after="0" w:line="218" w:lineRule="auto"/>
        <w:rPr>
          <w:sz w:val="20"/>
          <w:szCs w:val="20"/>
          <w:color w:val="auto"/>
        </w:rPr>
      </w:pPr>
      <w:r>
        <w:rPr>
          <w:rFonts w:ascii="Arial" w:cs="Arial" w:eastAsia="Arial" w:hAnsi="Arial"/>
          <w:sz w:val="20"/>
          <w:szCs w:val="20"/>
          <w:color w:val="auto"/>
        </w:rPr>
        <w:t>NOW, THEREFORE, the Company and the SLP Stockholders hereby consent and agree that, for all purposes under the Registration Rights Agreement, the Shelf Registration Filing Deadline shall be extended to no later than the first day on which such filing can be made with the SEC on or after March 31, 2022.</w:t>
      </w:r>
    </w:p>
    <w:p>
      <w:pPr>
        <w:spacing w:after="0" w:line="183" w:lineRule="exact"/>
        <w:rPr>
          <w:sz w:val="20"/>
          <w:szCs w:val="20"/>
          <w:color w:val="auto"/>
        </w:rPr>
      </w:pPr>
    </w:p>
    <w:p>
      <w:pPr>
        <w:ind w:left="2" w:right="580" w:firstLine="1295"/>
        <w:spacing w:after="0" w:line="229" w:lineRule="auto"/>
        <w:rPr>
          <w:sz w:val="20"/>
          <w:szCs w:val="20"/>
          <w:color w:val="auto"/>
        </w:rPr>
      </w:pPr>
      <w:r>
        <w:rPr>
          <w:rFonts w:ascii="Arial" w:cs="Arial" w:eastAsia="Arial" w:hAnsi="Arial"/>
          <w:sz w:val="20"/>
          <w:szCs w:val="20"/>
          <w:color w:val="auto"/>
        </w:rPr>
        <w:t>Except as expressly set forth in this Consent, no other terms and conditions of the Registration Rights Agreement are hereby amended, modified, supplemented or waived.</w:t>
      </w:r>
    </w:p>
    <w:p>
      <w:pPr>
        <w:spacing w:after="0" w:line="182" w:lineRule="exact"/>
        <w:rPr>
          <w:sz w:val="20"/>
          <w:szCs w:val="20"/>
          <w:color w:val="auto"/>
        </w:rPr>
      </w:pPr>
    </w:p>
    <w:p>
      <w:pPr>
        <w:ind w:left="2" w:right="320" w:firstLine="1295"/>
        <w:spacing w:after="0" w:line="210" w:lineRule="auto"/>
        <w:rPr>
          <w:sz w:val="20"/>
          <w:szCs w:val="20"/>
          <w:color w:val="auto"/>
        </w:rPr>
      </w:pPr>
      <w:r>
        <w:rPr>
          <w:rFonts w:ascii="Arial" w:cs="Arial" w:eastAsia="Arial" w:hAnsi="Arial"/>
          <w:sz w:val="20"/>
          <w:szCs w:val="20"/>
          <w:color w:val="auto"/>
        </w:rPr>
        <w:t>This Consent 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spacing w:after="0" w:line="200" w:lineRule="exact"/>
        <w:rPr>
          <w:sz w:val="20"/>
          <w:szCs w:val="20"/>
          <w:color w:val="auto"/>
        </w:rPr>
      </w:pPr>
    </w:p>
    <w:p>
      <w:pPr>
        <w:spacing w:after="0" w:line="238" w:lineRule="exact"/>
        <w:rPr>
          <w:sz w:val="20"/>
          <w:szCs w:val="20"/>
          <w:color w:val="auto"/>
        </w:rPr>
      </w:pPr>
    </w:p>
    <w:p>
      <w:pPr>
        <w:jc w:val="center"/>
        <w:ind w:right="78"/>
        <w:spacing w:after="0"/>
        <w:rPr>
          <w:sz w:val="20"/>
          <w:szCs w:val="20"/>
          <w:color w:val="auto"/>
        </w:rPr>
      </w:pPr>
      <w:r>
        <w:rPr>
          <w:rFonts w:ascii="Arial" w:cs="Arial" w:eastAsia="Arial" w:hAnsi="Arial"/>
          <w:sz w:val="20"/>
          <w:szCs w:val="20"/>
          <w:i w:val="1"/>
          <w:iCs w:val="1"/>
          <w:color w:val="auto"/>
        </w:rPr>
        <w:t>[Signature pages follow.]</w:t>
      </w:r>
    </w:p>
    <w:p>
      <w:pPr>
        <w:sectPr>
          <w:pgSz w:w="11900" w:h="16838" w:orient="portrait"/>
          <w:cols w:equalWidth="0" w:num="1">
            <w:col w:w="11142"/>
          </w:cols>
          <w:pgMar w:left="418" w:top="1075" w:right="339" w:bottom="1440" w:gutter="0" w:footer="0" w:header="0"/>
        </w:sectPr>
      </w:pPr>
    </w:p>
    <w:bookmarkStart w:id="173" w:name="page174"/>
    <w:bookmarkEnd w:id="173"/>
    <w:p>
      <w:pPr>
        <w:jc w:val="center"/>
        <w:ind w:right="-20"/>
        <w:spacing w:after="0"/>
        <w:rPr>
          <w:sz w:val="20"/>
          <w:szCs w:val="20"/>
          <w:color w:val="auto"/>
        </w:rPr>
      </w:pPr>
      <w:r>
        <w:rPr>
          <w:rFonts w:ascii="Arial" w:cs="Arial" w:eastAsia="Arial" w:hAnsi="Arial"/>
          <w:sz w:val="16"/>
          <w:szCs w:val="16"/>
          <w:color w:val="auto"/>
        </w:rPr>
        <w:t>IN WITNESS WHEREOF, the undersigned have executed and delivered this Consent this January 3, 2022.</w:t>
      </w:r>
    </w:p>
    <w:p>
      <w:pPr>
        <w:sectPr>
          <w:pgSz w:w="11900" w:h="16838" w:orient="portrait"/>
          <w:cols w:equalWidth="0" w:num="1">
            <w:col w:w="9019"/>
          </w:cols>
          <w:pgMar w:left="1440" w:top="1405" w:right="1440" w:bottom="1440" w:gutter="0" w:footer="0" w:header="0"/>
        </w:sectPr>
      </w:pPr>
    </w:p>
    <w:p>
      <w:pPr>
        <w:spacing w:after="0" w:line="242"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COMPANY:</w:t>
      </w:r>
    </w:p>
    <w:p>
      <w:pPr>
        <w:spacing w:after="0" w:line="208"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DELL TECHNOLOGIES INC.</w:t>
      </w:r>
    </w:p>
    <w:p>
      <w:pPr>
        <w:spacing w:after="0" w:line="123" w:lineRule="exact"/>
        <w:rPr>
          <w:sz w:val="20"/>
          <w:szCs w:val="20"/>
          <w:color w:val="auto"/>
        </w:rPr>
      </w:pPr>
    </w:p>
    <w:p>
      <w:pPr>
        <w:jc w:val="both"/>
        <w:ind w:left="2860"/>
        <w:spacing w:after="0"/>
        <w:tabs>
          <w:tab w:leader="none" w:pos="3340" w:val="left"/>
          <w:tab w:leader="none" w:pos="5460" w:val="left"/>
          <w:tab w:leader="none" w:pos="6180" w:val="left"/>
        </w:tabs>
        <w:rPr>
          <w:sz w:val="20"/>
          <w:szCs w:val="20"/>
          <w:color w:val="auto"/>
        </w:rPr>
      </w:pPr>
      <w:r>
        <w:rPr>
          <w:rFonts w:ascii="Arial" w:cs="Arial" w:eastAsia="Arial" w:hAnsi="Arial"/>
          <w:sz w:val="20"/>
          <w:szCs w:val="20"/>
          <w:color w:val="auto"/>
        </w:rPr>
        <w:t>By:</w:t>
        <w:tab/>
        <w:t>/s/ ROBERT L. POTTS</w:t>
        <w:tab/>
        <w:t>Name:</w:t>
      </w:r>
      <w:r>
        <w:rPr>
          <w:sz w:val="20"/>
          <w:szCs w:val="20"/>
          <w:color w:val="auto"/>
        </w:rPr>
        <w:tab/>
      </w:r>
      <w:r>
        <w:rPr>
          <w:rFonts w:ascii="Arial" w:cs="Arial" w:eastAsia="Arial" w:hAnsi="Arial"/>
          <w:sz w:val="16"/>
          <w:szCs w:val="16"/>
          <w:color w:val="auto"/>
        </w:rPr>
        <w:t>Robert L. Potts</w:t>
      </w:r>
    </w:p>
    <w:p>
      <w:pPr>
        <w:jc w:val="both"/>
        <w:ind w:left="3200"/>
        <w:spacing w:after="0"/>
        <w:tabs>
          <w:tab w:leader="none" w:pos="3800" w:val="left"/>
        </w:tabs>
        <w:rPr>
          <w:sz w:val="20"/>
          <w:szCs w:val="20"/>
          <w:color w:val="auto"/>
        </w:rPr>
      </w:pPr>
      <w:r>
        <w:rPr>
          <w:rFonts w:ascii="Arial" w:cs="Arial" w:eastAsia="Arial" w:hAnsi="Arial"/>
          <w:sz w:val="20"/>
          <w:szCs w:val="20"/>
          <w:color w:val="auto"/>
        </w:rPr>
        <w:t>Title:</w:t>
        <w:tab/>
        <w:t>Senior Vice President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-144780</wp:posOffset>
            </wp:positionV>
            <wp:extent cx="14446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ectPr>
          <w:pgSz w:w="11900" w:h="16838" w:orient="portrait"/>
          <w:cols w:equalWidth="0" w:num="1">
            <w:col w:w="9019"/>
          </w:cols>
          <w:pgMar w:left="1440" w:top="1405" w:right="1440" w:bottom="1440" w:gutter="0" w:footer="0" w:header="0"/>
          <w:type w:val="continuous"/>
        </w:sectPr>
      </w:pPr>
    </w:p>
    <w:bookmarkStart w:id="174" w:name="page175"/>
    <w:bookmarkEnd w:id="174"/>
    <w:p>
      <w:pPr>
        <w:spacing w:after="0" w:line="203"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SLP STOCKHOLDERS</w:t>
      </w:r>
      <w:r>
        <w:rPr>
          <w:rFonts w:ascii="Arial" w:cs="Arial" w:eastAsia="Arial" w:hAnsi="Arial"/>
          <w:sz w:val="20"/>
          <w:szCs w:val="20"/>
          <w:color w:val="auto"/>
        </w:rPr>
        <w:t>:</w:t>
      </w:r>
    </w:p>
    <w:p>
      <w:pPr>
        <w:spacing w:after="0" w:line="208"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SL SPV-2, L.P.</w:t>
      </w:r>
    </w:p>
    <w:p>
      <w:pPr>
        <w:spacing w:after="0" w:line="20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SLTA SPV-2, L.P., its General Partner</w:t>
      </w:r>
    </w:p>
    <w:p>
      <w:pPr>
        <w:spacing w:after="0" w:line="33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 SLTA SPV-2 (GP), L.L.C., its General Partner By: Silver Lake Group, L.L.C., its</w:t>
      </w:r>
    </w:p>
    <w:p>
      <w:pPr>
        <w:spacing w:after="0" w:line="25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Managing Member</w:t>
      </w:r>
    </w:p>
    <w:p>
      <w:pPr>
        <w:spacing w:after="0" w:line="83" w:lineRule="exact"/>
        <w:rPr>
          <w:sz w:val="20"/>
          <w:szCs w:val="20"/>
          <w:color w:val="auto"/>
        </w:rPr>
      </w:pPr>
    </w:p>
    <w:p>
      <w:pPr>
        <w:ind w:left="2860"/>
        <w:spacing w:after="0"/>
        <w:tabs>
          <w:tab w:leader="none" w:pos="3340" w:val="left"/>
          <w:tab w:leader="none" w:pos="5780" w:val="left"/>
          <w:tab w:leader="none" w:pos="6500" w:val="left"/>
        </w:tabs>
        <w:rPr>
          <w:sz w:val="20"/>
          <w:szCs w:val="20"/>
          <w:color w:val="auto"/>
        </w:rPr>
      </w:pPr>
      <w:r>
        <w:rPr>
          <w:rFonts w:ascii="Arial" w:cs="Arial" w:eastAsia="Arial" w:hAnsi="Arial"/>
          <w:sz w:val="20"/>
          <w:szCs w:val="20"/>
          <w:color w:val="auto"/>
        </w:rPr>
        <w:t>By:</w:t>
        <w:tab/>
        <w:t>/s/ ANDREW J. SCHADER</w:t>
        <w:tab/>
        <w:t>Name:</w:t>
      </w:r>
      <w:r>
        <w:rPr>
          <w:sz w:val="20"/>
          <w:szCs w:val="20"/>
          <w:color w:val="auto"/>
        </w:rPr>
        <w:tab/>
      </w:r>
      <w:r>
        <w:rPr>
          <w:rFonts w:ascii="Arial" w:cs="Arial" w:eastAsia="Arial" w:hAnsi="Arial"/>
          <w:sz w:val="16"/>
          <w:szCs w:val="16"/>
          <w:color w:val="auto"/>
        </w:rPr>
        <w:t>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-7620</wp:posOffset>
            </wp:positionV>
            <wp:extent cx="1682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7">
                      <a:extLst>
                        <a:ext uri="{28A0092B-C50C-407E-A947-70E740481C1C}"/>
                      </a:extLst>
                    </a:blip>
                    <a:srcRect/>
                    <a:stretch>
                      <a:fillRect/>
                    </a:stretch>
                  </pic:blipFill>
                  <pic:spPr bwMode="auto">
                    <a:xfrm>
                      <a:off x="0" y="0"/>
                      <a:ext cx="1682115" cy="8255"/>
                    </a:xfrm>
                    <a:prstGeom prst="rect">
                      <a:avLst/>
                    </a:prstGeom>
                    <a:noFill/>
                  </pic:spPr>
                </pic:pic>
              </a:graphicData>
            </a:graphic>
          </wp:anchor>
        </w:drawing>
      </w:r>
    </w:p>
    <w:p>
      <w:pPr>
        <w:ind w:left="3200"/>
        <w:spacing w:after="0"/>
        <w:tabs>
          <w:tab w:leader="none" w:pos="380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620"/>
          </w:cols>
          <w:pgMar w:left="1440" w:top="1440" w:right="839" w:bottom="1440" w:gutter="0" w:footer="0" w:header="0"/>
        </w:sectPr>
      </w:pPr>
    </w:p>
    <w:bookmarkStart w:id="175" w:name="page176"/>
    <w:bookmarkEnd w:id="175"/>
    <w:p>
      <w:pPr>
        <w:spacing w:after="0" w:line="200" w:lineRule="exact"/>
        <w:rPr>
          <w:sz w:val="20"/>
          <w:szCs w:val="20"/>
          <w:color w:val="auto"/>
        </w:rPr>
      </w:pPr>
    </w:p>
    <w:p>
      <w:pPr>
        <w:spacing w:after="0" w:line="25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SILVER LAKE PARTNERS IV, L.P.</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 Silver Lake Technology Associates IV, L.P., its General Partner</w:t>
      </w:r>
    </w:p>
    <w:p>
      <w:pPr>
        <w:spacing w:after="0" w:line="239"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SLTA IV (GP), L.L.C., its General Partner</w:t>
      </w:r>
    </w:p>
    <w:p>
      <w:pPr>
        <w:spacing w:after="0" w:line="20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34"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3140" w:type="dxa"/>
            <w:vAlign w:val="bottom"/>
            <w:gridSpan w:val="2"/>
          </w:tcPr>
          <w:p>
            <w:pPr>
              <w:jc w:val="center"/>
              <w:ind w:right="301"/>
              <w:spacing w:after="0"/>
              <w:rPr>
                <w:sz w:val="20"/>
                <w:szCs w:val="20"/>
                <w:color w:val="auto"/>
              </w:rPr>
            </w:pPr>
            <w:r>
              <w:rPr>
                <w:rFonts w:ascii="Arial" w:cs="Arial" w:eastAsia="Arial" w:hAnsi="Arial"/>
                <w:sz w:val="20"/>
                <w:szCs w:val="20"/>
                <w:color w:val="auto"/>
                <w:w w:val="97"/>
              </w:rPr>
              <w:t>By:  /s/ ANDREW J. SCHADER</w:t>
            </w:r>
          </w:p>
        </w:tc>
        <w:tc>
          <w:tcPr>
            <w:tcW w:w="2260" w:type="dxa"/>
            <w:vAlign w:val="bottom"/>
          </w:tcPr>
          <w:p>
            <w:pPr>
              <w:ind w:left="40"/>
              <w:spacing w:after="0"/>
              <w:rPr>
                <w:sz w:val="20"/>
                <w:szCs w:val="20"/>
                <w:color w:val="auto"/>
              </w:rPr>
            </w:pPr>
            <w:r>
              <w:rPr>
                <w:rFonts w:ascii="Arial" w:cs="Arial" w:eastAsia="Arial" w:hAnsi="Arial"/>
                <w:sz w:val="20"/>
                <w:szCs w:val="20"/>
                <w:color w:val="auto"/>
                <w:w w:val="92"/>
              </w:rPr>
              <w:t>Name:  Andrew J. Schader</w:t>
            </w:r>
          </w:p>
        </w:tc>
      </w:tr>
      <w:tr>
        <w:trPr>
          <w:trHeight w:val="254"/>
        </w:trPr>
        <w:tc>
          <w:tcPr>
            <w:tcW w:w="300" w:type="dxa"/>
            <w:vAlign w:val="bottom"/>
          </w:tcPr>
          <w:p>
            <w:pPr>
              <w:spacing w:after="0"/>
              <w:rPr>
                <w:sz w:val="22"/>
                <w:szCs w:val="22"/>
                <w:color w:val="auto"/>
              </w:rPr>
            </w:pPr>
          </w:p>
        </w:tc>
        <w:tc>
          <w:tcPr>
            <w:tcW w:w="2840" w:type="dxa"/>
            <w:vAlign w:val="bottom"/>
            <w:tcBorders>
              <w:top w:val="single" w:sz="8" w:color="auto"/>
            </w:tcBorders>
          </w:tcPr>
          <w:p>
            <w:pPr>
              <w:jc w:val="center"/>
              <w:ind w:right="541"/>
              <w:spacing w:after="0"/>
              <w:rPr>
                <w:sz w:val="20"/>
                <w:szCs w:val="20"/>
                <w:color w:val="auto"/>
              </w:rPr>
            </w:pPr>
            <w:r>
              <w:rPr>
                <w:rFonts w:ascii="Arial" w:cs="Arial" w:eastAsia="Arial" w:hAnsi="Arial"/>
                <w:sz w:val="20"/>
                <w:szCs w:val="20"/>
                <w:color w:val="auto"/>
                <w:w w:val="97"/>
              </w:rPr>
              <w:t>Title:  Managing Director</w:t>
            </w:r>
          </w:p>
        </w:tc>
        <w:tc>
          <w:tcPr>
            <w:tcW w:w="2260" w:type="dxa"/>
            <w:vAlign w:val="bottom"/>
          </w:tcPr>
          <w:p>
            <w:pPr>
              <w:spacing w:after="0"/>
              <w:rPr>
                <w:sz w:val="22"/>
                <w:szCs w:val="22"/>
                <w:color w:val="auto"/>
              </w:rPr>
            </w:pPr>
          </w:p>
        </w:tc>
      </w:tr>
    </w:tbl>
    <w:p>
      <w:pPr>
        <w:sectPr>
          <w:pgSz w:w="11900" w:h="16838" w:orient="portrait"/>
          <w:cols w:equalWidth="0" w:num="1">
            <w:col w:w="9019"/>
          </w:cols>
          <w:pgMar w:left="1440" w:top="1440" w:right="1440"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SILVER LAKE TECHNOLOGY INVESTORS IV, L.P.</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 Silver Lake Technology Associates IV, L.P., its General Partner</w:t>
      </w:r>
    </w:p>
    <w:p>
      <w:pPr>
        <w:spacing w:after="0" w:line="239"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SLTA IV (GP), L.L.C., its General Partner</w:t>
      </w:r>
    </w:p>
    <w:p>
      <w:pPr>
        <w:spacing w:after="0" w:line="20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60"/>
        <w:spacing w:after="0"/>
        <w:tabs>
          <w:tab w:leader="none" w:pos="3340" w:val="left"/>
          <w:tab w:leader="none" w:pos="5880" w:val="left"/>
          <w:tab w:leader="none" w:pos="6600" w:val="left"/>
        </w:tabs>
        <w:rPr>
          <w:sz w:val="20"/>
          <w:szCs w:val="20"/>
          <w:color w:val="auto"/>
        </w:rPr>
      </w:pPr>
      <w:r>
        <w:rPr>
          <w:rFonts w:ascii="Arial" w:cs="Arial" w:eastAsia="Arial" w:hAnsi="Arial"/>
          <w:sz w:val="20"/>
          <w:szCs w:val="20"/>
          <w:color w:val="auto"/>
        </w:rPr>
        <w:t>By:</w:t>
        <w:tab/>
        <w:t>/s/ ANDREW J . SCHADER</w:t>
        <w:tab/>
        <w:t>Name:</w:t>
      </w:r>
      <w:r>
        <w:rPr>
          <w:sz w:val="20"/>
          <w:szCs w:val="20"/>
          <w:color w:val="auto"/>
        </w:rPr>
        <w:tab/>
      </w:r>
      <w:r>
        <w:rPr>
          <w:rFonts w:ascii="Arial" w:cs="Arial" w:eastAsia="Arial" w:hAnsi="Arial"/>
          <w:sz w:val="16"/>
          <w:szCs w:val="16"/>
          <w:color w:val="auto"/>
        </w:rPr>
        <w:t>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-14605</wp:posOffset>
            </wp:positionV>
            <wp:extent cx="17138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8">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ind w:left="3200"/>
        <w:spacing w:after="0"/>
        <w:tabs>
          <w:tab w:leader="none" w:pos="380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019"/>
          </w:cols>
          <w:pgMar w:left="1440" w:top="1440" w:right="1440"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SILVER LAKE PARTNERS V DE (AIV), L.P.</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By: Silver Lake Technology Associates V, L.P., its General Partner</w:t>
      </w:r>
    </w:p>
    <w:p>
      <w:pPr>
        <w:spacing w:after="0" w:line="26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SLTA V (GP), L.L.C., its General Partner</w:t>
      </w:r>
    </w:p>
    <w:p>
      <w:pPr>
        <w:spacing w:after="0" w:line="20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59" w:lineRule="exact"/>
        <w:rPr>
          <w:sz w:val="20"/>
          <w:szCs w:val="20"/>
          <w:color w:val="auto"/>
        </w:rPr>
      </w:pPr>
    </w:p>
    <w:p>
      <w:pPr>
        <w:ind w:left="2860"/>
        <w:spacing w:after="0"/>
        <w:tabs>
          <w:tab w:leader="none" w:pos="3340" w:val="left"/>
          <w:tab w:leader="none" w:pos="5840" w:val="left"/>
          <w:tab w:leader="none" w:pos="6540" w:val="left"/>
        </w:tabs>
        <w:rPr>
          <w:sz w:val="20"/>
          <w:szCs w:val="20"/>
          <w:color w:val="auto"/>
        </w:rPr>
      </w:pPr>
      <w:r>
        <w:rPr>
          <w:rFonts w:ascii="Arial" w:cs="Arial" w:eastAsia="Arial" w:hAnsi="Arial"/>
          <w:sz w:val="20"/>
          <w:szCs w:val="20"/>
          <w:color w:val="auto"/>
        </w:rPr>
        <w:t>By:</w:t>
        <w:tab/>
        <w:t>/s/ ANDREW J. SCHADER</w:t>
        <w:tab/>
        <w:t>Name:</w:t>
      </w:r>
      <w:r>
        <w:rPr>
          <w:sz w:val="20"/>
          <w:szCs w:val="20"/>
          <w:color w:val="auto"/>
        </w:rPr>
        <w:tab/>
      </w:r>
      <w:r>
        <w:rPr>
          <w:rFonts w:ascii="Arial" w:cs="Arial" w:eastAsia="Arial" w:hAnsi="Arial"/>
          <w:sz w:val="16"/>
          <w:szCs w:val="16"/>
          <w:color w:val="auto"/>
        </w:rPr>
        <w:t>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-14605</wp:posOffset>
            </wp:positionV>
            <wp:extent cx="1682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9">
                      <a:extLst>
                        <a:ext uri="{28A0092B-C50C-407E-A947-70E740481C1C}"/>
                      </a:extLst>
                    </a:blip>
                    <a:srcRect/>
                    <a:stretch>
                      <a:fillRect/>
                    </a:stretch>
                  </pic:blipFill>
                  <pic:spPr bwMode="auto">
                    <a:xfrm>
                      <a:off x="0" y="0"/>
                      <a:ext cx="1682115" cy="8255"/>
                    </a:xfrm>
                    <a:prstGeom prst="rect">
                      <a:avLst/>
                    </a:prstGeom>
                    <a:noFill/>
                  </pic:spPr>
                </pic:pic>
              </a:graphicData>
            </a:graphic>
          </wp:anchor>
        </w:drawing>
      </w:r>
    </w:p>
    <w:p>
      <w:pPr>
        <w:ind w:left="3200"/>
        <w:spacing w:after="0"/>
        <w:tabs>
          <w:tab w:leader="none" w:pos="380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SILVER LAKE TECHNOLOGY INVESTORS V, L.P.</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 Silver Lake Technology Associates V, L.P., its General Partner</w:t>
      </w:r>
    </w:p>
    <w:p>
      <w:pPr>
        <w:spacing w:after="0" w:line="239"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SLTA V (GP), L.L.C., its General Partner</w:t>
      </w:r>
    </w:p>
    <w:p>
      <w:pPr>
        <w:spacing w:after="0" w:line="202"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Silver Lake Group, L.L.C., its Managing Member</w:t>
      </w:r>
    </w:p>
    <w:p>
      <w:pPr>
        <w:spacing w:after="0" w:line="243" w:lineRule="exact"/>
        <w:rPr>
          <w:sz w:val="20"/>
          <w:szCs w:val="20"/>
          <w:color w:val="auto"/>
        </w:rPr>
      </w:pPr>
    </w:p>
    <w:p>
      <w:pPr>
        <w:ind w:left="2860"/>
        <w:spacing w:after="0"/>
        <w:tabs>
          <w:tab w:leader="none" w:pos="3340" w:val="left"/>
          <w:tab w:leader="none" w:pos="6020" w:val="left"/>
          <w:tab w:leader="none" w:pos="6740" w:val="left"/>
        </w:tabs>
        <w:rPr>
          <w:sz w:val="20"/>
          <w:szCs w:val="20"/>
          <w:color w:val="auto"/>
        </w:rPr>
      </w:pPr>
      <w:r>
        <w:rPr>
          <w:rFonts w:ascii="Arial" w:cs="Arial" w:eastAsia="Arial" w:hAnsi="Arial"/>
          <w:sz w:val="20"/>
          <w:szCs w:val="20"/>
          <w:color w:val="auto"/>
        </w:rPr>
        <w:t>By:</w:t>
        <w:tab/>
        <w:t>/s/ ANDREW J. SCHADER</w:t>
      </w:r>
      <w:r>
        <w:rPr>
          <w:sz w:val="20"/>
          <w:szCs w:val="20"/>
          <w:color w:val="auto"/>
        </w:rPr>
        <w:tab/>
      </w: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-14605</wp:posOffset>
            </wp:positionV>
            <wp:extent cx="18078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0">
                      <a:extLst>
                        <a:ext uri="{28A0092B-C50C-407E-A947-70E740481C1C}"/>
                      </a:extLst>
                    </a:blip>
                    <a:srcRect/>
                    <a:stretch>
                      <a:fillRect/>
                    </a:stretch>
                  </pic:blipFill>
                  <pic:spPr bwMode="auto">
                    <a:xfrm>
                      <a:off x="0" y="0"/>
                      <a:ext cx="1807845" cy="8255"/>
                    </a:xfrm>
                    <a:prstGeom prst="rect">
                      <a:avLst/>
                    </a:prstGeom>
                    <a:noFill/>
                  </pic:spPr>
                </pic:pic>
              </a:graphicData>
            </a:graphic>
          </wp:anchor>
        </w:drawing>
      </w:r>
    </w:p>
    <w:p>
      <w:pPr>
        <w:ind w:left="3200"/>
        <w:spacing w:after="0"/>
        <w:tabs>
          <w:tab w:leader="none" w:pos="380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019"/>
          </w:cols>
          <w:pgMar w:left="1440" w:top="1440" w:right="1440" w:bottom="1440" w:gutter="0" w:footer="0" w:header="0"/>
        </w:sectPr>
      </w:pPr>
    </w:p>
    <w:bookmarkStart w:id="179" w:name="page180"/>
    <w:bookmarkEnd w:id="179"/>
    <w:p>
      <w:pPr>
        <w:ind w:left="440"/>
        <w:spacing w:after="0"/>
        <w:rPr>
          <w:sz w:val="20"/>
          <w:szCs w:val="20"/>
          <w:color w:val="auto"/>
        </w:rPr>
      </w:pPr>
      <w:r>
        <w:rPr>
          <w:rFonts w:ascii="Arial" w:cs="Arial" w:eastAsia="Arial" w:hAnsi="Arial"/>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FORM OF DIRECTOR INDEMNIFICATION AGREEMENT</w:t>
      </w:r>
    </w:p>
    <w:p>
      <w:pPr>
        <w:spacing w:after="0" w:line="20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INDEMNIFICATION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Indemnification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effective, by and between Dell Technologies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This Agreement shall supersede the prior indemnification agreement between the Company and Indemnitee dated as of and, for the avoidance of doubt, this Agreement shall apply to any Expenses, Indemnifiable Claims and Indemnifiable Losses incurred or arising on, prior to or after the date of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Recitals</w:t>
      </w:r>
    </w:p>
    <w:p>
      <w:pPr>
        <w:spacing w:after="0" w:line="206" w:lineRule="exact"/>
        <w:rPr>
          <w:sz w:val="20"/>
          <w:szCs w:val="20"/>
          <w:color w:val="auto"/>
        </w:rPr>
      </w:pPr>
    </w:p>
    <w:p>
      <w:pPr>
        <w:jc w:val="both"/>
        <w:ind w:left="660" w:hanging="652"/>
        <w:spacing w:after="0" w:line="223" w:lineRule="auto"/>
        <w:tabs>
          <w:tab w:leader="none" w:pos="654" w:val="left"/>
        </w:tabs>
        <w:numPr>
          <w:ilvl w:val="0"/>
          <w:numId w:val="59"/>
        </w:numPr>
        <w:rPr>
          <w:rFonts w:ascii="Arial" w:cs="Arial" w:eastAsia="Arial" w:hAnsi="Arial"/>
          <w:sz w:val="22"/>
          <w:szCs w:val="22"/>
          <w:color w:val="auto"/>
        </w:rPr>
      </w:pPr>
      <w:r>
        <w:rPr>
          <w:rFonts w:ascii="Arial" w:cs="Arial" w:eastAsia="Arial" w:hAnsi="Arial"/>
          <w:sz w:val="22"/>
          <w:szCs w:val="22"/>
          <w:color w:val="auto"/>
        </w:rPr>
        <w:t>Competent and experienced persons are reluctant to serve or to continue to serve as directors or officers of corporations unless they are provided with adequate protection through insurance or indemnification (or both) against claims against them arising out of their service and activities as directors.</w:t>
      </w:r>
    </w:p>
    <w:p>
      <w:pPr>
        <w:spacing w:after="0" w:line="185" w:lineRule="exact"/>
        <w:rPr>
          <w:rFonts w:ascii="Arial" w:cs="Arial" w:eastAsia="Arial" w:hAnsi="Arial"/>
          <w:sz w:val="22"/>
          <w:szCs w:val="22"/>
          <w:color w:val="auto"/>
        </w:rPr>
      </w:pPr>
    </w:p>
    <w:p>
      <w:pPr>
        <w:ind w:left="660" w:hanging="652"/>
        <w:spacing w:after="0" w:line="298" w:lineRule="auto"/>
        <w:tabs>
          <w:tab w:leader="none" w:pos="656" w:val="left"/>
        </w:tabs>
        <w:numPr>
          <w:ilvl w:val="0"/>
          <w:numId w:val="59"/>
        </w:numPr>
        <w:rPr>
          <w:rFonts w:ascii="Arial" w:cs="Arial" w:eastAsia="Arial" w:hAnsi="Arial"/>
          <w:sz w:val="19"/>
          <w:szCs w:val="19"/>
          <w:color w:val="auto"/>
        </w:rPr>
      </w:pPr>
      <w:r>
        <w:rPr>
          <w:rFonts w:ascii="Arial" w:cs="Arial" w:eastAsia="Arial" w:hAnsi="Arial"/>
          <w:sz w:val="19"/>
          <w:szCs w:val="19"/>
          <w:color w:val="auto"/>
        </w:rPr>
        <w:t>Uncertainties relating to the availability of adequate insurance for directors and officers have increased the difficulty for corporations to attract and retain competent and experienced persons to serve as directors or officers.</w:t>
      </w:r>
    </w:p>
    <w:p>
      <w:pPr>
        <w:spacing w:after="0" w:line="132" w:lineRule="exact"/>
        <w:rPr>
          <w:rFonts w:ascii="Arial" w:cs="Arial" w:eastAsia="Arial" w:hAnsi="Arial"/>
          <w:sz w:val="19"/>
          <w:szCs w:val="19"/>
          <w:color w:val="auto"/>
        </w:rPr>
      </w:pPr>
    </w:p>
    <w:p>
      <w:pPr>
        <w:jc w:val="both"/>
        <w:ind w:left="660" w:hanging="652"/>
        <w:spacing w:after="0" w:line="216" w:lineRule="auto"/>
        <w:tabs>
          <w:tab w:leader="none" w:pos="65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has determined that the continuation of present trends in litigation will make it more difficult to attract and retain competent and experienced persons to serve as directors or officers of the Company and, in some cases, of its subsidiaries, that this situation is detrimental to the best interests of the Company's stockholders and that the Company should act to assure its directors and officers that there will be increased certainty of adequate protection in the future.</w:t>
      </w:r>
    </w:p>
    <w:p>
      <w:pPr>
        <w:spacing w:after="0" w:line="184" w:lineRule="exact"/>
        <w:rPr>
          <w:rFonts w:ascii="Arial" w:cs="Arial" w:eastAsia="Arial" w:hAnsi="Arial"/>
          <w:sz w:val="22"/>
          <w:szCs w:val="22"/>
          <w:color w:val="auto"/>
        </w:rPr>
      </w:pPr>
    </w:p>
    <w:p>
      <w:pPr>
        <w:jc w:val="both"/>
        <w:ind w:left="660" w:hanging="652"/>
        <w:spacing w:after="0" w:line="223" w:lineRule="auto"/>
        <w:tabs>
          <w:tab w:leader="none" w:pos="6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It is reasonable, prudent and necessary for the Company to obligate itself contractually to indemnify its directors and officers to the fullest extent permitted by applicable law in order to induce them to serve or continue to serve as directors or officers of the Company or its subsidiaries.</w:t>
      </w:r>
    </w:p>
    <w:p>
      <w:pPr>
        <w:spacing w:after="0" w:line="185" w:lineRule="exact"/>
        <w:rPr>
          <w:rFonts w:ascii="Arial" w:cs="Arial" w:eastAsia="Arial" w:hAnsi="Arial"/>
          <w:sz w:val="22"/>
          <w:szCs w:val="22"/>
          <w:color w:val="auto"/>
        </w:rPr>
      </w:pPr>
    </w:p>
    <w:p>
      <w:pPr>
        <w:jc w:val="both"/>
        <w:ind w:left="660" w:hanging="652"/>
        <w:spacing w:after="0" w:line="223" w:lineRule="auto"/>
        <w:tabs>
          <w:tab w:leader="none" w:pos="643"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Indemnitee’s willingness to continue to serve in his or her current capacity is predicated, in substantial part, upon the Company's willingness to indemnify him or her to the fullest extent permitted by the laws of the State of Delaware and upon the other undertakings set forth in this Agreement.</w:t>
      </w:r>
    </w:p>
    <w:p>
      <w:pPr>
        <w:spacing w:after="0" w:line="185" w:lineRule="exact"/>
        <w:rPr>
          <w:rFonts w:ascii="Arial" w:cs="Arial" w:eastAsia="Arial" w:hAnsi="Arial"/>
          <w:sz w:val="22"/>
          <w:szCs w:val="22"/>
          <w:color w:val="auto"/>
        </w:rPr>
      </w:pPr>
    </w:p>
    <w:p>
      <w:pPr>
        <w:jc w:val="both"/>
        <w:ind w:left="660" w:hanging="652"/>
        <w:spacing w:after="0" w:line="222" w:lineRule="auto"/>
        <w:tabs>
          <w:tab w:leader="none" w:pos="628"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 recognition of the need to provide Indemnitee with substantial protection against personal liability, in order to procure Indemnitee's continued service, and to enhance Indemnitee's ability to serve the Company in an effective manner, and in order to provide such protection pursuant to express contract rights (intended to be enforceable irrespective of any amendment to the Company's Certificate of Incorporation or Bylaws (collectively, the "</w:t>
      </w:r>
      <w:r>
        <w:rPr>
          <w:rFonts w:ascii="Arial" w:cs="Arial" w:eastAsia="Arial" w:hAnsi="Arial"/>
          <w:sz w:val="21"/>
          <w:szCs w:val="21"/>
          <w:b w:val="1"/>
          <w:bCs w:val="1"/>
          <w:i w:val="1"/>
          <w:iCs w:val="1"/>
          <w:color w:val="auto"/>
        </w:rPr>
        <w:t>Constituent Documents</w:t>
      </w:r>
      <w:r>
        <w:rPr>
          <w:rFonts w:ascii="Arial" w:cs="Arial" w:eastAsia="Arial" w:hAnsi="Arial"/>
          <w:sz w:val="21"/>
          <w:szCs w:val="21"/>
          <w:color w:val="auto"/>
        </w:rPr>
        <w:t>"), any Change of Control (as defined in Section 1(a)) or any change in the composition of the Board), the Company wishes to provide in this Agreement for the indemnification of and the advancement of Expenses (as defined in Section 1(e)) to Indemnitee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Active.28150070.8</w:t>
      </w:r>
    </w:p>
    <w:p>
      <w:pPr>
        <w:sectPr>
          <w:pgSz w:w="11900" w:h="16838" w:orient="portrait"/>
          <w:cols w:equalWidth="0" w:num="1">
            <w:col w:w="11240"/>
          </w:cols>
          <w:pgMar w:left="320" w:top="98" w:right="339" w:bottom="1440" w:gutter="0" w:footer="0" w:header="0"/>
        </w:sectPr>
      </w:pPr>
    </w:p>
    <w:bookmarkStart w:id="180" w:name="page181"/>
    <w:bookmarkEnd w:id="180"/>
    <w:p>
      <w:pPr>
        <w:spacing w:after="0" w:line="298" w:lineRule="auto"/>
        <w:rPr>
          <w:sz w:val="20"/>
          <w:szCs w:val="20"/>
          <w:color w:val="auto"/>
        </w:rPr>
      </w:pPr>
      <w:r>
        <w:rPr>
          <w:rFonts w:ascii="Arial" w:cs="Arial" w:eastAsia="Arial" w:hAnsi="Arial"/>
          <w:sz w:val="19"/>
          <w:szCs w:val="19"/>
          <w:color w:val="auto"/>
        </w:rPr>
        <w:t>Now, therefore, for and in consideration of the foregoing premises, Indemnitee's agreement to continue to serve the Company in his or her current capacity and the mutual covenants and agreements contained herein, the parties hereby agree as follows:</w:t>
      </w:r>
    </w:p>
    <w:p>
      <w:pPr>
        <w:spacing w:after="0" w:line="132" w:lineRule="exact"/>
        <w:rPr>
          <w:sz w:val="20"/>
          <w:szCs w:val="20"/>
          <w:color w:val="auto"/>
        </w:rPr>
      </w:pPr>
    </w:p>
    <w:p>
      <w:pPr>
        <w:ind w:left="660" w:hanging="652"/>
        <w:spacing w:after="0" w:line="232"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Certain Definitions — </w:t>
      </w:r>
      <w:r>
        <w:rPr>
          <w:rFonts w:ascii="Arial" w:cs="Arial" w:eastAsia="Arial" w:hAnsi="Arial"/>
          <w:sz w:val="22"/>
          <w:szCs w:val="22"/>
          <w:color w:val="auto"/>
        </w:rPr>
        <w:t>In addition to terms defined elsewhere herein, the following terms shall have the respective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meanings indicated below when used in this Agreement:</w:t>
      </w:r>
    </w:p>
    <w:p>
      <w:pPr>
        <w:spacing w:after="0" w:line="185" w:lineRule="exact"/>
        <w:rPr>
          <w:rFonts w:ascii="Arial" w:cs="Arial" w:eastAsia="Arial" w:hAnsi="Arial"/>
          <w:sz w:val="22"/>
          <w:szCs w:val="22"/>
          <w:color w:val="auto"/>
        </w:rPr>
      </w:pPr>
    </w:p>
    <w:p>
      <w:pPr>
        <w:ind w:left="1260" w:hanging="604"/>
        <w:spacing w:after="0"/>
        <w:tabs>
          <w:tab w:leader="none" w:pos="12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shall mean the occurrence of any of the following events:</w:t>
      </w:r>
    </w:p>
    <w:p>
      <w:pPr>
        <w:spacing w:after="0" w:line="206" w:lineRule="exact"/>
        <w:rPr>
          <w:rFonts w:ascii="Arial" w:cs="Arial" w:eastAsia="Arial" w:hAnsi="Arial"/>
          <w:sz w:val="22"/>
          <w:szCs w:val="22"/>
          <w:color w:val="auto"/>
        </w:rPr>
      </w:pPr>
    </w:p>
    <w:p>
      <w:pPr>
        <w:jc w:val="both"/>
        <w:ind w:left="1960" w:hanging="656"/>
        <w:spacing w:after="0" w:line="221" w:lineRule="auto"/>
        <w:tabs>
          <w:tab w:leader="none" w:pos="1934"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acquisition after the date of this Agreement by any individual, entity or group (within the meaning of Section 13(d)(3) or 14(d)(2) of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(a "</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of beneficial ownership (within the meaning of Rule 13d-3 promulgated under the Exchange Act) of 15% or more of either the then outstanding shares of common stock of the Company (the "</w:t>
      </w:r>
      <w:r>
        <w:rPr>
          <w:rFonts w:ascii="Arial" w:cs="Arial" w:eastAsia="Arial" w:hAnsi="Arial"/>
          <w:sz w:val="21"/>
          <w:szCs w:val="21"/>
          <w:b w:val="1"/>
          <w:bCs w:val="1"/>
          <w:i w:val="1"/>
          <w:iCs w:val="1"/>
          <w:color w:val="auto"/>
        </w:rPr>
        <w:t>Outstanding Company Common Stock</w:t>
      </w:r>
      <w:r>
        <w:rPr>
          <w:rFonts w:ascii="Arial" w:cs="Arial" w:eastAsia="Arial" w:hAnsi="Arial"/>
          <w:sz w:val="21"/>
          <w:szCs w:val="21"/>
          <w:color w:val="auto"/>
        </w:rPr>
        <w:t>") or the combined voting power of the then outstanding voting securities of the Company entitled to vote generally in the election of directors (the "</w:t>
      </w:r>
      <w:r>
        <w:rPr>
          <w:rFonts w:ascii="Arial" w:cs="Arial" w:eastAsia="Arial" w:hAnsi="Arial"/>
          <w:sz w:val="21"/>
          <w:szCs w:val="21"/>
          <w:b w:val="1"/>
          <w:bCs w:val="1"/>
          <w:i w:val="1"/>
          <w:iCs w:val="1"/>
          <w:color w:val="auto"/>
        </w:rPr>
        <w:t>Outstanding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Company Voting Securities</w:t>
      </w:r>
      <w:r>
        <w:rPr>
          <w:rFonts w:ascii="Arial" w:cs="Arial" w:eastAsia="Arial" w:hAnsi="Arial"/>
          <w:sz w:val="21"/>
          <w:szCs w:val="21"/>
          <w:color w:val="auto"/>
        </w:rPr>
        <w:t>"); provided, however, that for purposes of this paragraph (i), the following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acquisitions shall not constitute a Change of Control:</w:t>
      </w:r>
    </w:p>
    <w:p>
      <w:pPr>
        <w:spacing w:after="0" w:line="192" w:lineRule="exact"/>
        <w:rPr>
          <w:rFonts w:ascii="Arial" w:cs="Arial" w:eastAsia="Arial" w:hAnsi="Arial"/>
          <w:sz w:val="21"/>
          <w:szCs w:val="21"/>
          <w:color w:val="auto"/>
        </w:rPr>
      </w:pPr>
    </w:p>
    <w:p>
      <w:pPr>
        <w:ind w:left="2580" w:hanging="628"/>
        <w:spacing w:after="0"/>
        <w:tabs>
          <w:tab w:leader="none" w:pos="2580" w:val="left"/>
        </w:tabs>
        <w:numPr>
          <w:ilvl w:val="3"/>
          <w:numId w:val="60"/>
        </w:numPr>
        <w:rPr>
          <w:rFonts w:ascii="Arial" w:cs="Arial" w:eastAsia="Arial" w:hAnsi="Arial"/>
          <w:sz w:val="22"/>
          <w:szCs w:val="22"/>
          <w:color w:val="auto"/>
        </w:rPr>
      </w:pPr>
      <w:r>
        <w:rPr>
          <w:rFonts w:ascii="Arial" w:cs="Arial" w:eastAsia="Arial" w:hAnsi="Arial"/>
          <w:sz w:val="22"/>
          <w:szCs w:val="22"/>
          <w:color w:val="auto"/>
        </w:rPr>
        <w:t>any acquisition directly from the Company or any Controlled Affiliate of the Company;</w:t>
      </w:r>
    </w:p>
    <w:p>
      <w:pPr>
        <w:spacing w:after="0" w:line="206" w:lineRule="exact"/>
        <w:rPr>
          <w:rFonts w:ascii="Arial" w:cs="Arial" w:eastAsia="Arial" w:hAnsi="Arial"/>
          <w:sz w:val="22"/>
          <w:szCs w:val="22"/>
          <w:color w:val="auto"/>
        </w:rPr>
      </w:pPr>
    </w:p>
    <w:p>
      <w:pPr>
        <w:ind w:left="2580" w:hanging="628"/>
        <w:spacing w:after="0"/>
        <w:tabs>
          <w:tab w:leader="none" w:pos="2580" w:val="left"/>
        </w:tabs>
        <w:numPr>
          <w:ilvl w:val="3"/>
          <w:numId w:val="60"/>
        </w:numPr>
        <w:rPr>
          <w:rFonts w:ascii="Arial" w:cs="Arial" w:eastAsia="Arial" w:hAnsi="Arial"/>
          <w:sz w:val="22"/>
          <w:szCs w:val="22"/>
          <w:color w:val="auto"/>
        </w:rPr>
      </w:pPr>
      <w:r>
        <w:rPr>
          <w:rFonts w:ascii="Arial" w:cs="Arial" w:eastAsia="Arial" w:hAnsi="Arial"/>
          <w:sz w:val="22"/>
          <w:szCs w:val="22"/>
          <w:color w:val="auto"/>
        </w:rPr>
        <w:t>any acquisition by the Company or any Controlled Affiliate of the Company;</w:t>
      </w:r>
    </w:p>
    <w:p>
      <w:pPr>
        <w:spacing w:after="0" w:line="206" w:lineRule="exact"/>
        <w:rPr>
          <w:rFonts w:ascii="Arial" w:cs="Arial" w:eastAsia="Arial" w:hAnsi="Arial"/>
          <w:sz w:val="22"/>
          <w:szCs w:val="22"/>
          <w:color w:val="auto"/>
        </w:rPr>
      </w:pPr>
    </w:p>
    <w:p>
      <w:pPr>
        <w:ind w:left="2600" w:hanging="648"/>
        <w:spacing w:after="0" w:line="232" w:lineRule="auto"/>
        <w:tabs>
          <w:tab w:leader="none" w:pos="2577" w:val="left"/>
        </w:tabs>
        <w:numPr>
          <w:ilvl w:val="3"/>
          <w:numId w:val="60"/>
        </w:numPr>
        <w:rPr>
          <w:rFonts w:ascii="Arial" w:cs="Arial" w:eastAsia="Arial" w:hAnsi="Arial"/>
          <w:sz w:val="22"/>
          <w:szCs w:val="22"/>
          <w:color w:val="auto"/>
        </w:rPr>
      </w:pPr>
      <w:r>
        <w:rPr>
          <w:rFonts w:ascii="Arial" w:cs="Arial" w:eastAsia="Arial" w:hAnsi="Arial"/>
          <w:sz w:val="22"/>
          <w:szCs w:val="22"/>
          <w:color w:val="auto"/>
        </w:rPr>
        <w:t>any acquisition by any employee benefit plan (or related trust) sponsored or maintained by the Company or any Controlled Affiliate of the Company;</w:t>
      </w:r>
    </w:p>
    <w:p>
      <w:pPr>
        <w:spacing w:after="0" w:line="185" w:lineRule="exact"/>
        <w:rPr>
          <w:rFonts w:ascii="Arial" w:cs="Arial" w:eastAsia="Arial" w:hAnsi="Arial"/>
          <w:sz w:val="22"/>
          <w:szCs w:val="22"/>
          <w:color w:val="auto"/>
        </w:rPr>
      </w:pPr>
    </w:p>
    <w:p>
      <w:pPr>
        <w:jc w:val="both"/>
        <w:ind w:left="2600" w:hanging="648"/>
        <w:spacing w:after="0" w:line="218" w:lineRule="auto"/>
        <w:tabs>
          <w:tab w:leader="none" w:pos="2576" w:val="left"/>
        </w:tabs>
        <w:numPr>
          <w:ilvl w:val="3"/>
          <w:numId w:val="60"/>
        </w:numPr>
        <w:rPr>
          <w:rFonts w:ascii="Arial" w:cs="Arial" w:eastAsia="Arial" w:hAnsi="Arial"/>
          <w:sz w:val="22"/>
          <w:szCs w:val="22"/>
          <w:color w:val="auto"/>
        </w:rPr>
      </w:pPr>
      <w:r>
        <w:rPr>
          <w:rFonts w:ascii="Arial" w:cs="Arial" w:eastAsia="Arial" w:hAnsi="Arial"/>
          <w:sz w:val="22"/>
          <w:szCs w:val="22"/>
          <w:color w:val="auto"/>
        </w:rPr>
        <w:t>any acquisition by Mr. Michael S. Dell, his Affiliates or Associates (as such terms are defined in Rule 12b-2 promulgated under the Exchange Act), his heirs or any trust or foundation to which he has transferred or may transfer Outstanding Company Common Stock or Outstanding Company Voting Securities; or</w:t>
      </w:r>
    </w:p>
    <w:p>
      <w:pPr>
        <w:spacing w:after="0" w:line="187" w:lineRule="exact"/>
        <w:rPr>
          <w:rFonts w:ascii="Arial" w:cs="Arial" w:eastAsia="Arial" w:hAnsi="Arial"/>
          <w:sz w:val="22"/>
          <w:szCs w:val="22"/>
          <w:color w:val="auto"/>
        </w:rPr>
      </w:pPr>
    </w:p>
    <w:p>
      <w:pPr>
        <w:ind w:left="2600" w:hanging="648"/>
        <w:spacing w:after="0" w:line="232" w:lineRule="auto"/>
        <w:tabs>
          <w:tab w:leader="none" w:pos="2565" w:val="left"/>
        </w:tabs>
        <w:numPr>
          <w:ilvl w:val="3"/>
          <w:numId w:val="60"/>
        </w:numPr>
        <w:rPr>
          <w:rFonts w:ascii="Arial" w:cs="Arial" w:eastAsia="Arial" w:hAnsi="Arial"/>
          <w:sz w:val="22"/>
          <w:szCs w:val="22"/>
          <w:color w:val="auto"/>
        </w:rPr>
      </w:pPr>
      <w:r>
        <w:rPr>
          <w:rFonts w:ascii="Arial" w:cs="Arial" w:eastAsia="Arial" w:hAnsi="Arial"/>
          <w:sz w:val="22"/>
          <w:szCs w:val="22"/>
          <w:color w:val="auto"/>
        </w:rPr>
        <w:t>any acquisition by any entity or its security holders pursuant to a transaction that complies with clauses (A), (B), and (C) of paragraph (iii) below;</w:t>
      </w:r>
    </w:p>
    <w:p>
      <w:pPr>
        <w:spacing w:after="0" w:line="185" w:lineRule="exact"/>
        <w:rPr>
          <w:rFonts w:ascii="Arial" w:cs="Arial" w:eastAsia="Arial" w:hAnsi="Arial"/>
          <w:sz w:val="22"/>
          <w:szCs w:val="22"/>
          <w:color w:val="auto"/>
        </w:rPr>
      </w:pPr>
    </w:p>
    <w:p>
      <w:pPr>
        <w:jc w:val="both"/>
        <w:ind w:left="1960" w:hanging="656"/>
        <w:spacing w:after="0" w:line="252" w:lineRule="auto"/>
        <w:tabs>
          <w:tab w:leader="none" w:pos="1927" w:val="left"/>
        </w:tabs>
        <w:numPr>
          <w:ilvl w:val="2"/>
          <w:numId w:val="60"/>
        </w:numPr>
        <w:rPr>
          <w:rFonts w:ascii="Arial" w:cs="Arial" w:eastAsia="Arial" w:hAnsi="Arial"/>
          <w:sz w:val="19"/>
          <w:szCs w:val="19"/>
          <w:color w:val="auto"/>
        </w:rPr>
      </w:pPr>
      <w:r>
        <w:rPr>
          <w:rFonts w:ascii="Arial" w:cs="Arial" w:eastAsia="Arial" w:hAnsi="Arial"/>
          <w:sz w:val="19"/>
          <w:szCs w:val="19"/>
          <w:color w:val="auto"/>
        </w:rPr>
        <w:t>Individuals who, as of the date of this Agreement, constitute the Board (collectively, the "</w:t>
      </w:r>
      <w:r>
        <w:rPr>
          <w:rFonts w:ascii="Arial" w:cs="Arial" w:eastAsia="Arial" w:hAnsi="Arial"/>
          <w:sz w:val="19"/>
          <w:szCs w:val="19"/>
          <w:b w:val="1"/>
          <w:bCs w:val="1"/>
          <w:i w:val="1"/>
          <w:iCs w:val="1"/>
          <w:color w:val="auto"/>
        </w:rPr>
        <w:t>Incumbent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Directors</w:t>
      </w:r>
      <w:r>
        <w:rPr>
          <w:rFonts w:ascii="Arial" w:cs="Arial" w:eastAsia="Arial" w:hAnsi="Arial"/>
          <w:sz w:val="19"/>
          <w:szCs w:val="19"/>
          <w:color w:val="auto"/>
        </w:rPr>
        <w:t>") cease for any reason to constitute at least a majority of the Board; provided, however, that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individual who becomes a director of the Company subsequent to the date of this Agreement and whose election or appointment by the Board or nomination for election by the Company's stockholders was approved by a vote of at least a majority of the then Incumbent Directors, shall be considered as an</w:t>
      </w:r>
    </w:p>
    <w:p>
      <w:pPr>
        <w:sectPr>
          <w:pgSz w:w="11900" w:h="16838" w:orient="portrait"/>
          <w:cols w:equalWidth="0" w:num="1">
            <w:col w:w="11240"/>
          </w:cols>
          <w:pgMar w:left="320" w:top="1401" w:right="339" w:bottom="1440" w:gutter="0" w:footer="0" w:header="0"/>
        </w:sectPr>
      </w:pPr>
    </w:p>
    <w:bookmarkStart w:id="181" w:name="page182"/>
    <w:bookmarkEnd w:id="181"/>
    <w:p>
      <w:pPr>
        <w:jc w:val="both"/>
        <w:ind w:left="840"/>
        <w:spacing w:after="0" w:line="268" w:lineRule="auto"/>
        <w:rPr>
          <w:sz w:val="20"/>
          <w:szCs w:val="20"/>
          <w:color w:val="auto"/>
        </w:rPr>
      </w:pPr>
      <w:r>
        <w:rPr>
          <w:rFonts w:ascii="Arial" w:cs="Arial" w:eastAsia="Arial" w:hAnsi="Arial"/>
          <w:sz w:val="19"/>
          <w:szCs w:val="19"/>
          <w:color w:val="auto"/>
        </w:rPr>
        <w:t>Incumbent Director, unless such individual's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59" w:lineRule="exact"/>
        <w:rPr>
          <w:sz w:val="20"/>
          <w:szCs w:val="20"/>
          <w:color w:val="auto"/>
        </w:rPr>
      </w:pPr>
    </w:p>
    <w:p>
      <w:pPr>
        <w:jc w:val="both"/>
        <w:ind w:left="840" w:hanging="656"/>
        <w:spacing w:after="0"/>
        <w:tabs>
          <w:tab w:leader="none" w:pos="799" w:val="left"/>
        </w:tabs>
        <w:numPr>
          <w:ilvl w:val="0"/>
          <w:numId w:val="61"/>
        </w:numPr>
        <w:rPr>
          <w:rFonts w:ascii="Arial" w:cs="Arial" w:eastAsia="Arial" w:hAnsi="Arial"/>
          <w:sz w:val="19"/>
          <w:szCs w:val="19"/>
          <w:color w:val="auto"/>
        </w:rPr>
      </w:pPr>
      <w:r>
        <w:rPr>
          <w:rFonts w:ascii="Arial" w:cs="Arial" w:eastAsia="Arial" w:hAnsi="Arial"/>
          <w:sz w:val="19"/>
          <w:szCs w:val="19"/>
          <w:color w:val="auto"/>
        </w:rPr>
        <w:t>Consummation of a reorganization, merger, consolidation, sale or other disposition of all or substantially all the assets of the Company or an acquisition of assets of another corporation (a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unless, in each case,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the corporation resulting from such Business Combination and any Person referred to in clause (D) of paragraph (i) above) beneficially owns, directly or indirectly, 15% or more of, respectively, the then outstanding shares of common stock of the corporation resulting from such Business Combination or the combined voting power of the then outstanding voting securities of such corporation except to the extent that such ownership of the Company existed prior to the Business Combination and (C) at least a majority of the members of the board of directors of the corporation resulting from such Business Combination were Incumbent Directors at the time of the execution of the initial agreement, or of the action of the Board, providing for such Business Combination;</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800" w:hanging="616"/>
        <w:spacing w:after="0"/>
        <w:tabs>
          <w:tab w:leader="none" w:pos="8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Approval by the stockholders of the Company of a complete liquidation or dissolution of the Company; or</w:t>
      </w:r>
    </w:p>
    <w:p>
      <w:pPr>
        <w:spacing w:after="0" w:line="240" w:lineRule="exact"/>
        <w:rPr>
          <w:rFonts w:ascii="Arial" w:cs="Arial" w:eastAsia="Arial" w:hAnsi="Arial"/>
          <w:sz w:val="19"/>
          <w:szCs w:val="19"/>
          <w:color w:val="auto"/>
        </w:rPr>
      </w:pPr>
    </w:p>
    <w:p>
      <w:pPr>
        <w:jc w:val="both"/>
        <w:ind w:left="840" w:hanging="656"/>
        <w:spacing w:after="0" w:line="268" w:lineRule="auto"/>
        <w:tabs>
          <w:tab w:leader="none" w:pos="822"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occurrence of any other event of a nature that would be required to be reported in response to Item 6(e) of Schedule 14A of Regulation 14A (or a response to any similar item on any similar schedule or form) under the Exchange Act, whether or not the Company is then subject to such reporting requirement.</w:t>
      </w:r>
    </w:p>
    <w:p>
      <w:pPr>
        <w:spacing w:after="0" w:line="159" w:lineRule="exact"/>
        <w:rPr>
          <w:sz w:val="20"/>
          <w:szCs w:val="20"/>
          <w:color w:val="auto"/>
        </w:rPr>
      </w:pPr>
    </w:p>
    <w:p>
      <w:pPr>
        <w:jc w:val="both"/>
        <w:ind w:left="180"/>
        <w:spacing w:after="0" w:line="218" w:lineRule="auto"/>
        <w:rPr>
          <w:sz w:val="20"/>
          <w:szCs w:val="20"/>
          <w:color w:val="auto"/>
        </w:rPr>
      </w:pPr>
      <w:r>
        <w:rPr>
          <w:rFonts w:ascii="Arial" w:cs="Arial" w:eastAsia="Arial" w:hAnsi="Arial"/>
          <w:sz w:val="22"/>
          <w:szCs w:val="22"/>
          <w:color w:val="auto"/>
        </w:rPr>
        <w:t>Notwithstanding the foregoing, in no event shall a Change in Control be deemed to have occurred if, after the occurrence of any of the events described in Sections 1(a)(i), 1(a)(ii), 1(a)(iii), 1(a)(iv) or 1(a)(v), Dell Technologies Inc., a Delaware corporation, directly or indirectly through a Controlled Affiliate, beneficially owns a majority of the combined voting</w:t>
      </w:r>
    </w:p>
    <w:p>
      <w:pPr>
        <w:sectPr>
          <w:pgSz w:w="11900" w:h="16838" w:orient="portrait"/>
          <w:cols w:equalWidth="0" w:num="1">
            <w:col w:w="10120"/>
          </w:cols>
          <w:pgMar w:left="1440" w:top="1401" w:right="339" w:bottom="1440" w:gutter="0" w:footer="0" w:header="0"/>
        </w:sectPr>
      </w:pPr>
    </w:p>
    <w:bookmarkStart w:id="182" w:name="page183"/>
    <w:bookmarkEnd w:id="182"/>
    <w:p>
      <w:pPr>
        <w:ind w:left="644"/>
        <w:spacing w:after="0"/>
        <w:rPr>
          <w:sz w:val="20"/>
          <w:szCs w:val="20"/>
          <w:color w:val="auto"/>
        </w:rPr>
      </w:pPr>
      <w:r>
        <w:rPr>
          <w:rFonts w:ascii="Arial" w:cs="Arial" w:eastAsia="Arial" w:hAnsi="Arial"/>
          <w:sz w:val="22"/>
          <w:szCs w:val="22"/>
          <w:color w:val="auto"/>
        </w:rPr>
        <w:t>power of the then outstanding voting securities entitled to vote generally in the election of directors.</w:t>
      </w:r>
    </w:p>
    <w:p>
      <w:pPr>
        <w:spacing w:after="0" w:line="206" w:lineRule="exact"/>
        <w:rPr>
          <w:sz w:val="20"/>
          <w:szCs w:val="20"/>
          <w:color w:val="auto"/>
        </w:rPr>
      </w:pPr>
    </w:p>
    <w:p>
      <w:pPr>
        <w:jc w:val="both"/>
        <w:ind w:left="644" w:hanging="644"/>
        <w:spacing w:after="0" w:line="212" w:lineRule="auto"/>
        <w:tabs>
          <w:tab w:leader="none" w:pos="612"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shall mean (i) any threatened, asserted, pending or completed claim, demand, action, suit or proceeding (including any cross claim or counterclaim in any action, suit or proceeding), whether civil, criminal, administrative, arbitrative, investigative or other and whether made pursuant to federal, state or other law (including securities laws); and (ii) any inquiry or investigation (including discovery), whether made, instituted or conducted by the Company or any other party, including any federal, state or other governmental entity, that Indemnitee in good faith believes might lead to the institution of any such claim, demand, action, suit or proceeding.</w:t>
      </w:r>
    </w:p>
    <w:p>
      <w:pPr>
        <w:spacing w:after="0" w:line="190" w:lineRule="exact"/>
        <w:rPr>
          <w:rFonts w:ascii="Arial" w:cs="Arial" w:eastAsia="Arial" w:hAnsi="Arial"/>
          <w:sz w:val="22"/>
          <w:szCs w:val="22"/>
          <w:color w:val="auto"/>
        </w:rPr>
      </w:pPr>
    </w:p>
    <w:p>
      <w:pPr>
        <w:jc w:val="both"/>
        <w:ind w:left="644" w:hanging="644"/>
        <w:spacing w:after="0" w:line="211" w:lineRule="auto"/>
        <w:tabs>
          <w:tab w:leader="none" w:pos="614"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Controlled Affiliate</w:t>
      </w:r>
      <w:r>
        <w:rPr>
          <w:rFonts w:ascii="Arial" w:cs="Arial" w:eastAsia="Arial" w:hAnsi="Arial"/>
          <w:sz w:val="22"/>
          <w:szCs w:val="22"/>
          <w:color w:val="auto"/>
        </w:rPr>
        <w:t>" shall mean any corporation, limited liability company, partnership, joint venture, trust or other entity or enterprise, whether or not for profit, that is directly or indirectly controlled by the Company. For purposes of this definition, the term "control" shall mean the possession, directly or indirectly, of the power to direct or cause the direction of the management or policies of an entity or enterprise, whether through the ownership of voting securities, through other voting rights, by contract or otherwise; provided, however, that direct or indirect beneficial ownership of capital stock or other interests in an entity or enterprise entitling the holder to cast 20% or more of the total number of votes generally entitled to be cast in the election of directors (or persons performing comparable functions) of such entity or enterprise shall be deemed to constitute "control" for purposes of this definition.</w:t>
      </w:r>
    </w:p>
    <w:p>
      <w:pPr>
        <w:spacing w:after="0" w:line="185" w:lineRule="exact"/>
        <w:rPr>
          <w:rFonts w:ascii="Arial" w:cs="Arial" w:eastAsia="Arial" w:hAnsi="Arial"/>
          <w:sz w:val="22"/>
          <w:szCs w:val="22"/>
          <w:color w:val="auto"/>
        </w:rPr>
      </w:pPr>
    </w:p>
    <w:p>
      <w:pPr>
        <w:ind w:left="644" w:hanging="644"/>
        <w:spacing w:after="0" w:line="232" w:lineRule="auto"/>
        <w:tabs>
          <w:tab w:leader="none" w:pos="599"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Disinterested Director</w:t>
      </w:r>
      <w:r>
        <w:rPr>
          <w:rFonts w:ascii="Arial" w:cs="Arial" w:eastAsia="Arial" w:hAnsi="Arial"/>
          <w:sz w:val="22"/>
          <w:szCs w:val="22"/>
          <w:color w:val="auto"/>
        </w:rPr>
        <w:t>" shall mean a director of the Company who is not and was not a party to the Claim with respect to which indemnification is sought by Indemnitee.</w:t>
      </w:r>
    </w:p>
    <w:p>
      <w:pPr>
        <w:spacing w:after="0" w:line="185" w:lineRule="exact"/>
        <w:rPr>
          <w:rFonts w:ascii="Arial" w:cs="Arial" w:eastAsia="Arial" w:hAnsi="Arial"/>
          <w:sz w:val="22"/>
          <w:szCs w:val="22"/>
          <w:color w:val="auto"/>
        </w:rPr>
      </w:pPr>
    </w:p>
    <w:p>
      <w:pPr>
        <w:jc w:val="both"/>
        <w:ind w:left="644" w:hanging="644"/>
        <w:spacing w:after="0" w:line="229" w:lineRule="auto"/>
        <w:tabs>
          <w:tab w:leader="none" w:pos="614"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Expenses</w:t>
      </w:r>
      <w:r>
        <w:rPr>
          <w:rFonts w:ascii="Arial" w:cs="Arial" w:eastAsia="Arial" w:hAnsi="Arial"/>
          <w:sz w:val="21"/>
          <w:szCs w:val="21"/>
          <w:color w:val="auto"/>
        </w:rPr>
        <w:t>" shall mean all costs, expenses (including attorneys' and experts' fees and expenses) and obligations paid or incurred in connection with investigating, defending (including affirmative defenses and counterclaims), being a witness in or participating in (including on appeal), or preparing to investigate, defend, be a witness in or participate in (including on appeal), any Claim relating to an Indemnifiable Claim.</w:t>
      </w:r>
    </w:p>
    <w:p>
      <w:pPr>
        <w:spacing w:after="0" w:line="185" w:lineRule="exact"/>
        <w:rPr>
          <w:rFonts w:ascii="Arial" w:cs="Arial" w:eastAsia="Arial" w:hAnsi="Arial"/>
          <w:sz w:val="21"/>
          <w:szCs w:val="21"/>
          <w:color w:val="auto"/>
        </w:rPr>
      </w:pPr>
    </w:p>
    <w:p>
      <w:pPr>
        <w:ind w:left="624" w:hanging="624"/>
        <w:spacing w:after="0"/>
        <w:tabs>
          <w:tab w:leader="none" w:pos="624"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Indemnifiable Claim</w:t>
      </w:r>
      <w:r>
        <w:rPr>
          <w:rFonts w:ascii="Arial" w:cs="Arial" w:eastAsia="Arial" w:hAnsi="Arial"/>
          <w:sz w:val="19"/>
          <w:szCs w:val="19"/>
          <w:color w:val="auto"/>
        </w:rPr>
        <w:t>" shall mean any Claim based upon, arising out of or resulting from any of the following:</w:t>
      </w:r>
    </w:p>
    <w:p>
      <w:pPr>
        <w:spacing w:after="0" w:line="240" w:lineRule="exact"/>
        <w:rPr>
          <w:rFonts w:ascii="Arial" w:cs="Arial" w:eastAsia="Arial" w:hAnsi="Arial"/>
          <w:sz w:val="19"/>
          <w:szCs w:val="19"/>
          <w:color w:val="auto"/>
        </w:rPr>
      </w:pPr>
    </w:p>
    <w:p>
      <w:pPr>
        <w:jc w:val="both"/>
        <w:ind w:left="1304" w:hanging="656"/>
        <w:spacing w:after="0" w:line="252" w:lineRule="auto"/>
        <w:tabs>
          <w:tab w:leader="none" w:pos="1278"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 actual, alleged or suspected act or failure to act by Indemnitee in his or her capacity as a director or officer of the Company or as a director, officer, employee, member, manager, trustee, fiduciary or agent (collectively, a “</w:t>
      </w:r>
      <w:r>
        <w:rPr>
          <w:rFonts w:ascii="Arial" w:cs="Arial" w:eastAsia="Arial" w:hAnsi="Arial"/>
          <w:sz w:val="19"/>
          <w:szCs w:val="19"/>
          <w:b w:val="1"/>
          <w:bCs w:val="1"/>
          <w:i w:val="1"/>
          <w:iCs w:val="1"/>
          <w:color w:val="auto"/>
        </w:rPr>
        <w:t>Representative</w:t>
      </w:r>
      <w:r>
        <w:rPr>
          <w:rFonts w:ascii="Arial" w:cs="Arial" w:eastAsia="Arial" w:hAnsi="Arial"/>
          <w:sz w:val="19"/>
          <w:szCs w:val="19"/>
          <w:color w:val="auto"/>
        </w:rPr>
        <w:t>”) of any Controlled Affiliate or other corporation, limited liability company, partnership, joint venture, employee benefit plan, trust or other entity or enterprise, whether or not for profit, as to which Indemnitee is or was serving at the request of the Company as a Representative;</w:t>
      </w:r>
    </w:p>
    <w:p>
      <w:pPr>
        <w:spacing w:after="0" w:line="175" w:lineRule="exact"/>
        <w:rPr>
          <w:rFonts w:ascii="Arial" w:cs="Arial" w:eastAsia="Arial" w:hAnsi="Arial"/>
          <w:sz w:val="19"/>
          <w:szCs w:val="19"/>
          <w:color w:val="auto"/>
        </w:rPr>
      </w:pPr>
    </w:p>
    <w:p>
      <w:pPr>
        <w:ind w:left="1304" w:hanging="656"/>
        <w:spacing w:after="0" w:line="232" w:lineRule="auto"/>
        <w:tabs>
          <w:tab w:leader="none" w:pos="1271"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Any actual, alleged or suspected act or failure to act by Indemnitee with respect to any business, transaction, communication, filing,</w:t>
      </w:r>
    </w:p>
    <w:p>
      <w:pPr>
        <w:sectPr>
          <w:pgSz w:w="11900" w:h="16838" w:orient="portrait"/>
          <w:cols w:equalWidth="0" w:num="1">
            <w:col w:w="10584"/>
          </w:cols>
          <w:pgMar w:left="976" w:top="1401" w:right="339" w:bottom="1440" w:gutter="0" w:footer="0" w:header="0"/>
        </w:sectPr>
      </w:pPr>
    </w:p>
    <w:bookmarkStart w:id="183" w:name="page184"/>
    <w:bookmarkEnd w:id="183"/>
    <w:p>
      <w:pPr>
        <w:ind w:left="1952"/>
        <w:spacing w:after="0" w:line="232" w:lineRule="auto"/>
        <w:rPr>
          <w:sz w:val="20"/>
          <w:szCs w:val="20"/>
          <w:color w:val="auto"/>
        </w:rPr>
      </w:pPr>
      <w:r>
        <w:rPr>
          <w:rFonts w:ascii="Arial" w:cs="Arial" w:eastAsia="Arial" w:hAnsi="Arial"/>
          <w:sz w:val="22"/>
          <w:szCs w:val="22"/>
          <w:color w:val="auto"/>
        </w:rPr>
        <w:t>disclosure or other activity of the Company or any other entity or enterprise referred to in clause (i) of this Section 1(f); or</w:t>
      </w:r>
    </w:p>
    <w:p>
      <w:pPr>
        <w:spacing w:after="0" w:line="186" w:lineRule="exact"/>
        <w:rPr>
          <w:sz w:val="20"/>
          <w:szCs w:val="20"/>
          <w:color w:val="auto"/>
        </w:rPr>
      </w:pPr>
    </w:p>
    <w:p>
      <w:pPr>
        <w:jc w:val="both"/>
        <w:ind w:left="1952" w:hanging="656"/>
        <w:spacing w:after="0" w:line="229" w:lineRule="auto"/>
        <w:tabs>
          <w:tab w:leader="none" w:pos="1911" w:val="left"/>
        </w:tabs>
        <w:numPr>
          <w:ilvl w:val="0"/>
          <w:numId w:val="63"/>
        </w:numPr>
        <w:rPr>
          <w:rFonts w:ascii="Arial" w:cs="Arial" w:eastAsia="Arial" w:hAnsi="Arial"/>
          <w:sz w:val="21"/>
          <w:szCs w:val="21"/>
          <w:color w:val="auto"/>
        </w:rPr>
      </w:pPr>
      <w:r>
        <w:rPr>
          <w:rFonts w:ascii="Arial" w:cs="Arial" w:eastAsia="Arial" w:hAnsi="Arial"/>
          <w:sz w:val="21"/>
          <w:szCs w:val="21"/>
          <w:color w:val="auto"/>
        </w:rPr>
        <w:t>Indemnitee's status as a current or former director or officer of the Company or as a current or former Representative of the Company or any other entity or enterprise referred to in clause (i) of this Section 1(f) or any actual, alleged or suspected act or failure to act by Indemnitee in connection with any obligation or restriction imposed upon Indemnitee by reason of such status.</w:t>
      </w:r>
    </w:p>
    <w:p>
      <w:pPr>
        <w:spacing w:after="0" w:line="185" w:lineRule="exact"/>
        <w:rPr>
          <w:sz w:val="20"/>
          <w:szCs w:val="20"/>
          <w:color w:val="auto"/>
        </w:rPr>
      </w:pPr>
    </w:p>
    <w:p>
      <w:pPr>
        <w:jc w:val="both"/>
        <w:ind w:left="1292"/>
        <w:spacing w:after="0" w:line="246" w:lineRule="auto"/>
        <w:rPr>
          <w:sz w:val="20"/>
          <w:szCs w:val="20"/>
          <w:color w:val="auto"/>
        </w:rPr>
      </w:pPr>
      <w:r>
        <w:rPr>
          <w:rFonts w:ascii="Arial" w:cs="Arial" w:eastAsia="Arial" w:hAnsi="Arial"/>
          <w:sz w:val="19"/>
          <w:szCs w:val="19"/>
          <w:color w:val="auto"/>
        </w:rPr>
        <w:t>In addition to any service at the actual request of the Company, for purposes of this Agreement, Indemnitee shall be deemed to be serving or to have served at the request of the Company as a Representative of another entity or enterprise if Indemnitee is or was serving as a director, officer, employee, member, manager, trustee, fiduciary or agent of such entity or enterprise and (A) such entity or enterprise is or at the time of such service was a Controlled Affiliate, (B) such entity or enterprise is or at the time of such service was an employee benefit plan (or related trust) sponsored or maintained by the Company or a Controlled Affiliate or (C) the Company or a Controlled Affiliate directly or indirectly caused Indemnitee to be nominated, elected, appointed, designated, employed, engaged or selected to serve in such capacity.</w:t>
      </w:r>
    </w:p>
    <w:p>
      <w:pPr>
        <w:spacing w:after="0" w:line="179" w:lineRule="exact"/>
        <w:rPr>
          <w:sz w:val="20"/>
          <w:szCs w:val="20"/>
          <w:color w:val="auto"/>
        </w:rPr>
      </w:pPr>
    </w:p>
    <w:p>
      <w:pPr>
        <w:ind w:left="1292" w:hanging="644"/>
        <w:spacing w:after="0" w:line="232" w:lineRule="auto"/>
        <w:tabs>
          <w:tab w:leader="none" w:pos="12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Indemnifiable Losses</w:t>
      </w:r>
      <w:r>
        <w:rPr>
          <w:rFonts w:ascii="Arial" w:cs="Arial" w:eastAsia="Arial" w:hAnsi="Arial"/>
          <w:sz w:val="22"/>
          <w:szCs w:val="22"/>
          <w:color w:val="auto"/>
        </w:rPr>
        <w:t>" shall mean any and all Losses relating to, arising out of or resulting from any Indemnifiable Claim.</w:t>
      </w:r>
    </w:p>
    <w:p>
      <w:pPr>
        <w:spacing w:after="0" w:line="185" w:lineRule="exact"/>
        <w:rPr>
          <w:rFonts w:ascii="Arial" w:cs="Arial" w:eastAsia="Arial" w:hAnsi="Arial"/>
          <w:sz w:val="22"/>
          <w:szCs w:val="22"/>
          <w:color w:val="auto"/>
        </w:rPr>
      </w:pPr>
    </w:p>
    <w:p>
      <w:pPr>
        <w:jc w:val="both"/>
        <w:ind w:left="1292" w:hanging="644"/>
        <w:spacing w:after="0" w:line="211" w:lineRule="auto"/>
        <w:tabs>
          <w:tab w:leader="none" w:pos="1247"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 Counsel</w:t>
      </w:r>
      <w:r>
        <w:rPr>
          <w:rFonts w:ascii="Arial" w:cs="Arial" w:eastAsia="Arial" w:hAnsi="Arial"/>
          <w:sz w:val="22"/>
          <w:szCs w:val="22"/>
          <w:color w:val="auto"/>
        </w:rPr>
        <w:t>" shall mean a law firm, or a member of a law firm, that is experienced in matters of corporation law and, as of the time of selection with respect to any Indemnifiable Claim, is not nor in the past five years has been retained to represent (i) the Company or Indemnitee in any matter material to either such party (other than with respect to matters concerning Indemnitee under this Agreement or other indemnitees under similar indemnification agreements) or (ii) any other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5" w:lineRule="exact"/>
        <w:rPr>
          <w:rFonts w:ascii="Arial" w:cs="Arial" w:eastAsia="Arial" w:hAnsi="Arial"/>
          <w:sz w:val="22"/>
          <w:szCs w:val="22"/>
          <w:color w:val="auto"/>
        </w:rPr>
      </w:pPr>
    </w:p>
    <w:p>
      <w:pPr>
        <w:jc w:val="both"/>
        <w:ind w:left="1292" w:hanging="644"/>
        <w:spacing w:after="0" w:line="218" w:lineRule="auto"/>
        <w:tabs>
          <w:tab w:leader="none" w:pos="1266"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Losses</w:t>
      </w:r>
      <w:r>
        <w:rPr>
          <w:rFonts w:ascii="Arial" w:cs="Arial" w:eastAsia="Arial" w:hAnsi="Arial"/>
          <w:sz w:val="22"/>
          <w:szCs w:val="22"/>
          <w:color w:val="auto"/>
        </w:rPr>
        <w:t>" means any and all Expenses, damages (including punitive, exemplary and the multiplied portion of any damages), losses, liabilities, judgments, payments, fines, penalties (whether civil, criminal or other), awards and amounts paid in settlement (including all interest, assessments and other charges paid or incurred in connection with or with respect to any of the foregoing).</w:t>
      </w:r>
    </w:p>
    <w:p>
      <w:pPr>
        <w:spacing w:after="0" w:line="187" w:lineRule="exact"/>
        <w:rPr>
          <w:rFonts w:ascii="Arial" w:cs="Arial" w:eastAsia="Arial" w:hAnsi="Arial"/>
          <w:sz w:val="22"/>
          <w:szCs w:val="22"/>
          <w:color w:val="auto"/>
        </w:rPr>
      </w:pPr>
    </w:p>
    <w:p>
      <w:pPr>
        <w:jc w:val="both"/>
        <w:ind w:left="652" w:hanging="652"/>
        <w:spacing w:after="0" w:line="218" w:lineRule="auto"/>
        <w:tabs>
          <w:tab w:leader="none" w:pos="625" w:val="left"/>
        </w:tabs>
        <w:numPr>
          <w:ilvl w:val="0"/>
          <w:numId w:val="6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Indemnification Obligation — </w:t>
      </w:r>
      <w:r>
        <w:rPr>
          <w:rFonts w:ascii="Arial" w:cs="Arial" w:eastAsia="Arial" w:hAnsi="Arial"/>
          <w:sz w:val="22"/>
          <w:szCs w:val="22"/>
          <w:color w:val="auto"/>
        </w:rPr>
        <w:t>Subject to Section 9, the Company shall indemnify, defend and hold harmless Indemnitee,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fullest extent permitted by the laws of the State of Delaware in effect on the date hereof or as such laws may from time to time hereafter be amended to increase the scope of such permitted indemnification, against any and all Indemnifiable Claims and Indemnifiable Losses.</w:t>
      </w:r>
    </w:p>
    <w:p>
      <w:pPr>
        <w:sectPr>
          <w:pgSz w:w="11900" w:h="16838" w:orient="portrait"/>
          <w:cols w:equalWidth="0" w:num="1">
            <w:col w:w="11232"/>
          </w:cols>
          <w:pgMar w:left="328" w:top="1401" w:right="339" w:bottom="1440" w:gutter="0" w:footer="0" w:header="0"/>
        </w:sectPr>
      </w:pPr>
    </w:p>
    <w:bookmarkStart w:id="184" w:name="page185"/>
    <w:bookmarkEnd w:id="184"/>
    <w:p>
      <w:pPr>
        <w:ind w:left="652" w:hanging="652"/>
        <w:spacing w:after="0" w:line="235" w:lineRule="auto"/>
        <w:tabs>
          <w:tab w:leader="none" w:pos="625" w:val="left"/>
        </w:tabs>
        <w:numPr>
          <w:ilvl w:val="0"/>
          <w:numId w:val="6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Exclusions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Notwithstanding any provision in this Agreement, the Company shall not be obligated under this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make any indemnification payment in connection with any Claim involving Indemnitee:</w:t>
      </w:r>
    </w:p>
    <w:p>
      <w:pPr>
        <w:spacing w:after="0" w:line="185" w:lineRule="exact"/>
        <w:rPr>
          <w:rFonts w:ascii="Arial" w:cs="Arial" w:eastAsia="Arial" w:hAnsi="Arial"/>
          <w:sz w:val="22"/>
          <w:szCs w:val="22"/>
          <w:color w:val="auto"/>
        </w:rPr>
      </w:pPr>
    </w:p>
    <w:p>
      <w:pPr>
        <w:jc w:val="both"/>
        <w:ind w:left="1292" w:hanging="644"/>
        <w:spacing w:after="0" w:line="223" w:lineRule="auto"/>
        <w:tabs>
          <w:tab w:leader="none" w:pos="1248" w:val="left"/>
        </w:tabs>
        <w:numPr>
          <w:ilvl w:val="1"/>
          <w:numId w:val="66"/>
        </w:numPr>
        <w:rPr>
          <w:rFonts w:ascii="Arial" w:cs="Arial" w:eastAsia="Arial" w:hAnsi="Arial"/>
          <w:sz w:val="22"/>
          <w:szCs w:val="22"/>
          <w:color w:val="auto"/>
        </w:rPr>
      </w:pPr>
      <w:r>
        <w:rPr>
          <w:rFonts w:ascii="Arial" w:cs="Arial" w:eastAsia="Arial" w:hAnsi="Arial"/>
          <w:sz w:val="22"/>
          <w:szCs w:val="22"/>
          <w:color w:val="auto"/>
        </w:rPr>
        <w:t>for which payment has actually been made to or on behalf of Indemnitee under any insurance policy or other indemnity provision, except with respect to any excess Losses beyond the amount paid under any insurance policy or other indemnity provision; or</w:t>
      </w:r>
    </w:p>
    <w:p>
      <w:pPr>
        <w:spacing w:after="0" w:line="185" w:lineRule="exact"/>
        <w:rPr>
          <w:rFonts w:ascii="Arial" w:cs="Arial" w:eastAsia="Arial" w:hAnsi="Arial"/>
          <w:sz w:val="22"/>
          <w:szCs w:val="22"/>
          <w:color w:val="auto"/>
        </w:rPr>
      </w:pPr>
    </w:p>
    <w:p>
      <w:pPr>
        <w:jc w:val="both"/>
        <w:ind w:left="1292" w:hanging="644"/>
        <w:spacing w:after="0" w:line="243" w:lineRule="auto"/>
        <w:tabs>
          <w:tab w:leader="none" w:pos="12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for (i) an accounting of profits made from the purchase and sale (or sale and purchase) by Indemnitee of securities of the Company within the meaning of Section 16(b) of the Exchange Act or similar provisions of state statutory law or common law,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9"/>
          <w:szCs w:val="19"/>
          <w:b w:val="1"/>
          <w:b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85" w:lineRule="exact"/>
        <w:rPr>
          <w:rFonts w:ascii="Arial" w:cs="Arial" w:eastAsia="Arial" w:hAnsi="Arial"/>
          <w:sz w:val="19"/>
          <w:szCs w:val="19"/>
          <w:color w:val="auto"/>
        </w:rPr>
      </w:pPr>
    </w:p>
    <w:p>
      <w:pPr>
        <w:jc w:val="both"/>
        <w:ind w:left="1292" w:hanging="644"/>
        <w:spacing w:after="0" w:line="257" w:lineRule="auto"/>
        <w:tabs>
          <w:tab w:leader="none" w:pos="1262"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except as provided in Sections 5 and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of this Agreement, in connection with any Claim initiated by Indemnitee, including any Claim initiated by Indemnitee against the Company or its directors, officers, employees or other indemnitees, unless (i) the Board authorized the Claim prior to its initiation or (ii) the Company provides the indemnification, in its sole discretion, pursuant to the powers vested in the Company under applicable law.</w:t>
      </w:r>
    </w:p>
    <w:p>
      <w:pPr>
        <w:spacing w:after="0" w:line="171" w:lineRule="exact"/>
        <w:rPr>
          <w:rFonts w:ascii="Arial" w:cs="Arial" w:eastAsia="Arial" w:hAnsi="Arial"/>
          <w:sz w:val="19"/>
          <w:szCs w:val="19"/>
          <w:color w:val="auto"/>
        </w:rPr>
      </w:pPr>
    </w:p>
    <w:p>
      <w:pPr>
        <w:jc w:val="both"/>
        <w:ind w:left="652" w:hanging="652"/>
        <w:spacing w:after="0" w:line="242" w:lineRule="auto"/>
        <w:tabs>
          <w:tab w:leader="none" w:pos="625" w:val="left"/>
        </w:tabs>
        <w:numPr>
          <w:ilvl w:val="0"/>
          <w:numId w:val="6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Advancement of Expenses — </w:t>
      </w:r>
      <w:r>
        <w:rPr>
          <w:rFonts w:ascii="Arial" w:cs="Arial" w:eastAsia="Arial" w:hAnsi="Arial"/>
          <w:sz w:val="19"/>
          <w:szCs w:val="19"/>
          <w:color w:val="auto"/>
        </w:rPr>
        <w:t>Indemnitee shall have the right to advancement by the Company prior to the final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disposition of any Indemnifiable Claim of any and all Expenses relating to, arising out of or resulting from any Indemnifiable Claim paid or incurred by Indemnitee and as to which Indemnitee provides supporting documentation. Indemnitee's right to such advancement is not subject to the satisfaction of any standard of conduct. Without limiting the generality or effect of the foregoing, within 15 calendar days after any request by Indemnitee, the Company shall, in accordance with such request (but without duplication), (a) pay such Expenses on behalf of Indemnitee, (b) advance to Indemnitee funds in an amount sufficient to pay such Expenses or (c) reimburse Indemnitee for such Expenses; provided, however, that Indemnitee shall repay, without interest, any amounts actually advanced to Indemnitee that, at the final disposition of the Indemnifiable Claim to which the advance related, were in excess of amounts paid or incurred by Indemnitee with respect to Expenses relating to, arising out of or resulting from such Indemnifiable Claim. Indemnitee shall qualify for advances upon the execution and delivery to the Company of this Agreement, which shall constitute an undertaking providing that Indemnitee undertakes to repay the amounts advanced (without interest) to the extent that it ultimately is determined that Indemnitee is not entitled to be</w:t>
      </w:r>
    </w:p>
    <w:p>
      <w:pPr>
        <w:sectPr>
          <w:pgSz w:w="11900" w:h="16838" w:orient="portrait"/>
          <w:cols w:equalWidth="0" w:num="1">
            <w:col w:w="11232"/>
          </w:cols>
          <w:pgMar w:left="328" w:top="1395" w:right="339" w:bottom="1440" w:gutter="0" w:footer="0" w:header="0"/>
        </w:sectPr>
      </w:pPr>
    </w:p>
    <w:bookmarkStart w:id="185" w:name="page186"/>
    <w:bookmarkEnd w:id="185"/>
    <w:p>
      <w:pPr>
        <w:ind w:left="652"/>
        <w:spacing w:after="0"/>
        <w:rPr>
          <w:sz w:val="20"/>
          <w:szCs w:val="20"/>
          <w:color w:val="auto"/>
        </w:rPr>
      </w:pPr>
      <w:r>
        <w:rPr>
          <w:rFonts w:ascii="Arial" w:cs="Arial" w:eastAsia="Arial" w:hAnsi="Arial"/>
          <w:sz w:val="19"/>
          <w:szCs w:val="19"/>
          <w:color w:val="auto"/>
        </w:rPr>
        <w:t>indemnified by the Company. No other form of undertaking shall be required other than the execution of this Agreement.</w:t>
      </w:r>
    </w:p>
    <w:p>
      <w:pPr>
        <w:spacing w:after="0" w:line="16"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This Section 4 shall not apply to any claim made by Indemnitee for which indemnity is excluded pursuant to Section 3.</w:t>
      </w:r>
    </w:p>
    <w:p>
      <w:pPr>
        <w:spacing w:after="0" w:line="223" w:lineRule="exact"/>
        <w:rPr>
          <w:sz w:val="20"/>
          <w:szCs w:val="20"/>
          <w:color w:val="auto"/>
        </w:rPr>
      </w:pPr>
    </w:p>
    <w:p>
      <w:pPr>
        <w:jc w:val="both"/>
        <w:ind w:left="652" w:hanging="652"/>
        <w:spacing w:after="0" w:line="243" w:lineRule="auto"/>
        <w:tabs>
          <w:tab w:leader="none" w:pos="638" w:val="left"/>
        </w:tabs>
        <w:numPr>
          <w:ilvl w:val="0"/>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Indemnification for Additional Expenses — </w:t>
      </w:r>
      <w:r>
        <w:rPr>
          <w:rFonts w:ascii="Arial" w:cs="Arial" w:eastAsia="Arial" w:hAnsi="Arial"/>
          <w:sz w:val="19"/>
          <w:szCs w:val="19"/>
          <w:color w:val="auto"/>
        </w:rPr>
        <w:t>Without limiting the generality or effect of the foregoing, the Company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indemnify and hold harmless Indemnitee against and, if requested by Indemnitee, shall reimburse Indemnitee for, or advance to Indemnitee, within 15 calendar days of such request accompanied by supporting documentation for specific Expenses to be reimbursed or advanced, any and all Expenses paid or incurred by Indemnitee in connection with any Claim made, instituted or conducted by Indemnitee for (a) indemnification or reimbursement or advance payment of Expenses by the Company under any provision of this Agreement or under any other agreement or provision of the Constituent Documents now or hereafter in effect relating to Indemnifiable Claims or (b) recovery under any directors' and officers' liability insurance policies maintained by the Company, regardless in each case of whether Indemnitee ultimately is determined to be entitled to such indemnification, reimbursement, advance or insurance recovery, as the case may be; provided, however, that Indemnitee shall return, without interest, any such advance of Expenses (or portion thereof) that remains unspent at the final disposition of the Claim to which the advance related.</w:t>
      </w:r>
    </w:p>
    <w:p>
      <w:pPr>
        <w:spacing w:after="0" w:line="185" w:lineRule="exact"/>
        <w:rPr>
          <w:rFonts w:ascii="Arial" w:cs="Arial" w:eastAsia="Arial" w:hAnsi="Arial"/>
          <w:sz w:val="19"/>
          <w:szCs w:val="19"/>
          <w:color w:val="auto"/>
        </w:rPr>
      </w:pPr>
    </w:p>
    <w:p>
      <w:pPr>
        <w:jc w:val="both"/>
        <w:ind w:left="652" w:hanging="652"/>
        <w:spacing w:after="0" w:line="257" w:lineRule="auto"/>
        <w:tabs>
          <w:tab w:leader="none" w:pos="625" w:val="left"/>
        </w:tabs>
        <w:numPr>
          <w:ilvl w:val="0"/>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Indemnification For Expenses of a Witness — </w:t>
      </w:r>
      <w:r>
        <w:rPr>
          <w:rFonts w:ascii="Arial" w:cs="Arial" w:eastAsia="Arial" w:hAnsi="Arial"/>
          <w:sz w:val="19"/>
          <w:szCs w:val="19"/>
          <w:color w:val="auto"/>
        </w:rPr>
        <w:t>Notwithstanding any other provision of this Agreement, to the fullest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extent permitted by applicable law and to the extent that Indemnitee is, by reason of an Indemnifiable Claim, a witness or otherwise asked to participate in any Claim to which Indemnitee is not a party, Indemnitee shall be indemnified against all Expenses actually and reasonably incurred by Indemnitee or on Indemnitee's behalf in connection therewith.</w:t>
      </w:r>
    </w:p>
    <w:p>
      <w:pPr>
        <w:spacing w:after="0" w:line="171" w:lineRule="exact"/>
        <w:rPr>
          <w:rFonts w:ascii="Arial" w:cs="Arial" w:eastAsia="Arial" w:hAnsi="Arial"/>
          <w:sz w:val="19"/>
          <w:szCs w:val="19"/>
          <w:color w:val="auto"/>
        </w:rPr>
      </w:pPr>
    </w:p>
    <w:p>
      <w:pPr>
        <w:jc w:val="both"/>
        <w:ind w:left="652" w:hanging="652"/>
        <w:spacing w:after="0" w:line="223" w:lineRule="auto"/>
        <w:tabs>
          <w:tab w:leader="none" w:pos="638" w:val="left"/>
        </w:tabs>
        <w:numPr>
          <w:ilvl w:val="0"/>
          <w:numId w:val="6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Partial Indemnity — </w:t>
      </w:r>
      <w:r>
        <w:rPr>
          <w:rFonts w:ascii="Arial" w:cs="Arial" w:eastAsia="Arial" w:hAnsi="Arial"/>
          <w:sz w:val="22"/>
          <w:szCs w:val="22"/>
          <w:color w:val="auto"/>
        </w:rPr>
        <w:t>If Indemnitee is entitled under any provision of this Agreement to indemnification by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some or a portion of any Indemnifiable Loss but not for all of the total amount thereof, the Company shall nevertheless indemnify Indemnitee for the portion thereof to which Indemnitee is entitled.</w:t>
      </w:r>
    </w:p>
    <w:p>
      <w:pPr>
        <w:spacing w:after="0" w:line="185" w:lineRule="exact"/>
        <w:rPr>
          <w:rFonts w:ascii="Arial" w:cs="Arial" w:eastAsia="Arial" w:hAnsi="Arial"/>
          <w:sz w:val="22"/>
          <w:szCs w:val="22"/>
          <w:color w:val="auto"/>
        </w:rPr>
      </w:pPr>
    </w:p>
    <w:p>
      <w:pPr>
        <w:jc w:val="both"/>
        <w:ind w:left="652" w:hanging="652"/>
        <w:spacing w:after="0" w:line="242" w:lineRule="auto"/>
        <w:tabs>
          <w:tab w:leader="none" w:pos="625" w:val="left"/>
        </w:tabs>
        <w:numPr>
          <w:ilvl w:val="0"/>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Procedure for Notification — </w:t>
      </w:r>
      <w:r>
        <w:rPr>
          <w:rFonts w:ascii="Arial" w:cs="Arial" w:eastAsia="Arial" w:hAnsi="Arial"/>
          <w:sz w:val="19"/>
          <w:szCs w:val="19"/>
          <w:color w:val="auto"/>
        </w:rPr>
        <w:t>To obtain indemnification under this Agreement with respect to an Indemnifiable Claim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Indemnifiable Loss, Indemnitee shall submit to the Company a written request therefor, including a brief description (based upon information then available to Indemnitee) of such Indemnifiable Claim or Indemnifiable Loss. If, at the time of the receipt of such request, the Company has directors' and officers' liability insurance in effect under which coverage for such Indemnifiable Claim or Indemnifiable Loss is potentially available, the Company shall give prompt written notice of such Indemnifiable Claim or Indemnifiable Loss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Indemnifiable Claim or Indemnifiable Loss, in each case substantially concurrently with the delivery or receipt thereof by the Company. The failure by Indemnitee to timely notify the Company of any Indemnifiable Claim or Indemnifiable Loss shall not relieve the Company from any liability hereunder unless, and only to the extent that, the Company did not otherwise learn of such Indemnifiable Claim or Indemnifiable Loss and such</w:t>
      </w:r>
    </w:p>
    <w:p>
      <w:pPr>
        <w:sectPr>
          <w:pgSz w:w="11900" w:h="16838" w:orient="portrait"/>
          <w:cols w:equalWidth="0" w:num="1">
            <w:col w:w="11232"/>
          </w:cols>
          <w:pgMar w:left="328" w:top="1401" w:right="339" w:bottom="1440" w:gutter="0" w:footer="0" w:header="0"/>
        </w:sectPr>
      </w:pPr>
    </w:p>
    <w:bookmarkStart w:id="186" w:name="page187"/>
    <w:bookmarkEnd w:id="186"/>
    <w:p>
      <w:pPr>
        <w:ind w:left="652"/>
        <w:spacing w:after="0"/>
        <w:rPr>
          <w:sz w:val="20"/>
          <w:szCs w:val="20"/>
          <w:color w:val="auto"/>
        </w:rPr>
      </w:pPr>
      <w:r>
        <w:rPr>
          <w:rFonts w:ascii="Arial" w:cs="Arial" w:eastAsia="Arial" w:hAnsi="Arial"/>
          <w:sz w:val="22"/>
          <w:szCs w:val="22"/>
          <w:color w:val="auto"/>
        </w:rPr>
        <w:t>failure results in forfeiture by the Company of substantial defenses, rights or insurance coverage.</w:t>
      </w:r>
    </w:p>
    <w:p>
      <w:pPr>
        <w:spacing w:after="0" w:line="206" w:lineRule="exact"/>
        <w:rPr>
          <w:sz w:val="20"/>
          <w:szCs w:val="20"/>
          <w:color w:val="auto"/>
        </w:rPr>
      </w:pPr>
    </w:p>
    <w:p>
      <w:pPr>
        <w:ind w:left="612" w:hanging="612"/>
        <w:spacing w:after="0"/>
        <w:tabs>
          <w:tab w:leader="none" w:pos="612" w:val="left"/>
        </w:tabs>
        <w:numPr>
          <w:ilvl w:val="0"/>
          <w:numId w:val="68"/>
        </w:numPr>
        <w:rPr>
          <w:rFonts w:ascii="Arial" w:cs="Arial" w:eastAsia="Arial" w:hAnsi="Arial"/>
          <w:sz w:val="22"/>
          <w:szCs w:val="22"/>
          <w:color w:val="auto"/>
        </w:rPr>
      </w:pPr>
      <w:r>
        <w:rPr>
          <w:rFonts w:ascii="Arial" w:cs="Arial" w:eastAsia="Arial" w:hAnsi="Arial"/>
          <w:sz w:val="22"/>
          <w:szCs w:val="22"/>
          <w:b w:val="1"/>
          <w:bCs w:val="1"/>
          <w:i w:val="1"/>
          <w:iCs w:val="1"/>
          <w:color w:val="auto"/>
        </w:rPr>
        <w:t>Determination of Right to Indemnification —</w:t>
      </w:r>
    </w:p>
    <w:p>
      <w:pPr>
        <w:spacing w:after="0" w:line="206" w:lineRule="exact"/>
        <w:rPr>
          <w:rFonts w:ascii="Arial" w:cs="Arial" w:eastAsia="Arial" w:hAnsi="Arial"/>
          <w:sz w:val="22"/>
          <w:szCs w:val="22"/>
          <w:color w:val="auto"/>
        </w:rPr>
      </w:pPr>
    </w:p>
    <w:p>
      <w:pPr>
        <w:jc w:val="both"/>
        <w:ind w:left="1292" w:hanging="644"/>
        <w:spacing w:after="0" w:line="216" w:lineRule="auto"/>
        <w:tabs>
          <w:tab w:leader="none" w:pos="1248" w:val="left"/>
        </w:tabs>
        <w:numPr>
          <w:ilvl w:val="1"/>
          <w:numId w:val="68"/>
        </w:numPr>
        <w:rPr>
          <w:rFonts w:ascii="Arial" w:cs="Arial" w:eastAsia="Arial" w:hAnsi="Arial"/>
          <w:sz w:val="22"/>
          <w:szCs w:val="22"/>
          <w:color w:val="auto"/>
        </w:rPr>
      </w:pPr>
      <w:r>
        <w:rPr>
          <w:rFonts w:ascii="Arial" w:cs="Arial" w:eastAsia="Arial" w:hAnsi="Arial"/>
          <w:sz w:val="22"/>
          <w:szCs w:val="22"/>
          <w:color w:val="auto"/>
        </w:rPr>
        <w:t>To the extent that Indemnitee shall have been successful on the merits or otherwise in defense of any Indemnifiable Claim or any portion thereof or in defense of any issue or matter therein, including dismissal without prejudice, Indemnitee shall be indemnified against all Indemnifiable Losses relating to, arising out of or resulting from such Indemnifiable Claim in accordance with Section 2 and no Standard of Conduct Determination (as defined in paragraph (b) below) shall be required.</w:t>
      </w:r>
    </w:p>
    <w:p>
      <w:pPr>
        <w:spacing w:after="0" w:line="184" w:lineRule="exact"/>
        <w:rPr>
          <w:rFonts w:ascii="Arial" w:cs="Arial" w:eastAsia="Arial" w:hAnsi="Arial"/>
          <w:sz w:val="22"/>
          <w:szCs w:val="22"/>
          <w:color w:val="auto"/>
        </w:rPr>
      </w:pPr>
    </w:p>
    <w:p>
      <w:pPr>
        <w:jc w:val="both"/>
        <w:ind w:left="1292" w:hanging="644"/>
        <w:spacing w:after="0" w:line="226" w:lineRule="auto"/>
        <w:tabs>
          <w:tab w:leader="none" w:pos="12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To the extent that the provisions of Section 9(a) are inapplicable to an Indemnifiable Claim that shall have been finally disposed of, any determination of whether Indemnitee has satisfied any applicable standard of conduct under Delaware law that is a legally required condition precedent to indemnification of Indemnitee hereunder against Indemnifiable Losses relating to, arising out of or resulting from such Indemnifiable Claim (a "</w:t>
      </w:r>
      <w:r>
        <w:rPr>
          <w:rFonts w:ascii="Arial" w:cs="Arial" w:eastAsia="Arial" w:hAnsi="Arial"/>
          <w:sz w:val="21"/>
          <w:szCs w:val="21"/>
          <w:b w:val="1"/>
          <w:bCs w:val="1"/>
          <w:i w:val="1"/>
          <w:iCs w:val="1"/>
          <w:color w:val="auto"/>
        </w:rPr>
        <w:t>Standard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of Conduct Determination</w:t>
      </w:r>
      <w:r>
        <w:rPr>
          <w:rFonts w:ascii="Arial" w:cs="Arial" w:eastAsia="Arial" w:hAnsi="Arial"/>
          <w:sz w:val="21"/>
          <w:szCs w:val="21"/>
          <w:color w:val="auto"/>
        </w:rPr>
        <w:t>") shall be made as follows:</w:t>
      </w:r>
    </w:p>
    <w:p>
      <w:pPr>
        <w:spacing w:after="0" w:line="186" w:lineRule="exact"/>
        <w:rPr>
          <w:rFonts w:ascii="Arial" w:cs="Arial" w:eastAsia="Arial" w:hAnsi="Arial"/>
          <w:sz w:val="21"/>
          <w:szCs w:val="21"/>
          <w:color w:val="auto"/>
        </w:rPr>
      </w:pPr>
    </w:p>
    <w:p>
      <w:pPr>
        <w:ind w:left="1952" w:hanging="656"/>
        <w:spacing w:after="0" w:line="232" w:lineRule="auto"/>
        <w:tabs>
          <w:tab w:leader="none" w:pos="1926" w:val="left"/>
        </w:tabs>
        <w:numPr>
          <w:ilvl w:val="2"/>
          <w:numId w:val="68"/>
        </w:numPr>
        <w:rPr>
          <w:rFonts w:ascii="Arial" w:cs="Arial" w:eastAsia="Arial" w:hAnsi="Arial"/>
          <w:sz w:val="22"/>
          <w:szCs w:val="22"/>
          <w:color w:val="auto"/>
        </w:rPr>
      </w:pPr>
      <w:r>
        <w:rPr>
          <w:rFonts w:ascii="Arial" w:cs="Arial" w:eastAsia="Arial" w:hAnsi="Arial"/>
          <w:sz w:val="22"/>
          <w:szCs w:val="22"/>
          <w:color w:val="auto"/>
        </w:rPr>
        <w:t>If a Change of Control has not occurred, or if a Change of Control has occurred but Indemnitee has requested that the Standard of Conduct Determination be made pursuant to this clause (i):</w:t>
      </w:r>
    </w:p>
    <w:p>
      <w:pPr>
        <w:spacing w:after="0" w:line="185" w:lineRule="exact"/>
        <w:rPr>
          <w:rFonts w:ascii="Arial" w:cs="Arial" w:eastAsia="Arial" w:hAnsi="Arial"/>
          <w:sz w:val="22"/>
          <w:szCs w:val="22"/>
          <w:color w:val="auto"/>
        </w:rPr>
      </w:pPr>
    </w:p>
    <w:p>
      <w:pPr>
        <w:ind w:left="2572" w:hanging="628"/>
        <w:spacing w:after="0"/>
        <w:tabs>
          <w:tab w:leader="none" w:pos="2572" w:val="left"/>
        </w:tabs>
        <w:numPr>
          <w:ilvl w:val="3"/>
          <w:numId w:val="68"/>
        </w:numPr>
        <w:rPr>
          <w:rFonts w:ascii="Arial" w:cs="Arial" w:eastAsia="Arial" w:hAnsi="Arial"/>
          <w:sz w:val="21"/>
          <w:szCs w:val="21"/>
          <w:color w:val="auto"/>
        </w:rPr>
      </w:pPr>
      <w:r>
        <w:rPr>
          <w:rFonts w:ascii="Arial" w:cs="Arial" w:eastAsia="Arial" w:hAnsi="Arial"/>
          <w:sz w:val="21"/>
          <w:szCs w:val="21"/>
          <w:color w:val="auto"/>
        </w:rPr>
        <w:t>By a majority vote of the Disinterested Directors, even if less than a quorum of the Board;</w:t>
      </w:r>
    </w:p>
    <w:p>
      <w:pPr>
        <w:spacing w:after="0" w:line="217" w:lineRule="exact"/>
        <w:rPr>
          <w:rFonts w:ascii="Arial" w:cs="Arial" w:eastAsia="Arial" w:hAnsi="Arial"/>
          <w:sz w:val="21"/>
          <w:szCs w:val="21"/>
          <w:color w:val="auto"/>
        </w:rPr>
      </w:pPr>
    </w:p>
    <w:p>
      <w:pPr>
        <w:ind w:left="2592" w:hanging="648"/>
        <w:spacing w:after="0" w:line="232" w:lineRule="auto"/>
        <w:tabs>
          <w:tab w:leader="none" w:pos="2569" w:val="left"/>
        </w:tabs>
        <w:numPr>
          <w:ilvl w:val="3"/>
          <w:numId w:val="68"/>
        </w:numPr>
        <w:rPr>
          <w:rFonts w:ascii="Arial" w:cs="Arial" w:eastAsia="Arial" w:hAnsi="Arial"/>
          <w:sz w:val="22"/>
          <w:szCs w:val="22"/>
          <w:color w:val="auto"/>
        </w:rPr>
      </w:pPr>
      <w:r>
        <w:rPr>
          <w:rFonts w:ascii="Arial" w:cs="Arial" w:eastAsia="Arial" w:hAnsi="Arial"/>
          <w:sz w:val="22"/>
          <w:szCs w:val="22"/>
          <w:color w:val="auto"/>
        </w:rPr>
        <w:t>If such Disinterested Directors so direct, by a majority vote of a committee of Disinterested Directors designated by a majority vote of all Disinterested Directors; or</w:t>
      </w:r>
    </w:p>
    <w:p>
      <w:pPr>
        <w:spacing w:after="0" w:line="185" w:lineRule="exact"/>
        <w:rPr>
          <w:rFonts w:ascii="Arial" w:cs="Arial" w:eastAsia="Arial" w:hAnsi="Arial"/>
          <w:sz w:val="22"/>
          <w:szCs w:val="22"/>
          <w:color w:val="auto"/>
        </w:rPr>
      </w:pPr>
    </w:p>
    <w:p>
      <w:pPr>
        <w:ind w:left="2592" w:right="20" w:hanging="648"/>
        <w:spacing w:after="0" w:line="232" w:lineRule="auto"/>
        <w:tabs>
          <w:tab w:leader="none" w:pos="2569" w:val="left"/>
        </w:tabs>
        <w:numPr>
          <w:ilvl w:val="3"/>
          <w:numId w:val="68"/>
        </w:numPr>
        <w:rPr>
          <w:rFonts w:ascii="Arial" w:cs="Arial" w:eastAsia="Arial" w:hAnsi="Arial"/>
          <w:sz w:val="22"/>
          <w:szCs w:val="22"/>
          <w:color w:val="auto"/>
        </w:rPr>
      </w:pPr>
      <w:r>
        <w:rPr>
          <w:rFonts w:ascii="Arial" w:cs="Arial" w:eastAsia="Arial" w:hAnsi="Arial"/>
          <w:sz w:val="22"/>
          <w:szCs w:val="22"/>
          <w:color w:val="auto"/>
        </w:rPr>
        <w:t>If there are no such Disinterested Directors, by Independent Counsel in a written opinion addressed to the Board, a copy of which shall be delivered to Indemnitee; and</w:t>
      </w:r>
    </w:p>
    <w:p>
      <w:pPr>
        <w:spacing w:after="0" w:line="185" w:lineRule="exact"/>
        <w:rPr>
          <w:rFonts w:ascii="Arial" w:cs="Arial" w:eastAsia="Arial" w:hAnsi="Arial"/>
          <w:sz w:val="22"/>
          <w:szCs w:val="22"/>
          <w:color w:val="auto"/>
        </w:rPr>
      </w:pPr>
    </w:p>
    <w:p>
      <w:pPr>
        <w:jc w:val="both"/>
        <w:ind w:left="1952" w:hanging="656"/>
        <w:spacing w:after="0" w:line="223" w:lineRule="auto"/>
        <w:tabs>
          <w:tab w:leader="none" w:pos="1919" w:val="left"/>
        </w:tabs>
        <w:numPr>
          <w:ilvl w:val="2"/>
          <w:numId w:val="68"/>
        </w:numPr>
        <w:rPr>
          <w:rFonts w:ascii="Arial" w:cs="Arial" w:eastAsia="Arial" w:hAnsi="Arial"/>
          <w:sz w:val="22"/>
          <w:szCs w:val="22"/>
          <w:color w:val="auto"/>
        </w:rPr>
      </w:pPr>
      <w:r>
        <w:rPr>
          <w:rFonts w:ascii="Arial" w:cs="Arial" w:eastAsia="Arial" w:hAnsi="Arial"/>
          <w:sz w:val="22"/>
          <w:szCs w:val="22"/>
          <w:color w:val="auto"/>
        </w:rPr>
        <w:t>If a Change of Control has occurred and Indemnitee has not requested that the Standard of Conduct Determination be made pursuant to clause (i) above, by Independent Counsel in a written opinion addressed to the Board, a copy of which shall be delivered to Indemnitee.</w:t>
      </w:r>
    </w:p>
    <w:p>
      <w:pPr>
        <w:spacing w:after="0" w:line="186" w:lineRule="exact"/>
        <w:rPr>
          <w:sz w:val="20"/>
          <w:szCs w:val="20"/>
          <w:color w:val="auto"/>
        </w:rPr>
      </w:pPr>
    </w:p>
    <w:p>
      <w:pPr>
        <w:jc w:val="both"/>
        <w:ind w:left="1292"/>
        <w:spacing w:after="0" w:line="221" w:lineRule="auto"/>
        <w:rPr>
          <w:sz w:val="20"/>
          <w:szCs w:val="20"/>
          <w:color w:val="auto"/>
        </w:rPr>
      </w:pPr>
      <w:r>
        <w:rPr>
          <w:rFonts w:ascii="Arial" w:cs="Arial" w:eastAsia="Arial" w:hAnsi="Arial"/>
          <w:sz w:val="21"/>
          <w:szCs w:val="21"/>
          <w:color w:val="auto"/>
        </w:rPr>
        <w:t>Indemnitee will cooperate with the person or persons making such Standard of Conduct Determination, including providing to such person or persons, upon reasonable advance request, any documentation or information which is not privileged or otherwise protected from disclosure and which is reasonably available to Indemnitee and reasonably necessary to such determination. The Company shall indemnify and hold harmless Indemnitee against and, if requested by Indemnitee, shall reimburse Indemnitee for, or advance to Indemnitee, within 15 calendar days of such request, accompanied by supporting documentation for specific expenses to be reimbursed or advanced, any and all costs and expenses (including attorneys' and experts' fees and expenses) incurred by Indemnitee in so</w:t>
      </w:r>
    </w:p>
    <w:p>
      <w:pPr>
        <w:sectPr>
          <w:pgSz w:w="11900" w:h="16838" w:orient="portrait"/>
          <w:cols w:equalWidth="0" w:num="1">
            <w:col w:w="11232"/>
          </w:cols>
          <w:pgMar w:left="328" w:top="1401" w:right="339" w:bottom="1440" w:gutter="0" w:footer="0" w:header="0"/>
        </w:sectPr>
      </w:pPr>
    </w:p>
    <w:bookmarkStart w:id="187" w:name="page188"/>
    <w:bookmarkEnd w:id="187"/>
    <w:p>
      <w:pPr>
        <w:ind w:left="644"/>
        <w:spacing w:after="0"/>
        <w:rPr>
          <w:sz w:val="20"/>
          <w:szCs w:val="20"/>
          <w:color w:val="auto"/>
        </w:rPr>
      </w:pPr>
      <w:r>
        <w:rPr>
          <w:rFonts w:ascii="Arial" w:cs="Arial" w:eastAsia="Arial" w:hAnsi="Arial"/>
          <w:sz w:val="22"/>
          <w:szCs w:val="22"/>
          <w:color w:val="auto"/>
        </w:rPr>
        <w:t>cooperating with the person making such Standard of Conduct Determination.</w:t>
      </w:r>
    </w:p>
    <w:p>
      <w:pPr>
        <w:spacing w:after="0" w:line="206" w:lineRule="exact"/>
        <w:rPr>
          <w:sz w:val="20"/>
          <w:szCs w:val="20"/>
          <w:color w:val="auto"/>
        </w:rPr>
      </w:pPr>
    </w:p>
    <w:p>
      <w:pPr>
        <w:jc w:val="both"/>
        <w:ind w:left="644" w:hanging="644"/>
        <w:spacing w:after="0" w:line="241" w:lineRule="auto"/>
        <w:tabs>
          <w:tab w:leader="none" w:pos="614"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shall use its reasonable best efforts to cause any Standard of Conduct Determination required under Section 9(b) to be made as promptly as practicable. If (i) the person or persons empowered or selected under Section 9(b) to make the Standard of Conduct Determination shall not have made a determination within 30 days after the later of (A) receipt by the Company of written notice from Indemnitee advising the Company of the final disposition of the applicable Indemnifiable Claim (the date of such receipt being the "</w:t>
      </w:r>
      <w:r>
        <w:rPr>
          <w:rFonts w:ascii="Arial" w:cs="Arial" w:eastAsia="Arial" w:hAnsi="Arial"/>
          <w:sz w:val="19"/>
          <w:szCs w:val="19"/>
          <w:b w:val="1"/>
          <w:bCs w:val="1"/>
          <w:i w:val="1"/>
          <w:iCs w:val="1"/>
          <w:color w:val="auto"/>
        </w:rPr>
        <w:t>Notification Date</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jc w:val="both"/>
        <w:ind w:left="644"/>
        <w:spacing w:after="0" w:line="245" w:lineRule="auto"/>
        <w:rPr>
          <w:rFonts w:ascii="Arial" w:cs="Arial" w:eastAsia="Arial" w:hAnsi="Arial"/>
          <w:sz w:val="19"/>
          <w:szCs w:val="19"/>
          <w:color w:val="auto"/>
        </w:rPr>
      </w:pPr>
      <w:r>
        <w:rPr>
          <w:rFonts w:ascii="Arial" w:cs="Arial" w:eastAsia="Arial" w:hAnsi="Arial"/>
          <w:sz w:val="19"/>
          <w:szCs w:val="19"/>
          <w:color w:val="auto"/>
        </w:rPr>
        <w:t>(B) the selection of an Independent Counsel, if such determination is to be made by Independent Counsel, that is permitted under the provisions of Section 9(e) to make such determination and (ii) Indemnitee shall have fulfilled his or her obligations set forth in the second sentence of Section 9(b), then Indemnitee shall be deemed to have satisfied the applicable standard of conduct; provided, however, that such 30-day period may be extended for a reasonable time, not to exceed an additional 30 days, if the person making such determination in good faith requires such additional time to obtain or evaluate documentation or information relating thereto.</w:t>
      </w:r>
    </w:p>
    <w:p>
      <w:pPr>
        <w:spacing w:after="0" w:line="182" w:lineRule="exact"/>
        <w:rPr>
          <w:rFonts w:ascii="Arial" w:cs="Arial" w:eastAsia="Arial" w:hAnsi="Arial"/>
          <w:sz w:val="19"/>
          <w:szCs w:val="19"/>
          <w:color w:val="auto"/>
        </w:rPr>
      </w:pPr>
    </w:p>
    <w:p>
      <w:pPr>
        <w:jc w:val="both"/>
        <w:ind w:left="644" w:hanging="644"/>
        <w:spacing w:after="0" w:line="219" w:lineRule="auto"/>
        <w:tabs>
          <w:tab w:leader="none" w:pos="599" w:val="left"/>
        </w:tabs>
        <w:numPr>
          <w:ilvl w:val="0"/>
          <w:numId w:val="69"/>
        </w:numPr>
        <w:rPr>
          <w:rFonts w:ascii="Arial" w:cs="Arial" w:eastAsia="Arial" w:hAnsi="Arial"/>
          <w:sz w:val="21"/>
          <w:szCs w:val="21"/>
          <w:color w:val="auto"/>
        </w:rPr>
      </w:pPr>
      <w:r>
        <w:rPr>
          <w:rFonts w:ascii="Arial" w:cs="Arial" w:eastAsia="Arial" w:hAnsi="Arial"/>
          <w:sz w:val="21"/>
          <w:szCs w:val="21"/>
          <w:color w:val="auto"/>
        </w:rPr>
        <w:t>If (i) Indemnitee shall be entitled to indemnification hereunder against any Indemnifiable Losses pursuant to Section 9(a), (ii) no determination of whether Indemnitee has satisfied any applicable standard of conduct under Delaware law is a legally required condition precedent to indemnification of Indemnitee hereunder against any Indemnifiable Losses or (iii) Indemnitee has been determined or deemed pursuant to Section 9(b) or (c) to have satisfied any applicable standard of conduct under Delaware law that is a legally required condition precedent to indemnification of Indemnitee hereunder against any Indemnifiable Losses, then the Company shall pay to Indemnitee, within 15 calendar days after the later of (x) the Notification Date with respect to the Indemnifiable Claim or portion thereof to which such Indemnifiable Losses are related, out of which such Indemnifiable Losses arose or from which such Indemnifiable Losses resulted and (y) the earliest date on which the applicable criterion specified in clause (i), (ii) or (iii) above shall have been satisfied, an amount equal to the amount of such Indemnifiable Losses.</w:t>
      </w:r>
    </w:p>
    <w:p>
      <w:pPr>
        <w:spacing w:after="0" w:line="195" w:lineRule="exact"/>
        <w:rPr>
          <w:rFonts w:ascii="Arial" w:cs="Arial" w:eastAsia="Arial" w:hAnsi="Arial"/>
          <w:sz w:val="21"/>
          <w:szCs w:val="21"/>
          <w:color w:val="auto"/>
        </w:rPr>
      </w:pPr>
    </w:p>
    <w:p>
      <w:pPr>
        <w:jc w:val="both"/>
        <w:ind w:left="644" w:hanging="644"/>
        <w:spacing w:after="0" w:line="244" w:lineRule="auto"/>
        <w:tabs>
          <w:tab w:leader="none" w:pos="614"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 Standard of Conduct Determination is to be made by Independent Counsel pursuant to Section 9(b)(i), the Independent Counsel shall be selected by the Board and the Company shall give written notice to Indemnitee advising him or her of the identity of the Independent Counsel so selected. If a Standard of Conduct Determination is to be made by Independent Counsel pursuant to Section 9(b)(ii), the Independent Counsel shall be selected by Indemnitee and Indemnitee shall give written notice to the Company advising it of the identity of the Independent Counsel so selected. In either case, Indemnitee or the Company, as applicable, may, within five business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1(h) and the objection shall set forth with particularity the factual basis of such</w:t>
      </w:r>
    </w:p>
    <w:p>
      <w:pPr>
        <w:sectPr>
          <w:pgSz w:w="11900" w:h="16838" w:orient="portrait"/>
          <w:cols w:equalWidth="0" w:num="1">
            <w:col w:w="10584"/>
          </w:cols>
          <w:pgMar w:left="976" w:top="1401" w:right="339" w:bottom="1440" w:gutter="0" w:footer="0" w:header="0"/>
        </w:sectPr>
      </w:pPr>
    </w:p>
    <w:bookmarkStart w:id="188" w:name="page189"/>
    <w:bookmarkEnd w:id="188"/>
    <w:p>
      <w:pPr>
        <w:jc w:val="both"/>
        <w:ind w:left="1292"/>
        <w:spacing w:after="0"/>
        <w:rPr>
          <w:sz w:val="20"/>
          <w:szCs w:val="20"/>
          <w:color w:val="auto"/>
        </w:rPr>
      </w:pPr>
      <w:r>
        <w:rPr>
          <w:rFonts w:ascii="Arial" w:cs="Arial" w:eastAsia="Arial" w:hAnsi="Arial"/>
          <w:sz w:val="19"/>
          <w:szCs w:val="19"/>
          <w:color w:val="auto"/>
        </w:rPr>
        <w:t>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and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9(e) to make the Standard of Conduct Determination shall have been selected within 30 days after the Company gives its initial notice pursuant to the first sentence of this Section 9(e) or Indemnitee gives its initial notice pursuant to the second sentence of this Section 9(e), as the case may be, either the Company or Indemnitee may petition the Court of Chancery of the State of Delaware for resolution of any objection that has been made by the Company or Indemnitee to the other's selection of Independent Counsel or for the appointment as Independent Counsel of a person selected by the Court or by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9(b).</w:t>
      </w:r>
    </w:p>
    <w:p>
      <w:pPr>
        <w:spacing w:after="0" w:line="198" w:lineRule="exact"/>
        <w:rPr>
          <w:sz w:val="20"/>
          <w:szCs w:val="20"/>
          <w:color w:val="auto"/>
        </w:rPr>
      </w:pPr>
    </w:p>
    <w:p>
      <w:pPr>
        <w:jc w:val="both"/>
        <w:ind w:left="652" w:hanging="652"/>
        <w:spacing w:after="0" w:line="246" w:lineRule="auto"/>
        <w:tabs>
          <w:tab w:leader="none" w:pos="638"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Presumption of Entitlement — </w:t>
      </w:r>
      <w:r>
        <w:rPr>
          <w:rFonts w:ascii="Arial" w:cs="Arial" w:eastAsia="Arial" w:hAnsi="Arial"/>
          <w:sz w:val="19"/>
          <w:szCs w:val="19"/>
          <w:color w:val="auto"/>
        </w:rPr>
        <w:t>In making any Standard of Conduct Determination, the person or persons making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determination shall presume that Indemnitee has satisfied the applicable standard of conduct, and the Company shall, to the fullest extent not prohibited by law, have the burden of proof to overcome that presumption in connection with the making by any person, persons or entity of any determination contrary to that presumption. Any Standard of Conduct Determination that is adverse to Indemnitee may be challenged by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by the Company hereunder or create a presumption that Indemnitee has not met any applicable standard of conduct.</w:t>
      </w:r>
    </w:p>
    <w:p>
      <w:pPr>
        <w:spacing w:after="0" w:line="179" w:lineRule="exact"/>
        <w:rPr>
          <w:rFonts w:ascii="Arial" w:cs="Arial" w:eastAsia="Arial" w:hAnsi="Arial"/>
          <w:sz w:val="19"/>
          <w:szCs w:val="19"/>
          <w:color w:val="auto"/>
        </w:rPr>
      </w:pPr>
    </w:p>
    <w:p>
      <w:pPr>
        <w:jc w:val="both"/>
        <w:ind w:left="652" w:hanging="652"/>
        <w:spacing w:after="0" w:line="229" w:lineRule="auto"/>
        <w:tabs>
          <w:tab w:leader="none" w:pos="657" w:val="left"/>
        </w:tabs>
        <w:numPr>
          <w:ilvl w:val="0"/>
          <w:numId w:val="7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Other Presumption — </w:t>
      </w:r>
      <w:r>
        <w:rPr>
          <w:rFonts w:ascii="Arial" w:cs="Arial" w:eastAsia="Arial" w:hAnsi="Arial"/>
          <w:sz w:val="21"/>
          <w:szCs w:val="21"/>
          <w:color w:val="auto"/>
        </w:rPr>
        <w:t>For purposes of this Agreement, the termination of any Claim by judgment, order, settlement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(whether with or without court approval) or conviction, or upon a plea of nolo contendere or its equivalent, or an entry of an order of probation prior to judgment, shall not create a presumption that Indemnitee did not meet any applicable standard of conduct or that indemnification hereunder is otherwise not permitted.</w:t>
      </w:r>
    </w:p>
    <w:p>
      <w:pPr>
        <w:spacing w:after="0" w:line="185" w:lineRule="exact"/>
        <w:rPr>
          <w:rFonts w:ascii="Arial" w:cs="Arial" w:eastAsia="Arial" w:hAnsi="Arial"/>
          <w:sz w:val="21"/>
          <w:szCs w:val="21"/>
          <w:color w:val="auto"/>
        </w:rPr>
      </w:pPr>
    </w:p>
    <w:p>
      <w:pPr>
        <w:jc w:val="both"/>
        <w:ind w:left="652" w:right="20" w:hanging="652"/>
        <w:spacing w:after="0" w:line="223" w:lineRule="auto"/>
        <w:tabs>
          <w:tab w:leader="none" w:pos="638" w:val="left"/>
        </w:tabs>
        <w:numPr>
          <w:ilvl w:val="0"/>
          <w:numId w:val="7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Non-Exclusivity — </w:t>
      </w:r>
      <w:r>
        <w:rPr>
          <w:rFonts w:ascii="Arial" w:cs="Arial" w:eastAsia="Arial" w:hAnsi="Arial"/>
          <w:sz w:val="22"/>
          <w:szCs w:val="22"/>
          <w:color w:val="auto"/>
        </w:rPr>
        <w:t>The rights of Indemnitee hereunder shall be in addition to any other rights Indemnitee may have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under the Constituent Documents, the substantive laws of the State of Delaware, any other contract or otherwise (collectively, "</w:t>
      </w:r>
      <w:r>
        <w:rPr>
          <w:rFonts w:ascii="Arial" w:cs="Arial" w:eastAsia="Arial" w:hAnsi="Arial"/>
          <w:sz w:val="22"/>
          <w:szCs w:val="22"/>
          <w:b w:val="1"/>
          <w:bCs w:val="1"/>
          <w:i w:val="1"/>
          <w:iCs w:val="1"/>
          <w:color w:val="auto"/>
        </w:rPr>
        <w:t>Other Indemnity Provisions</w:t>
      </w:r>
      <w:r>
        <w:rPr>
          <w:rFonts w:ascii="Arial" w:cs="Arial" w:eastAsia="Arial" w:hAnsi="Arial"/>
          <w:sz w:val="22"/>
          <w:szCs w:val="22"/>
          <w:color w:val="auto"/>
        </w:rPr>
        <w:t>"). No amendment, alteration or</w:t>
      </w:r>
    </w:p>
    <w:p>
      <w:pPr>
        <w:sectPr>
          <w:pgSz w:w="11900" w:h="16838" w:orient="portrait"/>
          <w:cols w:equalWidth="0" w:num="1">
            <w:col w:w="11232"/>
          </w:cols>
          <w:pgMar w:left="328" w:top="1401" w:right="339" w:bottom="1440" w:gutter="0" w:footer="0" w:header="0"/>
        </w:sectPr>
      </w:pPr>
    </w:p>
    <w:bookmarkStart w:id="189" w:name="page190"/>
    <w:bookmarkEnd w:id="189"/>
    <w:p>
      <w:pPr>
        <w:jc w:val="both"/>
        <w:ind w:left="652"/>
        <w:spacing w:after="0" w:line="239" w:lineRule="auto"/>
        <w:rPr>
          <w:sz w:val="20"/>
          <w:szCs w:val="20"/>
          <w:color w:val="auto"/>
        </w:rPr>
      </w:pPr>
      <w:r>
        <w:rPr>
          <w:rFonts w:ascii="Arial" w:cs="Arial" w:eastAsia="Arial" w:hAnsi="Arial"/>
          <w:sz w:val="19"/>
          <w:szCs w:val="19"/>
          <w:color w:val="auto"/>
        </w:rPr>
        <w:t>repeal of this Agreement or of any provision hereof shall limit or restrict any right of Indemnitee under this Agreement in respect of any action taken or omitted by Indemnitee prior to such amendment, alteration or repeal. To the extent that a change in Delaware law, whether by statute or judicial decision, permits greater indemnification or advancement of Expenses than would be afforded currently under the Constituent Documents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Subject to Section 15, the assertion or employment of any right or remedy hereunder, or otherwise, shall not prevent the concurrent assertion or employment of any other right or remedy.</w:t>
      </w:r>
    </w:p>
    <w:p>
      <w:pPr>
        <w:spacing w:after="0" w:line="4" w:lineRule="exact"/>
        <w:rPr>
          <w:sz w:val="20"/>
          <w:szCs w:val="20"/>
          <w:color w:val="auto"/>
        </w:rPr>
      </w:pPr>
    </w:p>
    <w:p>
      <w:pPr>
        <w:jc w:val="both"/>
        <w:ind w:left="652" w:hanging="652"/>
        <w:spacing w:after="0"/>
        <w:tabs>
          <w:tab w:leader="none" w:pos="652" w:val="left"/>
        </w:tabs>
        <w:numPr>
          <w:ilvl w:val="0"/>
          <w:numId w:val="7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Liability Insurance and Funding — </w:t>
      </w:r>
      <w:r>
        <w:rPr>
          <w:rFonts w:ascii="Arial" w:cs="Arial" w:eastAsia="Arial" w:hAnsi="Arial"/>
          <w:sz w:val="19"/>
          <w:szCs w:val="19"/>
          <w:color w:val="auto"/>
        </w:rPr>
        <w:t>For the duration of Indemnitee's service as a director or officer of the Company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thereafter for so long as Indemnitee shall be subject to any pending or possible Indemnifiable Claim, to the extent the Company maintains policies of directors' and officers' liability insurance providing coverage for directors and officers of the Company, Indemnitee shall be covered by such policies, in accordance with their terms, to the maximum extent of the coverage available for any other director or officer of the Company. Upon request of Indemnitee, the Company shall provide Indemnitee with a copy of all directors' and officers' liability insurance applications, binders, policies, declarations, endorsements and other related materials and shall provide Indemnitee with a reasonable opportunity to review and comment on the same. Without limiting the generality or effect of the two immediately preceding sentences, no discontinuation or significant reduction in the scope or amount of coverage from one policy period to the next shall be effective (a) without the prior approval thereof by a majority vote of the Incumbent Directors, even if less than a quorum, or (b) if at the time that any such discontinuation or significant reduction in the scope or amount of coverage is proposed there are no Incumbent Directors, without the prior written consent of Indemnitee (which consent shall not be unreasonably withheld or delayed). In all policies of directors' and officers' liability insurance obtained by the Company, Indemnitee shall be named as an insured in such a manner as to provide Indemnitee the same rights and benefits, subject to the same limitations, as are accorded to the Company's directors and officers most favorably insured by such policy. The Company may, but shall not be required to, create a trust fund, grant a security interest or use other means, including a letter of credit, to ensure the payment of such amounts as may be necessary to satisfy its obligations to indemnify and advance expenses pursuant to this Agreement.</w:t>
      </w:r>
    </w:p>
    <w:p>
      <w:pPr>
        <w:spacing w:after="0" w:line="398" w:lineRule="exact"/>
        <w:rPr>
          <w:rFonts w:ascii="Arial" w:cs="Arial" w:eastAsia="Arial" w:hAnsi="Arial"/>
          <w:sz w:val="19"/>
          <w:szCs w:val="19"/>
          <w:color w:val="auto"/>
        </w:rPr>
      </w:pPr>
    </w:p>
    <w:p>
      <w:pPr>
        <w:jc w:val="both"/>
        <w:ind w:left="652" w:hanging="328"/>
        <w:spacing w:after="0" w:line="221" w:lineRule="auto"/>
        <w:tabs>
          <w:tab w:leader="none" w:pos="638" w:val="left"/>
        </w:tabs>
        <w:numPr>
          <w:ilvl w:val="1"/>
          <w:numId w:val="7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Subrogation — </w:t>
      </w:r>
      <w:r>
        <w:rPr>
          <w:rFonts w:ascii="Arial" w:cs="Arial" w:eastAsia="Arial" w:hAnsi="Arial"/>
          <w:sz w:val="21"/>
          <w:szCs w:val="21"/>
          <w:color w:val="auto"/>
        </w:rPr>
        <w:t>The Company hereby acknowledges that Indemnitee may have certain rights to indemnification,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advancement of expenses and/or insurance provided by an Indemnitee-Related Entity (as defined herein). The Company hereby agrees that (i) it is the indemnitor of first resort (i.e., its obligations to Indemnitee are primary and any obligation of the Indemnitee-Related Entity to advance expenses or to provide indemnification for the same expenses or liabilities incurred by Indemnitee are secondary), (ii) it shall be required to advance the full amount of Expenses incurred by Indemnitee and shall be liable for the full amount of all Expenses, judgments, penalties, fines and amounts paid in settlement to the extent legally permitted and as required by the Certificate of Incorporation or By-laws (or any agreement between the Company and</w:t>
      </w:r>
    </w:p>
    <w:p>
      <w:pPr>
        <w:sectPr>
          <w:pgSz w:w="11900" w:h="16838" w:orient="portrait"/>
          <w:cols w:equalWidth="0" w:num="1">
            <w:col w:w="11232"/>
          </w:cols>
          <w:pgMar w:left="328" w:top="1401" w:right="339" w:bottom="1440" w:gutter="0" w:footer="0" w:header="0"/>
        </w:sectPr>
      </w:pPr>
    </w:p>
    <w:bookmarkStart w:id="190" w:name="page191"/>
    <w:bookmarkEnd w:id="190"/>
    <w:p>
      <w:pPr>
        <w:jc w:val="both"/>
        <w:ind w:left="652"/>
        <w:spacing w:after="0" w:line="243" w:lineRule="auto"/>
        <w:rPr>
          <w:sz w:val="20"/>
          <w:szCs w:val="20"/>
          <w:color w:val="auto"/>
        </w:rPr>
      </w:pPr>
      <w:r>
        <w:rPr>
          <w:rFonts w:ascii="Arial" w:cs="Arial" w:eastAsia="Arial" w:hAnsi="Arial"/>
          <w:sz w:val="19"/>
          <w:szCs w:val="19"/>
          <w:color w:val="auto"/>
        </w:rPr>
        <w:t>Indemnitee), without regard to any rights Indemnitee may have against the Indemnitee-Related Entity, and (iii) it irrevocably waives, relinquishes and releases the Indemnitee-Related Entity from any and all claims against the Indemnitee-Related Entity for contribution, subrogation or any other recovery of any kind in respect thereof. The Company further agrees that no advancement or payment by the Indemnitee-Related Entity on behalf of Indemnitee with respect to any claim for which Indemnitee has sought indemnification from the Company shall affect the foregoing and the Indemnitee-Related Entity shall have a right of contribution and/or be subrogated to the extent of such advancement or payment to all of the rights of recovery of Indemnitee against the Company. The term “Indemnitee-Related Entity” means any company, corporation, limited liability company, partnership, joint venture, trust, employee benefit plan or other enterprise (other than the Company or the insurer under and pursuant to an insurance policy of the Company) from whom an Indemnitee may be entitled to indemnification or advancement of Expenses with respect to which the Company may also have an indemnification or advancement obligation.</w:t>
      </w:r>
    </w:p>
    <w:p>
      <w:pPr>
        <w:spacing w:after="0" w:line="200" w:lineRule="exact"/>
        <w:rPr>
          <w:sz w:val="20"/>
          <w:szCs w:val="20"/>
          <w:color w:val="auto"/>
        </w:rPr>
      </w:pPr>
    </w:p>
    <w:p>
      <w:pPr>
        <w:spacing w:after="0" w:line="207" w:lineRule="exact"/>
        <w:rPr>
          <w:sz w:val="20"/>
          <w:szCs w:val="20"/>
          <w:color w:val="auto"/>
        </w:rPr>
      </w:pPr>
    </w:p>
    <w:p>
      <w:pPr>
        <w:jc w:val="both"/>
        <w:ind w:left="652" w:hanging="652"/>
        <w:spacing w:after="0" w:line="224" w:lineRule="auto"/>
        <w:tabs>
          <w:tab w:leader="none" w:pos="652" w:val="left"/>
        </w:tabs>
        <w:numPr>
          <w:ilvl w:val="0"/>
          <w:numId w:val="7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Duplication of Payments — </w:t>
      </w:r>
      <w:r>
        <w:rPr>
          <w:rFonts w:ascii="Arial" w:cs="Arial" w:eastAsia="Arial" w:hAnsi="Arial"/>
          <w:sz w:val="21"/>
          <w:szCs w:val="21"/>
          <w:color w:val="auto"/>
        </w:rPr>
        <w:t>Subject to the provisions of Section 14 of this Agreement, the Company shall not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liable under this Agreement to make any payment to Indemnitee with respect to any Indemnifiable Losses to the extent Indemnitee has otherwise actually received payment (net of Expenses incurred in connection therewith) under any insurance policy, the Constituent Documents or Other Indemnity Provisions or otherwise (including from any entity or enterprise referred to in clause (i) of the definition of "Indemnifiable Claim" in Section 1(f)) with respect to such Indemnifiable Losses otherwise indemnifiable hereunder.</w:t>
      </w:r>
    </w:p>
    <w:p>
      <w:pPr>
        <w:spacing w:after="0" w:line="186" w:lineRule="exact"/>
        <w:rPr>
          <w:rFonts w:ascii="Arial" w:cs="Arial" w:eastAsia="Arial" w:hAnsi="Arial"/>
          <w:sz w:val="21"/>
          <w:szCs w:val="21"/>
          <w:color w:val="auto"/>
        </w:rPr>
      </w:pPr>
    </w:p>
    <w:p>
      <w:pPr>
        <w:jc w:val="both"/>
        <w:ind w:left="652" w:hanging="652"/>
        <w:spacing w:after="0"/>
        <w:tabs>
          <w:tab w:leader="none" w:pos="638" w:val="left"/>
        </w:tabs>
        <w:numPr>
          <w:ilvl w:val="0"/>
          <w:numId w:val="7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Defense of Claims — </w:t>
      </w:r>
      <w:r>
        <w:rPr>
          <w:rFonts w:ascii="Arial" w:cs="Arial" w:eastAsia="Arial" w:hAnsi="Arial"/>
          <w:sz w:val="19"/>
          <w:szCs w:val="19"/>
          <w:color w:val="auto"/>
        </w:rPr>
        <w:t>The Company shall be entitled to participate in the defense of any Indemnifiable Claim or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assume the defense thereof, with counsel reasonably satisfactory to Indemnitee; provided, however, that if Indemnitee believes, after consultation with counsel selected by Indemnitee, that (a) the use of counsel chosen by the Company to represent Indemnitee would present such counsel with an actual or potential conflict, (b) the named parties in any such Indemnifiable Claim (including any impleaded parties) include both the Company and Indemnitee and Indemnitee shall conclude that there may be one or more legal defenses available to him or her that are different from or in addition to those available to the Company or (c) any such representation by such counsel would be precluded under the applicable standards of professional conduct then prevailing, then Indemnitee shall be entitled to retain separate counsel (but not more than one law firm plus, if applicable, local counsel with respect to any particular Indemnifiable Claim) at the Company's expense. The Company shall not be liable to Indemnitee under this Agreement for any amounts paid in settlement of any threatened or pending Indemnifiable Claim effected without the Company's prior written consent. The Company shall not, without the prior written consent of Indemnitee, effect any settlement of any threatened or pending Indemnifiable Claim that Indemnitee is or could have been a party unless such settlement solely involves the payment of money and includes a complete and unconditional release of Indemnitee from all liability on any claims that are the subject matter of such Indemnifiable Claim. Neither the Company nor Indemnitee shall unreasonably withhold its consent to any proposed settlement; provided, however, that Indemnitee may withhold consent to (i) any settlement that does not provide a complete and unconditional release of Indemnitee or (ii) any settlement which imposes a monetary payment obligation</w:t>
      </w:r>
    </w:p>
    <w:p>
      <w:pPr>
        <w:sectPr>
          <w:pgSz w:w="11900" w:h="16838" w:orient="portrait"/>
          <w:cols w:equalWidth="0" w:num="1">
            <w:col w:w="11232"/>
          </w:cols>
          <w:pgMar w:left="328" w:top="1401" w:right="339" w:bottom="1440" w:gutter="0" w:footer="0" w:header="0"/>
        </w:sectPr>
      </w:pPr>
    </w:p>
    <w:bookmarkStart w:id="191" w:name="page192"/>
    <w:bookmarkEnd w:id="191"/>
    <w:p>
      <w:pPr>
        <w:ind w:left="652"/>
        <w:spacing w:after="0" w:line="232" w:lineRule="auto"/>
        <w:rPr>
          <w:sz w:val="20"/>
          <w:szCs w:val="20"/>
          <w:color w:val="auto"/>
        </w:rPr>
      </w:pPr>
      <w:r>
        <w:rPr>
          <w:rFonts w:ascii="Arial" w:cs="Arial" w:eastAsia="Arial" w:hAnsi="Arial"/>
          <w:sz w:val="22"/>
          <w:szCs w:val="22"/>
          <w:color w:val="auto"/>
        </w:rPr>
        <w:t>upon Indemnitee which is not being paid in full by the Company, insurance coverage or any other party for the benefit of Indemnitee.</w:t>
      </w:r>
    </w:p>
    <w:p>
      <w:pPr>
        <w:spacing w:after="0" w:line="186" w:lineRule="exact"/>
        <w:rPr>
          <w:sz w:val="20"/>
          <w:szCs w:val="20"/>
          <w:color w:val="auto"/>
        </w:rPr>
      </w:pPr>
    </w:p>
    <w:p>
      <w:pPr>
        <w:ind w:left="652" w:hanging="652"/>
        <w:spacing w:after="0"/>
        <w:tabs>
          <w:tab w:leader="none" w:pos="652" w:val="left"/>
        </w:tabs>
        <w:numPr>
          <w:ilvl w:val="0"/>
          <w:numId w:val="73"/>
        </w:numPr>
        <w:rPr>
          <w:rFonts w:ascii="Arial" w:cs="Arial" w:eastAsia="Arial" w:hAnsi="Arial"/>
          <w:sz w:val="22"/>
          <w:szCs w:val="22"/>
          <w:color w:val="auto"/>
        </w:rPr>
      </w:pPr>
      <w:r>
        <w:rPr>
          <w:rFonts w:ascii="Arial" w:cs="Arial" w:eastAsia="Arial" w:hAnsi="Arial"/>
          <w:sz w:val="22"/>
          <w:szCs w:val="22"/>
          <w:b w:val="1"/>
          <w:bCs w:val="1"/>
          <w:i w:val="1"/>
          <w:iCs w:val="1"/>
          <w:color w:val="auto"/>
        </w:rPr>
        <w:t>Successors and Binding Agreement —</w:t>
      </w:r>
    </w:p>
    <w:p>
      <w:pPr>
        <w:spacing w:after="0" w:line="206" w:lineRule="exact"/>
        <w:rPr>
          <w:rFonts w:ascii="Arial" w:cs="Arial" w:eastAsia="Arial" w:hAnsi="Arial"/>
          <w:sz w:val="22"/>
          <w:szCs w:val="22"/>
          <w:color w:val="auto"/>
        </w:rPr>
      </w:pPr>
    </w:p>
    <w:p>
      <w:pPr>
        <w:jc w:val="both"/>
        <w:ind w:left="1292" w:hanging="644"/>
        <w:spacing w:after="0" w:line="221" w:lineRule="auto"/>
        <w:tabs>
          <w:tab w:leader="none" w:pos="1248"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The Company shall require any successor (whether direct or indirect, by purchase, merger, consolidation, reorganization or otherwise) to all or substantially all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 taken place. This Agreement shall be binding upon and inure to the benefit of the Company and any successor to the Company, including any person acquiring directly or indirectly all or substantially all the business or assets of the Company whether by purchase, merger, consolidation, reorganization or otherwise (and such successor will thereafter be deemed the "Company" for purposes of this Agreement), but shall not otherwise be assignable or delegatable by the Company.</w:t>
      </w:r>
    </w:p>
    <w:p>
      <w:pPr>
        <w:spacing w:after="0" w:line="185" w:lineRule="exact"/>
        <w:rPr>
          <w:rFonts w:ascii="Arial" w:cs="Arial" w:eastAsia="Arial" w:hAnsi="Arial"/>
          <w:sz w:val="21"/>
          <w:szCs w:val="21"/>
          <w:color w:val="auto"/>
        </w:rPr>
      </w:pPr>
    </w:p>
    <w:p>
      <w:pPr>
        <w:ind w:left="1292" w:hanging="644"/>
        <w:spacing w:after="0" w:line="247" w:lineRule="auto"/>
        <w:tabs>
          <w:tab w:leader="none" w:pos="1260"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This Agreement shall inure to the benefit of and be enforceable by Indemnitee's personal or legal representatives, executors, administrators, successors, heirs, distributees, legatees and other successors.</w:t>
      </w:r>
    </w:p>
    <w:p>
      <w:pPr>
        <w:spacing w:after="0" w:line="177" w:lineRule="exact"/>
        <w:rPr>
          <w:rFonts w:ascii="Arial" w:cs="Arial" w:eastAsia="Arial" w:hAnsi="Arial"/>
          <w:sz w:val="21"/>
          <w:szCs w:val="21"/>
          <w:color w:val="auto"/>
        </w:rPr>
      </w:pPr>
    </w:p>
    <w:p>
      <w:pPr>
        <w:jc w:val="both"/>
        <w:ind w:left="1292" w:hanging="644"/>
        <w:spacing w:after="0" w:line="222" w:lineRule="auto"/>
        <w:tabs>
          <w:tab w:leader="none" w:pos="1262"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This Agreement is personal in nature and neither of the parties hereto shall, without the consent of the other, assign or delegate this Agreement or any rights or obligations hereunder except as expressly provided in Sections 17(a) and 17(b). Without limiting the generality or effect of the foregoing, Indemnitee's right to receive payments hereunder shall not be assignable, whether by pledge, creation of a security interest or otherwise, other than by a transfer by Indemnitee's will or by the laws of descent and distribution, and in the event of any attempted assignment or transfer contrary to this Section 17(c), the Company shall have no liability to pay any amount so attempted to be assigned or transferred.</w:t>
      </w:r>
    </w:p>
    <w:p>
      <w:pPr>
        <w:spacing w:after="0" w:line="200" w:lineRule="exact"/>
        <w:rPr>
          <w:rFonts w:ascii="Arial" w:cs="Arial" w:eastAsia="Arial" w:hAnsi="Arial"/>
          <w:sz w:val="21"/>
          <w:szCs w:val="21"/>
          <w:color w:val="auto"/>
        </w:rPr>
      </w:pPr>
    </w:p>
    <w:p>
      <w:pPr>
        <w:spacing w:after="0" w:line="207" w:lineRule="exact"/>
        <w:rPr>
          <w:rFonts w:ascii="Arial" w:cs="Arial" w:eastAsia="Arial" w:hAnsi="Arial"/>
          <w:sz w:val="21"/>
          <w:szCs w:val="21"/>
          <w:color w:val="auto"/>
        </w:rPr>
      </w:pPr>
    </w:p>
    <w:p>
      <w:pPr>
        <w:jc w:val="both"/>
        <w:ind w:left="652" w:hanging="652"/>
        <w:spacing w:after="0" w:line="218" w:lineRule="auto"/>
        <w:tabs>
          <w:tab w:leader="none" w:pos="638" w:val="left"/>
        </w:tabs>
        <w:numPr>
          <w:ilvl w:val="0"/>
          <w:numId w:val="7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Duration of Agreement — </w:t>
      </w:r>
      <w:r>
        <w:rPr>
          <w:rFonts w:ascii="Arial" w:cs="Arial" w:eastAsia="Arial" w:hAnsi="Arial"/>
          <w:sz w:val="22"/>
          <w:szCs w:val="22"/>
          <w:color w:val="auto"/>
        </w:rPr>
        <w:t>This Agreement shall continue until and terminate upon the later of: (a) ten (10) years after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date that Indemnitee shall have ceased to serve as a director or officer of the Company or (b) one (1) year after the final termination of any proceeding then pending in respect of an Indemnifiable Claim and of any proceeding commenced by Indemnitee pursuant to Section 24 of this Agreement relating thereto.</w:t>
      </w:r>
    </w:p>
    <w:p>
      <w:pPr>
        <w:spacing w:after="0" w:line="187" w:lineRule="exact"/>
        <w:rPr>
          <w:rFonts w:ascii="Arial" w:cs="Arial" w:eastAsia="Arial" w:hAnsi="Arial"/>
          <w:sz w:val="22"/>
          <w:szCs w:val="22"/>
          <w:color w:val="auto"/>
        </w:rPr>
      </w:pPr>
    </w:p>
    <w:p>
      <w:pPr>
        <w:jc w:val="both"/>
        <w:ind w:left="652" w:hanging="652"/>
        <w:spacing w:after="0" w:line="247" w:lineRule="auto"/>
        <w:tabs>
          <w:tab w:leader="none" w:pos="638" w:val="left"/>
        </w:tabs>
        <w:numPr>
          <w:ilvl w:val="0"/>
          <w:numId w:val="7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Notices — </w:t>
      </w:r>
      <w:r>
        <w:rPr>
          <w:rFonts w:ascii="Arial" w:cs="Arial" w:eastAsia="Arial" w:hAnsi="Arial"/>
          <w:sz w:val="19"/>
          <w:szCs w:val="19"/>
          <w:color w:val="auto"/>
        </w:rPr>
        <w:t>For all purposes of this Agreement, all communications, including notices, consents, requests or approvals,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required or permitted to be given hereunder shall be in writing and shall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one business day after having been sent for next-day delivery by a nationally recognized overnight courier service, addressed to the Company (to the attention of the Secretary of the Company) and to Indemnitee at the addresses shown on the signature page hereto, or to such other address as any party may</w:t>
      </w:r>
    </w:p>
    <w:p>
      <w:pPr>
        <w:sectPr>
          <w:pgSz w:w="11900" w:h="16838" w:orient="portrait"/>
          <w:cols w:equalWidth="0" w:num="1">
            <w:col w:w="11232"/>
          </w:cols>
          <w:pgMar w:left="328" w:top="1401" w:right="339" w:bottom="1440" w:gutter="0" w:footer="0" w:header="0"/>
        </w:sectPr>
      </w:pPr>
    </w:p>
    <w:bookmarkStart w:id="192" w:name="page193"/>
    <w:bookmarkEnd w:id="192"/>
    <w:p>
      <w:pPr>
        <w:ind w:left="652"/>
        <w:spacing w:after="0" w:line="232" w:lineRule="auto"/>
        <w:rPr>
          <w:sz w:val="20"/>
          <w:szCs w:val="20"/>
          <w:color w:val="auto"/>
        </w:rPr>
      </w:pPr>
      <w:r>
        <w:rPr>
          <w:rFonts w:ascii="Arial" w:cs="Arial" w:eastAsia="Arial" w:hAnsi="Arial"/>
          <w:sz w:val="22"/>
          <w:szCs w:val="22"/>
          <w:color w:val="auto"/>
        </w:rPr>
        <w:t>have furnished to the other in writing and in accordance herewith, except that notices of changes of address will be effective only upon receipt.</w:t>
      </w:r>
    </w:p>
    <w:p>
      <w:pPr>
        <w:spacing w:after="0" w:line="186" w:lineRule="exact"/>
        <w:rPr>
          <w:sz w:val="20"/>
          <w:szCs w:val="20"/>
          <w:color w:val="auto"/>
        </w:rPr>
      </w:pPr>
    </w:p>
    <w:p>
      <w:pPr>
        <w:jc w:val="both"/>
        <w:ind w:left="652" w:hanging="652"/>
        <w:spacing w:after="0" w:line="214" w:lineRule="auto"/>
        <w:tabs>
          <w:tab w:leader="none" w:pos="598" w:val="left"/>
        </w:tabs>
        <w:numPr>
          <w:ilvl w:val="0"/>
          <w:numId w:val="7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Governing Law — </w:t>
      </w:r>
      <w:r>
        <w:rPr>
          <w:rFonts w:ascii="Arial" w:cs="Arial" w:eastAsia="Arial" w:hAnsi="Arial"/>
          <w:sz w:val="22"/>
          <w:szCs w:val="22"/>
          <w:color w:val="auto"/>
        </w:rPr>
        <w:t>The validity, interpretation, construction and performance of this Agreement shall be governed by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construed in accordance 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that arises out of or relates to this Agreement and agree that any action instituted under this Agreement shall be brought only in the Chancery Court of the State of Delaware.</w:t>
      </w:r>
    </w:p>
    <w:p>
      <w:pPr>
        <w:spacing w:after="0" w:line="185" w:lineRule="exact"/>
        <w:rPr>
          <w:rFonts w:ascii="Arial" w:cs="Arial" w:eastAsia="Arial" w:hAnsi="Arial"/>
          <w:sz w:val="22"/>
          <w:szCs w:val="22"/>
          <w:color w:val="auto"/>
        </w:rPr>
      </w:pPr>
    </w:p>
    <w:p>
      <w:pPr>
        <w:jc w:val="both"/>
        <w:ind w:left="652" w:hanging="652"/>
        <w:spacing w:after="0" w:line="244" w:lineRule="auto"/>
        <w:tabs>
          <w:tab w:leader="none" w:pos="638" w:val="left"/>
        </w:tabs>
        <w:numPr>
          <w:ilvl w:val="0"/>
          <w:numId w:val="7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Validity — </w:t>
      </w:r>
      <w:r>
        <w:rPr>
          <w:rFonts w:ascii="Arial" w:cs="Arial" w:eastAsia="Arial" w:hAnsi="Arial"/>
          <w:sz w:val="19"/>
          <w:szCs w:val="19"/>
          <w:color w:val="auto"/>
        </w:rPr>
        <w:t>If any provision of this Agreement or the application of any provision hereof to any person or circumstance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held invalid, unenforceable 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enforceable, valid or legal. In the event that any court or other adjudicative body shall decline to reform any provision of this Agreement held to be invalid, unenforceable or otherwise illegal as contemplated by the immediately preceding sentence, the parties thereto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p>
      <w:pPr>
        <w:spacing w:after="0" w:line="187" w:lineRule="exact"/>
        <w:rPr>
          <w:rFonts w:ascii="Arial" w:cs="Arial" w:eastAsia="Arial" w:hAnsi="Arial"/>
          <w:sz w:val="19"/>
          <w:szCs w:val="19"/>
          <w:color w:val="auto"/>
        </w:rPr>
      </w:pPr>
    </w:p>
    <w:p>
      <w:pPr>
        <w:jc w:val="both"/>
        <w:ind w:left="652" w:hanging="652"/>
        <w:spacing w:after="0" w:line="226" w:lineRule="auto"/>
        <w:tabs>
          <w:tab w:leader="none" w:pos="611" w:val="left"/>
        </w:tabs>
        <w:numPr>
          <w:ilvl w:val="0"/>
          <w:numId w:val="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Amendments; Waivers — </w:t>
      </w:r>
      <w:r>
        <w:rPr>
          <w:rFonts w:ascii="Arial" w:cs="Arial" w:eastAsia="Arial" w:hAnsi="Arial"/>
          <w:sz w:val="21"/>
          <w:szCs w:val="21"/>
          <w:color w:val="auto"/>
        </w:rPr>
        <w:t>No provision of this Agreement may be amended, modified, waived or discharged unless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amendment, modification, waiver or discharge is agreed to in writing signed by Indemnitee and the Company.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p>
      <w:pPr>
        <w:spacing w:after="0" w:line="186" w:lineRule="exact"/>
        <w:rPr>
          <w:rFonts w:ascii="Arial" w:cs="Arial" w:eastAsia="Arial" w:hAnsi="Arial"/>
          <w:sz w:val="21"/>
          <w:szCs w:val="21"/>
          <w:color w:val="auto"/>
        </w:rPr>
      </w:pPr>
    </w:p>
    <w:p>
      <w:pPr>
        <w:ind w:left="652" w:right="20" w:hanging="652"/>
        <w:spacing w:after="0" w:line="247" w:lineRule="auto"/>
        <w:tabs>
          <w:tab w:leader="none" w:pos="611" w:val="left"/>
        </w:tabs>
        <w:numPr>
          <w:ilvl w:val="0"/>
          <w:numId w:val="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Complete Agreement — </w:t>
      </w:r>
      <w:r>
        <w:rPr>
          <w:rFonts w:ascii="Arial" w:cs="Arial" w:eastAsia="Arial" w:hAnsi="Arial"/>
          <w:sz w:val="21"/>
          <w:szCs w:val="21"/>
          <w:color w:val="auto"/>
        </w:rPr>
        <w:t>No agreements or representations, oral or otherwise, expressed or implied with respect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subject matter hereof have been made by either party that are not set forth expressly in this Agreement.</w:t>
      </w:r>
    </w:p>
    <w:p>
      <w:pPr>
        <w:spacing w:after="0" w:line="177" w:lineRule="exact"/>
        <w:rPr>
          <w:rFonts w:ascii="Arial" w:cs="Arial" w:eastAsia="Arial" w:hAnsi="Arial"/>
          <w:sz w:val="21"/>
          <w:szCs w:val="21"/>
          <w:color w:val="auto"/>
        </w:rPr>
      </w:pPr>
    </w:p>
    <w:p>
      <w:pPr>
        <w:jc w:val="both"/>
        <w:ind w:left="652" w:hanging="652"/>
        <w:spacing w:after="0" w:line="244" w:lineRule="auto"/>
        <w:tabs>
          <w:tab w:leader="none" w:pos="611" w:val="left"/>
        </w:tabs>
        <w:numPr>
          <w:ilvl w:val="0"/>
          <w:numId w:val="7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Legal Fees and Expenses — </w:t>
      </w:r>
      <w:r>
        <w:rPr>
          <w:rFonts w:ascii="Arial" w:cs="Arial" w:eastAsia="Arial" w:hAnsi="Arial"/>
          <w:sz w:val="19"/>
          <w:szCs w:val="19"/>
          <w:color w:val="auto"/>
        </w:rPr>
        <w:t>It is the intent of the Company that Indemnitee not be required to incur legal fees or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Expenses associated with the 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appear to Indemnitee that the Company has failed to comply with any of its obligations under this Agreement or in the event that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the Company irrevocably authorizes Indemnitee from time to time to retain counsel of Indemnitee's choice, at the expense of the Company as hereafter provided, to advise and represent Indemnitee in connection with any such interpretation,</w:t>
      </w:r>
    </w:p>
    <w:p>
      <w:pPr>
        <w:sectPr>
          <w:pgSz w:w="11900" w:h="16838" w:orient="portrait"/>
          <w:cols w:equalWidth="0" w:num="1">
            <w:col w:w="11232"/>
          </w:cols>
          <w:pgMar w:left="328" w:top="1401" w:right="339" w:bottom="1440" w:gutter="0" w:footer="0" w:header="0"/>
        </w:sectPr>
      </w:pPr>
    </w:p>
    <w:bookmarkStart w:id="193" w:name="page194"/>
    <w:bookmarkEnd w:id="193"/>
    <w:p>
      <w:pPr>
        <w:jc w:val="both"/>
        <w:ind w:left="652"/>
        <w:spacing w:after="0" w:line="221" w:lineRule="auto"/>
        <w:rPr>
          <w:sz w:val="20"/>
          <w:szCs w:val="20"/>
          <w:color w:val="auto"/>
        </w:rPr>
      </w:pPr>
      <w:r>
        <w:rPr>
          <w:rFonts w:ascii="Arial" w:cs="Arial" w:eastAsia="Arial" w:hAnsi="Arial"/>
          <w:sz w:val="21"/>
          <w:szCs w:val="21"/>
          <w:color w:val="auto"/>
        </w:rPr>
        <w:t>enforcement or defense, including the initiation or defense of any litigation or other legal action, whether by or against the Company or any director, officer, stockholder or other person affiliated with the Company, in any jurisdiction.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 Without respect to whether Indemnitee prevails, in whole or in part, in connection with any of the foregoing, the Company will pay and be solely financially responsible for any and all attorneys' and related fees and expenses incurred by Indemnitee in connection with any of the foregoing.</w:t>
      </w:r>
    </w:p>
    <w:p>
      <w:pPr>
        <w:spacing w:after="0" w:line="192" w:lineRule="exact"/>
        <w:rPr>
          <w:sz w:val="20"/>
          <w:szCs w:val="20"/>
          <w:color w:val="auto"/>
        </w:rPr>
      </w:pPr>
    </w:p>
    <w:p>
      <w:pPr>
        <w:ind w:left="612" w:hanging="612"/>
        <w:spacing w:after="0"/>
        <w:tabs>
          <w:tab w:leader="none" w:pos="612" w:val="left"/>
        </w:tabs>
        <w:numPr>
          <w:ilvl w:val="0"/>
          <w:numId w:val="75"/>
        </w:numPr>
        <w:rPr>
          <w:rFonts w:ascii="Arial" w:cs="Arial" w:eastAsia="Arial" w:hAnsi="Arial"/>
          <w:sz w:val="22"/>
          <w:szCs w:val="22"/>
          <w:color w:val="auto"/>
        </w:rPr>
      </w:pPr>
      <w:r>
        <w:rPr>
          <w:rFonts w:ascii="Arial" w:cs="Arial" w:eastAsia="Arial" w:hAnsi="Arial"/>
          <w:sz w:val="22"/>
          <w:szCs w:val="22"/>
          <w:b w:val="1"/>
          <w:bCs w:val="1"/>
          <w:i w:val="1"/>
          <w:iCs w:val="1"/>
          <w:color w:val="auto"/>
        </w:rPr>
        <w:t>Certain Interpretive Matters —</w:t>
      </w:r>
    </w:p>
    <w:p>
      <w:pPr>
        <w:spacing w:after="0" w:line="206" w:lineRule="exact"/>
        <w:rPr>
          <w:rFonts w:ascii="Arial" w:cs="Arial" w:eastAsia="Arial" w:hAnsi="Arial"/>
          <w:sz w:val="22"/>
          <w:szCs w:val="22"/>
          <w:color w:val="auto"/>
        </w:rPr>
      </w:pPr>
    </w:p>
    <w:p>
      <w:pPr>
        <w:jc w:val="both"/>
        <w:ind w:left="1292" w:hanging="644"/>
        <w:spacing w:after="0" w:line="223" w:lineRule="auto"/>
        <w:tabs>
          <w:tab w:leader="none" w:pos="1248"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 provision of this Agreement shall be interpreted in favor of, or against, either of the parties hereto by reason of the extent to which any such party or its counsel participated in the drafting thereof or by reason of the extent to which any such provision is inconsistent with any prior draft hereof or thereof.</w:t>
      </w:r>
    </w:p>
    <w:p>
      <w:pPr>
        <w:spacing w:after="0" w:line="185" w:lineRule="exact"/>
        <w:rPr>
          <w:rFonts w:ascii="Arial" w:cs="Arial" w:eastAsia="Arial" w:hAnsi="Arial"/>
          <w:sz w:val="22"/>
          <w:szCs w:val="22"/>
          <w:color w:val="auto"/>
        </w:rPr>
      </w:pPr>
    </w:p>
    <w:p>
      <w:pPr>
        <w:ind w:left="1292" w:right="20" w:hanging="644"/>
        <w:spacing w:after="0" w:line="232" w:lineRule="auto"/>
        <w:tabs>
          <w:tab w:leader="none" w:pos="12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It is the Company's intention and desire that the provisions of this Agreement be construed liberally, subject to their express terms, to maximize the protections to be provided to Indemnitee hereunder.</w:t>
      </w:r>
    </w:p>
    <w:p>
      <w:pPr>
        <w:spacing w:after="0" w:line="185" w:lineRule="exact"/>
        <w:rPr>
          <w:rFonts w:ascii="Arial" w:cs="Arial" w:eastAsia="Arial" w:hAnsi="Arial"/>
          <w:sz w:val="22"/>
          <w:szCs w:val="22"/>
          <w:color w:val="auto"/>
        </w:rPr>
      </w:pPr>
    </w:p>
    <w:p>
      <w:pPr>
        <w:jc w:val="both"/>
        <w:ind w:left="1292" w:hanging="644"/>
        <w:spacing w:after="0" w:line="219" w:lineRule="auto"/>
        <w:tabs>
          <w:tab w:leader="none" w:pos="1262" w:val="left"/>
        </w:tabs>
        <w:numPr>
          <w:ilvl w:val="1"/>
          <w:numId w:val="75"/>
        </w:numPr>
        <w:rPr>
          <w:rFonts w:ascii="Arial" w:cs="Arial" w:eastAsia="Arial" w:hAnsi="Arial"/>
          <w:sz w:val="21"/>
          <w:szCs w:val="21"/>
          <w:color w:val="auto"/>
        </w:rPr>
      </w:pPr>
      <w:r>
        <w:rPr>
          <w:rFonts w:ascii="Arial" w:cs="Arial" w:eastAsia="Arial" w:hAnsi="Arial"/>
          <w:sz w:val="21"/>
          <w:szCs w:val="21"/>
          <w:color w:val="auto"/>
        </w:rPr>
        <w:t>All references in this Agreement to Sections, paragraphs, clauses and other subdivisions refer to the corresponding Sections, paragraphs, clauses and other subdivisions of this Agreement unless expressly provided otherwise. Titles appearing at the beginning of any Sections, subsections or other subdivisions of this Agreement are for convenience only, do not constitute any part of such Sections, subsections or other subdivisions and shall be disregarded in construing the language contained in such subdivisions. The words "</w:t>
      </w:r>
      <w:r>
        <w:rPr>
          <w:rFonts w:ascii="Arial" w:cs="Arial" w:eastAsia="Arial" w:hAnsi="Arial"/>
          <w:sz w:val="21"/>
          <w:szCs w:val="21"/>
          <w:b w:val="1"/>
          <w:bCs w:val="1"/>
          <w:i w:val="1"/>
          <w:iCs w:val="1"/>
          <w:color w:val="auto"/>
        </w:rPr>
        <w:t>this Agreement</w:t>
      </w:r>
      <w:r>
        <w:rPr>
          <w:rFonts w:ascii="Arial" w:cs="Arial" w:eastAsia="Arial" w:hAnsi="Arial"/>
          <w:sz w:val="21"/>
          <w:szCs w:val="21"/>
          <w:color w:val="auto"/>
        </w:rPr>
        <w:t>," "</w:t>
      </w:r>
      <w:r>
        <w:rPr>
          <w:rFonts w:ascii="Arial" w:cs="Arial" w:eastAsia="Arial" w:hAnsi="Arial"/>
          <w:sz w:val="21"/>
          <w:szCs w:val="21"/>
          <w:b w:val="1"/>
          <w:bCs w:val="1"/>
          <w:i w:val="1"/>
          <w:iCs w:val="1"/>
          <w:color w:val="auto"/>
        </w:rPr>
        <w:t>herein</w:t>
      </w:r>
      <w:r>
        <w:rPr>
          <w:rFonts w:ascii="Arial" w:cs="Arial" w:eastAsia="Arial" w:hAnsi="Arial"/>
          <w:sz w:val="21"/>
          <w:szCs w:val="21"/>
          <w:color w:val="auto"/>
        </w:rPr>
        <w:t>," "</w:t>
      </w:r>
      <w:r>
        <w:rPr>
          <w:rFonts w:ascii="Arial" w:cs="Arial" w:eastAsia="Arial" w:hAnsi="Arial"/>
          <w:sz w:val="21"/>
          <w:szCs w:val="21"/>
          <w:b w:val="1"/>
          <w:bCs w:val="1"/>
          <w:i w:val="1"/>
          <w:iCs w:val="1"/>
          <w:color w:val="auto"/>
        </w:rPr>
        <w:t>hereby</w:t>
      </w:r>
      <w:r>
        <w:rPr>
          <w:rFonts w:ascii="Arial" w:cs="Arial" w:eastAsia="Arial" w:hAnsi="Arial"/>
          <w:sz w:val="21"/>
          <w:szCs w:val="21"/>
          <w:color w:val="auto"/>
        </w:rPr>
        <w:t>," "</w:t>
      </w:r>
      <w:r>
        <w:rPr>
          <w:rFonts w:ascii="Arial" w:cs="Arial" w:eastAsia="Arial" w:hAnsi="Arial"/>
          <w:sz w:val="21"/>
          <w:szCs w:val="21"/>
          <w:b w:val="1"/>
          <w:bCs w:val="1"/>
          <w:i w:val="1"/>
          <w:iCs w:val="1"/>
          <w:color w:val="auto"/>
        </w:rPr>
        <w:t>hereunder</w:t>
      </w:r>
      <w:r>
        <w:rPr>
          <w:rFonts w:ascii="Arial" w:cs="Arial" w:eastAsia="Arial" w:hAnsi="Arial"/>
          <w:sz w:val="21"/>
          <w:szCs w:val="21"/>
          <w:color w:val="auto"/>
        </w:rPr>
        <w:t>," and "</w:t>
      </w:r>
      <w:r>
        <w:rPr>
          <w:rFonts w:ascii="Arial" w:cs="Arial" w:eastAsia="Arial" w:hAnsi="Arial"/>
          <w:sz w:val="21"/>
          <w:szCs w:val="21"/>
          <w:b w:val="1"/>
          <w:bCs w:val="1"/>
          <w:i w:val="1"/>
          <w:iCs w:val="1"/>
          <w:color w:val="auto"/>
        </w:rPr>
        <w:t>hereof</w:t>
      </w:r>
      <w:r>
        <w:rPr>
          <w:rFonts w:ascii="Arial" w:cs="Arial" w:eastAsia="Arial" w:hAnsi="Arial"/>
          <w:sz w:val="21"/>
          <w:szCs w:val="21"/>
          <w:color w:val="auto"/>
        </w:rPr>
        <w:t>," and words of similar import, refer to this Agreement as a whole and not to any particular subdivision unless expressly so limited. The word "</w:t>
      </w:r>
      <w:r>
        <w:rPr>
          <w:rFonts w:ascii="Arial" w:cs="Arial" w:eastAsia="Arial" w:hAnsi="Arial"/>
          <w:sz w:val="21"/>
          <w:szCs w:val="21"/>
          <w:b w:val="1"/>
          <w:bCs w:val="1"/>
          <w:i w:val="1"/>
          <w:iCs w:val="1"/>
          <w:color w:val="auto"/>
        </w:rPr>
        <w:t>or</w:t>
      </w:r>
      <w:r>
        <w:rPr>
          <w:rFonts w:ascii="Arial" w:cs="Arial" w:eastAsia="Arial" w:hAnsi="Arial"/>
          <w:sz w:val="21"/>
          <w:szCs w:val="21"/>
          <w:color w:val="auto"/>
        </w:rPr>
        <w:t>" is not exclusive, and the word "</w:t>
      </w:r>
      <w:r>
        <w:rPr>
          <w:rFonts w:ascii="Arial" w:cs="Arial" w:eastAsia="Arial" w:hAnsi="Arial"/>
          <w:sz w:val="21"/>
          <w:szCs w:val="21"/>
          <w:b w:val="1"/>
          <w:bCs w:val="1"/>
          <w:i w:val="1"/>
          <w:iCs w:val="1"/>
          <w:color w:val="auto"/>
        </w:rPr>
        <w:t>including</w:t>
      </w:r>
      <w:r>
        <w:rPr>
          <w:rFonts w:ascii="Arial" w:cs="Arial" w:eastAsia="Arial" w:hAnsi="Arial"/>
          <w:sz w:val="21"/>
          <w:szCs w:val="21"/>
          <w:color w:val="auto"/>
        </w:rPr>
        <w:t>"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w:t>
      </w:r>
    </w:p>
    <w:p>
      <w:pPr>
        <w:spacing w:after="0" w:line="195" w:lineRule="exact"/>
        <w:rPr>
          <w:rFonts w:ascii="Arial" w:cs="Arial" w:eastAsia="Arial" w:hAnsi="Arial"/>
          <w:sz w:val="21"/>
          <w:szCs w:val="21"/>
          <w:color w:val="auto"/>
        </w:rPr>
      </w:pPr>
    </w:p>
    <w:p>
      <w:pPr>
        <w:ind w:left="652" w:right="20" w:hanging="652"/>
        <w:spacing w:after="0" w:line="232" w:lineRule="auto"/>
        <w:tabs>
          <w:tab w:leader="none" w:pos="611" w:val="left"/>
        </w:tabs>
        <w:numPr>
          <w:ilvl w:val="0"/>
          <w:numId w:val="7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Counterparts — </w:t>
      </w:r>
      <w:r>
        <w:rPr>
          <w:rFonts w:ascii="Arial" w:cs="Arial" w:eastAsia="Arial" w:hAnsi="Arial"/>
          <w:sz w:val="22"/>
          <w:szCs w:val="22"/>
          <w:color w:val="auto"/>
        </w:rPr>
        <w:t>This Agreement may be executed in one or more counterparts, each of which will be deemed to be 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original but all of which together shall constitute one and the same agreement.</w:t>
      </w:r>
    </w:p>
    <w:p>
      <w:pPr>
        <w:sectPr>
          <w:pgSz w:w="11900" w:h="16838" w:orient="portrait"/>
          <w:cols w:equalWidth="0" w:num="1">
            <w:col w:w="11232"/>
          </w:cols>
          <w:pgMar w:left="328" w:top="1401" w:right="339" w:bottom="1440" w:gutter="0" w:footer="0" w:header="0"/>
        </w:sectPr>
      </w:pPr>
    </w:p>
    <w:bookmarkStart w:id="194" w:name="page195"/>
    <w:bookmarkEnd w:id="194"/>
    <w:p>
      <w:pPr>
        <w:spacing w:after="0" w:line="232" w:lineRule="auto"/>
        <w:rPr>
          <w:sz w:val="20"/>
          <w:szCs w:val="20"/>
          <w:color w:val="auto"/>
        </w:rPr>
      </w:pPr>
      <w:r>
        <w:rPr>
          <w:rFonts w:ascii="Arial" w:cs="Arial" w:eastAsia="Arial" w:hAnsi="Arial"/>
          <w:sz w:val="22"/>
          <w:szCs w:val="22"/>
          <w:color w:val="auto"/>
        </w:rPr>
        <w:t>In witness whereof, Indemnitee has executed, and the Company has caused its duly authorized representative to execute, this Agreement as of the date first above written.</w:t>
      </w:r>
    </w:p>
    <w:p>
      <w:pPr>
        <w:spacing w:after="0" w:line="200" w:lineRule="exact"/>
        <w:rPr>
          <w:sz w:val="20"/>
          <w:szCs w:val="20"/>
          <w:color w:val="auto"/>
        </w:rPr>
      </w:pPr>
    </w:p>
    <w:p>
      <w:pPr>
        <w:spacing w:after="0" w:line="223" w:lineRule="exact"/>
        <w:rPr>
          <w:sz w:val="20"/>
          <w:szCs w:val="20"/>
          <w:color w:val="auto"/>
        </w:rPr>
      </w:pPr>
    </w:p>
    <w:p>
      <w:pPr>
        <w:spacing w:after="0"/>
        <w:tabs>
          <w:tab w:leader="none" w:pos="3120" w:val="left"/>
        </w:tabs>
        <w:rPr>
          <w:sz w:val="20"/>
          <w:szCs w:val="20"/>
          <w:color w:val="auto"/>
        </w:rPr>
      </w:pPr>
      <w:r>
        <w:rPr>
          <w:rFonts w:ascii="Arial" w:cs="Arial" w:eastAsia="Arial" w:hAnsi="Arial"/>
          <w:sz w:val="22"/>
          <w:szCs w:val="22"/>
          <w:b w:val="1"/>
          <w:bCs w:val="1"/>
          <w:color w:val="auto"/>
        </w:rPr>
        <w:t>DELL TECHNOLOGIES INC.</w:t>
        <w:tab/>
        <w:t>INDEMNITEE</w:t>
      </w:r>
    </w:p>
    <w:p>
      <w:pPr>
        <w:spacing w:after="0" w:line="193" w:lineRule="exact"/>
        <w:rPr>
          <w:sz w:val="20"/>
          <w:szCs w:val="20"/>
          <w:color w:val="auto"/>
        </w:rPr>
      </w:pPr>
    </w:p>
    <w:p>
      <w:pPr>
        <w:spacing w:after="0"/>
        <w:tabs>
          <w:tab w:leader="none" w:pos="1020" w:val="left"/>
          <w:tab w:leader="none" w:pos="2460" w:val="left"/>
        </w:tabs>
        <w:rPr>
          <w:sz w:val="20"/>
          <w:szCs w:val="20"/>
          <w:color w:val="auto"/>
        </w:rPr>
      </w:pPr>
      <w:r>
        <w:rPr>
          <w:rFonts w:ascii="Arial" w:cs="Arial" w:eastAsia="Arial" w:hAnsi="Arial"/>
          <w:sz w:val="22"/>
          <w:szCs w:val="22"/>
          <w:color w:val="auto"/>
        </w:rPr>
        <w:t>Address:</w:t>
        <w:tab/>
        <w:t>One Dell Way</w:t>
      </w:r>
      <w:r>
        <w:rPr>
          <w:sz w:val="20"/>
          <w:szCs w:val="20"/>
          <w:color w:val="auto"/>
        </w:rPr>
        <w:tab/>
      </w:r>
      <w:r>
        <w:rPr>
          <w:rFonts w:ascii="Arial" w:cs="Arial" w:eastAsia="Arial" w:hAnsi="Arial"/>
          <w:sz w:val="19"/>
          <w:szCs w:val="19"/>
          <w:color w:val="auto"/>
        </w:rPr>
        <w:t>Address:</w:t>
      </w:r>
    </w:p>
    <w:p>
      <w:pPr>
        <w:ind w:left="220"/>
        <w:spacing w:after="0"/>
        <w:rPr>
          <w:sz w:val="20"/>
          <w:szCs w:val="20"/>
          <w:color w:val="auto"/>
        </w:rPr>
      </w:pPr>
      <w:r>
        <w:rPr>
          <w:rFonts w:ascii="Arial" w:cs="Arial" w:eastAsia="Arial" w:hAnsi="Arial"/>
          <w:sz w:val="22"/>
          <w:szCs w:val="22"/>
          <w:color w:val="auto"/>
        </w:rPr>
        <w:t>Round Rock, TX 78682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Active.28150070.8</w:t>
      </w:r>
    </w:p>
    <w:p>
      <w:pPr>
        <w:sectPr>
          <w:pgSz w:w="11900" w:h="16838" w:orient="portrait"/>
          <w:cols w:equalWidth="0" w:num="1">
            <w:col w:w="11240"/>
          </w:cols>
          <w:pgMar w:left="320" w:top="1401"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40" w:type="dxa"/>
            <w:vAlign w:val="bottom"/>
          </w:tcPr>
          <w:p>
            <w:pPr>
              <w:ind w:left="52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ind w:left="2900"/>
              <w:spacing w:after="0"/>
              <w:rPr>
                <w:sz w:val="20"/>
                <w:szCs w:val="20"/>
                <w:color w:val="auto"/>
              </w:rPr>
            </w:pPr>
            <w:r>
              <w:rPr>
                <w:rFonts w:ascii="Arial" w:cs="Arial" w:eastAsia="Arial" w:hAnsi="Arial"/>
                <w:sz w:val="18"/>
                <w:szCs w:val="18"/>
                <w:b w:val="1"/>
                <w:bCs w:val="1"/>
                <w:color w:val="auto"/>
              </w:rPr>
              <w:t>Dell Technologies Inc. Subsidiary List</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1240" w:type="dxa"/>
            <w:vAlign w:val="bottom"/>
          </w:tcPr>
          <w:p>
            <w:pPr>
              <w:spacing w:after="0"/>
              <w:rPr>
                <w:sz w:val="24"/>
                <w:szCs w:val="24"/>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b w:val="1"/>
                <w:bCs w:val="1"/>
                <w:color w:val="auto"/>
                <w:w w:val="95"/>
              </w:rPr>
              <w:t>Country</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6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Bracknell Boulevard (Block C) LLC</w:t>
            </w:r>
          </w:p>
        </w:tc>
        <w:tc>
          <w:tcPr>
            <w:tcW w:w="3320" w:type="dxa"/>
            <w:vAlign w:val="bottom"/>
            <w:tcBorders>
              <w:bottom w:val="single" w:sz="8" w:color="CCEEFF"/>
            </w:tcBorders>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Bracknell Boulevard (Block D) LLC</w:t>
            </w:r>
          </w:p>
        </w:tc>
        <w:tc>
          <w:tcPr>
            <w:tcW w:w="3320" w:type="dxa"/>
            <w:vAlign w:val="bottom"/>
            <w:gridSpan w:val="3"/>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Bracknell Boulevard Management Company Limited</w:t>
            </w:r>
          </w:p>
        </w:tc>
        <w:tc>
          <w:tcPr>
            <w:tcW w:w="3320" w:type="dxa"/>
            <w:vAlign w:val="bottom"/>
            <w:tcBorders>
              <w:bottom w:val="single" w:sz="8" w:color="CCEEFF"/>
            </w:tcBorders>
            <w:gridSpan w:val="3"/>
            <w:shd w:val="clear" w:color="auto" w:fill="CCEEFF"/>
          </w:tcPr>
          <w:p>
            <w:pPr>
              <w:jc w:val="center"/>
              <w:ind w:right="90"/>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Branch of Dell (Free Zone Company L.L.C)</w:t>
            </w:r>
          </w:p>
        </w:tc>
        <w:tc>
          <w:tcPr>
            <w:tcW w:w="3320" w:type="dxa"/>
            <w:vAlign w:val="bottom"/>
            <w:gridSpan w:val="3"/>
          </w:tcPr>
          <w:p>
            <w:pPr>
              <w:jc w:val="center"/>
              <w:ind w:right="90"/>
              <w:spacing w:after="0"/>
              <w:rPr>
                <w:sz w:val="20"/>
                <w:szCs w:val="20"/>
                <w:color w:val="auto"/>
              </w:rPr>
            </w:pPr>
            <w:r>
              <w:rPr>
                <w:rFonts w:ascii="Arial" w:cs="Arial" w:eastAsia="Arial" w:hAnsi="Arial"/>
                <w:sz w:val="18"/>
                <w:szCs w:val="18"/>
                <w:color w:val="auto"/>
                <w:w w:val="91"/>
              </w:rPr>
              <w:t>Saudi Arabia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Branch office of foreign company Dell Emerging Markets (EMEA) Limited United Kingdom – Branch</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 Skopje</w:t>
            </w:r>
          </w:p>
        </w:tc>
        <w:tc>
          <w:tcPr>
            <w:tcW w:w="3320" w:type="dxa"/>
            <w:vAlign w:val="bottom"/>
            <w:tcBorders>
              <w:bottom w:val="single" w:sz="8" w:color="CCEEFF"/>
            </w:tcBorders>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92"/>
              </w:rPr>
              <w:t>North Macedonia, Republic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Conchango Limited</w:t>
            </w:r>
          </w:p>
        </w:tc>
        <w:tc>
          <w:tcPr>
            <w:tcW w:w="3320" w:type="dxa"/>
            <w:vAlign w:val="bottom"/>
            <w:gridSpan w:val="3"/>
          </w:tcPr>
          <w:p>
            <w:pPr>
              <w:jc w:val="center"/>
              <w:ind w:right="90"/>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DCC Executive Security Inc.</w:t>
            </w:r>
          </w:p>
        </w:tc>
        <w:tc>
          <w:tcPr>
            <w:tcW w:w="3320" w:type="dxa"/>
            <w:vAlign w:val="bottom"/>
            <w:tcBorders>
              <w:bottom w:val="single" w:sz="8" w:color="CCEEFF"/>
            </w:tcBorders>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(Chengdu) Company Limited</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gridSpan w:val="2"/>
          </w:tcPr>
          <w:p>
            <w:pPr>
              <w:spacing w:after="0" w:line="219" w:lineRule="exact"/>
              <w:rPr>
                <w:sz w:val="20"/>
                <w:szCs w:val="20"/>
                <w:color w:val="auto"/>
              </w:rPr>
            </w:pPr>
            <w:r>
              <w:rPr>
                <w:rFonts w:ascii="Arial" w:cs="Arial" w:eastAsia="Arial" w:hAnsi="Arial"/>
                <w:sz w:val="18"/>
                <w:szCs w:val="18"/>
                <w:color w:val="auto"/>
              </w:rPr>
              <w:t>Dell (China) Company Limited - Beijing Branch</w:t>
            </w:r>
            <w:r>
              <w:rPr>
                <w:rFonts w:ascii="SimSun" w:cs="SimSun" w:eastAsia="SimSun" w:hAnsi="SimSun"/>
                <w:sz w:val="18"/>
                <w:szCs w:val="18"/>
                <w:color w:val="auto"/>
              </w:rPr>
              <w:t>戴尔（中国）有限公司北京分公司</w:t>
            </w:r>
          </w:p>
        </w:tc>
        <w:tc>
          <w:tcPr>
            <w:tcW w:w="1240" w:type="dxa"/>
            <w:vAlign w:val="bottom"/>
          </w:tcPr>
          <w:p>
            <w:pPr>
              <w:spacing w:after="0"/>
              <w:rPr>
                <w:sz w:val="20"/>
                <w:szCs w:val="20"/>
                <w:color w:val="auto"/>
              </w:rPr>
            </w:pPr>
          </w:p>
        </w:tc>
        <w:tc>
          <w:tcPr>
            <w:tcW w:w="2080" w:type="dxa"/>
            <w:vAlign w:val="bottom"/>
            <w:gridSpan w:val="2"/>
            <w:vMerge w:val="restart"/>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Beijing Information Technology Branch Office</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(China) Company Limited - Dalian Branch</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Guangzhou Branch</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(China) Company Limited - Hangzhou Branch</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Jinan Branch</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(China) Company Limited - Nanjing Branch</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Shanghai Branch</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(China) Company Limited - Shen Zhen Liaison Office</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Shenyang Branch</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(China) Company Limited - Shenzhen Branch</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(China) Company Limited - Wuhan Branch</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(China) Company Limited - Xian Branch</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(PS) Limited</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(Switzerland) GmbH</w:t>
            </w:r>
          </w:p>
        </w:tc>
        <w:tc>
          <w:tcPr>
            <w:tcW w:w="3320" w:type="dxa"/>
            <w:vAlign w:val="bottom"/>
            <w:gridSpan w:val="3"/>
          </w:tcPr>
          <w:p>
            <w:pPr>
              <w:jc w:val="center"/>
              <w:ind w:right="90"/>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(Xiamen) Company Limited</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(Xiamen) Company Limited - Dalian Branch</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A/S</w:t>
            </w:r>
          </w:p>
        </w:tc>
        <w:tc>
          <w:tcPr>
            <w:tcW w:w="3320" w:type="dxa"/>
            <w:vAlign w:val="bottom"/>
            <w:tcBorders>
              <w:bottom w:val="single" w:sz="8" w:color="CCEEFF"/>
            </w:tcBorders>
            <w:gridSpan w:val="3"/>
            <w:shd w:val="clear" w:color="auto" w:fill="CCEEFF"/>
          </w:tcPr>
          <w:p>
            <w:pPr>
              <w:jc w:val="center"/>
              <w:ind w:right="90"/>
              <w:spacing w:after="0"/>
              <w:rPr>
                <w:sz w:val="20"/>
                <w:szCs w:val="20"/>
                <w:color w:val="auto"/>
              </w:rPr>
            </w:pPr>
            <w:r>
              <w:rPr>
                <w:rFonts w:ascii="Arial" w:cs="Arial" w:eastAsia="Arial" w:hAnsi="Arial"/>
                <w:sz w:val="18"/>
                <w:szCs w:val="18"/>
                <w:color w:val="auto"/>
                <w:w w:val="90"/>
              </w:rPr>
              <w:t>Denmark</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AB</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89"/>
              </w:rPr>
              <w:t>Sweden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America Latina Corp.</w:t>
            </w:r>
          </w:p>
        </w:tc>
        <w:tc>
          <w:tcPr>
            <w:tcW w:w="3320" w:type="dxa"/>
            <w:vAlign w:val="bottom"/>
            <w:tcBorders>
              <w:bottom w:val="single" w:sz="8" w:color="CCEEFF"/>
            </w:tcBorders>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America Latina Corp., Sucursal Argentina</w:t>
            </w:r>
          </w:p>
        </w:tc>
        <w:tc>
          <w:tcPr>
            <w:tcW w:w="3320" w:type="dxa"/>
            <w:vAlign w:val="bottom"/>
            <w:gridSpan w:val="3"/>
          </w:tcPr>
          <w:p>
            <w:pPr>
              <w:jc w:val="center"/>
              <w:ind w:right="110"/>
              <w:spacing w:after="0"/>
              <w:rPr>
                <w:sz w:val="20"/>
                <w:szCs w:val="20"/>
                <w:color w:val="auto"/>
              </w:rPr>
            </w:pPr>
            <w:r>
              <w:rPr>
                <w:rFonts w:ascii="Arial" w:cs="Arial" w:eastAsia="Arial" w:hAnsi="Arial"/>
                <w:sz w:val="18"/>
                <w:szCs w:val="18"/>
                <w:color w:val="auto"/>
                <w:w w:val="93"/>
              </w:rPr>
              <w:t>Argentina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AS</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94"/>
              </w:rPr>
              <w:t>Norway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Asia Holdings Pte. Ltd.</w:t>
            </w:r>
          </w:p>
        </w:tc>
        <w:tc>
          <w:tcPr>
            <w:tcW w:w="3320" w:type="dxa"/>
            <w:vAlign w:val="bottom"/>
            <w:gridSpan w:val="3"/>
          </w:tcPr>
          <w:p>
            <w:pPr>
              <w:jc w:val="center"/>
              <w:ind w:right="110"/>
              <w:spacing w:after="0"/>
              <w:rPr>
                <w:sz w:val="20"/>
                <w:szCs w:val="20"/>
                <w:color w:val="auto"/>
              </w:rPr>
            </w:pPr>
            <w:r>
              <w:rPr>
                <w:rFonts w:ascii="Arial" w:cs="Arial" w:eastAsia="Arial" w:hAnsi="Arial"/>
                <w:sz w:val="18"/>
                <w:szCs w:val="18"/>
                <w:color w:val="auto"/>
                <w:w w:val="87"/>
              </w:rPr>
              <w:t>Singapore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Asia Pacific Sdn. Bhd.</w:t>
            </w:r>
          </w:p>
        </w:tc>
        <w:tc>
          <w:tcPr>
            <w:tcW w:w="3320" w:type="dxa"/>
            <w:vAlign w:val="bottom"/>
            <w:tcBorders>
              <w:bottom w:val="single" w:sz="8" w:color="CCEEFF"/>
            </w:tcBorders>
            <w:gridSpan w:val="3"/>
            <w:shd w:val="clear" w:color="auto" w:fill="CCEEFF"/>
          </w:tcPr>
          <w:p>
            <w:pPr>
              <w:jc w:val="center"/>
              <w:ind w:right="90"/>
              <w:spacing w:after="0"/>
              <w:rPr>
                <w:sz w:val="20"/>
                <w:szCs w:val="20"/>
                <w:color w:val="auto"/>
              </w:rPr>
            </w:pPr>
            <w:r>
              <w:rPr>
                <w:rFonts w:ascii="Arial" w:cs="Arial" w:eastAsia="Arial" w:hAnsi="Arial"/>
                <w:sz w:val="18"/>
                <w:szCs w:val="18"/>
                <w:color w:val="auto"/>
                <w:w w:val="92"/>
              </w:rPr>
              <w:t>Malaysia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Asset Revolving Trust-B</w:t>
            </w:r>
          </w:p>
        </w:tc>
        <w:tc>
          <w:tcPr>
            <w:tcW w:w="3320" w:type="dxa"/>
            <w:vAlign w:val="bottom"/>
            <w:gridSpan w:val="3"/>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Asset Syndication L.L.C.</w:t>
            </w:r>
          </w:p>
        </w:tc>
        <w:tc>
          <w:tcPr>
            <w:tcW w:w="3320" w:type="dxa"/>
            <w:vAlign w:val="bottom"/>
            <w:tcBorders>
              <w:bottom w:val="single" w:sz="8" w:color="CCEEFF"/>
            </w:tcBorders>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Australia Pty Limited</w:t>
            </w:r>
          </w:p>
        </w:tc>
        <w:tc>
          <w:tcPr>
            <w:tcW w:w="3320" w:type="dxa"/>
            <w:vAlign w:val="bottom"/>
            <w:gridSpan w:val="3"/>
          </w:tcPr>
          <w:p>
            <w:pPr>
              <w:jc w:val="center"/>
              <w:ind w:right="90"/>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B.V.</w:t>
            </w:r>
          </w:p>
        </w:tc>
        <w:tc>
          <w:tcPr>
            <w:tcW w:w="3320" w:type="dxa"/>
            <w:vAlign w:val="bottom"/>
            <w:tcBorders>
              <w:bottom w:val="single" w:sz="8" w:color="CCEEFF"/>
            </w:tcBorders>
            <w:gridSpan w:val="3"/>
            <w:shd w:val="clear" w:color="auto" w:fill="CCEEFF"/>
          </w:tcPr>
          <w:p>
            <w:pPr>
              <w:jc w:val="center"/>
              <w:ind w:right="90"/>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B.V., Taiwan Branch</w:t>
            </w:r>
          </w:p>
        </w:tc>
        <w:tc>
          <w:tcPr>
            <w:tcW w:w="1240" w:type="dxa"/>
            <w:vAlign w:val="bottom"/>
          </w:tcPr>
          <w:p>
            <w:pPr>
              <w:spacing w:after="0"/>
              <w:rPr>
                <w:sz w:val="21"/>
                <w:szCs w:val="21"/>
                <w:color w:val="auto"/>
              </w:rPr>
            </w:pPr>
          </w:p>
        </w:tc>
        <w:tc>
          <w:tcPr>
            <w:tcW w:w="2080" w:type="dxa"/>
            <w:vAlign w:val="bottom"/>
            <w:gridSpan w:val="2"/>
          </w:tcPr>
          <w:p>
            <w:pPr>
              <w:jc w:val="center"/>
              <w:ind w:right="1350"/>
              <w:spacing w:after="0"/>
              <w:rPr>
                <w:sz w:val="20"/>
                <w:szCs w:val="20"/>
                <w:color w:val="auto"/>
              </w:rPr>
            </w:pPr>
            <w:r>
              <w:rPr>
                <w:rFonts w:ascii="Arial" w:cs="Arial" w:eastAsia="Arial" w:hAnsi="Arial"/>
                <w:sz w:val="18"/>
                <w:szCs w:val="18"/>
                <w:color w:val="auto"/>
                <w:w w:val="89"/>
              </w:rPr>
              <w:t>Taiwan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Bank International Designated Activity Company</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Bank International Designated Activity Company, Sucursal en España</w:t>
            </w:r>
          </w:p>
        </w:tc>
        <w:tc>
          <w:tcPr>
            <w:tcW w:w="1240" w:type="dxa"/>
            <w:vAlign w:val="bottom"/>
          </w:tcPr>
          <w:p>
            <w:pPr>
              <w:spacing w:after="0"/>
              <w:rPr>
                <w:sz w:val="21"/>
                <w:szCs w:val="21"/>
                <w:color w:val="auto"/>
              </w:rPr>
            </w:pPr>
          </w:p>
        </w:tc>
        <w:tc>
          <w:tcPr>
            <w:tcW w:w="2080" w:type="dxa"/>
            <w:vAlign w:val="bottom"/>
            <w:gridSpan w:val="2"/>
          </w:tcPr>
          <w:p>
            <w:pPr>
              <w:jc w:val="center"/>
              <w:ind w:right="1330"/>
              <w:spacing w:after="0"/>
              <w:rPr>
                <w:sz w:val="20"/>
                <w:szCs w:val="20"/>
                <w:color w:val="auto"/>
              </w:rPr>
            </w:pPr>
            <w:r>
              <w:rPr>
                <w:rFonts w:ascii="Arial" w:cs="Arial" w:eastAsia="Arial" w:hAnsi="Arial"/>
                <w:sz w:val="18"/>
                <w:szCs w:val="18"/>
                <w:color w:val="auto"/>
                <w:w w:val="91"/>
              </w:rPr>
              <w:t>Spain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Dell Canada Inc.</w:t>
            </w:r>
          </w:p>
        </w:tc>
        <w:tc>
          <w:tcPr>
            <w:tcW w:w="1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1330"/>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Dell Colombia Inc.</w:t>
            </w:r>
          </w:p>
        </w:tc>
        <w:tc>
          <w:tcPr>
            <w:tcW w:w="3320" w:type="dxa"/>
            <w:vAlign w:val="bottom"/>
            <w:gridSpan w:val="3"/>
          </w:tcPr>
          <w:p>
            <w:pPr>
              <w:jc w:val="center"/>
              <w:ind w:right="110"/>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196" w:name="page197"/>
    <w:bookmarkEnd w:id="19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Dell Colombia Inc. - COLOMBIA BRANCH</w:t>
            </w:r>
          </w:p>
        </w:tc>
        <w:tc>
          <w:tcPr>
            <w:tcW w:w="38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2"/>
              </w:rPr>
              <w:t>Colombia</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Computadores do Brasil - Fortaleza Branch</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 Hortolandia/SP Branch (A)</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Computadores do Brasil - Hortolandia/SP Branch (B)</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 Rio de Janeiro Branch</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Computadores do Brasil - Sao Paulo Branch (Barueri - Alameda Rio Negro)</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 Sao Paulo Branch (Barueri - Tambore)</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Computadores do Brasil - Sao Paulo Branch (Cajamar)</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Computadores do Brasil - Sao Paulo Branch (Rua Verbo Divino)</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Computadores do Brasil Ltda.</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97"/>
              </w:rPr>
              <w:t>Brazil</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Computer (Pty) Limited</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3"/>
              </w:rPr>
              <w:t>South Africa</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Computer de Chile Ltda.</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2"/>
              </w:rPr>
              <w:t>Chile</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Computer Holdings L.P.</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Computer SAU</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1"/>
              </w:rPr>
              <w:t>Spain</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Computer UKEIG</w:t>
            </w:r>
          </w:p>
        </w:tc>
        <w:tc>
          <w:tcPr>
            <w:tcW w:w="38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5"/>
              </w:rPr>
              <w:t>United Kingdom</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Computer, spol. s r.o.</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0"/>
              </w:rPr>
              <w:t>Czech Republic</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Conduit Funding-B L.L.C.</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Conduit Funding-C L.L.C.</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Corporation (Thailand) Co., Ltd.</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Thailand</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Corporation Limited</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5"/>
              </w:rPr>
              <w:t>United Kingdom</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Costa Rica SA</w:t>
            </w:r>
          </w:p>
        </w:tc>
        <w:tc>
          <w:tcPr>
            <w:tcW w:w="38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Costa Rica</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Depositor L.L.C.</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DFS Corporation</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DFS Group Holdings L.L.C.</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DFS Holdings Kft</w:t>
            </w:r>
          </w:p>
        </w:tc>
        <w:tc>
          <w:tcPr>
            <w:tcW w:w="38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Hungary</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DFS Holdings L.L.C.</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El Salvador, Limitada</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El Salvador</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Emerging Markets (EMEA) Limited</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5"/>
              </w:rPr>
              <w:t>United Kingdom</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Jordan</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Emerging Markets (EMEA) Limited</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2"/>
              </w:rPr>
              <w:t>Tunisia</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 Representative Office</w:t>
            </w:r>
          </w:p>
        </w:tc>
        <w:tc>
          <w:tcPr>
            <w:tcW w:w="38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Lebanon</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Emerging Markets (EMEA) Limited (Kazakhstan Representative Office)</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9"/>
              </w:rPr>
              <w:t>Kazakhstan</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(Kenya Branch)</w:t>
            </w:r>
          </w:p>
        </w:tc>
        <w:tc>
          <w:tcPr>
            <w:tcW w:w="38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Kenya</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Emerging Markets (EMEA) Limited (Trade Representative Office Bulgaria)</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93"/>
              </w:rPr>
              <w:t>Bulgaria</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(Uganda Representative Office)</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Uganda</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Emerging Markets (EMEA) Limited External Company (Ghana)</w:t>
            </w:r>
          </w:p>
        </w:tc>
        <w:tc>
          <w:tcPr>
            <w:tcW w:w="3800" w:type="dxa"/>
            <w:vAlign w:val="bottom"/>
          </w:tcPr>
          <w:p>
            <w:pPr>
              <w:jc w:val="center"/>
              <w:ind w:left="210"/>
              <w:spacing w:after="0"/>
              <w:rPr>
                <w:sz w:val="20"/>
                <w:szCs w:val="20"/>
                <w:color w:val="auto"/>
              </w:rPr>
            </w:pPr>
            <w:r>
              <w:rPr>
                <w:rFonts w:ascii="Arial" w:cs="Arial" w:eastAsia="Arial" w:hAnsi="Arial"/>
                <w:sz w:val="18"/>
                <w:szCs w:val="18"/>
                <w:color w:val="auto"/>
                <w:w w:val="85"/>
              </w:rPr>
              <w:t>Ghana</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EMERGING MARKETS (EMEA) LIMITED za usluge, Podružnica Zagreb</w:t>
            </w:r>
          </w:p>
        </w:tc>
        <w:tc>
          <w:tcPr>
            <w:tcW w:w="38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2"/>
              </w:rPr>
              <w:t>Croatia</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Equipment Finance Trust 2018-2</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2019-1</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Equipment Finance Trust 2019-2</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2020-1</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Equipment Finance Trust 2020-2</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2021-1</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Equipment Finance Trust 2021-2</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Equipment Finance Trust 2022-1</w:t>
            </w:r>
          </w:p>
        </w:tc>
        <w:tc>
          <w:tcPr>
            <w:tcW w:w="38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Dell Equipment Funding LP</w:t>
            </w:r>
          </w:p>
        </w:tc>
        <w:tc>
          <w:tcPr>
            <w:tcW w:w="3800" w:type="dxa"/>
            <w:vAlign w:val="bottom"/>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Dell Equipment GP LLC</w:t>
            </w:r>
          </w:p>
        </w:tc>
        <w:tc>
          <w:tcPr>
            <w:tcW w:w="38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United States</w:t>
            </w:r>
          </w:p>
        </w:tc>
      </w:tr>
      <w:tr>
        <w:trPr>
          <w:trHeight w:val="27"/>
        </w:trPr>
        <w:tc>
          <w:tcPr>
            <w:tcW w:w="744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197" w:name="page198"/>
    <w:bookmarkEnd w:id="19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Dell Federal Systems Corporation</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Federal Systems GP L.L.C.</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Federal Systems L.P.</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Federal Systems LP L.L.C.</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Financial Services Canada Limited</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85"/>
              </w:rPr>
              <w:t>Canada</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Financial Services Holding Pty Ltd</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4"/>
              </w:rPr>
              <w:t>Australia</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Financial Services International Ireland Designated Activity Company</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0"/>
              </w:rPr>
              <w:t>Ireland</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Financial Services L.L.C.</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Financial Services Pte. Ltd.</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7"/>
              </w:rPr>
              <w:t>Singapore</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Financial Services Pty Ltd</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4"/>
              </w:rPr>
              <w:t>Australia</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Financial Services Pty Ltd (Registered overseas ASIC company)</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90"/>
              </w:rPr>
              <w:t>New Zealand</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FZ-LLC</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2"/>
              </w:rPr>
              <w:t>United Arab Emirates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FZ-LLC - Abu Dhabi Branch</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FZ-LLC - BAHRAIN BRANCH</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0"/>
              </w:rPr>
              <w:t>Bahrain</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FZ-LLC - Qatar Branch</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8"/>
              </w:rPr>
              <w:t>Qatar</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Gesellschaft m.b.H</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2"/>
              </w:rPr>
              <w:t>Austria</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Global B.V.</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88"/>
              </w:rPr>
              <w:t>Netherlands</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B.V. - Bangladesh Liaison Office</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8"/>
              </w:rPr>
              <w:t>Bangladesh</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Global B.V. - Pakistan Liaison Office</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89"/>
              </w:rPr>
              <w:t>Pakistan</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B.V. - Philippines Representative Office</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4"/>
              </w:rPr>
              <w:t>Philippines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Global B.V. - Sri Lanka Liaison / Representative Office</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2"/>
              </w:rPr>
              <w:t>Sri Lanka</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B.V. (Singapore Branch)</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7"/>
              </w:rPr>
              <w:t>Singapore</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Global Business Center Sdn. Bhd.</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2"/>
              </w:rPr>
              <w:t>Malaysia</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Holdings III B.V.</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88"/>
              </w:rPr>
              <w:t>Netherlands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Global Holdings XIV L.L.C.</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Global Holdings XV L.L.C.</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Global Holdings XVI L.L.C.</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GmbH</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89"/>
              </w:rPr>
              <w:t>Germany</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GmbH - Munich Branch</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89"/>
              </w:rPr>
              <w:t>Germany</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Guatemala, Ltda.</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88"/>
              </w:rPr>
              <w:t>Guatemala</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Hong Kong Limited</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93"/>
              </w:rPr>
              <w:t>Hong Kong</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Hungary Technology Solutions Trade LLC</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1"/>
              </w:rPr>
              <w:t>Hungary</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III - Comercio de Computadores, Unipessoal Lda</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2"/>
              </w:rPr>
              <w:t>Portugal</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Inc.</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International Holdings II Limited</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5"/>
              </w:rPr>
              <w:t>United Kingdom</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Holdings IX B.V.</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88"/>
              </w:rPr>
              <w:t>Netherlands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International Holdings Kft</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1"/>
              </w:rPr>
              <w:t>Hungary</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Holdings Limited</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5"/>
              </w:rPr>
              <w:t>United Kingdom</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International Holdings VIII B.V.</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88"/>
              </w:rPr>
              <w:t>Netherlands</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Inc. (Korea)</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3"/>
              </w:rPr>
              <w:t>Korea, Republic of</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w w:val="99"/>
              </w:rPr>
              <w:t>Dell International Inc. (Korea) (the Non-Hong Kong company registered in Hong Kong, Company No.:</w:t>
            </w:r>
          </w:p>
        </w:tc>
        <w:tc>
          <w:tcPr>
            <w:tcW w:w="3140" w:type="dxa"/>
            <w:vAlign w:val="bottom"/>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F30190)</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93"/>
              </w:rPr>
              <w:t>Hong Kong</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L.L.C.</w:t>
            </w:r>
          </w:p>
        </w:tc>
        <w:tc>
          <w:tcPr>
            <w:tcW w:w="31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8"/>
              </w:rPr>
              <w:t>United States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International Services India Private Limited</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7"/>
              </w:rPr>
              <w:t>India</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International Services Philippines, Inc.</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4"/>
              </w:rPr>
              <w:t>Philippines</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Latinoamerica, S. de R.L.</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3"/>
              </w:rPr>
              <w:t>Panama</w:t>
            </w:r>
          </w:p>
        </w:tc>
      </w:tr>
      <w:tr>
        <w:trPr>
          <w:trHeight w:val="27"/>
        </w:trPr>
        <w:tc>
          <w:tcPr>
            <w:tcW w:w="810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Leasing Mexico S. de RL de C.V.</w:t>
            </w:r>
          </w:p>
        </w:tc>
        <w:tc>
          <w:tcPr>
            <w:tcW w:w="314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4"/>
              </w:rPr>
              <w:t>Mexico</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Dell LLC</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88"/>
              </w:rPr>
              <w:t>Russian Federation</w:t>
            </w:r>
          </w:p>
        </w:tc>
      </w:tr>
    </w:tbl>
    <w:p>
      <w:pPr>
        <w:sectPr>
          <w:pgSz w:w="11900" w:h="16838" w:orient="portrait"/>
          <w:cols w:equalWidth="0" w:num="1">
            <w:col w:w="11240"/>
          </w:cols>
          <w:pgMar w:left="320" w:top="1440" w:right="339" w:bottom="1440" w:gutter="0" w:footer="0" w:header="0"/>
        </w:sectPr>
      </w:pPr>
    </w:p>
    <w:bookmarkStart w:id="198" w:name="page199"/>
    <w:bookmarkEnd w:id="19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Dell Marketing Corporation</w:t>
            </w:r>
          </w:p>
        </w:tc>
        <w:tc>
          <w:tcPr>
            <w:tcW w:w="38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Marketing GP L.L.C.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Marketing L.P.</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Marketing LP L.L.C.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Mexico S.A. de C.V.</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4"/>
              </w:rPr>
              <w:t>Mexico</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Morocco SAS</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92"/>
              </w:rPr>
              <w:t>Morocco</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New Zealand Limited</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0"/>
              </w:rPr>
              <w:t>New Zealand</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NV</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95"/>
              </w:rPr>
              <w:t>Belgium</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Panama S de RL</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3"/>
              </w:rPr>
              <w:t>Panama</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Peru S.A.C.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4"/>
              </w:rPr>
              <w:t>Peru</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Procurement (Xiamen) Company Limited</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China</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Procurement (Xiamen) Company Limited - Shanghai Branch</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89"/>
              </w:rPr>
              <w:t>China</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Procurement (Xiamen) Company Limited - Shenzhen Branch</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China</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Procurement (Xiamen) Company Limited - Shenzhen Liaison Office</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89"/>
              </w:rPr>
              <w:t>China</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Product and Process Innovation Services Corp.</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Products (Poland) Sp.z.o.o.</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89"/>
              </w:rPr>
              <w:t>Poland</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Products Corporation</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Products GP L.L.C.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Products L.P.</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Products LP L.L.C.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Products Unlimited Company</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0"/>
              </w:rPr>
              <w:t>Ireland</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PS Limited</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Puerto Rico Corp.</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Puerto Rico</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Revolver Company L.P.</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Revolver GP L.L.C.</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Revolving Transferor L.L.C.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S.à r.l</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Luxembourg</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S.p.A.</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96"/>
              </w:rPr>
              <w:t>Italy</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s.r.o.</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Slovakia</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SA</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92"/>
              </w:rPr>
              <w:t>Switzerland</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Sales Malaysia Sdn. Bhd.</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2"/>
              </w:rPr>
              <w:t>Malaysia</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SAS</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92"/>
              </w:rPr>
              <w:t>Morocco</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SAS</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5"/>
              </w:rPr>
              <w:t>France</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Services (China) Company Limited</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89"/>
              </w:rPr>
              <w:t>China</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Services (China) Company Limited - Beijing Consulting Branch</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China</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Services GmbH</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89"/>
              </w:rPr>
              <w:t>Germany</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Singapore Pte. Ltd. (In Liquidation)</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7"/>
              </w:rPr>
              <w:t>Singapore</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Sp. z o.o.</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89"/>
              </w:rPr>
              <w:t>Poland</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Systems (UK) Limited</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5"/>
              </w:rPr>
              <w:t>United Kingdom</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Systems Applications Solutions, Inc.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Systems TSI (Hungary) Likviditásmenedzsment Korlátolt Felelısségő Társaság</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Hungary</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Taiwan B.V.</w:t>
            </w:r>
          </w:p>
        </w:tc>
        <w:tc>
          <w:tcPr>
            <w:tcW w:w="3840" w:type="dxa"/>
            <w:vAlign w:val="bottom"/>
          </w:tcPr>
          <w:p>
            <w:pPr>
              <w:jc w:val="center"/>
              <w:ind w:left="250"/>
              <w:spacing w:after="0"/>
              <w:rPr>
                <w:sz w:val="20"/>
                <w:szCs w:val="20"/>
                <w:color w:val="auto"/>
              </w:rPr>
            </w:pPr>
            <w:r>
              <w:rPr>
                <w:rFonts w:ascii="Arial" w:cs="Arial" w:eastAsia="Arial" w:hAnsi="Arial"/>
                <w:sz w:val="18"/>
                <w:szCs w:val="18"/>
                <w:color w:val="auto"/>
                <w:w w:val="88"/>
              </w:rPr>
              <w:t>Netherlands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Taiwan B.V., Taiwan Branch</w:t>
            </w:r>
          </w:p>
        </w:tc>
        <w:tc>
          <w:tcPr>
            <w:tcW w:w="38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9"/>
              </w:rPr>
              <w:t>Taiwan</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Technologies Capital, LLC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Technologies Egypt Limited</w:t>
            </w:r>
          </w:p>
        </w:tc>
        <w:tc>
          <w:tcPr>
            <w:tcW w:w="38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Egypt</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Dell Technologies Inc.</w:t>
            </w:r>
          </w:p>
        </w:tc>
        <w:tc>
          <w:tcPr>
            <w:tcW w:w="3840" w:type="dxa"/>
            <w:vAlign w:val="bottom"/>
          </w:tcPr>
          <w:p>
            <w:pPr>
              <w:jc w:val="center"/>
              <w:ind w:left="23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Dell Technologies Japan Inc.</w:t>
            </w:r>
          </w:p>
        </w:tc>
        <w:tc>
          <w:tcPr>
            <w:tcW w:w="38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1"/>
              </w:rPr>
              <w:t>Japan</w:t>
            </w:r>
          </w:p>
        </w:tc>
      </w:tr>
      <w:tr>
        <w:trPr>
          <w:trHeight w:val="27"/>
        </w:trPr>
        <w:tc>
          <w:tcPr>
            <w:tcW w:w="740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199" w:name="page200"/>
    <w:bookmarkEnd w:id="19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Dell Technologies Pakistan (Private) Limited</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Pakistan</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Technologies Philippines Inc.</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4"/>
              </w:rPr>
              <w:t>Philippines</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Technology &amp; Solutions Israel Ltd</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0"/>
              </w:rPr>
              <w:t>Israel</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Technology &amp; Solutions LLC</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Qatar</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Technology &amp; Solutions Nigeria Limited</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94"/>
              </w:rPr>
              <w:t>Nigeria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Technology Products And Services Single Member S.A.</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4"/>
              </w:rPr>
              <w:t>Greece</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Technology S.R.L.</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88"/>
              </w:rPr>
              <w:t>Romania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Teknoloji Limited Sirketi</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4"/>
              </w:rPr>
              <w:t>Turkey</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Teknoloji Limited Sirketi - Ankara Branch</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4"/>
              </w:rPr>
              <w:t>Turkey</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Trading (Kunshan) Company Limited</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USA Corporation</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USA GP L.L.C.</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USA L.P.</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USA LP LLC</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Vendor Finance Facility 2017 L.L.C.</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Vietnam Company Limited</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0"/>
              </w:rPr>
              <w:t>Vietnam</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Vietnam Company Limited – Hanoi Branch</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0"/>
              </w:rPr>
              <w:t>Vietnam</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World Trade Corporation</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World Trade GP L.L.C.</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Dell World Trade L.P.</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Dell World Trade LP L.L.C.</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Denali Intermediate Inc.</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United States</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DFS B.V.</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8"/>
              </w:rPr>
              <w:t>Netherlands</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ECM Software Group Limited</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1"/>
              </w:rPr>
              <w:t>Cyprus</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(Benelux) B.V.</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8"/>
              </w:rPr>
              <w:t>Netherlands</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Australia Pty Limited</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4"/>
              </w:rPr>
              <w:t>Australia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Storage Systems (Sales &amp; Services) Ltd.</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90"/>
              </w:rPr>
              <w:t>Israel</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Qatar</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Changsha Branch Office</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 - Chengdu Branch Office</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Chongqing Branch Office</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 - Guangzhou Branch Office</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Hefei Branch Office</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 - Kunming Branch Office</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Nanning Branch Office</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 - Qingdao Branch Office</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Shanghai Branch Office</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 - Shenzhen Branch Office</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Shenzhen Futian Branch Office</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 - Urumqi Branch Office</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(China) Co., Ltd. - Xian Branch Office</w:t>
            </w:r>
          </w:p>
        </w:tc>
        <w:tc>
          <w:tcPr>
            <w:tcW w:w="40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(China) Co., Ltd. - Zhengzhou Branch Office</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89"/>
              </w:rPr>
              <w:t>China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(FE) Limited, Taiwan Branch</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9"/>
              </w:rPr>
              <w:t>Taiwan</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(Malaysia) Sdn. Bhd.</w:t>
            </w:r>
          </w:p>
        </w:tc>
        <w:tc>
          <w:tcPr>
            <w:tcW w:w="4040" w:type="dxa"/>
            <w:vAlign w:val="bottom"/>
          </w:tcPr>
          <w:p>
            <w:pPr>
              <w:jc w:val="center"/>
              <w:ind w:left="450"/>
              <w:spacing w:after="0"/>
              <w:rPr>
                <w:sz w:val="20"/>
                <w:szCs w:val="20"/>
                <w:color w:val="auto"/>
              </w:rPr>
            </w:pPr>
            <w:r>
              <w:rPr>
                <w:rFonts w:ascii="Arial" w:cs="Arial" w:eastAsia="Arial" w:hAnsi="Arial"/>
                <w:sz w:val="18"/>
                <w:szCs w:val="18"/>
                <w:color w:val="auto"/>
                <w:w w:val="92"/>
              </w:rPr>
              <w:t>Malaysia</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(S A) (Pty) Ltd</w:t>
            </w:r>
          </w:p>
        </w:tc>
        <w:tc>
          <w:tcPr>
            <w:tcW w:w="40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3"/>
              </w:rPr>
              <w:t>South Africa</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EMC Computer Systems (South Asia) Pte. Ltd.</w:t>
            </w:r>
          </w:p>
        </w:tc>
        <w:tc>
          <w:tcPr>
            <w:tcW w:w="4040" w:type="dxa"/>
            <w:vAlign w:val="bottom"/>
          </w:tcPr>
          <w:p>
            <w:pPr>
              <w:jc w:val="center"/>
              <w:ind w:left="430"/>
              <w:spacing w:after="0"/>
              <w:rPr>
                <w:sz w:val="20"/>
                <w:szCs w:val="20"/>
                <w:color w:val="auto"/>
              </w:rPr>
            </w:pPr>
            <w:r>
              <w:rPr>
                <w:rFonts w:ascii="Arial" w:cs="Arial" w:eastAsia="Arial" w:hAnsi="Arial"/>
                <w:sz w:val="18"/>
                <w:szCs w:val="18"/>
                <w:color w:val="auto"/>
                <w:w w:val="87"/>
              </w:rPr>
              <w:t>Singapore</w:t>
            </w:r>
          </w:p>
        </w:tc>
      </w:tr>
      <w:tr>
        <w:trPr>
          <w:trHeight w:val="27"/>
        </w:trPr>
        <w:tc>
          <w:tcPr>
            <w:tcW w:w="720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EMC Computer Systems (U.K.) Limited</w:t>
            </w:r>
          </w:p>
        </w:tc>
        <w:tc>
          <w:tcPr>
            <w:tcW w:w="4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5"/>
              </w:rPr>
              <w:t>United Kingdom</w:t>
            </w:r>
          </w:p>
        </w:tc>
      </w:tr>
      <w:tr>
        <w:trPr>
          <w:trHeight w:val="27"/>
        </w:trPr>
        <w:tc>
          <w:tcPr>
            <w:tcW w:w="720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200" w:name="page201"/>
    <w:bookmarkEnd w:id="200"/>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Argentina S.A.</w:t>
            </w:r>
          </w:p>
        </w:tc>
        <w:tc>
          <w:tcPr>
            <w:tcW w:w="3500" w:type="dxa"/>
            <w:vAlign w:val="bottom"/>
          </w:tcPr>
          <w:p>
            <w:pPr>
              <w:jc w:val="center"/>
              <w:spacing w:after="0"/>
              <w:rPr>
                <w:sz w:val="20"/>
                <w:szCs w:val="20"/>
                <w:color w:val="auto"/>
              </w:rPr>
            </w:pPr>
            <w:r>
              <w:rPr>
                <w:rFonts w:ascii="Arial" w:cs="Arial" w:eastAsia="Arial" w:hAnsi="Arial"/>
                <w:sz w:val="18"/>
                <w:szCs w:val="18"/>
                <w:color w:val="auto"/>
                <w:w w:val="93"/>
              </w:rPr>
              <w:t>Argentina</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Austria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Austria GmbH (“Rep Office in Egypt”)</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Egypt</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 Abu Dhabi</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United Arab Emirates</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Austria GmbH ("Rep Office in Bahrain")</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Bahrain</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("Rep Office in Jordan")</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Jordan</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Austria GmbH ("Saudi Arabia" branch)</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atstovybė ("Representative Office in Lithuania")</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Lithuania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Austria GmbH Eesti filiaal</w:t>
            </w:r>
          </w:p>
        </w:tc>
        <w:tc>
          <w:tcPr>
            <w:tcW w:w="3500" w:type="dxa"/>
            <w:vAlign w:val="bottom"/>
          </w:tcPr>
          <w:p>
            <w:pPr>
              <w:jc w:val="center"/>
              <w:spacing w:after="0"/>
              <w:rPr>
                <w:sz w:val="20"/>
                <w:szCs w:val="20"/>
                <w:color w:val="auto"/>
              </w:rPr>
            </w:pPr>
            <w:r>
              <w:rPr>
                <w:rFonts w:ascii="Arial" w:cs="Arial" w:eastAsia="Arial" w:hAnsi="Arial"/>
                <w:sz w:val="18"/>
                <w:szCs w:val="18"/>
                <w:color w:val="auto"/>
                <w:w w:val="89"/>
              </w:rPr>
              <w:t>Estonia</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Austria GmbH, organizacna zlozka</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Slovakia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Austria GmbH, podruznica Ljubljana</w:t>
            </w:r>
          </w:p>
        </w:tc>
        <w:tc>
          <w:tcPr>
            <w:tcW w:w="3500" w:type="dxa"/>
            <w:vAlign w:val="bottom"/>
          </w:tcPr>
          <w:p>
            <w:pPr>
              <w:jc w:val="center"/>
              <w:spacing w:after="0"/>
              <w:rPr>
                <w:sz w:val="20"/>
                <w:szCs w:val="20"/>
                <w:color w:val="auto"/>
              </w:rPr>
            </w:pPr>
            <w:r>
              <w:rPr>
                <w:rFonts w:ascii="Arial" w:cs="Arial" w:eastAsia="Arial" w:hAnsi="Arial"/>
                <w:sz w:val="18"/>
                <w:szCs w:val="18"/>
                <w:color w:val="auto"/>
                <w:w w:val="89"/>
              </w:rPr>
              <w:t>Slovenia</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Bilgisayar Sistemleri Ticaret A.S.</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Turkey</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Bilgisayar Sistemleri Ticaret A.S. (Ankara Branch)</w:t>
            </w:r>
          </w:p>
        </w:tc>
        <w:tc>
          <w:tcPr>
            <w:tcW w:w="3500" w:type="dxa"/>
            <w:vAlign w:val="bottom"/>
          </w:tcPr>
          <w:p>
            <w:pPr>
              <w:jc w:val="center"/>
              <w:spacing w:after="0"/>
              <w:rPr>
                <w:sz w:val="20"/>
                <w:szCs w:val="20"/>
                <w:color w:val="auto"/>
              </w:rPr>
            </w:pPr>
            <w:r>
              <w:rPr>
                <w:rFonts w:ascii="Arial" w:cs="Arial" w:eastAsia="Arial" w:hAnsi="Arial"/>
                <w:sz w:val="18"/>
                <w:szCs w:val="18"/>
                <w:color w:val="auto"/>
                <w:w w:val="94"/>
              </w:rPr>
              <w:t>Turkey</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Mexico, S.A. de CV</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Computer Systems Philippines, Inc.</w:t>
            </w:r>
          </w:p>
        </w:tc>
        <w:tc>
          <w:tcPr>
            <w:tcW w:w="3500" w:type="dxa"/>
            <w:vAlign w:val="bottom"/>
          </w:tcPr>
          <w:p>
            <w:pPr>
              <w:jc w:val="center"/>
              <w:spacing w:after="0"/>
              <w:rPr>
                <w:sz w:val="20"/>
                <w:szCs w:val="20"/>
                <w:color w:val="auto"/>
              </w:rPr>
            </w:pPr>
            <w:r>
              <w:rPr>
                <w:rFonts w:ascii="Arial" w:cs="Arial" w:eastAsia="Arial" w:hAnsi="Arial"/>
                <w:sz w:val="18"/>
                <w:szCs w:val="18"/>
                <w:color w:val="auto"/>
                <w:w w:val="94"/>
              </w:rPr>
              <w:t>Philippines</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Computer Systems Venezuela, S.A.</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Venezuela, Bolivarian Republic of</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Corporation</w:t>
            </w:r>
          </w:p>
        </w:tc>
        <w:tc>
          <w:tcPr>
            <w:tcW w:w="35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Egypt Service Center Limited</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Egypt</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Equity Assets LLC</w:t>
            </w:r>
          </w:p>
        </w:tc>
        <w:tc>
          <w:tcPr>
            <w:tcW w:w="35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Europe Limited</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Global Holdings Company</w:t>
            </w:r>
          </w:p>
        </w:tc>
        <w:tc>
          <w:tcPr>
            <w:tcW w:w="350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Global Holdings Company (Foreign company registered in Australia)</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Group 2</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(Thailand) Limited</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Thailand</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Information Systems CIS</w:t>
            </w:r>
          </w:p>
        </w:tc>
        <w:tc>
          <w:tcPr>
            <w:tcW w:w="3500" w:type="dxa"/>
            <w:vAlign w:val="bottom"/>
          </w:tcPr>
          <w:p>
            <w:pPr>
              <w:jc w:val="center"/>
              <w:spacing w:after="0"/>
              <w:rPr>
                <w:sz w:val="20"/>
                <w:szCs w:val="20"/>
                <w:color w:val="auto"/>
              </w:rPr>
            </w:pPr>
            <w:r>
              <w:rPr>
                <w:rFonts w:ascii="Arial" w:cs="Arial" w:eastAsia="Arial" w:hAnsi="Arial"/>
                <w:sz w:val="18"/>
                <w:szCs w:val="18"/>
                <w:color w:val="auto"/>
                <w:w w:val="88"/>
              </w:rPr>
              <w:t>Russian Federation</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Colombia Ltda.</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Colombia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Information Systems International Unlimited Company</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Kazakhstan LLP</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Kazakhstan</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Information Systems Management Limited</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EMC Information Systems Management Limited (the Non-Hong Kong company registered in Hong</w:t>
            </w:r>
          </w:p>
        </w:tc>
        <w:tc>
          <w:tcPr>
            <w:tcW w:w="3500" w:type="dxa"/>
            <w:vAlign w:val="bottom"/>
            <w:shd w:val="clear" w:color="auto" w:fill="CCEEFF"/>
          </w:tcPr>
          <w:p>
            <w:pPr>
              <w:spacing w:after="0"/>
              <w:rPr>
                <w:sz w:val="19"/>
                <w:szCs w:val="19"/>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Kong, Company No.: F20969)</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Information Systems Management Limited Singapore Branch</w:t>
            </w:r>
          </w:p>
        </w:tc>
        <w:tc>
          <w:tcPr>
            <w:tcW w:w="350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Systems Management Limited, German Branch</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Information Systems Nigeria Limited</w:t>
            </w:r>
          </w:p>
        </w:tc>
        <w:tc>
          <w:tcPr>
            <w:tcW w:w="3500" w:type="dxa"/>
            <w:vAlign w:val="bottom"/>
          </w:tcPr>
          <w:p>
            <w:pPr>
              <w:jc w:val="center"/>
              <w:spacing w:after="0"/>
              <w:rPr>
                <w:sz w:val="20"/>
                <w:szCs w:val="20"/>
                <w:color w:val="auto"/>
              </w:rPr>
            </w:pPr>
            <w:r>
              <w:rPr>
                <w:rFonts w:ascii="Arial" w:cs="Arial" w:eastAsia="Arial" w:hAnsi="Arial"/>
                <w:sz w:val="18"/>
                <w:szCs w:val="18"/>
                <w:color w:val="auto"/>
                <w:w w:val="94"/>
              </w:rPr>
              <w:t>Nigeria</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Technology Research &amp; Development (Beijing) Co., Ltd.</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Information Technology Research &amp; Development (Chengdu) Co., Ltd.</w:t>
            </w:r>
          </w:p>
        </w:tc>
        <w:tc>
          <w:tcPr>
            <w:tcW w:w="350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Information Technology Research &amp; Development (Shanghai) Co., Ltd.</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International Unlimited Company</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IP Holding Company LLC</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Ireland Holdings Unlimited Company</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Israel Advanced Information Technologies Ltd.</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Israel Development Center Ltd.</w:t>
            </w: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Israel</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IT Solutions India Private Limited</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Middle East</w:t>
            </w: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Puerto Rico, Inc.</w:t>
            </w:r>
          </w:p>
        </w:tc>
        <w:tc>
          <w:tcPr>
            <w:tcW w:w="3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EMC Research and Development Centre</w:t>
            </w:r>
          </w:p>
        </w:tc>
        <w:tc>
          <w:tcPr>
            <w:tcW w:w="3500" w:type="dxa"/>
            <w:vAlign w:val="bottom"/>
          </w:tcPr>
          <w:p>
            <w:pPr>
              <w:jc w:val="center"/>
              <w:spacing w:after="0"/>
              <w:rPr>
                <w:sz w:val="20"/>
                <w:szCs w:val="20"/>
                <w:color w:val="auto"/>
              </w:rPr>
            </w:pPr>
            <w:r>
              <w:rPr>
                <w:rFonts w:ascii="Arial" w:cs="Arial" w:eastAsia="Arial" w:hAnsi="Arial"/>
                <w:sz w:val="18"/>
                <w:szCs w:val="18"/>
                <w:color w:val="auto"/>
                <w:w w:val="88"/>
              </w:rPr>
              <w:t>Russian Federation</w:t>
            </w:r>
          </w:p>
        </w:tc>
      </w:tr>
      <w:tr>
        <w:trPr>
          <w:trHeight w:val="27"/>
        </w:trPr>
        <w:tc>
          <w:tcPr>
            <w:tcW w:w="77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EMC Software and Services India Private Limited</w:t>
            </w:r>
          </w:p>
        </w:tc>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r>
      <w:tr>
        <w:trPr>
          <w:trHeight w:val="27"/>
        </w:trPr>
        <w:tc>
          <w:tcPr>
            <w:tcW w:w="774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201" w:name="page202"/>
    <w:bookmarkEnd w:id="20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EMC St. Petersburg Development Centre</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88"/>
              </w:rPr>
              <w:t>Russian Federation</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Technology India Private Limited</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7"/>
              </w:rPr>
              <w:t>India</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Flanders Road Holdings LLC</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Liaison Office (Bureau d'Etudes) of EMC Computer Systems Austria GmbH</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Morocco</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LLC “EMC Information Systems Ukraine”</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3"/>
              </w:rPr>
              <w:t>Ukraine</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 Dell Ukraine</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3"/>
              </w:rPr>
              <w:t>Ukraine</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More I.T. Resources Ltd.</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90"/>
              </w:rPr>
              <w:t>Israel</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NBT Investment Partners LLC</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Newfound Investment Partners LLC</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Oy Dell Ab</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1"/>
              </w:rPr>
              <w:t>Finland</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PT Dell Indonesia</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89"/>
              </w:rPr>
              <w:t>Indonesia</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Redstone Holdings LLC</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Representative Office of "Dell Emerging Markets (EMEA) Limited" in the Republic of Azerbaijan</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1"/>
              </w:rPr>
              <w:t>Azerbaijan</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Representative Office of EMC Computer Systems Austria GmbH Belgrade</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8"/>
              </w:rPr>
              <w:t>Serbia</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ScaleIO LLC</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ScaleIO, Ltd.</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Israel</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SecureWorks Australia Pty. Ltd.</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4"/>
              </w:rPr>
              <w:t>Australia</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Corp.</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SecureWorks Europe Limited</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5"/>
              </w:rPr>
              <w:t>United Kingdom</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Europe S.R.L.</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Romania</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SecureWorks India Private Limited</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7"/>
              </w:rPr>
              <w:t>India</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Japan K.K.</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1"/>
              </w:rPr>
              <w:t>Japan</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SecureWorks SAS</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5"/>
              </w:rPr>
              <w:t>France</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Secureworks Software Canada ULC</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5"/>
              </w:rPr>
              <w:t>Canada</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SecureWorks, Inc.</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Sichuan An Cheng Security Technology Company</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China</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The Representative Office of Dell Global B.V. in Hanoi City</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90"/>
              </w:rPr>
              <w:t>Vietnam</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Representative Office of Dell Global B.V. in Ho Chi Minh City</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Vietnam</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The Representative Office of EMC Computer Systems (South Asia) Pte. Ltd. in Hanoi City</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90"/>
              </w:rPr>
              <w:t>Vietnam</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Representative Office of EMC Computer Systems (South Asia) Pte. Ltd. in Ho Chi Minh City</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Vietnam</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VCE Solutions Limited</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5"/>
              </w:rPr>
              <w:t>United Kingdom</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VCE Technologies Pty Ltd</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4"/>
              </w:rPr>
              <w:t>Australia</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VCE Technology Solutions Limited</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0"/>
              </w:rPr>
              <w:t>Ireland</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Bulgaria EOOD</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3"/>
              </w:rPr>
              <w:t>Bulgaria</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Virtustream Canada Holdings, Inc.</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85"/>
              </w:rPr>
              <w:t>Canada</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Cayman Holdings Limited</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Cayman Islands</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Virtustream Cloud Services Australia Pty Limited</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4"/>
              </w:rPr>
              <w:t>Australia</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Cloud Services Ireland Unlimited Company</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Ireland</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Virtustream Cloud Services Japan K.K. (JAPAN)</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1"/>
              </w:rPr>
              <w:t>Japan</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Germany GmbH</w:t>
            </w:r>
          </w:p>
        </w:tc>
        <w:tc>
          <w:tcPr>
            <w:tcW w:w="32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Germany</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Virtustream Group Holdings LLC</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IP Holding Company LLC</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United States</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Virtustream Ireland Limited</w:t>
            </w:r>
          </w:p>
        </w:tc>
        <w:tc>
          <w:tcPr>
            <w:tcW w:w="3280" w:type="dxa"/>
            <w:vAlign w:val="bottom"/>
          </w:tcPr>
          <w:p>
            <w:pPr>
              <w:jc w:val="center"/>
              <w:ind w:right="130"/>
              <w:spacing w:after="0"/>
              <w:rPr>
                <w:sz w:val="20"/>
                <w:szCs w:val="20"/>
                <w:color w:val="auto"/>
              </w:rPr>
            </w:pPr>
            <w:r>
              <w:rPr>
                <w:rFonts w:ascii="Arial" w:cs="Arial" w:eastAsia="Arial" w:hAnsi="Arial"/>
                <w:sz w:val="18"/>
                <w:szCs w:val="18"/>
                <w:color w:val="auto"/>
                <w:w w:val="90"/>
              </w:rPr>
              <w:t>Ireland</w:t>
            </w:r>
          </w:p>
        </w:tc>
      </w:tr>
      <w:tr>
        <w:trPr>
          <w:trHeight w:val="27"/>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Limited</w:t>
            </w:r>
          </w:p>
        </w:tc>
        <w:tc>
          <w:tcPr>
            <w:tcW w:w="32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2"/>
              </w:rPr>
              <w:t>Jersey</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Virtustream LLC</w:t>
            </w:r>
          </w:p>
        </w:tc>
        <w:tc>
          <w:tcPr>
            <w:tcW w:w="3280" w:type="dxa"/>
            <w:vAlign w:val="bottom"/>
          </w:tcPr>
          <w:p>
            <w:pPr>
              <w:jc w:val="center"/>
              <w:ind w:right="150"/>
              <w:spacing w:after="0"/>
              <w:rPr>
                <w:sz w:val="20"/>
                <w:szCs w:val="20"/>
                <w:color w:val="auto"/>
              </w:rPr>
            </w:pPr>
            <w:r>
              <w:rPr>
                <w:rFonts w:ascii="Arial" w:cs="Arial" w:eastAsia="Arial" w:hAnsi="Arial"/>
                <w:sz w:val="18"/>
                <w:szCs w:val="18"/>
                <w:color w:val="auto"/>
                <w:w w:val="88"/>
              </w:rPr>
              <w:t>United States</w:t>
            </w:r>
          </w:p>
        </w:tc>
      </w:tr>
    </w:tbl>
    <w:p>
      <w:pPr>
        <w:sectPr>
          <w:pgSz w:w="11900" w:h="16838" w:orient="portrait"/>
          <w:cols w:equalWidth="0" w:num="1">
            <w:col w:w="11240"/>
          </w:cols>
          <w:pgMar w:left="320" w:top="1440" w:right="339" w:bottom="1440" w:gutter="0" w:footer="0" w:header="0"/>
        </w:sectPr>
      </w:pPr>
    </w:p>
    <w:bookmarkStart w:id="202" w:name="page203"/>
    <w:bookmarkEnd w:id="20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Virtustream LT UAB</w:t>
            </w:r>
          </w:p>
        </w:tc>
        <w:tc>
          <w:tcPr>
            <w:tcW w:w="510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3"/>
              </w:rPr>
              <w:t>Lithuania</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Virtustream Security Solutions Private Limited</w:t>
            </w:r>
          </w:p>
        </w:tc>
        <w:tc>
          <w:tcPr>
            <w:tcW w:w="5100" w:type="dxa"/>
            <w:vAlign w:val="bottom"/>
          </w:tcPr>
          <w:p>
            <w:pPr>
              <w:jc w:val="center"/>
              <w:ind w:left="1510"/>
              <w:spacing w:after="0"/>
              <w:rPr>
                <w:sz w:val="20"/>
                <w:szCs w:val="20"/>
                <w:color w:val="auto"/>
              </w:rPr>
            </w:pPr>
            <w:r>
              <w:rPr>
                <w:rFonts w:ascii="Arial" w:cs="Arial" w:eastAsia="Arial" w:hAnsi="Arial"/>
                <w:sz w:val="18"/>
                <w:szCs w:val="18"/>
                <w:color w:val="auto"/>
                <w:w w:val="97"/>
              </w:rPr>
              <w:t>India</w:t>
            </w:r>
          </w:p>
        </w:tc>
      </w:tr>
      <w:tr>
        <w:trPr>
          <w:trHeight w:val="27"/>
        </w:trPr>
        <w:tc>
          <w:tcPr>
            <w:tcW w:w="614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Security Solutions, LLC</w:t>
            </w:r>
          </w:p>
        </w:tc>
        <w:tc>
          <w:tcPr>
            <w:tcW w:w="5100" w:type="dxa"/>
            <w:vAlign w:val="bottom"/>
            <w:tcBorders>
              <w:bottom w:val="single" w:sz="8" w:color="CCEEFF"/>
            </w:tcBorders>
            <w:shd w:val="clear" w:color="auto" w:fill="CCEEFF"/>
          </w:tcPr>
          <w:p>
            <w:pPr>
              <w:jc w:val="center"/>
              <w:ind w:left="1490"/>
              <w:spacing w:after="0"/>
              <w:rPr>
                <w:sz w:val="20"/>
                <w:szCs w:val="20"/>
                <w:color w:val="auto"/>
              </w:rPr>
            </w:pPr>
            <w:r>
              <w:rPr>
                <w:rFonts w:ascii="Arial" w:cs="Arial" w:eastAsia="Arial" w:hAnsi="Arial"/>
                <w:sz w:val="18"/>
                <w:szCs w:val="18"/>
                <w:color w:val="auto"/>
                <w:w w:val="88"/>
              </w:rPr>
              <w:t>United States</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Virtustream Switzerland Sàrl</w:t>
            </w:r>
          </w:p>
        </w:tc>
        <w:tc>
          <w:tcPr>
            <w:tcW w:w="5100" w:type="dxa"/>
            <w:vAlign w:val="bottom"/>
          </w:tcPr>
          <w:p>
            <w:pPr>
              <w:jc w:val="center"/>
              <w:ind w:left="1510"/>
              <w:spacing w:after="0"/>
              <w:rPr>
                <w:sz w:val="20"/>
                <w:szCs w:val="20"/>
                <w:color w:val="auto"/>
              </w:rPr>
            </w:pPr>
            <w:r>
              <w:rPr>
                <w:rFonts w:ascii="Arial" w:cs="Arial" w:eastAsia="Arial" w:hAnsi="Arial"/>
                <w:sz w:val="18"/>
                <w:szCs w:val="18"/>
                <w:color w:val="auto"/>
                <w:w w:val="92"/>
              </w:rPr>
              <w:t>Switzerland</w:t>
            </w:r>
          </w:p>
        </w:tc>
      </w:tr>
      <w:tr>
        <w:trPr>
          <w:trHeight w:val="27"/>
        </w:trPr>
        <w:tc>
          <w:tcPr>
            <w:tcW w:w="614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Virtustream UK Limited</w:t>
            </w:r>
          </w:p>
        </w:tc>
        <w:tc>
          <w:tcPr>
            <w:tcW w:w="510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5"/>
              </w:rPr>
              <w:t>United Kingdom</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Wyse Technology International B.V.</w:t>
            </w:r>
          </w:p>
        </w:tc>
        <w:tc>
          <w:tcPr>
            <w:tcW w:w="5100" w:type="dxa"/>
            <w:vAlign w:val="bottom"/>
          </w:tcPr>
          <w:p>
            <w:pPr>
              <w:jc w:val="center"/>
              <w:ind w:left="1510"/>
              <w:spacing w:after="0"/>
              <w:rPr>
                <w:sz w:val="20"/>
                <w:szCs w:val="20"/>
                <w:color w:val="auto"/>
              </w:rPr>
            </w:pPr>
            <w:r>
              <w:rPr>
                <w:rFonts w:ascii="Arial" w:cs="Arial" w:eastAsia="Arial" w:hAnsi="Arial"/>
                <w:sz w:val="18"/>
                <w:szCs w:val="18"/>
                <w:color w:val="auto"/>
                <w:w w:val="88"/>
              </w:rPr>
              <w:t>Netherlands</w:t>
            </w:r>
          </w:p>
        </w:tc>
      </w:tr>
      <w:tr>
        <w:trPr>
          <w:trHeight w:val="27"/>
        </w:trPr>
        <w:tc>
          <w:tcPr>
            <w:tcW w:w="614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XtremlO Ltd.</w:t>
            </w:r>
          </w:p>
        </w:tc>
        <w:tc>
          <w:tcPr>
            <w:tcW w:w="510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0"/>
              </w:rPr>
              <w:t>Israel</w:t>
            </w:r>
          </w:p>
        </w:tc>
      </w:tr>
      <w:tr>
        <w:trPr>
          <w:trHeight w:val="27"/>
        </w:trPr>
        <w:tc>
          <w:tcPr>
            <w:tcW w:w="614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Guarantors and Issuers of Guaranteed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Guaranteed Securities</w:t>
      </w:r>
    </w:p>
    <w:p>
      <w:pPr>
        <w:spacing w:after="0" w:line="279"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securities (collectively referred to in this exhibit as the “Senior Notes”) issued by Dell International L.L.C., a Delaware limited liability company and wholly-owned subsidiary of Dell Technologies Inc. (“Dell Technologies”), and EMC Corporation, a Massachusetts corporation and wholly-owned subsidiary of Dell Technologies, were outstanding as of January 28, 2022.</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Description of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8830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2">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5.450% Senior Notes due 2023</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4.000% Senior Notes due 2024</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5.850% Senior Notes due 2025</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6.020% Senior Notes due 2026</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4.900% Senior Notes due 2026</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6.100% Senior Notes due 2027</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5.300% Senior Notes due 2029</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6.200% Senior Notes due 2030</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8.100% Senior Notes due 2036</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8.350% Senior Notes due 2046</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3.375% Senior Notes due December 2041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3.450% Senior Notes due December 2051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Obligors</w:t>
      </w:r>
    </w:p>
    <w:p>
      <w:pPr>
        <w:spacing w:after="0" w:line="27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As of January 28, 2022, the obligors under the Senior Notes consisted of Dell Technologies, as a guarantor, and its subsidiaries listed in the following table (together with Dell Technologies, the “Obligors”).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Arial" w:cs="Arial" w:eastAsia="Arial" w:hAnsi="Arial"/>
                <w:sz w:val="16"/>
                <w:szCs w:val="16"/>
                <w:b w:val="1"/>
                <w:bCs w:val="1"/>
                <w:color w:val="auto"/>
              </w:rPr>
              <w:t>Jurisdiction of</w:t>
            </w:r>
          </w:p>
        </w:tc>
        <w:tc>
          <w:tcPr>
            <w:tcW w:w="2500" w:type="dxa"/>
            <w:vAlign w:val="bottom"/>
          </w:tcPr>
          <w:p>
            <w:pPr>
              <w:spacing w:after="0"/>
              <w:rPr>
                <w:sz w:val="18"/>
                <w:szCs w:val="18"/>
                <w:color w:val="auto"/>
              </w:rPr>
            </w:pPr>
          </w:p>
        </w:tc>
      </w:tr>
      <w:tr>
        <w:trPr>
          <w:trHeight w:val="260"/>
        </w:trPr>
        <w:tc>
          <w:tcPr>
            <w:tcW w:w="57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 of Subsidiary</w:t>
            </w:r>
          </w:p>
        </w:tc>
        <w:tc>
          <w:tcPr>
            <w:tcW w:w="30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Incorporation or Organization</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Obligor Type</w:t>
            </w:r>
          </w:p>
        </w:tc>
      </w:tr>
      <w:tr>
        <w:trPr>
          <w:trHeight w:val="225"/>
        </w:trPr>
        <w:tc>
          <w:tcPr>
            <w:tcW w:w="56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Dell Inc.</w:t>
            </w:r>
          </w:p>
        </w:tc>
        <w:tc>
          <w:tcPr>
            <w:tcW w:w="100" w:type="dxa"/>
            <w:vAlign w:val="bottom"/>
          </w:tcPr>
          <w:p>
            <w:pPr>
              <w:spacing w:after="0"/>
              <w:rPr>
                <w:sz w:val="19"/>
                <w:szCs w:val="19"/>
                <w:color w:val="auto"/>
              </w:rPr>
            </w:pPr>
          </w:p>
        </w:tc>
        <w:tc>
          <w:tcPr>
            <w:tcW w:w="2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Guarantor</w:t>
            </w:r>
          </w:p>
        </w:tc>
      </w:tr>
      <w:tr>
        <w:trPr>
          <w:trHeight w:val="229"/>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Dell International L.L.C.</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2500" w:type="dxa"/>
            <w:vAlign w:val="bottom"/>
          </w:tcPr>
          <w:p>
            <w:pPr>
              <w:ind w:left="20"/>
              <w:spacing w:after="0"/>
              <w:rPr>
                <w:sz w:val="20"/>
                <w:szCs w:val="20"/>
                <w:color w:val="auto"/>
              </w:rPr>
            </w:pPr>
            <w:r>
              <w:rPr>
                <w:rFonts w:ascii="Arial" w:cs="Arial" w:eastAsia="Arial" w:hAnsi="Arial"/>
                <w:sz w:val="18"/>
                <w:szCs w:val="18"/>
                <w:color w:val="auto"/>
              </w:rPr>
              <w:t>Issuer</w:t>
            </w:r>
          </w:p>
        </w:tc>
      </w:tr>
      <w:tr>
        <w:trPr>
          <w:trHeight w:val="230"/>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Denali Intermediate Inc.</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2500" w:type="dxa"/>
            <w:vAlign w:val="bottom"/>
          </w:tcPr>
          <w:p>
            <w:pPr>
              <w:ind w:left="20"/>
              <w:spacing w:after="0"/>
              <w:rPr>
                <w:sz w:val="20"/>
                <w:szCs w:val="20"/>
                <w:color w:val="auto"/>
              </w:rPr>
            </w:pPr>
            <w:r>
              <w:rPr>
                <w:rFonts w:ascii="Arial" w:cs="Arial" w:eastAsia="Arial" w:hAnsi="Arial"/>
                <w:sz w:val="18"/>
                <w:szCs w:val="18"/>
                <w:color w:val="auto"/>
              </w:rPr>
              <w:t>Guarantor</w:t>
            </w:r>
          </w:p>
        </w:tc>
      </w:tr>
      <w:tr>
        <w:trPr>
          <w:trHeight w:val="230"/>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EMC Corporation</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Massachusetts</w:t>
            </w:r>
          </w:p>
        </w:tc>
        <w:tc>
          <w:tcPr>
            <w:tcW w:w="2500" w:type="dxa"/>
            <w:vAlign w:val="bottom"/>
          </w:tcPr>
          <w:p>
            <w:pPr>
              <w:ind w:left="20"/>
              <w:spacing w:after="0"/>
              <w:rPr>
                <w:sz w:val="20"/>
                <w:szCs w:val="20"/>
                <w:color w:val="auto"/>
              </w:rPr>
            </w:pPr>
            <w:r>
              <w:rPr>
                <w:rFonts w:ascii="Arial" w:cs="Arial" w:eastAsia="Arial" w:hAnsi="Arial"/>
                <w:sz w:val="18"/>
                <w:szCs w:val="18"/>
                <w:color w:val="auto"/>
              </w:rPr>
              <w:t>Issuer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5"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333-213515 and No. 333-232675) of Dell Technologies Inc. of our report dated March 24,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rPr>
          <w:sz w:val="20"/>
          <w:szCs w:val="20"/>
          <w:color w:val="auto"/>
        </w:rPr>
      </w:pPr>
      <w:r>
        <w:rPr>
          <w:rFonts w:ascii="Arial" w:cs="Arial" w:eastAsia="Arial" w:hAnsi="Arial"/>
          <w:sz w:val="18"/>
          <w:szCs w:val="18"/>
          <w:color w:val="auto"/>
        </w:rPr>
        <w:t>March 24, 2022</w:t>
      </w:r>
    </w:p>
    <w:p>
      <w:pPr>
        <w:sectPr>
          <w:pgSz w:w="11900" w:h="16838" w:orient="portrait"/>
          <w:cols w:equalWidth="0" w:num="1">
            <w:col w:w="11240"/>
          </w:cols>
          <w:pgMar w:left="320" w:top="108"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March 24, 2022</w:t>
            </w: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S. DELL</w:t>
            </w:r>
          </w:p>
        </w:tc>
      </w:tr>
      <w:tr>
        <w:trPr>
          <w:trHeight w:val="222"/>
        </w:trPr>
        <w:tc>
          <w:tcPr>
            <w:tcW w:w="51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r>
      <w:tr>
        <w:trPr>
          <w:trHeight w:val="230"/>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THOMAS W. SWEET, EXECUTIVE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March 24, 2022</w:t>
            </w: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W. SWEET</w:t>
            </w:r>
          </w:p>
        </w:tc>
      </w:tr>
      <w:tr>
        <w:trPr>
          <w:trHeight w:val="222"/>
        </w:trPr>
        <w:tc>
          <w:tcPr>
            <w:tcW w:w="51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88"/>
              </w:rPr>
              <w:t>Thomas W. Sweet</w:t>
            </w:r>
          </w:p>
        </w:tc>
      </w:tr>
      <w:tr>
        <w:trPr>
          <w:trHeight w:val="230"/>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Annual Report on Form 10-K for the fiscal year ended January 28, 2022,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March 24, 2022</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S. DELL</w:t>
            </w:r>
          </w:p>
        </w:tc>
      </w:tr>
      <w:tr>
        <w:trPr>
          <w:trHeight w:val="222"/>
        </w:trPr>
        <w:tc>
          <w:tcPr>
            <w:tcW w:w="53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r>
      <w:tr>
        <w:trPr>
          <w:trHeight w:val="230"/>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351"/>
        </w:trPr>
        <w:tc>
          <w:tcPr>
            <w:tcW w:w="5300" w:type="dxa"/>
            <w:vAlign w:val="bottom"/>
          </w:tcPr>
          <w:p>
            <w:pPr>
              <w:spacing w:after="0"/>
              <w:rPr>
                <w:sz w:val="20"/>
                <w:szCs w:val="20"/>
                <w:color w:val="auto"/>
              </w:rPr>
            </w:pPr>
            <w:r>
              <w:rPr>
                <w:rFonts w:ascii="Arial" w:cs="Arial" w:eastAsia="Arial" w:hAnsi="Arial"/>
                <w:sz w:val="18"/>
                <w:szCs w:val="18"/>
                <w:color w:val="auto"/>
              </w:rPr>
              <w:t>March 24, 2022</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W. SWEET</w:t>
            </w:r>
          </w:p>
        </w:tc>
      </w:tr>
      <w:tr>
        <w:trPr>
          <w:trHeight w:val="222"/>
        </w:trPr>
        <w:tc>
          <w:tcPr>
            <w:tcW w:w="53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Thomas W. Sweet</w:t>
            </w:r>
          </w:p>
        </w:tc>
      </w:tr>
      <w:tr>
        <w:trPr>
          <w:trHeight w:val="230"/>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3"/>
    </w:lvl>
  </w:abstractNum>
  <w:abstractNum w:abstractNumId="31">
    <w:nsid w:val="4F4EF005"/>
    <w:multiLevelType w:val="hybridMultilevel"/>
    <w:lvl w:ilvl="0">
      <w:lvlJc w:val="left"/>
      <w:lvlText w:val="(%1)"/>
      <w:numFmt w:val="decimal"/>
      <w:start w:val="5"/>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lowerLetter"/>
      <w:start w:val="1"/>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lowerLetter"/>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lowerLetter"/>
      <w:start w:val="1"/>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decimal"/>
      <w:start w:val="104"/>
    </w:lvl>
    <w:lvl w:ilvl="1">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lowerLetter"/>
      <w:start w:val="3"/>
    </w:lvl>
  </w:abstractNum>
  <w:abstractNum w:abstractNumId="58">
    <w:nsid w:val="5DB70AE5"/>
    <w:multiLevelType w:val="hybridMultilevel"/>
    <w:lvl w:ilvl="0">
      <w:lvlJc w:val="left"/>
      <w:lvlText w:val="%1."/>
      <w:numFmt w:val="upperLetter"/>
      <w:start w:val="1"/>
    </w:lvl>
  </w:abstractNum>
  <w:abstractNum w:abstractNumId="59">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0">
    <w:nsid w:val="6590700B"/>
    <w:multiLevelType w:val="hybridMultilevel"/>
    <w:lvl w:ilvl="0">
      <w:lvlJc w:val="left"/>
      <w:lvlText w:val="(%1)"/>
      <w:numFmt w:val="lowerRoman"/>
      <w:start w:val="3"/>
    </w:lvl>
  </w:abstractNum>
  <w:abstractNum w:abstractNumId="61">
    <w:nsid w:val="15014ACB"/>
    <w:multiLevelType w:val="hybridMultilevel"/>
    <w:lvl w:ilvl="0">
      <w:lvlJc w:val="left"/>
      <w:lvlText w:val="(%1)"/>
      <w:numFmt w:val="lowerLetter"/>
      <w:start w:val="2"/>
    </w:lvl>
    <w:lvl w:ilvl="1">
      <w:lvlJc w:val="left"/>
      <w:lvlText w:val="(%2)"/>
      <w:numFmt w:val="lowerRoman"/>
      <w:start w:val="1"/>
    </w:lvl>
  </w:abstractNum>
  <w:abstractNum w:abstractNumId="62">
    <w:nsid w:val="5F5E7FD0"/>
    <w:multiLevelType w:val="hybridMultilevel"/>
    <w:lvl w:ilvl="0">
      <w:lvlJc w:val="left"/>
      <w:lvlText w:val="(%1)"/>
      <w:numFmt w:val="lowerRoman"/>
      <w:start w:val="3"/>
    </w:lvl>
  </w:abstractNum>
  <w:abstractNum w:abstractNumId="63">
    <w:nsid w:val="98A3148"/>
    <w:multiLevelType w:val="hybridMultilevel"/>
    <w:lvl w:ilvl="0">
      <w:lvlJc w:val="left"/>
      <w:lvlText w:val="%1"/>
      <w:numFmt w:val="decimal"/>
      <w:start w:val="1"/>
    </w:lvl>
    <w:lvl w:ilvl="1">
      <w:lvlJc w:val="left"/>
      <w:lvlText w:val="(%2)"/>
      <w:numFmt w:val="lowerLetter"/>
      <w:start w:val="7"/>
    </w:lvl>
  </w:abstractNum>
  <w:abstractNum w:abstractNumId="64">
    <w:nsid w:val="799D0247"/>
    <w:multiLevelType w:val="hybridMultilevel"/>
    <w:lvl w:ilvl="0">
      <w:lvlJc w:val="left"/>
      <w:lvlText w:val="%1."/>
      <w:numFmt w:val="decimal"/>
      <w:start w:val="2"/>
    </w:lvl>
    <w:lvl w:ilvl="1">
      <w:lvlJc w:val="left"/>
      <w:lvlText w:val="%2"/>
      <w:numFmt w:val="lowerLetter"/>
      <w:start w:val="1"/>
    </w:lvl>
  </w:abstractNum>
  <w:abstractNum w:abstractNumId="65">
    <w:nsid w:val="6B94764"/>
    <w:multiLevelType w:val="hybridMultilevel"/>
    <w:lvl w:ilvl="0">
      <w:lvlJc w:val="left"/>
      <w:lvlText w:val="%1."/>
      <w:numFmt w:val="decimal"/>
      <w:start w:val="3"/>
    </w:lvl>
    <w:lvl w:ilvl="1">
      <w:lvlJc w:val="left"/>
      <w:lvlText w:val="(%2)"/>
      <w:numFmt w:val="lowerLetter"/>
      <w:start w:val="1"/>
    </w:lvl>
  </w:abstractNum>
  <w:abstractNum w:abstractNumId="66">
    <w:nsid w:val="42C296BD"/>
    <w:multiLevelType w:val="hybridMultilevel"/>
    <w:lvl w:ilvl="0">
      <w:lvlJc w:val="left"/>
      <w:lvlText w:val="%1."/>
      <w:numFmt w:val="decimal"/>
      <w:start w:val="5"/>
    </w:lvl>
  </w:abstractNum>
  <w:abstractNum w:abstractNumId="67">
    <w:nsid w:val="168E12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8">
    <w:nsid w:val="1EBA5D23"/>
    <w:multiLevelType w:val="hybridMultilevel"/>
    <w:lvl w:ilvl="0">
      <w:lvlJc w:val="left"/>
      <w:lvlText w:val="(%1)"/>
      <w:numFmt w:val="lowerLetter"/>
      <w:start w:val="3"/>
    </w:lvl>
  </w:abstractNum>
  <w:abstractNum w:abstractNumId="69">
    <w:nsid w:val="661E3F1E"/>
    <w:multiLevelType w:val="hybridMultilevel"/>
    <w:lvl w:ilvl="0">
      <w:lvlJc w:val="left"/>
      <w:lvlText w:val="%1."/>
      <w:numFmt w:val="decimal"/>
      <w:start w:val="10"/>
    </w:lvl>
  </w:abstractNum>
  <w:abstractNum w:abstractNumId="70">
    <w:nsid w:val="5DC79EA8"/>
    <w:multiLevelType w:val="hybridMultilevel"/>
    <w:lvl w:ilvl="0">
      <w:lvlJc w:val="left"/>
      <w:lvlText w:val="%1."/>
      <w:numFmt w:val="decimal"/>
      <w:start w:val="13"/>
    </w:lvl>
    <w:lvl w:ilvl="1">
      <w:lvlJc w:val="left"/>
      <w:lvlText w:val="%2."/>
      <w:numFmt w:val="decimal"/>
      <w:start w:val="14"/>
    </w:lvl>
  </w:abstractNum>
  <w:abstractNum w:abstractNumId="71">
    <w:nsid w:val="540A471C"/>
    <w:multiLevelType w:val="hybridMultilevel"/>
    <w:lvl w:ilvl="0">
      <w:lvlJc w:val="left"/>
      <w:lvlText w:val="%1."/>
      <w:numFmt w:val="decimal"/>
      <w:start w:val="15"/>
    </w:lvl>
  </w:abstractNum>
  <w:abstractNum w:abstractNumId="72">
    <w:nsid w:val="7BD3EE7B"/>
    <w:multiLevelType w:val="hybridMultilevel"/>
    <w:lvl w:ilvl="0">
      <w:lvlJc w:val="left"/>
      <w:lvlText w:val="%1."/>
      <w:numFmt w:val="decimal"/>
      <w:start w:val="17"/>
    </w:lvl>
    <w:lvl w:ilvl="1">
      <w:lvlJc w:val="left"/>
      <w:lvlText w:val="(%2)"/>
      <w:numFmt w:val="lowerLetter"/>
      <w:start w:val="1"/>
    </w:lvl>
  </w:abstractNum>
  <w:abstractNum w:abstractNumId="73">
    <w:nsid w:val="51D9C564"/>
    <w:multiLevelType w:val="hybridMultilevel"/>
    <w:lvl w:ilvl="0">
      <w:lvlJc w:val="left"/>
      <w:lvlText w:val="%1."/>
      <w:numFmt w:val="decimal"/>
      <w:start w:val="20"/>
    </w:lvl>
  </w:abstractNum>
  <w:abstractNum w:abstractNumId="74">
    <w:nsid w:val="613EFDC5"/>
    <w:multiLevelType w:val="hybridMultilevel"/>
    <w:lvl w:ilvl="0">
      <w:lvlJc w:val="left"/>
      <w:lvlText w:val="%1."/>
      <w:numFmt w:val="decimal"/>
      <w:start w:val="25"/>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27" Type="http://schemas.openxmlformats.org/officeDocument/2006/relationships/image" Target="media/image197.png"/><Relationship Id="rId240" Type="http://schemas.openxmlformats.org/officeDocument/2006/relationships/image" Target="media/image198.png"/><Relationship Id="rId254" Type="http://schemas.openxmlformats.org/officeDocument/2006/relationships/image" Target="media/image199.png"/><Relationship Id="rId272" Type="http://schemas.openxmlformats.org/officeDocument/2006/relationships/image" Target="media/image200.png"/><Relationship Id="rId287" Type="http://schemas.openxmlformats.org/officeDocument/2006/relationships/image" Target="media/image201.png"/><Relationship Id="rId293" Type="http://schemas.openxmlformats.org/officeDocument/2006/relationships/image" Target="media/image202.png"/><Relationship Id="rId294" Type="http://schemas.openxmlformats.org/officeDocument/2006/relationships/image" Target="media/image203.png"/><Relationship Id="rId295" Type="http://schemas.openxmlformats.org/officeDocument/2006/relationships/image" Target="media/image204.png"/><Relationship Id="rId296" Type="http://schemas.openxmlformats.org/officeDocument/2006/relationships/image" Target="media/image205.png"/><Relationship Id="rId297" Type="http://schemas.openxmlformats.org/officeDocument/2006/relationships/image" Target="media/image206.png"/><Relationship Id="rId298" Type="http://schemas.openxmlformats.org/officeDocument/2006/relationships/image" Target="media/image207.png"/><Relationship Id="rId299" Type="http://schemas.openxmlformats.org/officeDocument/2006/relationships/image" Target="media/image208.png"/><Relationship Id="rId300" Type="http://schemas.openxmlformats.org/officeDocument/2006/relationships/image" Target="media/image209.png"/><Relationship Id="rId301" Type="http://schemas.openxmlformats.org/officeDocument/2006/relationships/image" Target="media/image210.png"/><Relationship Id="rId302" Type="http://schemas.openxmlformats.org/officeDocument/2006/relationships/image" Target="media/image211.png"/><Relationship Id="rId202" Type="http://schemas.openxmlformats.org/officeDocument/2006/relationships/hyperlink" Target="https://www.sec.gov/Archives/edgar/data/0001571996/000119312521116271/d142017dex21.htm" TargetMode="External"/><Relationship Id="rId203" Type="http://schemas.openxmlformats.org/officeDocument/2006/relationships/hyperlink" Target="https://www.sec.gov/Archives/edgar/data/0001571996/000119312521294210/d81504dex991.htm" TargetMode="External"/><Relationship Id="rId204" Type="http://schemas.openxmlformats.org/officeDocument/2006/relationships/hyperlink" Target="https://www.sec.gov/Archives/edgar/data/0001571996/000119312521315488/d146470dex992.htm" TargetMode="External"/><Relationship Id="rId205" Type="http://schemas.openxmlformats.org/officeDocument/2006/relationships/hyperlink" Target="http://www.sec.gov/Archives/edgar/data/1571996/000119312518360943/d673794dex31.htm" TargetMode="External"/><Relationship Id="rId206" Type="http://schemas.openxmlformats.org/officeDocument/2006/relationships/hyperlink" Target="http://www.sec.gov/Archives/edgar/data/1571996/000119312518360943/d673794dex32.htm" TargetMode="External"/><Relationship Id="rId207" Type="http://schemas.openxmlformats.org/officeDocument/2006/relationships/hyperlink" Target="http://www.sec.gov/Archives/edgar/data/826083/0000950134-98-003605.txt" TargetMode="External"/><Relationship Id="rId210" Type="http://schemas.openxmlformats.org/officeDocument/2006/relationships/hyperlink" Target="http://www.sec.gov/Archives/edgar/data/826083/000095013408006801/d55879exv4w1.htm" TargetMode="External"/><Relationship Id="rId211" Type="http://schemas.openxmlformats.org/officeDocument/2006/relationships/hyperlink" Target="https://www.sec.gov/Archives/edgar/data/826083/000119312509073812/dex41.htm" TargetMode="External"/><Relationship Id="rId212" Type="http://schemas.openxmlformats.org/officeDocument/2006/relationships/hyperlink" Target="http://www.sec.gov/Archives/edgar/data/826083/000119312509073812/dex41.htm" TargetMode="External"/><Relationship Id="rId213" Type="http://schemas.openxmlformats.org/officeDocument/2006/relationships/hyperlink" Target="http://www.sec.gov/Archives/edgar/data/826083/000095012310085135/d75835exv4w1.htm" TargetMode="External"/><Relationship Id="rId214" Type="http://schemas.openxmlformats.org/officeDocument/2006/relationships/hyperlink" Target="https://www.sec.gov/Archives/edgar/data/1571996/000119312516611855/d73946dex414.htm" TargetMode="External"/><Relationship Id="rId215" Type="http://schemas.openxmlformats.org/officeDocument/2006/relationships/hyperlink" Target="http://www.sec.gov/Archives/edgar/data/1571996/000119312516611855/d73946dex414.htm" TargetMode="External"/><Relationship Id="rId216" Type="http://schemas.openxmlformats.org/officeDocument/2006/relationships/hyperlink" Target="https://www.sec.gov/Archives/edgar/data/1571996/000119312516611855/d73946dex421.htm" TargetMode="External"/><Relationship Id="rId217" Type="http://schemas.openxmlformats.org/officeDocument/2006/relationships/hyperlink" Target="http://www.sec.gov/Archives/edgar/data/1571996/000119312516611855/d73946dex421.htm" TargetMode="External"/><Relationship Id="rId218" Type="http://schemas.openxmlformats.org/officeDocument/2006/relationships/hyperlink" Target="https://www.sec.gov/Archives/edgar/data/1571996/000119312516611855/d73946dex423.htm" TargetMode="External"/><Relationship Id="rId219" Type="http://schemas.openxmlformats.org/officeDocument/2006/relationships/hyperlink" Target="http://www.sec.gov/Archives/edgar/data/1571996/000119312516611855/d73946dex423.htm" TargetMode="External"/><Relationship Id="rId220" Type="http://schemas.openxmlformats.org/officeDocument/2006/relationships/hyperlink" Target="http://www.sec.gov/Archives/edgar/data/1571996/000119312516611855/d73946dex425.htm" TargetMode="External"/><Relationship Id="rId221" Type="http://schemas.openxmlformats.org/officeDocument/2006/relationships/hyperlink" Target="http://www.sec.gov/Archives/edgar/data/1571996/000119312516706567/d238698dex41.htm" TargetMode="External"/><Relationship Id="rId222" Type="http://schemas.openxmlformats.org/officeDocument/2006/relationships/hyperlink" Target="http://www.sec.gov/Archives/edgar/data/1571996/000119312516706567/d238698dex42.htm" TargetMode="External"/><Relationship Id="rId223" Type="http://schemas.openxmlformats.org/officeDocument/2006/relationships/hyperlink" Target="http://www.sec.gov/Archives/edgar/data/1571996/000119312516706567/d238698dex43.htm" TargetMode="External"/><Relationship Id="rId224" Type="http://schemas.openxmlformats.org/officeDocument/2006/relationships/hyperlink" Target="http://www.sec.gov/Archives/edgar/data/1571996/000157199619000008/exhibit432_020119.htm" TargetMode="External"/><Relationship Id="rId225" Type="http://schemas.openxmlformats.org/officeDocument/2006/relationships/hyperlink" Target="https://www.sec.gov/Archives/edgar/data/1571996/000119312519082281/d708174dex411.htm" TargetMode="External"/><Relationship Id="rId226" Type="http://schemas.openxmlformats.org/officeDocument/2006/relationships/hyperlink" Target="https://www.sec.gov/Archives/edgar/data/1571996/000119312519082281/d708174dex41.htm" TargetMode="External"/><Relationship Id="rId228" Type="http://schemas.openxmlformats.org/officeDocument/2006/relationships/hyperlink" Target="https://www.sec.gov/Archives/edgar/data/1571996/000119312519082281/d708174dex42.htm" TargetMode="External"/><Relationship Id="rId229" Type="http://schemas.openxmlformats.org/officeDocument/2006/relationships/hyperlink" Target="https://www.sec.gov/Archives/edgar/data/1571996/000119312519082281/d708174dex43.htm" TargetMode="External"/><Relationship Id="rId230" Type="http://schemas.openxmlformats.org/officeDocument/2006/relationships/hyperlink" Target="https://www.sec.gov/Archives/edgar/data/1571996/000119312519082281/d708174dex44.htm" TargetMode="External"/><Relationship Id="rId231" Type="http://schemas.openxmlformats.org/officeDocument/2006/relationships/hyperlink" Target="https://www.sec.gov/Archives/edgar/data/1571996/000119312520102602/d912603dex41.htm" TargetMode="External"/><Relationship Id="rId232" Type="http://schemas.openxmlformats.org/officeDocument/2006/relationships/hyperlink" Target="https://www.sec.gov/Archives/edgar/data/1571996/000119312520102602/d912603dex42.htm" TargetMode="External"/><Relationship Id="rId233" Type="http://schemas.openxmlformats.org/officeDocument/2006/relationships/hyperlink" Target="https://www.sec.gov/Archives/edgar/data/1571996/000119312520102602/d912603dex43.htm" TargetMode="External"/><Relationship Id="rId234" Type="http://schemas.openxmlformats.org/officeDocument/2006/relationships/hyperlink" Target="https://www.sec.gov/Archives/edgar/data/1571996/000119312520102602/d912603dex44.htm" TargetMode="External"/><Relationship Id="rId235" Type="http://schemas.openxmlformats.org/officeDocument/2006/relationships/hyperlink" Target="https://www.sec.gov/Archives/edgar/data/0001571996/000119312521315488/d146470dex102.htm" TargetMode="External"/><Relationship Id="rId236" Type="http://schemas.openxmlformats.org/officeDocument/2006/relationships/hyperlink" Target="https://www.sec.gov/Archives/edgar/data/0001571996/000119312521357927/d146295dex41.htm" TargetMode="External"/><Relationship Id="rId237" Type="http://schemas.openxmlformats.org/officeDocument/2006/relationships/hyperlink" Target="https://www.sec.gov/Archives/edgar/data/0001571996/000119312521357927/d146295dex42.htm" TargetMode="External"/><Relationship Id="rId238" Type="http://schemas.openxmlformats.org/officeDocument/2006/relationships/hyperlink" Target="https://www.sec.gov/Archives/edgar/data/0001571996/000119312521357927/d146295dex43.htm" TargetMode="External"/><Relationship Id="rId239" Type="http://schemas.openxmlformats.org/officeDocument/2006/relationships/hyperlink" Target="https://www.sec.gov/Archives/edgar/data/0001571996/000119312521357927/d146295dex44.htm" TargetMode="External"/><Relationship Id="rId241" Type="http://schemas.openxmlformats.org/officeDocument/2006/relationships/hyperlink" Target="https://www.sec.gov/Archives/edgar/data/1571996/000119312518360943/d673794dex104.htm" TargetMode="External"/><Relationship Id="rId242" Type="http://schemas.openxmlformats.org/officeDocument/2006/relationships/hyperlink" Target="https://www.sec.gov/Archives/edgar/data/1571996/000157199620000017/exhibit440fy20.htm" TargetMode="External"/><Relationship Id="rId243" Type="http://schemas.openxmlformats.org/officeDocument/2006/relationships/hyperlink" Target="https://www.sec.gov/Archives/edgar/data/1571996/000157199620000034/exhibit49q1fy21.htm" TargetMode="External"/><Relationship Id="rId244" Type="http://schemas.openxmlformats.org/officeDocument/2006/relationships/hyperlink" Target="https://www.sec.gov/Archives/edgar/data/1571996/000157199620000051/exhibit41q3fy21.htm" TargetMode="External"/><Relationship Id="rId245" Type="http://schemas.openxmlformats.org/officeDocument/2006/relationships/hyperlink" Target="https://www.sec.gov/Archives/edgar/data/1571996/000157199620000017/exhibit441fy20.htm" TargetMode="External"/><Relationship Id="rId246" Type="http://schemas.openxmlformats.org/officeDocument/2006/relationships/hyperlink" Target="http://www.sec.gov/Archives/edgar/data/1571996/000157199617000045/exhibit104_110317.htm" TargetMode="External"/><Relationship Id="rId247" Type="http://schemas.openxmlformats.org/officeDocument/2006/relationships/hyperlink" Target="http://www.sec.gov/Archives/edgar/data/1571996/000119312516537298/d73946dex1013.htm" TargetMode="External"/><Relationship Id="rId248" Type="http://schemas.openxmlformats.org/officeDocument/2006/relationships/hyperlink" Target="http://www.sec.gov/Archives/edgar/data/1571996/000157199617000004/exhibit103_020317.htm" TargetMode="External"/><Relationship Id="rId249" Type="http://schemas.openxmlformats.org/officeDocument/2006/relationships/hyperlink" Target="http://www.sec.gov/Archives/edgar/data/1571996/000157199617000004/exhibit104_020317.htm" TargetMode="External"/><Relationship Id="rId250" Type="http://schemas.openxmlformats.org/officeDocument/2006/relationships/hyperlink" Target="https://www.sec.gov/Archives/edgar/data/1571996/000157199620000034/exhibit101q1fy21.htm" TargetMode="External"/><Relationship Id="rId251" Type="http://schemas.openxmlformats.org/officeDocument/2006/relationships/hyperlink" Target="http://www.sec.gov/Archives/edgar/data/1571996/000119312516537298/d73946dex106.htm" TargetMode="External"/><Relationship Id="rId252" Type="http://schemas.openxmlformats.org/officeDocument/2006/relationships/hyperlink" Target="http://www.sec.gov/Archives/edgar/data/1571996/000119312516537298/d73946dex107.htm" TargetMode="External"/><Relationship Id="rId253" Type="http://schemas.openxmlformats.org/officeDocument/2006/relationships/hyperlink" Target="http://www.sec.gov/Archives/edgar/data/1571996/000157199617000004/exhibit1014_020317.htm" TargetMode="External"/><Relationship Id="rId255" Type="http://schemas.openxmlformats.org/officeDocument/2006/relationships/hyperlink" Target="http://www.sec.gov/Archives/edgar/data/1571996/000119312516537298/d73946dex1016.htm" TargetMode="External"/><Relationship Id="rId256" Type="http://schemas.openxmlformats.org/officeDocument/2006/relationships/hyperlink" Target="http://www.sec.gov/Archives/edgar/data/1571996/000157199617000004/exhibit1026_020317.htm" TargetMode="External"/><Relationship Id="rId257" Type="http://schemas.openxmlformats.org/officeDocument/2006/relationships/hyperlink" Target="http://www.sec.gov/Archives/edgar/data/1124610/000112461018000012/vmw-222018x10kex101.htm" TargetMode="External"/><Relationship Id="rId258" Type="http://schemas.openxmlformats.org/officeDocument/2006/relationships/hyperlink" Target="http://www.sec.gov/Archives/edgar/data/1571996/000157199617000004/exhibit1038_020317.htm" TargetMode="External"/><Relationship Id="rId259" Type="http://schemas.openxmlformats.org/officeDocument/2006/relationships/hyperlink" Target="http://www.sec.gov/Archives/edgar/data/1571996/000157199617000004/exhibit1039_020317.htm" TargetMode="External"/><Relationship Id="rId260" Type="http://schemas.openxmlformats.org/officeDocument/2006/relationships/hyperlink" Target="http://www.sec.gov/Archives/edgar/data/1571996/000157199617000004/exhibit1040_020317.htm" TargetMode="External"/><Relationship Id="rId261" Type="http://schemas.openxmlformats.org/officeDocument/2006/relationships/hyperlink" Target="http://www.sec.gov/Archives/edgar/data/1571996/000157199617000004/exhibit1041_020317.htm" TargetMode="External"/><Relationship Id="rId262" Type="http://schemas.openxmlformats.org/officeDocument/2006/relationships/hyperlink" Target="http://www.sec.gov/Archives/edgar/data/1571996/000157199617000004/exhibit1042_020317.htm" TargetMode="External"/><Relationship Id="rId263" Type="http://schemas.openxmlformats.org/officeDocument/2006/relationships/hyperlink" Target="http://www.sec.gov/Archives/edgar/data/1571996/000157199618000004/exhibit1047_020218.htm" TargetMode="External"/><Relationship Id="rId264" Type="http://schemas.openxmlformats.org/officeDocument/2006/relationships/hyperlink" Target="http://www.sec.gov/Archives/edgar/data/1571996/000157199618000004/exhibit1049_020218.htm" TargetMode="External"/><Relationship Id="rId265" Type="http://schemas.openxmlformats.org/officeDocument/2006/relationships/hyperlink" Target="http://www.sec.gov/Archives/edgar/data/1571996/000157199618000004/exhibit1051_020218.htm" TargetMode="External"/><Relationship Id="rId266" Type="http://schemas.openxmlformats.org/officeDocument/2006/relationships/hyperlink" Target="http://www.sec.gov/Archives/edgar/data/1571996/000119312518293366/d681091dex1010.htm" TargetMode="External"/><Relationship Id="rId267" Type="http://schemas.openxmlformats.org/officeDocument/2006/relationships/hyperlink" Target="http://www.sec.gov/Archives/edgar/data/1571996/000119312518293366/d681091dex1011.htm" TargetMode="External"/><Relationship Id="rId268" Type="http://schemas.openxmlformats.org/officeDocument/2006/relationships/hyperlink" Target="http://www.sec.gov/Archives/edgar/data/1571996/000119312518293366/d681091dex1012.htm" TargetMode="External"/><Relationship Id="rId269" Type="http://schemas.openxmlformats.org/officeDocument/2006/relationships/hyperlink" Target="http://www.sec.gov/Archives/edgar/data/1571996/000119312518293366/d681091dex1013.htm" TargetMode="External"/><Relationship Id="rId270" Type="http://schemas.openxmlformats.org/officeDocument/2006/relationships/hyperlink" Target="http://www.sec.gov/Archives/edgar/data/1571996/000119312518293366/d681091dex1014.htm" TargetMode="External"/><Relationship Id="rId271" Type="http://schemas.openxmlformats.org/officeDocument/2006/relationships/hyperlink" Target="http://www.sec.gov/Archives/edgar/data/1571996/000119312518293366/d681091dex1015.htm" TargetMode="External"/><Relationship Id="rId273" Type="http://schemas.openxmlformats.org/officeDocument/2006/relationships/hyperlink" Target="http://www.sec.gov/Archives/edgar/data/1571996/000119312518293366/d681091dex1016.htm" TargetMode="External"/><Relationship Id="rId274" Type="http://schemas.openxmlformats.org/officeDocument/2006/relationships/hyperlink" Target="http://www.sec.gov/Archives/edgar/data/1571996/000119312518293366/d681091dex1017.htm" TargetMode="External"/><Relationship Id="rId275" Type="http://schemas.openxmlformats.org/officeDocument/2006/relationships/hyperlink" Target="http://www.sec.gov/Archives/edgar/data/1571996/000119312518293366/d681091dex1018.htm" TargetMode="External"/><Relationship Id="rId276" Type="http://schemas.openxmlformats.org/officeDocument/2006/relationships/hyperlink" Target="http://www.sec.gov/Archives/edgar/data/1571996/000119312518293366/d681091dex1019.htm" TargetMode="External"/><Relationship Id="rId277" Type="http://schemas.openxmlformats.org/officeDocument/2006/relationships/hyperlink" Target="http://www.sec.gov/Archives/edgar/data/1571996/000119312518293366/d681091dex1020.htm" TargetMode="External"/><Relationship Id="rId278" Type="http://schemas.openxmlformats.org/officeDocument/2006/relationships/hyperlink" Target="http://www.sec.gov/Archives/edgar/data/1571996/000119312518293366/d681091dex1021.htm" TargetMode="External"/><Relationship Id="rId279" Type="http://schemas.openxmlformats.org/officeDocument/2006/relationships/hyperlink" Target="http://www.sec.gov/Archives/edgar/data/1571996/000157199619000032/a2013stockincentiveplanjul.htm" TargetMode="External"/><Relationship Id="rId280" Type="http://schemas.openxmlformats.org/officeDocument/2006/relationships/hyperlink" Target="https://www.sec.gov/Archives/edgar/data/1571996/000157199620000051/exhibit101q3fy21.htm" TargetMode="External"/><Relationship Id="rId281" Type="http://schemas.openxmlformats.org/officeDocument/2006/relationships/hyperlink" Target="http://www.sec.gov/Archives/edgar/data/1571996/000119312518210339/d880259dex102.htm" TargetMode="External"/><Relationship Id="rId282" Type="http://schemas.openxmlformats.org/officeDocument/2006/relationships/hyperlink" Target="http://www.sec.gov/Archives/edgar/data/1571996/000119312518328110/d655711dex106.htm" TargetMode="External"/><Relationship Id="rId283" Type="http://schemas.openxmlformats.org/officeDocument/2006/relationships/hyperlink" Target="https://www.sec.gov/Archives/edgar/data/1571996/000119312518360943/d673794dex101.htm" TargetMode="External"/><Relationship Id="rId284" Type="http://schemas.openxmlformats.org/officeDocument/2006/relationships/hyperlink" Target="https://www.sec.gov/Archives/edgar/data/1571996/000119312518360943/d673794dex102.htm" TargetMode="External"/><Relationship Id="rId285" Type="http://schemas.openxmlformats.org/officeDocument/2006/relationships/hyperlink" Target="https://www.sec.gov/Archives/edgar/data/1571996/000119312518360943/d673794dex105.htm" TargetMode="External"/><Relationship Id="rId286" Type="http://schemas.openxmlformats.org/officeDocument/2006/relationships/hyperlink" Target="https://www.sec.gov/Archives/edgar/data/1571996/000119312518360943/d673794dex106.htm" TargetMode="External"/><Relationship Id="rId288" Type="http://schemas.openxmlformats.org/officeDocument/2006/relationships/hyperlink" Target="https://www.sec.gov/Archives/edgar/data/1571996/000119312518360943/d673794dex107.htm" TargetMode="External"/><Relationship Id="rId289" Type="http://schemas.openxmlformats.org/officeDocument/2006/relationships/hyperlink" Target="https://www.sec.gov/Archives/edgar/data/1571996/000157199619000005/exhibit101formofrsu.htm" TargetMode="External"/><Relationship Id="rId290" Type="http://schemas.openxmlformats.org/officeDocument/2006/relationships/hyperlink" Target="https://www.sec.gov/Archives/edgar/data/1571996/000157199619000005/exhibit102formofprsu.htm" TargetMode="External"/><Relationship Id="rId291" Type="http://schemas.openxmlformats.org/officeDocument/2006/relationships/hyperlink" Target="https://www.sec.gov/Archives/edgar/data/1571996/000157199621000007/exhibit1057fy21.htm" TargetMode="External"/><Relationship Id="rId292" Type="http://schemas.openxmlformats.org/officeDocument/2006/relationships/hyperlink" Target="https://www.sec.gov/Archives/edgar/data/0001571996/000119312521315488/d1464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2022-03-24T16:05:06Z</dcterms:created>
  <dcterms:modified xsi:type="dcterms:W3CDTF">2022-03-24T16:05:06Z</dcterms:modified>
</cp:coreProperties>
</file>